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0" w:hRule="atLeast"/>
        </w:trPr>
        <w:tc>
          <w:tcPr>
            <w:tcW w:w="857" w:type="dxa"/>
            <w:vMerge w:val="restart"/>
          </w:tcPr>
          <w:p>
            <w:pPr>
              <w:pStyle w:val="TableParagraph"/>
              <w:rPr>
                <w:rFonts w:ascii="Times New Roman"/>
                <w:sz w:val="5"/>
              </w:rPr>
            </w:pPr>
          </w:p>
          <w:p>
            <w:pPr>
              <w:pStyle w:val="TableParagraph"/>
              <w:ind w:left="21" w:right="-44"/>
              <w:rPr>
                <w:rFonts w:ascii="Times New Roman"/>
                <w:sz w:val="20"/>
              </w:rPr>
            </w:pPr>
            <w:r>
              <w:rPr>
                <w:rFonts w:ascii="Times New Roman"/>
                <w:sz w:val="20"/>
              </w:rPr>
              <w:drawing>
                <wp:inline distT="0" distB="0" distL="0" distR="0">
                  <wp:extent cx="519085" cy="427481"/>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519085" cy="427481"/>
                          </a:xfrm>
                          <a:prstGeom prst="rect">
                            <a:avLst/>
                          </a:prstGeom>
                        </pic:spPr>
                      </pic:pic>
                    </a:graphicData>
                  </a:graphic>
                </wp:inline>
              </w:drawing>
            </w:r>
            <w:r>
              <w:rPr>
                <w:rFonts w:ascii="Times New Roman"/>
                <w:sz w:val="20"/>
              </w:rPr>
            </w:r>
          </w:p>
        </w:tc>
        <w:tc>
          <w:tcPr>
            <w:tcW w:w="10344" w:type="dxa"/>
            <w:gridSpan w:val="4"/>
          </w:tcPr>
          <w:p>
            <w:pPr>
              <w:pStyle w:val="TableParagraph"/>
              <w:spacing w:before="53"/>
              <w:ind w:left="21" w:right="30"/>
              <w:jc w:val="center"/>
              <w:rPr>
                <w:sz w:val="16"/>
              </w:rPr>
            </w:pPr>
            <w:r>
              <w:rPr>
                <w:sz w:val="16"/>
              </w:rPr>
              <w:t>INSTRU CTIVO</w:t>
            </w:r>
          </w:p>
          <w:p>
            <w:pPr>
              <w:pStyle w:val="TableParagraph"/>
              <w:spacing w:line="270" w:lineRule="atLeast" w:before="27"/>
              <w:ind w:left="21" w:right="2"/>
              <w:jc w:val="center"/>
              <w:rPr>
                <w:b/>
                <w:sz w:val="24"/>
              </w:rPr>
            </w:pPr>
            <w:r>
              <w:rPr>
                <w:b/>
                <w:sz w:val="24"/>
              </w:rPr>
              <w:t>LINEAMIENTOS GENERALES PARA LA CONTINUACIÓN DE LA SUBVENCIÓN ESTATAL A INSTITUTOS DE EDUCACIÓN POR COOPERATIVA DE ENSEÑANZA</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0" w:lineRule="exact"/>
              <w:ind w:left="1142"/>
              <w:rPr>
                <w:sz w:val="16"/>
              </w:rPr>
            </w:pPr>
            <w:r>
              <w:rPr>
                <w:sz w:val="16"/>
              </w:rPr>
              <w:t>Del proceso: Proceso de Apoyo</w:t>
            </w:r>
          </w:p>
        </w:tc>
        <w:tc>
          <w:tcPr>
            <w:tcW w:w="2409" w:type="dxa"/>
          </w:tcPr>
          <w:p>
            <w:pPr>
              <w:pStyle w:val="TableParagraph"/>
              <w:spacing w:line="180" w:lineRule="exact"/>
              <w:ind w:left="211"/>
              <w:rPr>
                <w:sz w:val="16"/>
              </w:rPr>
            </w:pPr>
            <w:r>
              <w:rPr>
                <w:sz w:val="16"/>
              </w:rPr>
              <w:t>Código: INTCOOP-INS-01</w:t>
            </w:r>
          </w:p>
        </w:tc>
        <w:tc>
          <w:tcPr>
            <w:tcW w:w="1557" w:type="dxa"/>
          </w:tcPr>
          <w:p>
            <w:pPr>
              <w:pStyle w:val="TableParagraph"/>
              <w:spacing w:line="180" w:lineRule="exact"/>
              <w:ind w:left="337"/>
              <w:rPr>
                <w:sz w:val="16"/>
              </w:rPr>
            </w:pPr>
            <w:r>
              <w:rPr>
                <w:sz w:val="16"/>
              </w:rPr>
              <w:t>Versión: 01</w:t>
            </w:r>
          </w:p>
        </w:tc>
        <w:tc>
          <w:tcPr>
            <w:tcW w:w="1842" w:type="dxa"/>
          </w:tcPr>
          <w:p>
            <w:pPr>
              <w:pStyle w:val="TableParagraph"/>
              <w:spacing w:line="180" w:lineRule="exact"/>
              <w:ind w:left="432"/>
              <w:rPr>
                <w:sz w:val="16"/>
              </w:rPr>
            </w:pPr>
            <w:r>
              <w:rPr>
                <w:sz w:val="16"/>
              </w:rPr>
              <w:t>Página 1 de 7</w:t>
            </w:r>
          </w:p>
        </w:tc>
      </w:tr>
    </w:tbl>
    <w:p>
      <w:pPr>
        <w:pStyle w:val="BodyText"/>
        <w:spacing w:before="8"/>
        <w:rPr>
          <w:rFonts w:ascii="Times New Roman"/>
          <w:sz w:val="23"/>
        </w:rPr>
      </w:pPr>
    </w:p>
    <w:p>
      <w:pPr>
        <w:pStyle w:val="Heading2"/>
        <w:numPr>
          <w:ilvl w:val="0"/>
          <w:numId w:val="1"/>
        </w:numPr>
        <w:tabs>
          <w:tab w:pos="834" w:val="left" w:leader="none"/>
          <w:tab w:pos="835" w:val="left" w:leader="none"/>
        </w:tabs>
        <w:spacing w:line="240" w:lineRule="auto" w:before="94" w:after="0"/>
        <w:ind w:left="834" w:right="0" w:hanging="709"/>
        <w:jc w:val="left"/>
        <w:rPr>
          <w:u w:val="none"/>
        </w:rPr>
      </w:pPr>
      <w:r>
        <w:rPr>
          <w:u w:val="thick"/>
        </w:rPr>
        <w:t>REGISTRO DE REVISIÓN Y</w:t>
      </w:r>
      <w:r>
        <w:rPr>
          <w:spacing w:val="4"/>
          <w:u w:val="thick"/>
        </w:rPr>
        <w:t> </w:t>
      </w:r>
      <w:r>
        <w:rPr>
          <w:u w:val="thick"/>
        </w:rPr>
        <w:t>APROBACIÓN:</w:t>
      </w:r>
    </w:p>
    <w:p>
      <w:pPr>
        <w:pStyle w:val="BodyText"/>
        <w:rPr>
          <w:b/>
          <w:sz w:val="19"/>
        </w:rPr>
      </w:pPr>
      <w:r>
        <w:rPr/>
        <w:drawing>
          <wp:anchor distT="0" distB="0" distL="0" distR="0" allowOverlap="1" layoutInCell="1" locked="0" behindDoc="0" simplePos="0" relativeHeight="0">
            <wp:simplePos x="0" y="0"/>
            <wp:positionH relativeFrom="page">
              <wp:posOffset>631951</wp:posOffset>
            </wp:positionH>
            <wp:positionV relativeFrom="paragraph">
              <wp:posOffset>164050</wp:posOffset>
            </wp:positionV>
            <wp:extent cx="6980448" cy="2866644"/>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6980448" cy="2866644"/>
                    </a:xfrm>
                    <a:prstGeom prst="rect">
                      <a:avLst/>
                    </a:prstGeom>
                  </pic:spPr>
                </pic:pic>
              </a:graphicData>
            </a:graphic>
          </wp:anchor>
        </w:drawing>
      </w:r>
    </w:p>
    <w:p>
      <w:pPr>
        <w:pStyle w:val="BodyText"/>
        <w:rPr>
          <w:b/>
          <w:sz w:val="24"/>
        </w:rPr>
      </w:pPr>
    </w:p>
    <w:p>
      <w:pPr>
        <w:pStyle w:val="BodyText"/>
        <w:spacing w:before="7"/>
        <w:rPr>
          <w:b/>
          <w:sz w:val="19"/>
        </w:rPr>
      </w:pPr>
    </w:p>
    <w:p>
      <w:pPr>
        <w:pStyle w:val="ListParagraph"/>
        <w:numPr>
          <w:ilvl w:val="0"/>
          <w:numId w:val="1"/>
        </w:numPr>
        <w:tabs>
          <w:tab w:pos="978" w:val="left" w:leader="none"/>
          <w:tab w:pos="979" w:val="left" w:leader="none"/>
        </w:tabs>
        <w:spacing w:line="240" w:lineRule="auto" w:before="0" w:after="0"/>
        <w:ind w:left="978" w:right="0" w:hanging="853"/>
        <w:jc w:val="left"/>
        <w:rPr>
          <w:b/>
          <w:sz w:val="22"/>
        </w:rPr>
      </w:pPr>
      <w:r>
        <w:rPr>
          <w:b/>
          <w:sz w:val="22"/>
        </w:rPr>
        <w:t>GLOSARIO</w:t>
      </w:r>
    </w:p>
    <w:p>
      <w:pPr>
        <w:pStyle w:val="BodyText"/>
        <w:spacing w:before="5"/>
        <w:rPr>
          <w:b/>
        </w:rPr>
      </w:pPr>
    </w:p>
    <w:tbl>
      <w:tblPr>
        <w:tblW w:w="0" w:type="auto"/>
        <w:jc w:val="left"/>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7"/>
        <w:gridCol w:w="1996"/>
        <w:gridCol w:w="8211"/>
      </w:tblGrid>
      <w:tr>
        <w:trPr>
          <w:trHeight w:val="1459" w:hRule="atLeast"/>
        </w:trPr>
        <w:tc>
          <w:tcPr>
            <w:tcW w:w="497" w:type="dxa"/>
            <w:tcBorders>
              <w:top w:val="single" w:sz="4" w:space="0" w:color="808080"/>
              <w:bottom w:val="single" w:sz="4" w:space="0" w:color="808080"/>
            </w:tcBorders>
          </w:tcPr>
          <w:p>
            <w:pPr>
              <w:pStyle w:val="TableParagraph"/>
              <w:spacing w:before="120"/>
              <w:ind w:right="26"/>
              <w:jc w:val="right"/>
              <w:rPr>
                <w:b/>
                <w:sz w:val="22"/>
              </w:rPr>
            </w:pPr>
            <w:r>
              <w:rPr>
                <w:b/>
                <w:sz w:val="22"/>
              </w:rPr>
              <w:t>1.-</w:t>
            </w:r>
          </w:p>
        </w:tc>
        <w:tc>
          <w:tcPr>
            <w:tcW w:w="1996" w:type="dxa"/>
            <w:tcBorders>
              <w:top w:val="single" w:sz="4" w:space="0" w:color="808080"/>
              <w:bottom w:val="single" w:sz="4" w:space="0" w:color="808080"/>
            </w:tcBorders>
          </w:tcPr>
          <w:p>
            <w:pPr>
              <w:pStyle w:val="TableParagraph"/>
              <w:spacing w:line="288" w:lineRule="auto" w:before="120"/>
              <w:ind w:left="26" w:right="360"/>
              <w:rPr>
                <w:b/>
                <w:sz w:val="22"/>
              </w:rPr>
            </w:pPr>
            <w:r>
              <w:rPr>
                <w:b/>
                <w:sz w:val="22"/>
              </w:rPr>
              <w:t>Instituto de Educación por Cooperativa de Enseñanza</w:t>
            </w:r>
          </w:p>
        </w:tc>
        <w:tc>
          <w:tcPr>
            <w:tcW w:w="8211" w:type="dxa"/>
            <w:tcBorders>
              <w:top w:val="single" w:sz="4" w:space="0" w:color="808080"/>
              <w:bottom w:val="single" w:sz="4" w:space="0" w:color="808080"/>
            </w:tcBorders>
          </w:tcPr>
          <w:p>
            <w:pPr>
              <w:pStyle w:val="TableParagraph"/>
              <w:spacing w:line="288" w:lineRule="auto" w:before="122"/>
              <w:ind w:left="157" w:right="25"/>
              <w:jc w:val="both"/>
              <w:rPr>
                <w:sz w:val="22"/>
              </w:rPr>
            </w:pPr>
            <w:r>
              <w:rPr>
                <w:sz w:val="22"/>
              </w:rPr>
              <w:t>Establecimientos educativos no lucrativos, en jurisdicción departamental y municipal, que responden a la demanda educacional en los diferentes niveles del subsistema de educación escolar (Artículo 25 del Decreto Legislativo número 12- 91 “Ley de Educación Nacional”).</w:t>
            </w:r>
          </w:p>
        </w:tc>
      </w:tr>
      <w:tr>
        <w:trPr>
          <w:trHeight w:val="1154" w:hRule="atLeast"/>
        </w:trPr>
        <w:tc>
          <w:tcPr>
            <w:tcW w:w="497" w:type="dxa"/>
            <w:tcBorders>
              <w:top w:val="single" w:sz="4" w:space="0" w:color="808080"/>
              <w:bottom w:val="single" w:sz="4" w:space="0" w:color="808080"/>
            </w:tcBorders>
          </w:tcPr>
          <w:p>
            <w:pPr>
              <w:pStyle w:val="TableParagraph"/>
              <w:spacing w:before="117"/>
              <w:ind w:right="26"/>
              <w:jc w:val="right"/>
              <w:rPr>
                <w:b/>
                <w:sz w:val="22"/>
              </w:rPr>
            </w:pPr>
            <w:r>
              <w:rPr>
                <w:b/>
                <w:sz w:val="22"/>
              </w:rPr>
              <w:t>2.-</w:t>
            </w:r>
          </w:p>
        </w:tc>
        <w:tc>
          <w:tcPr>
            <w:tcW w:w="1996" w:type="dxa"/>
            <w:tcBorders>
              <w:top w:val="single" w:sz="4" w:space="0" w:color="808080"/>
              <w:bottom w:val="single" w:sz="4" w:space="0" w:color="808080"/>
            </w:tcBorders>
          </w:tcPr>
          <w:p>
            <w:pPr>
              <w:pStyle w:val="TableParagraph"/>
              <w:spacing w:before="117"/>
              <w:ind w:left="26"/>
              <w:rPr>
                <w:b/>
                <w:sz w:val="22"/>
              </w:rPr>
            </w:pPr>
            <w:r>
              <w:rPr>
                <w:b/>
                <w:sz w:val="22"/>
              </w:rPr>
              <w:t>Unidad Ejecutora</w:t>
            </w:r>
          </w:p>
        </w:tc>
        <w:tc>
          <w:tcPr>
            <w:tcW w:w="8211" w:type="dxa"/>
            <w:tcBorders>
              <w:top w:val="single" w:sz="4" w:space="0" w:color="808080"/>
              <w:bottom w:val="single" w:sz="4" w:space="0" w:color="808080"/>
            </w:tcBorders>
          </w:tcPr>
          <w:p>
            <w:pPr>
              <w:pStyle w:val="TableParagraph"/>
              <w:spacing w:line="288" w:lineRule="auto" w:before="120"/>
              <w:ind w:left="157" w:right="25"/>
              <w:jc w:val="both"/>
              <w:rPr>
                <w:sz w:val="22"/>
              </w:rPr>
            </w:pPr>
            <w:r>
              <w:rPr>
                <w:sz w:val="22"/>
              </w:rPr>
              <w:t>Es la Dependencia del Ministerio de Educación, constituida como Unidad Ejecutora en la distribución analítica del presupuesto, responsable de la eficiente ejecución presupuestaria y financiera en cada ejercicio fiscal.</w:t>
            </w:r>
          </w:p>
        </w:tc>
      </w:tr>
      <w:tr>
        <w:trPr>
          <w:trHeight w:val="2066" w:hRule="atLeast"/>
        </w:trPr>
        <w:tc>
          <w:tcPr>
            <w:tcW w:w="497" w:type="dxa"/>
            <w:tcBorders>
              <w:top w:val="single" w:sz="4" w:space="0" w:color="808080"/>
              <w:bottom w:val="single" w:sz="4" w:space="0" w:color="808080"/>
            </w:tcBorders>
          </w:tcPr>
          <w:p>
            <w:pPr>
              <w:pStyle w:val="TableParagraph"/>
              <w:spacing w:before="120"/>
              <w:ind w:right="26"/>
              <w:jc w:val="right"/>
              <w:rPr>
                <w:b/>
                <w:sz w:val="22"/>
              </w:rPr>
            </w:pPr>
            <w:r>
              <w:rPr>
                <w:b/>
                <w:sz w:val="22"/>
              </w:rPr>
              <w:t>3.-</w:t>
            </w:r>
          </w:p>
        </w:tc>
        <w:tc>
          <w:tcPr>
            <w:tcW w:w="1996" w:type="dxa"/>
            <w:tcBorders>
              <w:top w:val="single" w:sz="4" w:space="0" w:color="808080"/>
              <w:bottom w:val="single" w:sz="4" w:space="0" w:color="808080"/>
            </w:tcBorders>
          </w:tcPr>
          <w:p>
            <w:pPr>
              <w:pStyle w:val="TableParagraph"/>
              <w:spacing w:before="120"/>
              <w:ind w:left="26"/>
              <w:rPr>
                <w:sz w:val="22"/>
              </w:rPr>
            </w:pPr>
            <w:r>
              <w:rPr>
                <w:b/>
                <w:sz w:val="22"/>
              </w:rPr>
              <w:t>Subvención</w:t>
            </w:r>
            <w:r>
              <w:rPr>
                <w:sz w:val="22"/>
              </w:rPr>
              <w:t>:</w:t>
            </w:r>
          </w:p>
        </w:tc>
        <w:tc>
          <w:tcPr>
            <w:tcW w:w="8211" w:type="dxa"/>
            <w:tcBorders>
              <w:top w:val="single" w:sz="4" w:space="0" w:color="808080"/>
              <w:bottom w:val="single" w:sz="4" w:space="0" w:color="808080"/>
            </w:tcBorders>
          </w:tcPr>
          <w:p>
            <w:pPr>
              <w:pStyle w:val="TableParagraph"/>
              <w:spacing w:line="288" w:lineRule="auto" w:before="122"/>
              <w:ind w:left="157" w:right="27"/>
              <w:jc w:val="both"/>
              <w:rPr>
                <w:sz w:val="22"/>
              </w:rPr>
            </w:pPr>
            <w:r>
              <w:rPr>
                <w:sz w:val="22"/>
              </w:rPr>
              <w:t>Es todo beneficio monetario o en especie que el Estado otorga a una persona individual o jurídica a título gratuito y que esta debe emplear para la actividad o proyecto para la que le fue concedida, cumpliendo los requisitos establecidos por la entidad otorgante de acuerdo a la naturaleza de la subvención. (Artículo 4 del Acuerdo Gubernativo número 55-2016 “Reglamento de manejo de subsidios y subvenciones”).</w:t>
            </w:r>
          </w:p>
        </w:tc>
      </w:tr>
    </w:tbl>
    <w:p>
      <w:pPr>
        <w:pStyle w:val="BodyText"/>
        <w:spacing w:before="5"/>
        <w:rPr>
          <w:b/>
          <w:sz w:val="21"/>
        </w:rPr>
      </w:pPr>
    </w:p>
    <w:p>
      <w:pPr>
        <w:pStyle w:val="ListParagraph"/>
        <w:numPr>
          <w:ilvl w:val="0"/>
          <w:numId w:val="2"/>
        </w:numPr>
        <w:tabs>
          <w:tab w:pos="553" w:val="left" w:leader="none"/>
          <w:tab w:pos="554" w:val="left" w:leader="none"/>
        </w:tabs>
        <w:spacing w:line="240" w:lineRule="auto" w:before="0" w:after="0"/>
        <w:ind w:left="553" w:right="0" w:hanging="428"/>
        <w:jc w:val="left"/>
        <w:rPr>
          <w:b/>
          <w:sz w:val="22"/>
        </w:rPr>
      </w:pPr>
      <w:r>
        <w:rPr>
          <w:b/>
          <w:sz w:val="22"/>
          <w:u w:val="thick"/>
        </w:rPr>
        <w:t>DESCRIPCIÓN DE ACTIVIDADES Y RESPONSABLES:</w:t>
      </w:r>
    </w:p>
    <w:p>
      <w:pPr>
        <w:pStyle w:val="BodyText"/>
        <w:spacing w:before="2"/>
        <w:rPr>
          <w:b/>
          <w:sz w:val="14"/>
        </w:rPr>
      </w:pPr>
    </w:p>
    <w:p>
      <w:pPr>
        <w:pStyle w:val="BodyText"/>
        <w:spacing w:before="93"/>
        <w:ind w:left="553" w:right="391"/>
        <w:jc w:val="both"/>
      </w:pPr>
      <w:r>
        <w:rPr/>
        <w:t>El presente instructivo tiene por objeto definir las actividades que deberán desarrollarse para la continuación del pago de la subvención estatal a los Institutos de Educación por Cooperativa de Enseñanza, de conformidad con lo establecido en el Decreto Legislativo número 12-91 “Ley de Educación Nacional”,  de fecha 12 de enero de 1991, Decreto número 17-95 “Ley de Institutos de Educación por Cooperativa de Enseñanza”, de fecha 29 de marzo de 1995; Acuerdo Gubernativo número 35-2015 “Reglamento de la Ley de Institutos de Educación por Cooperativa de Enseñanza”, de fecha 4 de febrero de 2015, Resolución  Ministerial No. 45-2018, de fecha 5 de enero</w:t>
      </w:r>
      <w:r>
        <w:rPr>
          <w:spacing w:val="-9"/>
        </w:rPr>
        <w:t> </w:t>
      </w:r>
      <w:r>
        <w:rPr/>
        <w:t>2018.</w:t>
      </w:r>
    </w:p>
    <w:p>
      <w:pPr>
        <w:spacing w:after="0"/>
        <w:jc w:val="both"/>
        <w:sectPr>
          <w:headerReference w:type="default" r:id="rId5"/>
          <w:footerReference w:type="default" r:id="rId6"/>
          <w:type w:val="continuous"/>
          <w:pgSz w:w="12250" w:h="15850"/>
          <w:pgMar w:header="214" w:footer="337" w:top="400" w:bottom="520" w:left="440" w:right="8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0" w:hRule="atLeast"/>
        </w:trPr>
        <w:tc>
          <w:tcPr>
            <w:tcW w:w="857" w:type="dxa"/>
            <w:vMerge w:val="restart"/>
          </w:tcPr>
          <w:p>
            <w:pPr>
              <w:pStyle w:val="TableParagraph"/>
              <w:rPr>
                <w:sz w:val="5"/>
              </w:rPr>
            </w:pPr>
          </w:p>
          <w:p>
            <w:pPr>
              <w:pStyle w:val="TableParagraph"/>
              <w:ind w:left="21" w:right="-44"/>
              <w:rPr>
                <w:sz w:val="20"/>
              </w:rPr>
            </w:pPr>
            <w:r>
              <w:rPr>
                <w:sz w:val="20"/>
              </w:rPr>
              <w:drawing>
                <wp:inline distT="0" distB="0" distL="0" distR="0">
                  <wp:extent cx="519085" cy="427481"/>
                  <wp:effectExtent l="0" t="0" r="0" b="0"/>
                  <wp:docPr id="5" name="image1.jpeg"/>
                  <wp:cNvGraphicFramePr>
                    <a:graphicFrameLocks noChangeAspect="1"/>
                  </wp:cNvGraphicFramePr>
                  <a:graphic>
                    <a:graphicData uri="http://schemas.openxmlformats.org/drawingml/2006/picture">
                      <pic:pic>
                        <pic:nvPicPr>
                          <pic:cNvPr id="6" name="image1.jpeg"/>
                          <pic:cNvPicPr/>
                        </pic:nvPicPr>
                        <pic:blipFill>
                          <a:blip r:embed="rId7" cstate="print"/>
                          <a:stretch>
                            <a:fillRect/>
                          </a:stretch>
                        </pic:blipFill>
                        <pic:spPr>
                          <a:xfrm>
                            <a:off x="0" y="0"/>
                            <a:ext cx="519085" cy="427481"/>
                          </a:xfrm>
                          <a:prstGeom prst="rect">
                            <a:avLst/>
                          </a:prstGeom>
                        </pic:spPr>
                      </pic:pic>
                    </a:graphicData>
                  </a:graphic>
                </wp:inline>
              </w:drawing>
            </w:r>
            <w:r>
              <w:rPr>
                <w:sz w:val="20"/>
              </w:rPr>
            </w:r>
          </w:p>
        </w:tc>
        <w:tc>
          <w:tcPr>
            <w:tcW w:w="10344" w:type="dxa"/>
            <w:gridSpan w:val="4"/>
          </w:tcPr>
          <w:p>
            <w:pPr>
              <w:pStyle w:val="TableParagraph"/>
              <w:spacing w:before="53"/>
              <w:ind w:left="21" w:right="30"/>
              <w:jc w:val="center"/>
              <w:rPr>
                <w:sz w:val="16"/>
              </w:rPr>
            </w:pPr>
            <w:r>
              <w:rPr>
                <w:sz w:val="16"/>
              </w:rPr>
              <w:t>INSTRU CTIVO</w:t>
            </w:r>
          </w:p>
          <w:p>
            <w:pPr>
              <w:pStyle w:val="TableParagraph"/>
              <w:spacing w:line="270" w:lineRule="atLeast" w:before="27"/>
              <w:ind w:left="21" w:right="2"/>
              <w:jc w:val="center"/>
              <w:rPr>
                <w:b/>
                <w:sz w:val="24"/>
              </w:rPr>
            </w:pPr>
            <w:r>
              <w:rPr>
                <w:b/>
                <w:sz w:val="24"/>
              </w:rPr>
              <w:t>LINEAMIENTOS GENERALES PARA LA CONTINUACIÓN DE LA SUBVENCIÓN ESTATAL A INSTITUTOS DE EDUCACIÓN POR COOPERATIVA DE ENSEÑANZA</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0" w:lineRule="exact"/>
              <w:ind w:left="1142"/>
              <w:rPr>
                <w:sz w:val="16"/>
              </w:rPr>
            </w:pPr>
            <w:r>
              <w:rPr>
                <w:sz w:val="16"/>
              </w:rPr>
              <w:t>Del proceso: Proceso de Apoyo</w:t>
            </w:r>
          </w:p>
        </w:tc>
        <w:tc>
          <w:tcPr>
            <w:tcW w:w="2409" w:type="dxa"/>
          </w:tcPr>
          <w:p>
            <w:pPr>
              <w:pStyle w:val="TableParagraph"/>
              <w:spacing w:line="180" w:lineRule="exact"/>
              <w:ind w:left="211"/>
              <w:rPr>
                <w:sz w:val="16"/>
              </w:rPr>
            </w:pPr>
            <w:r>
              <w:rPr>
                <w:sz w:val="16"/>
              </w:rPr>
              <w:t>Código: INTCOOP-INS-01</w:t>
            </w:r>
          </w:p>
        </w:tc>
        <w:tc>
          <w:tcPr>
            <w:tcW w:w="1557" w:type="dxa"/>
          </w:tcPr>
          <w:p>
            <w:pPr>
              <w:pStyle w:val="TableParagraph"/>
              <w:spacing w:line="180" w:lineRule="exact"/>
              <w:ind w:left="337"/>
              <w:rPr>
                <w:sz w:val="16"/>
              </w:rPr>
            </w:pPr>
            <w:r>
              <w:rPr>
                <w:sz w:val="16"/>
              </w:rPr>
              <w:t>Versión: 01</w:t>
            </w:r>
          </w:p>
        </w:tc>
        <w:tc>
          <w:tcPr>
            <w:tcW w:w="1842" w:type="dxa"/>
          </w:tcPr>
          <w:p>
            <w:pPr>
              <w:pStyle w:val="TableParagraph"/>
              <w:spacing w:line="180" w:lineRule="exact"/>
              <w:ind w:left="432"/>
              <w:rPr>
                <w:sz w:val="16"/>
              </w:rPr>
            </w:pPr>
            <w:r>
              <w:rPr>
                <w:sz w:val="16"/>
              </w:rPr>
              <w:t>Página 2 de 7</w:t>
            </w:r>
          </w:p>
        </w:tc>
      </w:tr>
    </w:tbl>
    <w:p>
      <w:pPr>
        <w:pStyle w:val="Heading1"/>
        <w:numPr>
          <w:ilvl w:val="1"/>
          <w:numId w:val="2"/>
        </w:numPr>
        <w:tabs>
          <w:tab w:pos="1542" w:val="left" w:leader="none"/>
          <w:tab w:pos="1543" w:val="left" w:leader="none"/>
        </w:tabs>
        <w:spacing w:line="240" w:lineRule="auto" w:before="114" w:after="0"/>
        <w:ind w:left="1542" w:right="0" w:hanging="990"/>
        <w:jc w:val="left"/>
      </w:pPr>
      <w:r>
        <w:rPr/>
        <w:t>Gestiones para la continuación del pago de la subvención</w:t>
      </w:r>
      <w:r>
        <w:rPr>
          <w:spacing w:val="-9"/>
        </w:rPr>
        <w:t> </w:t>
      </w:r>
      <w:r>
        <w:rPr/>
        <w:t>estatal.</w:t>
      </w:r>
    </w:p>
    <w:p>
      <w:pPr>
        <w:pStyle w:val="BodyText"/>
        <w:spacing w:before="230"/>
        <w:ind w:left="553"/>
      </w:pPr>
      <w:r>
        <w:rPr/>
        <w:t>Durante cada Ciclo Escolar, deberán de realizarse las actividades que se detallan a continuación:</w:t>
      </w:r>
    </w:p>
    <w:p>
      <w:pPr>
        <w:pStyle w:val="BodyText"/>
        <w:spacing w:before="4" w:after="1"/>
        <w:rPr>
          <w:sz w:val="20"/>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3"/>
        <w:gridCol w:w="1135"/>
        <w:gridCol w:w="8534"/>
      </w:tblGrid>
      <w:tr>
        <w:trPr>
          <w:trHeight w:val="232" w:hRule="atLeast"/>
        </w:trPr>
        <w:tc>
          <w:tcPr>
            <w:tcW w:w="1133" w:type="dxa"/>
            <w:shd w:val="clear" w:color="auto" w:fill="D9D9D9"/>
          </w:tcPr>
          <w:p>
            <w:pPr>
              <w:pStyle w:val="TableParagraph"/>
              <w:spacing w:before="19"/>
              <w:ind w:left="249"/>
              <w:rPr>
                <w:b/>
                <w:sz w:val="14"/>
              </w:rPr>
            </w:pPr>
            <w:r>
              <w:rPr>
                <w:b/>
                <w:sz w:val="14"/>
              </w:rPr>
              <w:t>Actividad</w:t>
            </w:r>
          </w:p>
        </w:tc>
        <w:tc>
          <w:tcPr>
            <w:tcW w:w="1135" w:type="dxa"/>
            <w:shd w:val="clear" w:color="auto" w:fill="D9D9D9"/>
          </w:tcPr>
          <w:p>
            <w:pPr>
              <w:pStyle w:val="TableParagraph"/>
              <w:spacing w:before="19"/>
              <w:ind w:left="131"/>
              <w:rPr>
                <w:b/>
                <w:sz w:val="14"/>
              </w:rPr>
            </w:pPr>
            <w:r>
              <w:rPr>
                <w:b/>
                <w:sz w:val="14"/>
              </w:rPr>
              <w:t>Responsable</w:t>
            </w:r>
          </w:p>
        </w:tc>
        <w:tc>
          <w:tcPr>
            <w:tcW w:w="8534" w:type="dxa"/>
            <w:shd w:val="clear" w:color="auto" w:fill="D9D9D9"/>
          </w:tcPr>
          <w:p>
            <w:pPr>
              <w:pStyle w:val="TableParagraph"/>
              <w:spacing w:before="19"/>
              <w:ind w:left="3228" w:right="3193"/>
              <w:jc w:val="center"/>
              <w:rPr>
                <w:b/>
                <w:sz w:val="14"/>
              </w:rPr>
            </w:pPr>
            <w:r>
              <w:rPr>
                <w:b/>
                <w:sz w:val="14"/>
              </w:rPr>
              <w:t>Descripción de las Actividades</w:t>
            </w:r>
          </w:p>
        </w:tc>
      </w:tr>
      <w:tr>
        <w:trPr>
          <w:trHeight w:val="5933" w:hRule="atLeast"/>
        </w:trPr>
        <w:tc>
          <w:tcPr>
            <w:tcW w:w="1133"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15"/>
              <w:ind w:left="48" w:right="43"/>
              <w:jc w:val="center"/>
              <w:rPr>
                <w:b/>
                <w:sz w:val="14"/>
              </w:rPr>
            </w:pPr>
            <w:r>
              <w:rPr>
                <w:b/>
                <w:sz w:val="14"/>
              </w:rPr>
              <w:t>1.</w:t>
            </w:r>
          </w:p>
          <w:p>
            <w:pPr>
              <w:pStyle w:val="TableParagraph"/>
              <w:ind w:left="50" w:right="43"/>
              <w:jc w:val="center"/>
              <w:rPr>
                <w:b/>
                <w:sz w:val="14"/>
              </w:rPr>
            </w:pPr>
            <w:r>
              <w:rPr>
                <w:b/>
                <w:sz w:val="14"/>
              </w:rPr>
              <w:t>Elaborar circular</w:t>
            </w:r>
          </w:p>
        </w:tc>
        <w:tc>
          <w:tcPr>
            <w:tcW w:w="1135"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4"/>
              <w:rPr>
                <w:sz w:val="19"/>
              </w:rPr>
            </w:pPr>
          </w:p>
          <w:p>
            <w:pPr>
              <w:pStyle w:val="TableParagraph"/>
              <w:ind w:left="178" w:right="166"/>
              <w:jc w:val="center"/>
              <w:rPr>
                <w:sz w:val="14"/>
              </w:rPr>
            </w:pPr>
            <w:r>
              <w:rPr>
                <w:sz w:val="14"/>
              </w:rPr>
              <w:t>Asistente Técnico Pedagógico DIDEDUC</w:t>
            </w:r>
          </w:p>
        </w:tc>
        <w:tc>
          <w:tcPr>
            <w:tcW w:w="8534" w:type="dxa"/>
          </w:tcPr>
          <w:p>
            <w:pPr>
              <w:pStyle w:val="TableParagraph"/>
              <w:spacing w:before="26"/>
              <w:ind w:left="57" w:right="15"/>
              <w:jc w:val="both"/>
              <w:rPr>
                <w:sz w:val="22"/>
              </w:rPr>
            </w:pPr>
            <w:r>
              <w:rPr>
                <w:sz w:val="22"/>
              </w:rPr>
              <w:t>Durante el mes de octubre de cada año, elabora circular para informar al personal que realiza funciones de Supervisión Educativa sobre los requisitos para la continuación de la asignación estatal que se otorga a los mismos, los cuales, de conformidad con lo establecido en el artículo 23 del Acuerdo Gubernativo número 35-2015 “Reglamento de la Ley de Institutos de Educación por Cooperativa de Enseñanza”, se detallan a continuación:</w:t>
            </w:r>
          </w:p>
          <w:p>
            <w:pPr>
              <w:pStyle w:val="TableParagraph"/>
              <w:spacing w:before="1"/>
              <w:rPr>
                <w:sz w:val="22"/>
              </w:rPr>
            </w:pPr>
          </w:p>
          <w:p>
            <w:pPr>
              <w:pStyle w:val="TableParagraph"/>
              <w:numPr>
                <w:ilvl w:val="0"/>
                <w:numId w:val="3"/>
              </w:numPr>
              <w:tabs>
                <w:tab w:pos="484" w:val="left" w:leader="none"/>
              </w:tabs>
              <w:spacing w:line="240" w:lineRule="auto" w:before="0" w:after="0"/>
              <w:ind w:left="483" w:right="16" w:hanging="426"/>
              <w:jc w:val="both"/>
              <w:rPr>
                <w:sz w:val="22"/>
              </w:rPr>
            </w:pPr>
            <w:r>
              <w:rPr>
                <w:sz w:val="22"/>
              </w:rPr>
              <w:t>Constancia de la Autoridad Educativa de la existencia y funcionamiento del Instituto de Educación por Cooperativa de</w:t>
            </w:r>
            <w:r>
              <w:rPr>
                <w:spacing w:val="-3"/>
                <w:sz w:val="22"/>
              </w:rPr>
              <w:t> </w:t>
            </w:r>
            <w:r>
              <w:rPr>
                <w:sz w:val="22"/>
              </w:rPr>
              <w:t>Enseñanza.</w:t>
            </w:r>
          </w:p>
          <w:p>
            <w:pPr>
              <w:pStyle w:val="TableParagraph"/>
              <w:numPr>
                <w:ilvl w:val="0"/>
                <w:numId w:val="3"/>
              </w:numPr>
              <w:tabs>
                <w:tab w:pos="484" w:val="left" w:leader="none"/>
              </w:tabs>
              <w:spacing w:line="240" w:lineRule="auto" w:before="0" w:after="0"/>
              <w:ind w:left="483" w:right="23" w:hanging="426"/>
              <w:jc w:val="both"/>
              <w:rPr>
                <w:sz w:val="22"/>
              </w:rPr>
            </w:pPr>
            <w:r>
              <w:rPr>
                <w:sz w:val="22"/>
              </w:rPr>
              <w:t>Constancia de la Autoridad Educativa que facilita el uso del edificio y mobiliario para el funcionamiento del instituto y ubicación</w:t>
            </w:r>
            <w:r>
              <w:rPr>
                <w:spacing w:val="-10"/>
                <w:sz w:val="22"/>
              </w:rPr>
              <w:t> </w:t>
            </w:r>
            <w:r>
              <w:rPr>
                <w:sz w:val="22"/>
              </w:rPr>
              <w:t>correspondiente.</w:t>
            </w:r>
          </w:p>
          <w:p>
            <w:pPr>
              <w:pStyle w:val="TableParagraph"/>
              <w:numPr>
                <w:ilvl w:val="0"/>
                <w:numId w:val="3"/>
              </w:numPr>
              <w:tabs>
                <w:tab w:pos="484" w:val="left" w:leader="none"/>
              </w:tabs>
              <w:spacing w:line="240" w:lineRule="auto" w:before="0" w:after="0"/>
              <w:ind w:left="483" w:right="12" w:hanging="426"/>
              <w:jc w:val="both"/>
              <w:rPr>
                <w:sz w:val="22"/>
              </w:rPr>
            </w:pPr>
            <w:r>
              <w:rPr>
                <w:sz w:val="22"/>
              </w:rPr>
              <w:t>Número de estudiantes inscritos, promovidos, no promovidos, repitentes y retirados, por grado y</w:t>
            </w:r>
            <w:r>
              <w:rPr>
                <w:spacing w:val="-1"/>
                <w:sz w:val="22"/>
              </w:rPr>
              <w:t> </w:t>
            </w:r>
            <w:r>
              <w:rPr>
                <w:sz w:val="22"/>
              </w:rPr>
              <w:t>sección.</w:t>
            </w:r>
          </w:p>
          <w:p>
            <w:pPr>
              <w:pStyle w:val="TableParagraph"/>
              <w:numPr>
                <w:ilvl w:val="0"/>
                <w:numId w:val="3"/>
              </w:numPr>
              <w:tabs>
                <w:tab w:pos="484" w:val="left" w:leader="none"/>
              </w:tabs>
              <w:spacing w:line="240" w:lineRule="auto" w:before="0" w:after="0"/>
              <w:ind w:left="483" w:right="14" w:hanging="426"/>
              <w:jc w:val="both"/>
              <w:rPr>
                <w:sz w:val="22"/>
              </w:rPr>
            </w:pPr>
            <w:r>
              <w:rPr>
                <w:sz w:val="22"/>
              </w:rPr>
              <w:t>Estados financieros: balance general, estados de resultados y estado de flujo de efectivo, en los cuales se especifique claramente el origen y destino de los recursos, adjuntando constancia de haber entregado a la Contraloría General de Cuentas la caja fiscal del año</w:t>
            </w:r>
            <w:r>
              <w:rPr>
                <w:spacing w:val="-8"/>
                <w:sz w:val="22"/>
              </w:rPr>
              <w:t> </w:t>
            </w:r>
            <w:r>
              <w:rPr>
                <w:sz w:val="22"/>
              </w:rPr>
              <w:t>vigente.</w:t>
            </w:r>
          </w:p>
          <w:p>
            <w:pPr>
              <w:pStyle w:val="TableParagraph"/>
              <w:numPr>
                <w:ilvl w:val="0"/>
                <w:numId w:val="3"/>
              </w:numPr>
              <w:tabs>
                <w:tab w:pos="483" w:val="left" w:leader="none"/>
                <w:tab w:pos="484" w:val="left" w:leader="none"/>
              </w:tabs>
              <w:spacing w:line="252" w:lineRule="exact" w:before="0" w:after="0"/>
              <w:ind w:left="483" w:right="0" w:hanging="427"/>
              <w:jc w:val="left"/>
              <w:rPr>
                <w:sz w:val="22"/>
              </w:rPr>
            </w:pPr>
            <w:r>
              <w:rPr>
                <w:sz w:val="22"/>
              </w:rPr>
              <w:t>Memoria de</w:t>
            </w:r>
            <w:r>
              <w:rPr>
                <w:spacing w:val="-1"/>
                <w:sz w:val="22"/>
              </w:rPr>
              <w:t> </w:t>
            </w:r>
            <w:r>
              <w:rPr>
                <w:sz w:val="22"/>
              </w:rPr>
              <w:t>labores.</w:t>
            </w:r>
          </w:p>
          <w:p>
            <w:pPr>
              <w:pStyle w:val="TableParagraph"/>
              <w:numPr>
                <w:ilvl w:val="0"/>
                <w:numId w:val="3"/>
              </w:numPr>
              <w:tabs>
                <w:tab w:pos="483" w:val="left" w:leader="none"/>
                <w:tab w:pos="484" w:val="left" w:leader="none"/>
              </w:tabs>
              <w:spacing w:line="252" w:lineRule="exact" w:before="0" w:after="0"/>
              <w:ind w:left="483" w:right="0" w:hanging="427"/>
              <w:jc w:val="left"/>
              <w:rPr>
                <w:sz w:val="22"/>
              </w:rPr>
            </w:pPr>
            <w:r>
              <w:rPr>
                <w:sz w:val="22"/>
              </w:rPr>
              <w:t>Nómina de personal con calidades, clase escalafonaría y cursos que</w:t>
            </w:r>
            <w:r>
              <w:rPr>
                <w:spacing w:val="-12"/>
                <w:sz w:val="22"/>
              </w:rPr>
              <w:t> </w:t>
            </w:r>
            <w:r>
              <w:rPr>
                <w:sz w:val="22"/>
              </w:rPr>
              <w:t>imparten.</w:t>
            </w:r>
          </w:p>
          <w:p>
            <w:pPr>
              <w:pStyle w:val="TableParagraph"/>
              <w:numPr>
                <w:ilvl w:val="0"/>
                <w:numId w:val="3"/>
              </w:numPr>
              <w:tabs>
                <w:tab w:pos="483" w:val="left" w:leader="none"/>
                <w:tab w:pos="484" w:val="left" w:leader="none"/>
              </w:tabs>
              <w:spacing w:line="252" w:lineRule="exact" w:before="0" w:after="0"/>
              <w:ind w:left="483" w:right="0" w:hanging="427"/>
              <w:jc w:val="left"/>
              <w:rPr>
                <w:sz w:val="22"/>
              </w:rPr>
            </w:pPr>
            <w:r>
              <w:rPr>
                <w:sz w:val="22"/>
              </w:rPr>
              <w:t>Acta municipal y revalidación o continuación de su</w:t>
            </w:r>
            <w:r>
              <w:rPr>
                <w:spacing w:val="-6"/>
                <w:sz w:val="22"/>
              </w:rPr>
              <w:t> </w:t>
            </w:r>
            <w:r>
              <w:rPr>
                <w:sz w:val="22"/>
              </w:rPr>
              <w:t>aporte.</w:t>
            </w:r>
          </w:p>
          <w:p>
            <w:pPr>
              <w:pStyle w:val="TableParagraph"/>
              <w:rPr>
                <w:sz w:val="22"/>
              </w:rPr>
            </w:pPr>
          </w:p>
          <w:p>
            <w:pPr>
              <w:pStyle w:val="TableParagraph"/>
              <w:spacing w:before="1"/>
              <w:ind w:left="57" w:right="15"/>
              <w:jc w:val="both"/>
              <w:rPr>
                <w:sz w:val="22"/>
              </w:rPr>
            </w:pPr>
            <w:r>
              <w:rPr>
                <w:sz w:val="22"/>
              </w:rPr>
              <w:t>Imprime circular y traslada al Subdirector(a)/Jefe(a) Técnico Pedagógico para su revisión, firma y sello correspondiente.</w:t>
            </w:r>
          </w:p>
        </w:tc>
      </w:tr>
      <w:tr>
        <w:trPr>
          <w:trHeight w:val="1629" w:hRule="atLeast"/>
        </w:trPr>
        <w:tc>
          <w:tcPr>
            <w:tcW w:w="1133" w:type="dxa"/>
          </w:tcPr>
          <w:p>
            <w:pPr>
              <w:pStyle w:val="TableParagraph"/>
              <w:spacing w:before="58"/>
              <w:ind w:left="48" w:right="43"/>
              <w:jc w:val="center"/>
              <w:rPr>
                <w:b/>
                <w:sz w:val="14"/>
              </w:rPr>
            </w:pPr>
            <w:r>
              <w:rPr>
                <w:b/>
                <w:sz w:val="14"/>
              </w:rPr>
              <w:t>2.</w:t>
            </w:r>
          </w:p>
          <w:p>
            <w:pPr>
              <w:pStyle w:val="TableParagraph"/>
              <w:ind w:left="50" w:right="47" w:firstLine="2"/>
              <w:jc w:val="center"/>
              <w:rPr>
                <w:b/>
                <w:sz w:val="14"/>
              </w:rPr>
            </w:pPr>
            <w:r>
              <w:rPr>
                <w:b/>
                <w:sz w:val="14"/>
              </w:rPr>
              <w:t>Revisar, firmar y sellar </w:t>
            </w:r>
            <w:r>
              <w:rPr>
                <w:b/>
                <w:spacing w:val="-3"/>
                <w:sz w:val="14"/>
              </w:rPr>
              <w:t>circular</w:t>
            </w:r>
          </w:p>
        </w:tc>
        <w:tc>
          <w:tcPr>
            <w:tcW w:w="1135" w:type="dxa"/>
          </w:tcPr>
          <w:p>
            <w:pPr>
              <w:pStyle w:val="TableParagraph"/>
              <w:rPr>
                <w:sz w:val="16"/>
              </w:rPr>
            </w:pPr>
          </w:p>
          <w:p>
            <w:pPr>
              <w:pStyle w:val="TableParagraph"/>
              <w:spacing w:before="2"/>
              <w:rPr>
                <w:sz w:val="17"/>
              </w:rPr>
            </w:pPr>
          </w:p>
          <w:p>
            <w:pPr>
              <w:pStyle w:val="TableParagraph"/>
              <w:ind w:left="324" w:right="34" w:hanging="257"/>
              <w:rPr>
                <w:sz w:val="14"/>
              </w:rPr>
            </w:pPr>
            <w:r>
              <w:rPr>
                <w:sz w:val="14"/>
              </w:rPr>
              <w:t>Subdirector (a) / Jefe (a) Técnico</w:t>
            </w:r>
          </w:p>
          <w:p>
            <w:pPr>
              <w:pStyle w:val="TableParagraph"/>
              <w:ind w:left="249" w:hanging="51"/>
              <w:rPr>
                <w:sz w:val="14"/>
              </w:rPr>
            </w:pPr>
            <w:r>
              <w:rPr>
                <w:w w:val="95"/>
                <w:sz w:val="14"/>
              </w:rPr>
              <w:t>Pedagógico </w:t>
            </w:r>
            <w:r>
              <w:rPr>
                <w:sz w:val="14"/>
              </w:rPr>
              <w:t>DIDEDUC</w:t>
            </w:r>
          </w:p>
        </w:tc>
        <w:tc>
          <w:tcPr>
            <w:tcW w:w="8534" w:type="dxa"/>
          </w:tcPr>
          <w:p>
            <w:pPr>
              <w:pStyle w:val="TableParagraph"/>
              <w:spacing w:before="24"/>
              <w:ind w:left="57" w:right="16"/>
              <w:jc w:val="both"/>
              <w:rPr>
                <w:sz w:val="22"/>
              </w:rPr>
            </w:pPr>
            <w:r>
              <w:rPr>
                <w:sz w:val="22"/>
              </w:rPr>
              <w:t>Recibe circular y procede a revisar la información incluida en la misma. Si la información es correcta, procede a firmar y sellar, caso contrario procede a solicitar que se realicen las correcciones pertinentes.</w:t>
            </w:r>
          </w:p>
          <w:p>
            <w:pPr>
              <w:pStyle w:val="TableParagraph"/>
              <w:rPr>
                <w:sz w:val="22"/>
              </w:rPr>
            </w:pPr>
          </w:p>
          <w:p>
            <w:pPr>
              <w:pStyle w:val="TableParagraph"/>
              <w:ind w:left="57" w:right="18"/>
              <w:jc w:val="both"/>
              <w:rPr>
                <w:sz w:val="22"/>
              </w:rPr>
            </w:pPr>
            <w:r>
              <w:rPr>
                <w:sz w:val="22"/>
              </w:rPr>
              <w:t>Traslada la circular al Asistente de Subdirección / Departamento Técnico Pedagógico para su notificación al personal que realiza funciones de Supervisión Educativa.</w:t>
            </w:r>
          </w:p>
        </w:tc>
      </w:tr>
      <w:tr>
        <w:trPr>
          <w:trHeight w:val="1377" w:hRule="atLeast"/>
        </w:trPr>
        <w:tc>
          <w:tcPr>
            <w:tcW w:w="1133" w:type="dxa"/>
          </w:tcPr>
          <w:p>
            <w:pPr>
              <w:pStyle w:val="TableParagraph"/>
              <w:rPr>
                <w:sz w:val="16"/>
              </w:rPr>
            </w:pPr>
          </w:p>
          <w:p>
            <w:pPr>
              <w:pStyle w:val="TableParagraph"/>
              <w:rPr>
                <w:sz w:val="13"/>
              </w:rPr>
            </w:pPr>
          </w:p>
          <w:p>
            <w:pPr>
              <w:pStyle w:val="TableParagraph"/>
              <w:ind w:left="48" w:right="43"/>
              <w:jc w:val="center"/>
              <w:rPr>
                <w:b/>
                <w:sz w:val="14"/>
              </w:rPr>
            </w:pPr>
            <w:r>
              <w:rPr>
                <w:b/>
                <w:sz w:val="14"/>
              </w:rPr>
              <w:t>3.</w:t>
            </w:r>
          </w:p>
          <w:p>
            <w:pPr>
              <w:pStyle w:val="TableParagraph"/>
              <w:spacing w:line="242" w:lineRule="auto"/>
              <w:ind w:left="290" w:right="259" w:hanging="20"/>
              <w:jc w:val="both"/>
              <w:rPr>
                <w:b/>
                <w:sz w:val="14"/>
              </w:rPr>
            </w:pPr>
            <w:r>
              <w:rPr>
                <w:b/>
                <w:sz w:val="14"/>
              </w:rPr>
              <w:t>Recibir y notificar circular</w:t>
            </w:r>
          </w:p>
        </w:tc>
        <w:tc>
          <w:tcPr>
            <w:tcW w:w="1135" w:type="dxa"/>
          </w:tcPr>
          <w:p>
            <w:pPr>
              <w:pStyle w:val="TableParagraph"/>
              <w:rPr>
                <w:sz w:val="16"/>
              </w:rPr>
            </w:pPr>
          </w:p>
          <w:p>
            <w:pPr>
              <w:pStyle w:val="TableParagraph"/>
              <w:spacing w:before="3"/>
              <w:rPr>
                <w:sz w:val="13"/>
              </w:rPr>
            </w:pPr>
          </w:p>
          <w:p>
            <w:pPr>
              <w:pStyle w:val="TableParagraph"/>
              <w:spacing w:line="242" w:lineRule="auto"/>
              <w:ind w:left="178" w:right="166"/>
              <w:jc w:val="center"/>
              <w:rPr>
                <w:sz w:val="14"/>
              </w:rPr>
            </w:pPr>
            <w:r>
              <w:rPr>
                <w:sz w:val="14"/>
              </w:rPr>
              <w:t>Asistente Técnico Pedagógico DIDEDUC</w:t>
            </w:r>
          </w:p>
        </w:tc>
        <w:tc>
          <w:tcPr>
            <w:tcW w:w="8534" w:type="dxa"/>
          </w:tcPr>
          <w:p>
            <w:pPr>
              <w:pStyle w:val="TableParagraph"/>
              <w:spacing w:before="26"/>
              <w:ind w:left="57"/>
              <w:rPr>
                <w:sz w:val="22"/>
              </w:rPr>
            </w:pPr>
            <w:r>
              <w:rPr>
                <w:sz w:val="22"/>
              </w:rPr>
              <w:t>Recibe circular debidamente firmada y sellada y procede a notificarla al personal que realiza funciones de Supervisión quienes deberán firmar y sellar copia de recibido.</w:t>
            </w:r>
          </w:p>
          <w:p>
            <w:pPr>
              <w:pStyle w:val="TableParagraph"/>
              <w:rPr>
                <w:sz w:val="22"/>
              </w:rPr>
            </w:pPr>
          </w:p>
          <w:p>
            <w:pPr>
              <w:pStyle w:val="TableParagraph"/>
              <w:ind w:left="57"/>
              <w:rPr>
                <w:sz w:val="22"/>
              </w:rPr>
            </w:pPr>
            <w:r>
              <w:rPr>
                <w:sz w:val="22"/>
              </w:rPr>
              <w:t>Archiva y resguarda copia de la circular emitida con las firmas y sellos de recibido correspondientes.</w:t>
            </w:r>
          </w:p>
        </w:tc>
      </w:tr>
      <w:tr>
        <w:trPr>
          <w:trHeight w:val="3151" w:hRule="atLeast"/>
        </w:trPr>
        <w:tc>
          <w:tcPr>
            <w:tcW w:w="1133"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
              <w:rPr>
                <w:sz w:val="14"/>
              </w:rPr>
            </w:pPr>
          </w:p>
          <w:p>
            <w:pPr>
              <w:pStyle w:val="TableParagraph"/>
              <w:ind w:left="48" w:right="43"/>
              <w:jc w:val="center"/>
              <w:rPr>
                <w:b/>
                <w:sz w:val="14"/>
              </w:rPr>
            </w:pPr>
            <w:r>
              <w:rPr>
                <w:b/>
                <w:sz w:val="14"/>
              </w:rPr>
              <w:t>4.</w:t>
            </w:r>
          </w:p>
          <w:p>
            <w:pPr>
              <w:pStyle w:val="TableParagraph"/>
              <w:spacing w:before="2"/>
              <w:ind w:left="66" w:right="60" w:hanging="1"/>
              <w:jc w:val="center"/>
              <w:rPr>
                <w:b/>
                <w:sz w:val="14"/>
              </w:rPr>
            </w:pPr>
            <w:r>
              <w:rPr>
                <w:b/>
                <w:sz w:val="14"/>
              </w:rPr>
              <w:t>Notificar circular y dar a conocer cronograma para entrega del informe anual</w:t>
            </w:r>
          </w:p>
        </w:tc>
        <w:tc>
          <w:tcPr>
            <w:tcW w:w="1135"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20"/>
              <w:ind w:left="43" w:right="31"/>
              <w:jc w:val="center"/>
              <w:rPr>
                <w:sz w:val="14"/>
              </w:rPr>
            </w:pPr>
            <w:r>
              <w:rPr>
                <w:sz w:val="14"/>
              </w:rPr>
              <w:t>Personal que realiza funciones de Supervisión Educativa</w:t>
            </w:r>
          </w:p>
        </w:tc>
        <w:tc>
          <w:tcPr>
            <w:tcW w:w="8534" w:type="dxa"/>
          </w:tcPr>
          <w:p>
            <w:pPr>
              <w:pStyle w:val="TableParagraph"/>
              <w:spacing w:before="26"/>
              <w:ind w:left="57" w:right="15"/>
              <w:jc w:val="both"/>
              <w:rPr>
                <w:sz w:val="22"/>
              </w:rPr>
            </w:pPr>
            <w:r>
              <w:rPr>
                <w:sz w:val="22"/>
              </w:rPr>
              <w:t>Recibe circular debidamente firmada y sellada y procede a notificarla a los (las) Directores (as) de los Institutos de Educación por Cooperativa de Enseñanza de su jurisdicción.</w:t>
            </w:r>
          </w:p>
          <w:p>
            <w:pPr>
              <w:pStyle w:val="TableParagraph"/>
              <w:spacing w:before="1"/>
              <w:rPr>
                <w:sz w:val="22"/>
              </w:rPr>
            </w:pPr>
          </w:p>
          <w:p>
            <w:pPr>
              <w:pStyle w:val="TableParagraph"/>
              <w:ind w:left="57" w:right="14"/>
              <w:jc w:val="both"/>
              <w:rPr>
                <w:sz w:val="22"/>
              </w:rPr>
            </w:pPr>
            <w:r>
              <w:rPr>
                <w:sz w:val="22"/>
              </w:rPr>
              <w:t>Asimismo, da a conocer el cronograma escalonado según sea la cantidad  de Institutos por Cooperativa de su jurisdicción para que estos presenten el informe anual que contenga los documentos indicados en la actividad 1 del presente instructivo, entrega que debe estar comprendida entre los primeros quince (15) días del mes de noviembre de cada ciclo</w:t>
            </w:r>
            <w:r>
              <w:rPr>
                <w:spacing w:val="-5"/>
                <w:sz w:val="22"/>
              </w:rPr>
              <w:t> </w:t>
            </w:r>
            <w:r>
              <w:rPr>
                <w:sz w:val="22"/>
              </w:rPr>
              <w:t>escolar.</w:t>
            </w:r>
          </w:p>
          <w:p>
            <w:pPr>
              <w:pStyle w:val="TableParagraph"/>
              <w:spacing w:before="10"/>
              <w:rPr>
                <w:sz w:val="21"/>
              </w:rPr>
            </w:pPr>
          </w:p>
          <w:p>
            <w:pPr>
              <w:pStyle w:val="TableParagraph"/>
              <w:ind w:left="57" w:right="17"/>
              <w:jc w:val="both"/>
              <w:rPr>
                <w:sz w:val="22"/>
              </w:rPr>
            </w:pPr>
            <w:r>
              <w:rPr>
                <w:sz w:val="22"/>
              </w:rPr>
              <w:t>Archiva y resguarda copia de la circular emitida con las firmas y sellos de recibido del Director(a) de cada Instituto de Educación por Cooperativa de Enseñanza de su</w:t>
            </w:r>
          </w:p>
        </w:tc>
      </w:tr>
    </w:tbl>
    <w:p>
      <w:pPr>
        <w:spacing w:after="0"/>
        <w:jc w:val="both"/>
        <w:rPr>
          <w:sz w:val="22"/>
        </w:rPr>
        <w:sectPr>
          <w:pgSz w:w="12250" w:h="15850"/>
          <w:pgMar w:header="214" w:footer="337" w:top="400" w:bottom="520" w:left="440" w:right="8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0" w:hRule="atLeast"/>
        </w:trPr>
        <w:tc>
          <w:tcPr>
            <w:tcW w:w="857" w:type="dxa"/>
            <w:vMerge w:val="restart"/>
          </w:tcPr>
          <w:p>
            <w:pPr>
              <w:pStyle w:val="TableParagraph"/>
              <w:rPr>
                <w:sz w:val="5"/>
              </w:rPr>
            </w:pPr>
          </w:p>
          <w:p>
            <w:pPr>
              <w:pStyle w:val="TableParagraph"/>
              <w:ind w:left="21" w:right="-44"/>
              <w:rPr>
                <w:sz w:val="20"/>
              </w:rPr>
            </w:pPr>
            <w:r>
              <w:rPr>
                <w:sz w:val="20"/>
              </w:rPr>
              <w:drawing>
                <wp:inline distT="0" distB="0" distL="0" distR="0">
                  <wp:extent cx="519085" cy="427481"/>
                  <wp:effectExtent l="0" t="0" r="0" b="0"/>
                  <wp:docPr id="7" name="image1.jpeg"/>
                  <wp:cNvGraphicFramePr>
                    <a:graphicFrameLocks noChangeAspect="1"/>
                  </wp:cNvGraphicFramePr>
                  <a:graphic>
                    <a:graphicData uri="http://schemas.openxmlformats.org/drawingml/2006/picture">
                      <pic:pic>
                        <pic:nvPicPr>
                          <pic:cNvPr id="8" name="image1.jpeg"/>
                          <pic:cNvPicPr/>
                        </pic:nvPicPr>
                        <pic:blipFill>
                          <a:blip r:embed="rId7" cstate="print"/>
                          <a:stretch>
                            <a:fillRect/>
                          </a:stretch>
                        </pic:blipFill>
                        <pic:spPr>
                          <a:xfrm>
                            <a:off x="0" y="0"/>
                            <a:ext cx="519085" cy="427481"/>
                          </a:xfrm>
                          <a:prstGeom prst="rect">
                            <a:avLst/>
                          </a:prstGeom>
                        </pic:spPr>
                      </pic:pic>
                    </a:graphicData>
                  </a:graphic>
                </wp:inline>
              </w:drawing>
            </w:r>
            <w:r>
              <w:rPr>
                <w:sz w:val="20"/>
              </w:rPr>
            </w:r>
          </w:p>
        </w:tc>
        <w:tc>
          <w:tcPr>
            <w:tcW w:w="10344" w:type="dxa"/>
            <w:gridSpan w:val="4"/>
          </w:tcPr>
          <w:p>
            <w:pPr>
              <w:pStyle w:val="TableParagraph"/>
              <w:spacing w:before="53"/>
              <w:ind w:left="21" w:right="30"/>
              <w:jc w:val="center"/>
              <w:rPr>
                <w:sz w:val="16"/>
              </w:rPr>
            </w:pPr>
            <w:r>
              <w:rPr>
                <w:sz w:val="16"/>
              </w:rPr>
              <w:t>INSTRU CTIVO</w:t>
            </w:r>
          </w:p>
          <w:p>
            <w:pPr>
              <w:pStyle w:val="TableParagraph"/>
              <w:spacing w:line="270" w:lineRule="atLeast" w:before="27"/>
              <w:ind w:left="21" w:right="2"/>
              <w:jc w:val="center"/>
              <w:rPr>
                <w:b/>
                <w:sz w:val="24"/>
              </w:rPr>
            </w:pPr>
            <w:r>
              <w:rPr>
                <w:b/>
                <w:sz w:val="24"/>
              </w:rPr>
              <w:t>LINEAMIENTOS GENERALES PARA LA CONTINUACIÓN DE LA SUBVENCIÓN ESTATAL A INSTITUTOS DE EDUCACIÓN POR COOPERATIVA DE ENSEÑANZA</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0" w:lineRule="exact"/>
              <w:ind w:left="1142"/>
              <w:rPr>
                <w:sz w:val="16"/>
              </w:rPr>
            </w:pPr>
            <w:r>
              <w:rPr>
                <w:sz w:val="16"/>
              </w:rPr>
              <w:t>Del proceso: Proceso de Apoyo</w:t>
            </w:r>
          </w:p>
        </w:tc>
        <w:tc>
          <w:tcPr>
            <w:tcW w:w="2409" w:type="dxa"/>
          </w:tcPr>
          <w:p>
            <w:pPr>
              <w:pStyle w:val="TableParagraph"/>
              <w:spacing w:line="180" w:lineRule="exact"/>
              <w:ind w:left="211"/>
              <w:rPr>
                <w:sz w:val="16"/>
              </w:rPr>
            </w:pPr>
            <w:r>
              <w:rPr>
                <w:sz w:val="16"/>
              </w:rPr>
              <w:t>Código: INTCOOP-INS-01</w:t>
            </w:r>
          </w:p>
        </w:tc>
        <w:tc>
          <w:tcPr>
            <w:tcW w:w="1557" w:type="dxa"/>
          </w:tcPr>
          <w:p>
            <w:pPr>
              <w:pStyle w:val="TableParagraph"/>
              <w:spacing w:line="180" w:lineRule="exact"/>
              <w:ind w:left="337"/>
              <w:rPr>
                <w:sz w:val="16"/>
              </w:rPr>
            </w:pPr>
            <w:r>
              <w:rPr>
                <w:sz w:val="16"/>
              </w:rPr>
              <w:t>Versión: 01</w:t>
            </w:r>
          </w:p>
        </w:tc>
        <w:tc>
          <w:tcPr>
            <w:tcW w:w="1842" w:type="dxa"/>
          </w:tcPr>
          <w:p>
            <w:pPr>
              <w:pStyle w:val="TableParagraph"/>
              <w:spacing w:line="180" w:lineRule="exact"/>
              <w:ind w:left="432"/>
              <w:rPr>
                <w:sz w:val="16"/>
              </w:rPr>
            </w:pPr>
            <w:r>
              <w:rPr>
                <w:sz w:val="16"/>
              </w:rPr>
              <w:t>Página 3 de 7</w:t>
            </w:r>
          </w:p>
        </w:tc>
      </w:tr>
    </w:tbl>
    <w:p>
      <w:pPr>
        <w:pStyle w:val="BodyText"/>
        <w:spacing w:before="4"/>
        <w:rPr>
          <w:sz w:val="10"/>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3"/>
        <w:gridCol w:w="1135"/>
        <w:gridCol w:w="8534"/>
      </w:tblGrid>
      <w:tr>
        <w:trPr>
          <w:trHeight w:val="232" w:hRule="atLeast"/>
        </w:trPr>
        <w:tc>
          <w:tcPr>
            <w:tcW w:w="1133" w:type="dxa"/>
            <w:shd w:val="clear" w:color="auto" w:fill="D9D9D9"/>
          </w:tcPr>
          <w:p>
            <w:pPr>
              <w:pStyle w:val="TableParagraph"/>
              <w:spacing w:before="19"/>
              <w:ind w:left="249"/>
              <w:rPr>
                <w:b/>
                <w:sz w:val="14"/>
              </w:rPr>
            </w:pPr>
            <w:r>
              <w:rPr>
                <w:b/>
                <w:sz w:val="14"/>
              </w:rPr>
              <w:t>Actividad</w:t>
            </w:r>
          </w:p>
        </w:tc>
        <w:tc>
          <w:tcPr>
            <w:tcW w:w="1135" w:type="dxa"/>
            <w:shd w:val="clear" w:color="auto" w:fill="D9D9D9"/>
          </w:tcPr>
          <w:p>
            <w:pPr>
              <w:pStyle w:val="TableParagraph"/>
              <w:spacing w:before="19"/>
              <w:ind w:left="131"/>
              <w:rPr>
                <w:b/>
                <w:sz w:val="14"/>
              </w:rPr>
            </w:pPr>
            <w:r>
              <w:rPr>
                <w:b/>
                <w:sz w:val="14"/>
              </w:rPr>
              <w:t>Responsable</w:t>
            </w:r>
          </w:p>
        </w:tc>
        <w:tc>
          <w:tcPr>
            <w:tcW w:w="8534" w:type="dxa"/>
            <w:shd w:val="clear" w:color="auto" w:fill="D9D9D9"/>
          </w:tcPr>
          <w:p>
            <w:pPr>
              <w:pStyle w:val="TableParagraph"/>
              <w:spacing w:before="19"/>
              <w:ind w:left="3228" w:right="3193"/>
              <w:jc w:val="center"/>
              <w:rPr>
                <w:b/>
                <w:sz w:val="14"/>
              </w:rPr>
            </w:pPr>
            <w:r>
              <w:rPr>
                <w:b/>
                <w:sz w:val="14"/>
              </w:rPr>
              <w:t>Descripción de las Actividades</w:t>
            </w:r>
          </w:p>
        </w:tc>
      </w:tr>
      <w:tr>
        <w:trPr>
          <w:trHeight w:val="508" w:hRule="atLeast"/>
        </w:trPr>
        <w:tc>
          <w:tcPr>
            <w:tcW w:w="1133" w:type="dxa"/>
          </w:tcPr>
          <w:p>
            <w:pPr>
              <w:pStyle w:val="TableParagraph"/>
              <w:rPr>
                <w:rFonts w:ascii="Times New Roman"/>
                <w:sz w:val="20"/>
              </w:rPr>
            </w:pPr>
          </w:p>
        </w:tc>
        <w:tc>
          <w:tcPr>
            <w:tcW w:w="1135" w:type="dxa"/>
          </w:tcPr>
          <w:p>
            <w:pPr>
              <w:pStyle w:val="TableParagraph"/>
              <w:rPr>
                <w:rFonts w:ascii="Times New Roman"/>
                <w:sz w:val="20"/>
              </w:rPr>
            </w:pPr>
          </w:p>
        </w:tc>
        <w:tc>
          <w:tcPr>
            <w:tcW w:w="8534" w:type="dxa"/>
          </w:tcPr>
          <w:p>
            <w:pPr>
              <w:pStyle w:val="TableParagraph"/>
              <w:spacing w:before="26"/>
              <w:ind w:left="57"/>
              <w:rPr>
                <w:sz w:val="22"/>
              </w:rPr>
            </w:pPr>
            <w:r>
              <w:rPr>
                <w:sz w:val="22"/>
              </w:rPr>
              <w:t>jurisdicción.</w:t>
            </w:r>
          </w:p>
        </w:tc>
      </w:tr>
      <w:tr>
        <w:trPr>
          <w:trHeight w:val="1125" w:hRule="atLeast"/>
        </w:trPr>
        <w:tc>
          <w:tcPr>
            <w:tcW w:w="1133" w:type="dxa"/>
          </w:tcPr>
          <w:p>
            <w:pPr>
              <w:pStyle w:val="TableParagraph"/>
              <w:rPr>
                <w:sz w:val="16"/>
              </w:rPr>
            </w:pPr>
          </w:p>
          <w:p>
            <w:pPr>
              <w:pStyle w:val="TableParagraph"/>
              <w:spacing w:before="107"/>
              <w:ind w:left="48" w:right="43"/>
              <w:jc w:val="center"/>
              <w:rPr>
                <w:b/>
                <w:sz w:val="14"/>
              </w:rPr>
            </w:pPr>
            <w:r>
              <w:rPr>
                <w:b/>
                <w:sz w:val="14"/>
              </w:rPr>
              <w:t>5.</w:t>
            </w:r>
          </w:p>
          <w:p>
            <w:pPr>
              <w:pStyle w:val="TableParagraph"/>
              <w:ind w:left="52" w:right="43"/>
              <w:jc w:val="center"/>
              <w:rPr>
                <w:b/>
                <w:sz w:val="14"/>
              </w:rPr>
            </w:pPr>
            <w:r>
              <w:rPr>
                <w:b/>
                <w:sz w:val="14"/>
              </w:rPr>
              <w:t>Recibir informe anual</w:t>
            </w:r>
          </w:p>
        </w:tc>
        <w:tc>
          <w:tcPr>
            <w:tcW w:w="1135" w:type="dxa"/>
          </w:tcPr>
          <w:p>
            <w:pPr>
              <w:pStyle w:val="TableParagraph"/>
              <w:spacing w:before="4"/>
              <w:rPr>
                <w:sz w:val="18"/>
              </w:rPr>
            </w:pPr>
          </w:p>
          <w:p>
            <w:pPr>
              <w:pStyle w:val="TableParagraph"/>
              <w:ind w:left="43" w:right="31"/>
              <w:jc w:val="center"/>
              <w:rPr>
                <w:sz w:val="14"/>
              </w:rPr>
            </w:pPr>
            <w:r>
              <w:rPr>
                <w:sz w:val="14"/>
              </w:rPr>
              <w:t>Personal que realiza funciones de Supervisión Educativa</w:t>
            </w:r>
          </w:p>
        </w:tc>
        <w:tc>
          <w:tcPr>
            <w:tcW w:w="8534" w:type="dxa"/>
          </w:tcPr>
          <w:p>
            <w:pPr>
              <w:pStyle w:val="TableParagraph"/>
              <w:spacing w:before="26"/>
              <w:ind w:left="57" w:right="15"/>
              <w:jc w:val="both"/>
              <w:rPr>
                <w:sz w:val="22"/>
              </w:rPr>
            </w:pPr>
            <w:r>
              <w:rPr>
                <w:sz w:val="22"/>
              </w:rPr>
              <w:t>De conformidad con la fecha del cronograma establecido, recibe por cada uno de los Institutos de Educación por Cooperativa de Enseñanza de su jurisdicción, el informe anual correspondiente, el cual, debe contener los documentos indicados en la actividad 1 del presente instructivo.</w:t>
            </w:r>
          </w:p>
        </w:tc>
      </w:tr>
      <w:tr>
        <w:trPr>
          <w:trHeight w:val="208" w:hRule="atLeast"/>
        </w:trPr>
        <w:tc>
          <w:tcPr>
            <w:tcW w:w="1133" w:type="dxa"/>
            <w:tcBorders>
              <w:bottom w:val="nil"/>
            </w:tcBorders>
          </w:tcPr>
          <w:p>
            <w:pPr>
              <w:pStyle w:val="TableParagraph"/>
              <w:rPr>
                <w:rFonts w:ascii="Times New Roman"/>
                <w:sz w:val="14"/>
              </w:rPr>
            </w:pPr>
          </w:p>
        </w:tc>
        <w:tc>
          <w:tcPr>
            <w:tcW w:w="1135" w:type="dxa"/>
            <w:tcBorders>
              <w:bottom w:val="nil"/>
            </w:tcBorders>
          </w:tcPr>
          <w:p>
            <w:pPr>
              <w:pStyle w:val="TableParagraph"/>
              <w:rPr>
                <w:rFonts w:ascii="Times New Roman"/>
                <w:sz w:val="14"/>
              </w:rPr>
            </w:pPr>
          </w:p>
        </w:tc>
        <w:tc>
          <w:tcPr>
            <w:tcW w:w="8534" w:type="dxa"/>
            <w:tcBorders>
              <w:bottom w:val="nil"/>
            </w:tcBorders>
          </w:tcPr>
          <w:p>
            <w:pPr>
              <w:pStyle w:val="TableParagraph"/>
              <w:spacing w:line="162" w:lineRule="exact" w:before="26"/>
              <w:ind w:left="57"/>
              <w:rPr>
                <w:sz w:val="22"/>
              </w:rPr>
            </w:pPr>
            <w:r>
              <w:rPr>
                <w:sz w:val="22"/>
              </w:rPr>
              <w:t>Revisa el informe anual presentado por cada uno de los Institutos de Educación por</w:t>
            </w:r>
          </w:p>
        </w:tc>
      </w:tr>
      <w:tr>
        <w:trPr>
          <w:trHeight w:val="1977" w:hRule="atLeast"/>
        </w:trPr>
        <w:tc>
          <w:tcPr>
            <w:tcW w:w="1133" w:type="dxa"/>
            <w:tcBorders>
              <w:top w:val="nil"/>
              <w:bottom w:val="nil"/>
            </w:tcBorders>
          </w:tcPr>
          <w:p>
            <w:pPr>
              <w:pStyle w:val="TableParagraph"/>
              <w:rPr>
                <w:sz w:val="16"/>
              </w:rPr>
            </w:pPr>
          </w:p>
          <w:p>
            <w:pPr>
              <w:pStyle w:val="TableParagraph"/>
              <w:rPr>
                <w:sz w:val="16"/>
              </w:rPr>
            </w:pPr>
          </w:p>
          <w:p>
            <w:pPr>
              <w:pStyle w:val="TableParagraph"/>
              <w:spacing w:before="1"/>
              <w:rPr>
                <w:sz w:val="17"/>
              </w:rPr>
            </w:pPr>
          </w:p>
          <w:p>
            <w:pPr>
              <w:pStyle w:val="TableParagraph"/>
              <w:ind w:left="48" w:right="43"/>
              <w:jc w:val="center"/>
              <w:rPr>
                <w:b/>
                <w:sz w:val="14"/>
              </w:rPr>
            </w:pPr>
            <w:r>
              <w:rPr>
                <w:b/>
                <w:sz w:val="14"/>
              </w:rPr>
              <w:t>6.</w:t>
            </w:r>
          </w:p>
          <w:p>
            <w:pPr>
              <w:pStyle w:val="TableParagraph"/>
              <w:ind w:left="98" w:right="90" w:firstLine="2"/>
              <w:jc w:val="center"/>
              <w:rPr>
                <w:b/>
                <w:sz w:val="14"/>
              </w:rPr>
            </w:pPr>
            <w:r>
              <w:rPr>
                <w:b/>
                <w:sz w:val="14"/>
              </w:rPr>
              <w:t>Revisar y extender constancia (solvencia) de cumplimiento de entrega de informe anual</w:t>
            </w:r>
          </w:p>
        </w:tc>
        <w:tc>
          <w:tcPr>
            <w:tcW w:w="1135" w:type="dxa"/>
            <w:tcBorders>
              <w:top w:val="nil"/>
              <w:bottom w:val="nil"/>
            </w:tcBorders>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3"/>
              <w:rPr>
                <w:sz w:val="13"/>
              </w:rPr>
            </w:pPr>
          </w:p>
          <w:p>
            <w:pPr>
              <w:pStyle w:val="TableParagraph"/>
              <w:ind w:left="43" w:right="31"/>
              <w:jc w:val="center"/>
              <w:rPr>
                <w:sz w:val="14"/>
              </w:rPr>
            </w:pPr>
            <w:r>
              <w:rPr>
                <w:sz w:val="14"/>
              </w:rPr>
              <w:t>Personal que realiza funciones de Supervisión Educativa</w:t>
            </w:r>
          </w:p>
        </w:tc>
        <w:tc>
          <w:tcPr>
            <w:tcW w:w="8534" w:type="dxa"/>
            <w:tcBorders>
              <w:top w:val="nil"/>
              <w:bottom w:val="nil"/>
            </w:tcBorders>
          </w:tcPr>
          <w:p>
            <w:pPr>
              <w:pStyle w:val="TableParagraph"/>
              <w:spacing w:before="72"/>
              <w:ind w:left="57" w:right="16"/>
              <w:jc w:val="both"/>
              <w:rPr>
                <w:sz w:val="22"/>
              </w:rPr>
            </w:pPr>
            <w:r>
              <w:rPr>
                <w:sz w:val="22"/>
              </w:rPr>
              <w:t>Cooperativa de Enseñanza de su jurisdicción, para establecer si contiene los documentos indicados en la actividad 1 del presente instructivo.</w:t>
            </w:r>
          </w:p>
          <w:p>
            <w:pPr>
              <w:pStyle w:val="TableParagraph"/>
              <w:spacing w:before="11"/>
              <w:rPr>
                <w:sz w:val="21"/>
              </w:rPr>
            </w:pPr>
          </w:p>
          <w:p>
            <w:pPr>
              <w:pStyle w:val="TableParagraph"/>
              <w:ind w:left="57" w:right="14"/>
              <w:jc w:val="both"/>
              <w:rPr>
                <w:sz w:val="22"/>
              </w:rPr>
            </w:pPr>
            <w:r>
              <w:rPr>
                <w:sz w:val="22"/>
              </w:rPr>
              <w:t>Si el informe anual se encuentra completo, procede a elaborar y emitir constancia (Solvencia), firma, sella la misma y entrega al Director (a) del Instituto de Educación por Cooperativa de Enseñanza interesado, caso contrario, indica claramente que información o documentación debe ser corregida o presentada.</w:t>
            </w:r>
          </w:p>
        </w:tc>
      </w:tr>
      <w:tr>
        <w:trPr>
          <w:trHeight w:val="711" w:hRule="atLeast"/>
        </w:trPr>
        <w:tc>
          <w:tcPr>
            <w:tcW w:w="1133" w:type="dxa"/>
            <w:tcBorders>
              <w:top w:val="nil"/>
            </w:tcBorders>
          </w:tcPr>
          <w:p>
            <w:pPr>
              <w:pStyle w:val="TableParagraph"/>
              <w:rPr>
                <w:rFonts w:ascii="Times New Roman"/>
                <w:sz w:val="20"/>
              </w:rPr>
            </w:pPr>
          </w:p>
        </w:tc>
        <w:tc>
          <w:tcPr>
            <w:tcW w:w="1135" w:type="dxa"/>
            <w:tcBorders>
              <w:top w:val="nil"/>
            </w:tcBorders>
          </w:tcPr>
          <w:p>
            <w:pPr>
              <w:pStyle w:val="TableParagraph"/>
              <w:rPr>
                <w:rFonts w:ascii="Times New Roman"/>
                <w:sz w:val="20"/>
              </w:rPr>
            </w:pPr>
          </w:p>
        </w:tc>
        <w:tc>
          <w:tcPr>
            <w:tcW w:w="8534" w:type="dxa"/>
            <w:tcBorders>
              <w:top w:val="nil"/>
            </w:tcBorders>
          </w:tcPr>
          <w:p>
            <w:pPr>
              <w:pStyle w:val="TableParagraph"/>
              <w:spacing w:before="119"/>
              <w:ind w:left="57"/>
              <w:rPr>
                <w:sz w:val="22"/>
              </w:rPr>
            </w:pPr>
            <w:r>
              <w:rPr>
                <w:sz w:val="22"/>
              </w:rPr>
              <w:t>Archiva y resguarda copia de los informes anuales y de las constancias (Solvencias) emitidas.</w:t>
            </w:r>
          </w:p>
        </w:tc>
      </w:tr>
      <w:tr>
        <w:trPr>
          <w:trHeight w:val="915" w:hRule="atLeast"/>
        </w:trPr>
        <w:tc>
          <w:tcPr>
            <w:tcW w:w="1133" w:type="dxa"/>
            <w:tcBorders>
              <w:bottom w:val="nil"/>
            </w:tcBorders>
          </w:tcPr>
          <w:p>
            <w:pPr>
              <w:pStyle w:val="TableParagraph"/>
              <w:rPr>
                <w:rFonts w:ascii="Times New Roman"/>
                <w:sz w:val="20"/>
              </w:rPr>
            </w:pPr>
          </w:p>
        </w:tc>
        <w:tc>
          <w:tcPr>
            <w:tcW w:w="1135" w:type="dxa"/>
            <w:tcBorders>
              <w:bottom w:val="nil"/>
            </w:tcBorders>
          </w:tcPr>
          <w:p>
            <w:pPr>
              <w:pStyle w:val="TableParagraph"/>
              <w:rPr>
                <w:rFonts w:ascii="Times New Roman"/>
                <w:sz w:val="20"/>
              </w:rPr>
            </w:pPr>
          </w:p>
        </w:tc>
        <w:tc>
          <w:tcPr>
            <w:tcW w:w="8534" w:type="dxa"/>
            <w:tcBorders>
              <w:bottom w:val="nil"/>
            </w:tcBorders>
          </w:tcPr>
          <w:p>
            <w:pPr>
              <w:pStyle w:val="TableParagraph"/>
              <w:spacing w:before="26"/>
              <w:ind w:left="57" w:right="16"/>
              <w:jc w:val="both"/>
              <w:rPr>
                <w:sz w:val="22"/>
              </w:rPr>
            </w:pPr>
            <w:r>
              <w:rPr>
                <w:sz w:val="22"/>
              </w:rPr>
              <w:t>Elabora oficio para trasladar informe anual y copia de las constancias (Solvencias) emitidas a los Institutos de Educación por Cooperativa de Enseñanza de su jurisdicción a la Dirección Departamental de Educación.</w:t>
            </w:r>
          </w:p>
        </w:tc>
      </w:tr>
      <w:tr>
        <w:trPr>
          <w:trHeight w:val="452" w:hRule="atLeast"/>
        </w:trPr>
        <w:tc>
          <w:tcPr>
            <w:tcW w:w="1133" w:type="dxa"/>
            <w:tcBorders>
              <w:top w:val="nil"/>
              <w:bottom w:val="nil"/>
            </w:tcBorders>
          </w:tcPr>
          <w:p>
            <w:pPr>
              <w:pStyle w:val="TableParagraph"/>
              <w:rPr>
                <w:rFonts w:ascii="Times New Roman"/>
                <w:sz w:val="20"/>
              </w:rPr>
            </w:pPr>
          </w:p>
        </w:tc>
        <w:tc>
          <w:tcPr>
            <w:tcW w:w="1135" w:type="dxa"/>
            <w:tcBorders>
              <w:top w:val="nil"/>
              <w:bottom w:val="nil"/>
            </w:tcBorders>
          </w:tcPr>
          <w:p>
            <w:pPr>
              <w:pStyle w:val="TableParagraph"/>
              <w:rPr>
                <w:rFonts w:ascii="Times New Roman"/>
                <w:sz w:val="20"/>
              </w:rPr>
            </w:pPr>
          </w:p>
        </w:tc>
        <w:tc>
          <w:tcPr>
            <w:tcW w:w="8534" w:type="dxa"/>
            <w:tcBorders>
              <w:top w:val="nil"/>
              <w:bottom w:val="nil"/>
            </w:tcBorders>
          </w:tcPr>
          <w:p>
            <w:pPr>
              <w:pStyle w:val="TableParagraph"/>
              <w:spacing w:before="123"/>
              <w:ind w:left="57"/>
              <w:rPr>
                <w:sz w:val="22"/>
              </w:rPr>
            </w:pPr>
            <w:r>
              <w:rPr>
                <w:sz w:val="22"/>
              </w:rPr>
              <w:t>Agrega oficio al expediente conformado.</w:t>
            </w:r>
          </w:p>
        </w:tc>
      </w:tr>
      <w:tr>
        <w:trPr>
          <w:trHeight w:val="2539" w:hRule="atLeast"/>
        </w:trPr>
        <w:tc>
          <w:tcPr>
            <w:tcW w:w="1133" w:type="dxa"/>
            <w:tcBorders>
              <w:top w:val="nil"/>
            </w:tcBorders>
          </w:tcPr>
          <w:p>
            <w:pPr>
              <w:pStyle w:val="TableParagraph"/>
              <w:spacing w:before="70"/>
              <w:ind w:left="48" w:right="43"/>
              <w:jc w:val="center"/>
              <w:rPr>
                <w:b/>
                <w:sz w:val="14"/>
              </w:rPr>
            </w:pPr>
            <w:r>
              <w:rPr>
                <w:b/>
                <w:sz w:val="14"/>
              </w:rPr>
              <w:t>7.</w:t>
            </w:r>
          </w:p>
          <w:p>
            <w:pPr>
              <w:pStyle w:val="TableParagraph"/>
              <w:ind w:left="35" w:right="27" w:hanging="4"/>
              <w:jc w:val="center"/>
              <w:rPr>
                <w:b/>
                <w:sz w:val="14"/>
              </w:rPr>
            </w:pPr>
            <w:r>
              <w:rPr>
                <w:b/>
                <w:sz w:val="14"/>
              </w:rPr>
              <w:t>Elaborar oficio para trasladar Informe Anual y Constancias (solvencias)</w:t>
            </w:r>
          </w:p>
        </w:tc>
        <w:tc>
          <w:tcPr>
            <w:tcW w:w="1135" w:type="dxa"/>
            <w:tcBorders>
              <w:top w:val="nil"/>
            </w:tcBorders>
          </w:tcPr>
          <w:p>
            <w:pPr>
              <w:pStyle w:val="TableParagraph"/>
              <w:spacing w:before="3"/>
              <w:rPr>
                <w:sz w:val="20"/>
              </w:rPr>
            </w:pPr>
          </w:p>
          <w:p>
            <w:pPr>
              <w:pStyle w:val="TableParagraph"/>
              <w:spacing w:before="1"/>
              <w:ind w:left="43" w:right="31"/>
              <w:jc w:val="center"/>
              <w:rPr>
                <w:sz w:val="14"/>
              </w:rPr>
            </w:pPr>
            <w:r>
              <w:rPr>
                <w:sz w:val="14"/>
              </w:rPr>
              <w:t>Personal que realiza funciones de Supervisión Educativa</w:t>
            </w:r>
          </w:p>
        </w:tc>
        <w:tc>
          <w:tcPr>
            <w:tcW w:w="8534" w:type="dxa"/>
            <w:tcBorders>
              <w:top w:val="nil"/>
            </w:tcBorders>
          </w:tcPr>
          <w:p>
            <w:pPr>
              <w:pStyle w:val="TableParagraph"/>
              <w:spacing w:before="175"/>
              <w:ind w:left="57"/>
              <w:rPr>
                <w:sz w:val="22"/>
              </w:rPr>
            </w:pPr>
            <w:r>
              <w:rPr>
                <w:sz w:val="22"/>
              </w:rPr>
              <w:t>Firma y sella el oficio y procede a notificarlo a la Subdirección/Departamento Técnico Pedagógico de la Dirección Departamental de Educación.</w:t>
            </w:r>
          </w:p>
          <w:p>
            <w:pPr>
              <w:pStyle w:val="TableParagraph"/>
              <w:rPr>
                <w:sz w:val="22"/>
              </w:rPr>
            </w:pPr>
          </w:p>
          <w:p>
            <w:pPr>
              <w:pStyle w:val="TableParagraph"/>
              <w:numPr>
                <w:ilvl w:val="0"/>
                <w:numId w:val="4"/>
              </w:numPr>
              <w:tabs>
                <w:tab w:pos="418" w:val="left" w:leader="none"/>
              </w:tabs>
              <w:spacing w:line="240" w:lineRule="auto" w:before="0" w:after="0"/>
              <w:ind w:left="417" w:right="14" w:hanging="360"/>
              <w:jc w:val="both"/>
              <w:rPr>
                <w:sz w:val="22"/>
              </w:rPr>
            </w:pPr>
            <w:r>
              <w:rPr>
                <w:b/>
                <w:sz w:val="22"/>
              </w:rPr>
              <w:t>NOTA: </w:t>
            </w:r>
            <w:r>
              <w:rPr>
                <w:sz w:val="22"/>
              </w:rPr>
              <w:t>El traslado de informes y constancias (Solvencias) debe realizarse un día después de la finalización de recepción y revisión de los expedientes en conjunto según el cronograma establecido a los Institutos de Educación por Cooperativa de Enseñanza para la presentación del informe anual (Artículo 23 del Acuerdo Gubernativo número 35-2015 “Reglamento de la Ley de Institutos de Educación por Cooperativa de Enseñanza”).</w:t>
            </w:r>
          </w:p>
        </w:tc>
      </w:tr>
      <w:tr>
        <w:trPr>
          <w:trHeight w:val="1929" w:hRule="atLeast"/>
        </w:trPr>
        <w:tc>
          <w:tcPr>
            <w:tcW w:w="1133" w:type="dxa"/>
            <w:tcBorders>
              <w:bottom w:val="nil"/>
            </w:tcBorders>
          </w:tcPr>
          <w:p>
            <w:pPr>
              <w:pStyle w:val="TableParagraph"/>
              <w:rPr>
                <w:sz w:val="16"/>
              </w:rPr>
            </w:pPr>
          </w:p>
          <w:p>
            <w:pPr>
              <w:pStyle w:val="TableParagraph"/>
              <w:rPr>
                <w:sz w:val="16"/>
              </w:rPr>
            </w:pPr>
          </w:p>
          <w:p>
            <w:pPr>
              <w:pStyle w:val="TableParagraph"/>
              <w:rPr>
                <w:sz w:val="16"/>
              </w:rPr>
            </w:pPr>
          </w:p>
          <w:p>
            <w:pPr>
              <w:pStyle w:val="TableParagraph"/>
              <w:spacing w:before="1"/>
              <w:rPr>
                <w:sz w:val="22"/>
              </w:rPr>
            </w:pPr>
          </w:p>
          <w:p>
            <w:pPr>
              <w:pStyle w:val="TableParagraph"/>
              <w:spacing w:before="1"/>
              <w:ind w:left="48" w:right="43"/>
              <w:jc w:val="center"/>
              <w:rPr>
                <w:b/>
                <w:sz w:val="14"/>
              </w:rPr>
            </w:pPr>
            <w:r>
              <w:rPr>
                <w:b/>
                <w:sz w:val="14"/>
              </w:rPr>
              <w:t>8.</w:t>
            </w:r>
          </w:p>
          <w:p>
            <w:pPr>
              <w:pStyle w:val="TableParagraph"/>
              <w:ind w:left="35" w:right="25" w:hanging="1"/>
              <w:jc w:val="center"/>
              <w:rPr>
                <w:b/>
                <w:sz w:val="14"/>
              </w:rPr>
            </w:pPr>
            <w:r>
              <w:rPr>
                <w:b/>
                <w:sz w:val="14"/>
              </w:rPr>
              <w:t>Recibir expediente con Informe Anual y Constancias (solvencias)</w:t>
            </w:r>
          </w:p>
        </w:tc>
        <w:tc>
          <w:tcPr>
            <w:tcW w:w="1135" w:type="dxa"/>
            <w:tcBorders>
              <w:bottom w:val="nil"/>
            </w:tcBorders>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4"/>
              <w:rPr>
                <w:sz w:val="20"/>
              </w:rPr>
            </w:pPr>
          </w:p>
          <w:p>
            <w:pPr>
              <w:pStyle w:val="TableParagraph"/>
              <w:ind w:left="43" w:right="28"/>
              <w:jc w:val="center"/>
              <w:rPr>
                <w:sz w:val="14"/>
              </w:rPr>
            </w:pPr>
            <w:r>
              <w:rPr>
                <w:sz w:val="14"/>
              </w:rPr>
              <w:t>Asistente de Acreditamiento y Certificación DIDEDUC</w:t>
            </w:r>
          </w:p>
        </w:tc>
        <w:tc>
          <w:tcPr>
            <w:tcW w:w="8534" w:type="dxa"/>
            <w:tcBorders>
              <w:bottom w:val="nil"/>
            </w:tcBorders>
          </w:tcPr>
          <w:p>
            <w:pPr>
              <w:pStyle w:val="TableParagraph"/>
              <w:spacing w:before="26"/>
              <w:ind w:left="57" w:right="15"/>
              <w:jc w:val="both"/>
              <w:rPr>
                <w:sz w:val="22"/>
              </w:rPr>
            </w:pPr>
            <w:r>
              <w:rPr>
                <w:sz w:val="22"/>
              </w:rPr>
              <w:t>Recibe expediente que contiene oficio, informes anuales y copias de las constancias (Solvencias) emitidas por las personas que realizan funciones de Supervisión Educativa a los Institutos de Educación por Cooperativa de Enseñanza de su jurisdicción.</w:t>
            </w:r>
          </w:p>
          <w:p>
            <w:pPr>
              <w:pStyle w:val="TableParagraph"/>
              <w:rPr>
                <w:sz w:val="22"/>
              </w:rPr>
            </w:pPr>
          </w:p>
          <w:p>
            <w:pPr>
              <w:pStyle w:val="TableParagraph"/>
              <w:ind w:left="57" w:right="17"/>
              <w:jc w:val="both"/>
              <w:rPr>
                <w:sz w:val="22"/>
              </w:rPr>
            </w:pPr>
            <w:r>
              <w:rPr>
                <w:sz w:val="22"/>
              </w:rPr>
              <w:t>Verifica la cantidad de expedientes físicos con lo indicado en el oficio, firma y sella de recibido y entrega copia a la persona que realiza funciones de Supervisión Educativa.</w:t>
            </w:r>
          </w:p>
        </w:tc>
      </w:tr>
      <w:tr>
        <w:trPr>
          <w:trHeight w:val="715" w:hRule="atLeast"/>
        </w:trPr>
        <w:tc>
          <w:tcPr>
            <w:tcW w:w="1133" w:type="dxa"/>
            <w:tcBorders>
              <w:top w:val="nil"/>
            </w:tcBorders>
          </w:tcPr>
          <w:p>
            <w:pPr>
              <w:pStyle w:val="TableParagraph"/>
              <w:rPr>
                <w:rFonts w:ascii="Times New Roman"/>
                <w:sz w:val="20"/>
              </w:rPr>
            </w:pPr>
          </w:p>
        </w:tc>
        <w:tc>
          <w:tcPr>
            <w:tcW w:w="1135" w:type="dxa"/>
            <w:tcBorders>
              <w:top w:val="nil"/>
            </w:tcBorders>
          </w:tcPr>
          <w:p>
            <w:pPr>
              <w:pStyle w:val="TableParagraph"/>
              <w:rPr>
                <w:rFonts w:ascii="Times New Roman"/>
                <w:sz w:val="20"/>
              </w:rPr>
            </w:pPr>
          </w:p>
        </w:tc>
        <w:tc>
          <w:tcPr>
            <w:tcW w:w="8534" w:type="dxa"/>
            <w:tcBorders>
              <w:top w:val="nil"/>
            </w:tcBorders>
          </w:tcPr>
          <w:p>
            <w:pPr>
              <w:pStyle w:val="TableParagraph"/>
              <w:spacing w:before="123"/>
              <w:ind w:left="57"/>
              <w:rPr>
                <w:sz w:val="22"/>
              </w:rPr>
            </w:pPr>
            <w:r>
              <w:rPr>
                <w:sz w:val="22"/>
              </w:rPr>
              <w:t>Traslada los expedientes recibidos al Coordinador(a) de la Unidad/Sección de Acreditamiento y Certificación de la DIDEDUC.</w:t>
            </w:r>
          </w:p>
        </w:tc>
      </w:tr>
      <w:tr>
        <w:trPr>
          <w:trHeight w:val="2136" w:hRule="atLeast"/>
        </w:trPr>
        <w:tc>
          <w:tcPr>
            <w:tcW w:w="1133" w:type="dxa"/>
          </w:tcPr>
          <w:p>
            <w:pPr>
              <w:pStyle w:val="TableParagraph"/>
              <w:rPr>
                <w:sz w:val="16"/>
              </w:rPr>
            </w:pPr>
          </w:p>
          <w:p>
            <w:pPr>
              <w:pStyle w:val="TableParagraph"/>
              <w:rPr>
                <w:sz w:val="16"/>
              </w:rPr>
            </w:pPr>
          </w:p>
          <w:p>
            <w:pPr>
              <w:pStyle w:val="TableParagraph"/>
              <w:rPr>
                <w:sz w:val="16"/>
              </w:rPr>
            </w:pPr>
          </w:p>
          <w:p>
            <w:pPr>
              <w:pStyle w:val="TableParagraph"/>
              <w:spacing w:before="1"/>
              <w:rPr>
                <w:sz w:val="21"/>
              </w:rPr>
            </w:pPr>
          </w:p>
          <w:p>
            <w:pPr>
              <w:pStyle w:val="TableParagraph"/>
              <w:ind w:left="48" w:right="43"/>
              <w:jc w:val="center"/>
              <w:rPr>
                <w:b/>
                <w:sz w:val="14"/>
              </w:rPr>
            </w:pPr>
            <w:r>
              <w:rPr>
                <w:b/>
                <w:sz w:val="14"/>
              </w:rPr>
              <w:t>9.</w:t>
            </w:r>
          </w:p>
          <w:p>
            <w:pPr>
              <w:pStyle w:val="TableParagraph"/>
              <w:ind w:left="199" w:right="192" w:firstLine="1"/>
              <w:jc w:val="center"/>
              <w:rPr>
                <w:b/>
                <w:sz w:val="14"/>
              </w:rPr>
            </w:pPr>
            <w:r>
              <w:rPr>
                <w:b/>
                <w:sz w:val="14"/>
              </w:rPr>
              <w:t>Verificar expediente</w:t>
            </w:r>
          </w:p>
        </w:tc>
        <w:tc>
          <w:tcPr>
            <w:tcW w:w="1135" w:type="dxa"/>
          </w:tcPr>
          <w:p>
            <w:pPr>
              <w:pStyle w:val="TableParagraph"/>
              <w:rPr>
                <w:sz w:val="16"/>
              </w:rPr>
            </w:pPr>
          </w:p>
          <w:p>
            <w:pPr>
              <w:pStyle w:val="TableParagraph"/>
              <w:rPr>
                <w:sz w:val="16"/>
              </w:rPr>
            </w:pPr>
          </w:p>
          <w:p>
            <w:pPr>
              <w:pStyle w:val="TableParagraph"/>
              <w:spacing w:before="105"/>
              <w:ind w:left="48" w:right="33" w:hanging="2"/>
              <w:jc w:val="center"/>
              <w:rPr>
                <w:sz w:val="14"/>
              </w:rPr>
            </w:pPr>
            <w:r>
              <w:rPr>
                <w:sz w:val="14"/>
              </w:rPr>
              <w:t>Coordinador(a) de        Sección/Unidad de        Acreditamiento y Certificación DIDEDUC</w:t>
            </w:r>
          </w:p>
        </w:tc>
        <w:tc>
          <w:tcPr>
            <w:tcW w:w="8534" w:type="dxa"/>
          </w:tcPr>
          <w:p>
            <w:pPr>
              <w:pStyle w:val="TableParagraph"/>
              <w:spacing w:before="26"/>
              <w:ind w:left="57"/>
              <w:rPr>
                <w:sz w:val="22"/>
              </w:rPr>
            </w:pPr>
            <w:r>
              <w:rPr>
                <w:sz w:val="22"/>
              </w:rPr>
              <w:t>Recibe expedientes y procede a verificar lo siguiente:</w:t>
            </w:r>
          </w:p>
          <w:p>
            <w:pPr>
              <w:pStyle w:val="TableParagraph"/>
              <w:spacing w:before="9"/>
              <w:rPr>
                <w:sz w:val="21"/>
              </w:rPr>
            </w:pPr>
          </w:p>
          <w:p>
            <w:pPr>
              <w:pStyle w:val="TableParagraph"/>
              <w:numPr>
                <w:ilvl w:val="0"/>
                <w:numId w:val="5"/>
              </w:numPr>
              <w:tabs>
                <w:tab w:pos="767" w:val="left" w:leader="none"/>
              </w:tabs>
              <w:spacing w:line="240" w:lineRule="auto" w:before="0" w:after="0"/>
              <w:ind w:left="778" w:right="21" w:hanging="361"/>
              <w:jc w:val="both"/>
              <w:rPr>
                <w:sz w:val="22"/>
              </w:rPr>
            </w:pPr>
            <w:r>
              <w:rPr>
                <w:sz w:val="22"/>
              </w:rPr>
              <w:t>Que el informe anual contenga los documentos indicados en la actividad 1 del presente</w:t>
            </w:r>
            <w:r>
              <w:rPr>
                <w:spacing w:val="-2"/>
                <w:sz w:val="22"/>
              </w:rPr>
              <w:t> </w:t>
            </w:r>
            <w:r>
              <w:rPr>
                <w:sz w:val="22"/>
              </w:rPr>
              <w:t>instructivo.</w:t>
            </w:r>
          </w:p>
          <w:p>
            <w:pPr>
              <w:pStyle w:val="TableParagraph"/>
              <w:spacing w:before="2"/>
              <w:rPr>
                <w:sz w:val="22"/>
              </w:rPr>
            </w:pPr>
          </w:p>
          <w:p>
            <w:pPr>
              <w:pStyle w:val="TableParagraph"/>
              <w:numPr>
                <w:ilvl w:val="0"/>
                <w:numId w:val="5"/>
              </w:numPr>
              <w:tabs>
                <w:tab w:pos="767" w:val="left" w:leader="none"/>
              </w:tabs>
              <w:spacing w:line="240" w:lineRule="auto" w:before="0" w:after="0"/>
              <w:ind w:left="778" w:right="14" w:hanging="361"/>
              <w:jc w:val="both"/>
              <w:rPr>
                <w:sz w:val="22"/>
              </w:rPr>
            </w:pPr>
            <w:r>
              <w:rPr>
                <w:sz w:val="22"/>
              </w:rPr>
              <w:t>Que el número de estudiantes inscritos, promovidos, no promovidos, repitentes y retirados, por grado y sección atendidos en el Instituto de Educación por Cooperativa de Enseñanza coincida con los registros de los</w:t>
            </w:r>
            <w:r>
              <w:rPr>
                <w:spacing w:val="31"/>
                <w:sz w:val="22"/>
              </w:rPr>
              <w:t> </w:t>
            </w:r>
            <w:r>
              <w:rPr>
                <w:sz w:val="22"/>
              </w:rPr>
              <w:t>sistemas</w:t>
            </w:r>
          </w:p>
        </w:tc>
      </w:tr>
    </w:tbl>
    <w:p>
      <w:pPr>
        <w:spacing w:after="0" w:line="240" w:lineRule="auto"/>
        <w:jc w:val="both"/>
        <w:rPr>
          <w:sz w:val="22"/>
        </w:rPr>
        <w:sectPr>
          <w:pgSz w:w="12250" w:h="15850"/>
          <w:pgMar w:header="214" w:footer="337" w:top="400" w:bottom="520" w:left="440" w:right="8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0" w:hRule="atLeast"/>
        </w:trPr>
        <w:tc>
          <w:tcPr>
            <w:tcW w:w="857" w:type="dxa"/>
            <w:vMerge w:val="restart"/>
          </w:tcPr>
          <w:p>
            <w:pPr>
              <w:pStyle w:val="TableParagraph"/>
              <w:rPr>
                <w:sz w:val="5"/>
              </w:rPr>
            </w:pPr>
          </w:p>
          <w:p>
            <w:pPr>
              <w:pStyle w:val="TableParagraph"/>
              <w:ind w:left="21" w:right="-44"/>
              <w:rPr>
                <w:sz w:val="20"/>
              </w:rPr>
            </w:pPr>
            <w:r>
              <w:rPr>
                <w:sz w:val="20"/>
              </w:rPr>
              <w:drawing>
                <wp:inline distT="0" distB="0" distL="0" distR="0">
                  <wp:extent cx="519085" cy="427481"/>
                  <wp:effectExtent l="0" t="0" r="0" b="0"/>
                  <wp:docPr id="9" name="image1.jpeg"/>
                  <wp:cNvGraphicFramePr>
                    <a:graphicFrameLocks noChangeAspect="1"/>
                  </wp:cNvGraphicFramePr>
                  <a:graphic>
                    <a:graphicData uri="http://schemas.openxmlformats.org/drawingml/2006/picture">
                      <pic:pic>
                        <pic:nvPicPr>
                          <pic:cNvPr id="10" name="image1.jpeg"/>
                          <pic:cNvPicPr/>
                        </pic:nvPicPr>
                        <pic:blipFill>
                          <a:blip r:embed="rId7" cstate="print"/>
                          <a:stretch>
                            <a:fillRect/>
                          </a:stretch>
                        </pic:blipFill>
                        <pic:spPr>
                          <a:xfrm>
                            <a:off x="0" y="0"/>
                            <a:ext cx="519085" cy="427481"/>
                          </a:xfrm>
                          <a:prstGeom prst="rect">
                            <a:avLst/>
                          </a:prstGeom>
                        </pic:spPr>
                      </pic:pic>
                    </a:graphicData>
                  </a:graphic>
                </wp:inline>
              </w:drawing>
            </w:r>
            <w:r>
              <w:rPr>
                <w:sz w:val="20"/>
              </w:rPr>
            </w:r>
          </w:p>
        </w:tc>
        <w:tc>
          <w:tcPr>
            <w:tcW w:w="10344" w:type="dxa"/>
            <w:gridSpan w:val="4"/>
          </w:tcPr>
          <w:p>
            <w:pPr>
              <w:pStyle w:val="TableParagraph"/>
              <w:spacing w:before="53"/>
              <w:ind w:left="21" w:right="30"/>
              <w:jc w:val="center"/>
              <w:rPr>
                <w:sz w:val="16"/>
              </w:rPr>
            </w:pPr>
            <w:r>
              <w:rPr>
                <w:sz w:val="16"/>
              </w:rPr>
              <w:t>INSTRU CTIVO</w:t>
            </w:r>
          </w:p>
          <w:p>
            <w:pPr>
              <w:pStyle w:val="TableParagraph"/>
              <w:spacing w:line="270" w:lineRule="atLeast" w:before="27"/>
              <w:ind w:left="21" w:right="2"/>
              <w:jc w:val="center"/>
              <w:rPr>
                <w:b/>
                <w:sz w:val="24"/>
              </w:rPr>
            </w:pPr>
            <w:r>
              <w:rPr>
                <w:b/>
                <w:sz w:val="24"/>
              </w:rPr>
              <w:t>LINEAMIENTOS GENERALES PARA LA CONTINUACIÓN DE LA SUBVENCIÓN ESTATAL A INSTITUTOS DE EDUCACIÓN POR COOPERATIVA DE ENSEÑANZA</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0" w:lineRule="exact"/>
              <w:ind w:left="1142"/>
              <w:rPr>
                <w:sz w:val="16"/>
              </w:rPr>
            </w:pPr>
            <w:r>
              <w:rPr>
                <w:sz w:val="16"/>
              </w:rPr>
              <w:t>Del proceso: Proceso de Apoyo</w:t>
            </w:r>
          </w:p>
        </w:tc>
        <w:tc>
          <w:tcPr>
            <w:tcW w:w="2409" w:type="dxa"/>
          </w:tcPr>
          <w:p>
            <w:pPr>
              <w:pStyle w:val="TableParagraph"/>
              <w:spacing w:line="180" w:lineRule="exact"/>
              <w:ind w:left="211"/>
              <w:rPr>
                <w:sz w:val="16"/>
              </w:rPr>
            </w:pPr>
            <w:r>
              <w:rPr>
                <w:sz w:val="16"/>
              </w:rPr>
              <w:t>Código: INTCOOP-INS-01</w:t>
            </w:r>
          </w:p>
        </w:tc>
        <w:tc>
          <w:tcPr>
            <w:tcW w:w="1557" w:type="dxa"/>
          </w:tcPr>
          <w:p>
            <w:pPr>
              <w:pStyle w:val="TableParagraph"/>
              <w:spacing w:line="180" w:lineRule="exact"/>
              <w:ind w:left="337"/>
              <w:rPr>
                <w:sz w:val="16"/>
              </w:rPr>
            </w:pPr>
            <w:r>
              <w:rPr>
                <w:sz w:val="16"/>
              </w:rPr>
              <w:t>Versión: 01</w:t>
            </w:r>
          </w:p>
        </w:tc>
        <w:tc>
          <w:tcPr>
            <w:tcW w:w="1842" w:type="dxa"/>
          </w:tcPr>
          <w:p>
            <w:pPr>
              <w:pStyle w:val="TableParagraph"/>
              <w:spacing w:line="180" w:lineRule="exact"/>
              <w:ind w:left="432"/>
              <w:rPr>
                <w:sz w:val="16"/>
              </w:rPr>
            </w:pPr>
            <w:r>
              <w:rPr>
                <w:sz w:val="16"/>
              </w:rPr>
              <w:t>Página 4 de 7</w:t>
            </w:r>
          </w:p>
        </w:tc>
      </w:tr>
    </w:tbl>
    <w:p>
      <w:pPr>
        <w:pStyle w:val="BodyText"/>
        <w:spacing w:before="4"/>
        <w:rPr>
          <w:sz w:val="10"/>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3"/>
        <w:gridCol w:w="1135"/>
        <w:gridCol w:w="8534"/>
      </w:tblGrid>
      <w:tr>
        <w:trPr>
          <w:trHeight w:val="232" w:hRule="atLeast"/>
        </w:trPr>
        <w:tc>
          <w:tcPr>
            <w:tcW w:w="1133" w:type="dxa"/>
            <w:shd w:val="clear" w:color="auto" w:fill="D9D9D9"/>
          </w:tcPr>
          <w:p>
            <w:pPr>
              <w:pStyle w:val="TableParagraph"/>
              <w:spacing w:before="19"/>
              <w:ind w:left="249"/>
              <w:rPr>
                <w:b/>
                <w:sz w:val="14"/>
              </w:rPr>
            </w:pPr>
            <w:r>
              <w:rPr>
                <w:b/>
                <w:sz w:val="14"/>
              </w:rPr>
              <w:t>Actividad</w:t>
            </w:r>
          </w:p>
        </w:tc>
        <w:tc>
          <w:tcPr>
            <w:tcW w:w="1135" w:type="dxa"/>
            <w:shd w:val="clear" w:color="auto" w:fill="D9D9D9"/>
          </w:tcPr>
          <w:p>
            <w:pPr>
              <w:pStyle w:val="TableParagraph"/>
              <w:spacing w:before="19"/>
              <w:ind w:left="131"/>
              <w:rPr>
                <w:b/>
                <w:sz w:val="14"/>
              </w:rPr>
            </w:pPr>
            <w:r>
              <w:rPr>
                <w:b/>
                <w:sz w:val="14"/>
              </w:rPr>
              <w:t>Responsable</w:t>
            </w:r>
          </w:p>
        </w:tc>
        <w:tc>
          <w:tcPr>
            <w:tcW w:w="8534" w:type="dxa"/>
            <w:shd w:val="clear" w:color="auto" w:fill="D9D9D9"/>
          </w:tcPr>
          <w:p>
            <w:pPr>
              <w:pStyle w:val="TableParagraph"/>
              <w:spacing w:before="19"/>
              <w:ind w:left="3228" w:right="3193"/>
              <w:jc w:val="center"/>
              <w:rPr>
                <w:b/>
                <w:sz w:val="14"/>
              </w:rPr>
            </w:pPr>
            <w:r>
              <w:rPr>
                <w:b/>
                <w:sz w:val="14"/>
              </w:rPr>
              <w:t>Descripción de las Actividades</w:t>
            </w:r>
          </w:p>
        </w:tc>
      </w:tr>
      <w:tr>
        <w:trPr>
          <w:trHeight w:val="1631" w:hRule="atLeast"/>
        </w:trPr>
        <w:tc>
          <w:tcPr>
            <w:tcW w:w="1133" w:type="dxa"/>
          </w:tcPr>
          <w:p>
            <w:pPr>
              <w:pStyle w:val="TableParagraph"/>
              <w:rPr>
                <w:rFonts w:ascii="Times New Roman"/>
                <w:sz w:val="20"/>
              </w:rPr>
            </w:pPr>
          </w:p>
        </w:tc>
        <w:tc>
          <w:tcPr>
            <w:tcW w:w="1135" w:type="dxa"/>
          </w:tcPr>
          <w:p>
            <w:pPr>
              <w:pStyle w:val="TableParagraph"/>
              <w:rPr>
                <w:rFonts w:ascii="Times New Roman"/>
                <w:sz w:val="20"/>
              </w:rPr>
            </w:pPr>
          </w:p>
        </w:tc>
        <w:tc>
          <w:tcPr>
            <w:tcW w:w="8534" w:type="dxa"/>
          </w:tcPr>
          <w:p>
            <w:pPr>
              <w:pStyle w:val="TableParagraph"/>
              <w:spacing w:before="26"/>
              <w:ind w:left="778"/>
              <w:rPr>
                <w:sz w:val="22"/>
              </w:rPr>
            </w:pPr>
            <w:r>
              <w:rPr>
                <w:sz w:val="22"/>
              </w:rPr>
              <w:t>informáticos establecidos para el efecto.</w:t>
            </w:r>
          </w:p>
          <w:p>
            <w:pPr>
              <w:pStyle w:val="TableParagraph"/>
              <w:spacing w:before="9"/>
              <w:rPr>
                <w:sz w:val="21"/>
              </w:rPr>
            </w:pPr>
          </w:p>
          <w:p>
            <w:pPr>
              <w:pStyle w:val="TableParagraph"/>
              <w:ind w:left="57" w:right="16"/>
              <w:jc w:val="both"/>
              <w:rPr>
                <w:sz w:val="22"/>
              </w:rPr>
            </w:pPr>
            <w:r>
              <w:rPr>
                <w:sz w:val="22"/>
              </w:rPr>
              <w:t>Si el expediente se encuentra completo y la información no presenta inconsistencias, continúa con la siguiente actividad, caso contrario, elabora oficio para trasladar el expediente en el que se indica claramente que información o documentación debe ser corregida o presentada.</w:t>
            </w:r>
          </w:p>
        </w:tc>
      </w:tr>
      <w:tr>
        <w:trPr>
          <w:trHeight w:val="4920" w:hRule="atLeast"/>
        </w:trPr>
        <w:tc>
          <w:tcPr>
            <w:tcW w:w="1133"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ind w:left="48" w:right="43"/>
              <w:jc w:val="center"/>
              <w:rPr>
                <w:b/>
                <w:sz w:val="14"/>
              </w:rPr>
            </w:pPr>
            <w:r>
              <w:rPr>
                <w:b/>
                <w:sz w:val="14"/>
              </w:rPr>
              <w:t>10.</w:t>
            </w:r>
          </w:p>
          <w:p>
            <w:pPr>
              <w:pStyle w:val="TableParagraph"/>
              <w:ind w:left="153" w:right="140" w:hanging="7"/>
              <w:jc w:val="center"/>
              <w:rPr>
                <w:b/>
                <w:sz w:val="14"/>
              </w:rPr>
            </w:pPr>
            <w:r>
              <w:rPr>
                <w:b/>
                <w:sz w:val="14"/>
              </w:rPr>
              <w:t>Elaborar dictamen, resolución y oficio</w:t>
            </w:r>
          </w:p>
        </w:tc>
        <w:tc>
          <w:tcPr>
            <w:tcW w:w="1135"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07"/>
              <w:ind w:left="48" w:right="33" w:hanging="2"/>
              <w:jc w:val="center"/>
              <w:rPr>
                <w:sz w:val="14"/>
              </w:rPr>
            </w:pPr>
            <w:r>
              <w:rPr>
                <w:sz w:val="14"/>
              </w:rPr>
              <w:t>Coordinador(a) de Sección/ Unidad de Acreditamiento y Certificación DIDEDUC</w:t>
            </w:r>
          </w:p>
        </w:tc>
        <w:tc>
          <w:tcPr>
            <w:tcW w:w="8534" w:type="dxa"/>
          </w:tcPr>
          <w:p>
            <w:pPr>
              <w:pStyle w:val="TableParagraph"/>
              <w:spacing w:before="24"/>
              <w:ind w:left="57" w:right="13"/>
              <w:jc w:val="both"/>
              <w:rPr>
                <w:sz w:val="22"/>
              </w:rPr>
            </w:pPr>
            <w:r>
              <w:rPr>
                <w:sz w:val="22"/>
              </w:rPr>
              <w:t>Al completarse los expedientes que corresponden a los Institutos de Educación por Cooperativa de Enseñanza bajo la jurisdicción de la DIDEDUC, elabora los documentos siguientes:</w:t>
            </w:r>
          </w:p>
          <w:p>
            <w:pPr>
              <w:pStyle w:val="TableParagraph"/>
              <w:rPr>
                <w:sz w:val="22"/>
              </w:rPr>
            </w:pPr>
          </w:p>
          <w:p>
            <w:pPr>
              <w:pStyle w:val="TableParagraph"/>
              <w:numPr>
                <w:ilvl w:val="0"/>
                <w:numId w:val="6"/>
              </w:numPr>
              <w:tabs>
                <w:tab w:pos="767" w:val="left" w:leader="none"/>
              </w:tabs>
              <w:spacing w:line="240" w:lineRule="auto" w:before="0" w:after="0"/>
              <w:ind w:left="778" w:right="15" w:hanging="361"/>
              <w:jc w:val="both"/>
              <w:rPr>
                <w:sz w:val="22"/>
              </w:rPr>
            </w:pPr>
            <w:r>
              <w:rPr>
                <w:sz w:val="22"/>
              </w:rPr>
              <w:t>Dictamen en el que avala la infomación presentada por los Institutos de Educación por Cooperativa de Enseñanza de su</w:t>
            </w:r>
            <w:r>
              <w:rPr>
                <w:spacing w:val="-4"/>
                <w:sz w:val="22"/>
              </w:rPr>
              <w:t> </w:t>
            </w:r>
            <w:r>
              <w:rPr>
                <w:sz w:val="22"/>
              </w:rPr>
              <w:t>jurisdicción.</w:t>
            </w:r>
          </w:p>
          <w:p>
            <w:pPr>
              <w:pStyle w:val="TableParagraph"/>
              <w:rPr>
                <w:sz w:val="22"/>
              </w:rPr>
            </w:pPr>
          </w:p>
          <w:p>
            <w:pPr>
              <w:pStyle w:val="TableParagraph"/>
              <w:numPr>
                <w:ilvl w:val="0"/>
                <w:numId w:val="6"/>
              </w:numPr>
              <w:tabs>
                <w:tab w:pos="767" w:val="left" w:leader="none"/>
              </w:tabs>
              <w:spacing w:line="240" w:lineRule="auto" w:before="0" w:after="0"/>
              <w:ind w:left="778" w:right="14" w:hanging="361"/>
              <w:jc w:val="both"/>
              <w:rPr>
                <w:sz w:val="22"/>
              </w:rPr>
            </w:pPr>
            <w:r>
              <w:rPr>
                <w:sz w:val="22"/>
              </w:rPr>
              <w:t>Resolución por medio de la cual, la Dirección Departamental de Educación aprueba la continuidad de la asignación presupuestaria a los Institutos de Educación por Cooperativa de Enseñanza de su jurisdicción, según la evaluación realizada del funcionamiento del Instituto de Educación por Cooperativa de</w:t>
            </w:r>
            <w:r>
              <w:rPr>
                <w:spacing w:val="-1"/>
                <w:sz w:val="22"/>
              </w:rPr>
              <w:t> </w:t>
            </w:r>
            <w:r>
              <w:rPr>
                <w:sz w:val="22"/>
              </w:rPr>
              <w:t>Enseñanza.</w:t>
            </w:r>
          </w:p>
          <w:p>
            <w:pPr>
              <w:pStyle w:val="TableParagraph"/>
              <w:spacing w:before="2"/>
              <w:rPr>
                <w:sz w:val="22"/>
              </w:rPr>
            </w:pPr>
          </w:p>
          <w:p>
            <w:pPr>
              <w:pStyle w:val="TableParagraph"/>
              <w:numPr>
                <w:ilvl w:val="0"/>
                <w:numId w:val="6"/>
              </w:numPr>
              <w:tabs>
                <w:tab w:pos="767" w:val="left" w:leader="none"/>
              </w:tabs>
              <w:spacing w:line="240" w:lineRule="auto" w:before="0" w:after="0"/>
              <w:ind w:left="778" w:right="19" w:hanging="361"/>
              <w:jc w:val="both"/>
              <w:rPr>
                <w:sz w:val="22"/>
              </w:rPr>
            </w:pPr>
            <w:r>
              <w:rPr>
                <w:sz w:val="22"/>
              </w:rPr>
              <w:t>Oficio para notificar la Resolución a la Dirección General de Acreditación y Certificación -DIGEACE- y Dirección de Administración Financiera</w:t>
            </w:r>
            <w:r>
              <w:rPr>
                <w:spacing w:val="-9"/>
                <w:sz w:val="22"/>
              </w:rPr>
              <w:t> </w:t>
            </w:r>
            <w:r>
              <w:rPr>
                <w:sz w:val="22"/>
              </w:rPr>
              <w:t>-DAFI-.</w:t>
            </w:r>
          </w:p>
          <w:p>
            <w:pPr>
              <w:pStyle w:val="TableParagraph"/>
              <w:spacing w:before="11"/>
              <w:rPr>
                <w:sz w:val="21"/>
              </w:rPr>
            </w:pPr>
          </w:p>
          <w:p>
            <w:pPr>
              <w:pStyle w:val="TableParagraph"/>
              <w:ind w:left="57" w:right="14"/>
              <w:jc w:val="both"/>
              <w:rPr>
                <w:sz w:val="22"/>
              </w:rPr>
            </w:pPr>
            <w:r>
              <w:rPr>
                <w:sz w:val="22"/>
              </w:rPr>
              <w:t>Firma y sella de elaborado el Dictamen y oficio. Adjunta dichos documentos al expediente y traslada al Jefe (a) del Departamento/Sección de Aseguramiento de la Calidad Educativa de la DIDEDUC.</w:t>
            </w:r>
          </w:p>
        </w:tc>
      </w:tr>
      <w:tr>
        <w:trPr>
          <w:trHeight w:val="1629" w:hRule="atLeast"/>
        </w:trPr>
        <w:tc>
          <w:tcPr>
            <w:tcW w:w="1133" w:type="dxa"/>
          </w:tcPr>
          <w:p>
            <w:pPr>
              <w:pStyle w:val="TableParagraph"/>
              <w:rPr>
                <w:sz w:val="16"/>
              </w:rPr>
            </w:pPr>
          </w:p>
          <w:p>
            <w:pPr>
              <w:pStyle w:val="TableParagraph"/>
              <w:rPr>
                <w:sz w:val="16"/>
              </w:rPr>
            </w:pPr>
          </w:p>
          <w:p>
            <w:pPr>
              <w:pStyle w:val="TableParagraph"/>
              <w:rPr>
                <w:sz w:val="15"/>
              </w:rPr>
            </w:pPr>
          </w:p>
          <w:p>
            <w:pPr>
              <w:pStyle w:val="TableParagraph"/>
              <w:ind w:left="48" w:right="43"/>
              <w:jc w:val="center"/>
              <w:rPr>
                <w:b/>
                <w:sz w:val="14"/>
              </w:rPr>
            </w:pPr>
            <w:r>
              <w:rPr>
                <w:b/>
                <w:sz w:val="14"/>
              </w:rPr>
              <w:t>11.</w:t>
            </w:r>
          </w:p>
          <w:p>
            <w:pPr>
              <w:pStyle w:val="TableParagraph"/>
              <w:ind w:left="199" w:right="192" w:hanging="2"/>
              <w:jc w:val="center"/>
              <w:rPr>
                <w:b/>
                <w:sz w:val="14"/>
              </w:rPr>
            </w:pPr>
            <w:r>
              <w:rPr>
                <w:b/>
                <w:sz w:val="14"/>
              </w:rPr>
              <w:t>Revisar expediente</w:t>
            </w:r>
          </w:p>
        </w:tc>
        <w:tc>
          <w:tcPr>
            <w:tcW w:w="1135" w:type="dxa"/>
          </w:tcPr>
          <w:p>
            <w:pPr>
              <w:pStyle w:val="TableParagraph"/>
              <w:spacing w:before="2"/>
              <w:rPr>
                <w:sz w:val="19"/>
              </w:rPr>
            </w:pPr>
          </w:p>
          <w:p>
            <w:pPr>
              <w:pStyle w:val="TableParagraph"/>
              <w:spacing w:before="1"/>
              <w:ind w:left="98" w:right="85" w:hanging="1"/>
              <w:jc w:val="center"/>
              <w:rPr>
                <w:sz w:val="14"/>
              </w:rPr>
            </w:pPr>
            <w:r>
              <w:rPr>
                <w:sz w:val="14"/>
              </w:rPr>
              <w:t>Jefe (a) del Departamento/ Sección de </w:t>
            </w:r>
            <w:r>
              <w:rPr>
                <w:w w:val="95"/>
                <w:sz w:val="14"/>
              </w:rPr>
              <w:t>Aseguramiento </w:t>
            </w:r>
            <w:r>
              <w:rPr>
                <w:sz w:val="14"/>
              </w:rPr>
              <w:t>de la Calidad Educativa DIDEDUC</w:t>
            </w:r>
          </w:p>
        </w:tc>
        <w:tc>
          <w:tcPr>
            <w:tcW w:w="8534" w:type="dxa"/>
          </w:tcPr>
          <w:p>
            <w:pPr>
              <w:pStyle w:val="TableParagraph"/>
              <w:spacing w:before="24"/>
              <w:ind w:left="57" w:right="15"/>
              <w:jc w:val="both"/>
              <w:rPr>
                <w:sz w:val="22"/>
              </w:rPr>
            </w:pPr>
            <w:r>
              <w:rPr>
                <w:sz w:val="22"/>
              </w:rPr>
              <w:t>Recibe el expediente y procede a revisar la información incluida en el Dictamen, resolución y oficio. Si la información es correcta, procede a firmar y sellar de revisado el Dictamen y oficio, caso contrario procede a solicitar que se realicen las correcciones</w:t>
            </w:r>
            <w:r>
              <w:rPr>
                <w:spacing w:val="-3"/>
                <w:sz w:val="22"/>
              </w:rPr>
              <w:t> </w:t>
            </w:r>
            <w:r>
              <w:rPr>
                <w:sz w:val="22"/>
              </w:rPr>
              <w:t>pertinentes.</w:t>
            </w:r>
          </w:p>
          <w:p>
            <w:pPr>
              <w:pStyle w:val="TableParagraph"/>
              <w:spacing w:before="11"/>
              <w:rPr>
                <w:sz w:val="21"/>
              </w:rPr>
            </w:pPr>
          </w:p>
          <w:p>
            <w:pPr>
              <w:pStyle w:val="TableParagraph"/>
              <w:ind w:left="57"/>
              <w:jc w:val="both"/>
              <w:rPr>
                <w:sz w:val="22"/>
              </w:rPr>
            </w:pPr>
            <w:r>
              <w:rPr>
                <w:sz w:val="22"/>
              </w:rPr>
              <w:t>Traslada el expediente al Subdirector(a)/Jefe(a) Técnico Pedagógico de la DIDEDUC.</w:t>
            </w:r>
          </w:p>
        </w:tc>
      </w:tr>
      <w:tr>
        <w:trPr>
          <w:trHeight w:val="1884" w:hRule="atLeast"/>
        </w:trPr>
        <w:tc>
          <w:tcPr>
            <w:tcW w:w="1133" w:type="dxa"/>
          </w:tcPr>
          <w:p>
            <w:pPr>
              <w:pStyle w:val="TableParagraph"/>
              <w:rPr>
                <w:sz w:val="16"/>
              </w:rPr>
            </w:pPr>
          </w:p>
          <w:p>
            <w:pPr>
              <w:pStyle w:val="TableParagraph"/>
              <w:rPr>
                <w:sz w:val="16"/>
              </w:rPr>
            </w:pPr>
          </w:p>
          <w:p>
            <w:pPr>
              <w:pStyle w:val="TableParagraph"/>
              <w:spacing w:before="139"/>
              <w:ind w:left="48" w:right="43"/>
              <w:jc w:val="center"/>
              <w:rPr>
                <w:b/>
                <w:sz w:val="14"/>
              </w:rPr>
            </w:pPr>
            <w:r>
              <w:rPr>
                <w:b/>
                <w:sz w:val="14"/>
              </w:rPr>
              <w:t>12.</w:t>
            </w:r>
          </w:p>
          <w:p>
            <w:pPr>
              <w:pStyle w:val="TableParagraph"/>
              <w:spacing w:line="242" w:lineRule="auto"/>
              <w:ind w:left="129" w:right="119" w:hanging="4"/>
              <w:jc w:val="center"/>
              <w:rPr>
                <w:b/>
                <w:sz w:val="14"/>
              </w:rPr>
            </w:pPr>
            <w:r>
              <w:rPr>
                <w:b/>
                <w:sz w:val="14"/>
              </w:rPr>
              <w:t>Revisar dictamen, Resolución y oficio</w:t>
            </w:r>
          </w:p>
        </w:tc>
        <w:tc>
          <w:tcPr>
            <w:tcW w:w="1135" w:type="dxa"/>
          </w:tcPr>
          <w:p>
            <w:pPr>
              <w:pStyle w:val="TableParagraph"/>
              <w:rPr>
                <w:sz w:val="16"/>
              </w:rPr>
            </w:pPr>
          </w:p>
          <w:p>
            <w:pPr>
              <w:pStyle w:val="TableParagraph"/>
              <w:rPr>
                <w:sz w:val="16"/>
              </w:rPr>
            </w:pPr>
          </w:p>
          <w:p>
            <w:pPr>
              <w:pStyle w:val="TableParagraph"/>
              <w:spacing w:before="4"/>
              <w:rPr>
                <w:sz w:val="19"/>
              </w:rPr>
            </w:pPr>
          </w:p>
          <w:p>
            <w:pPr>
              <w:pStyle w:val="TableParagraph"/>
              <w:ind w:left="86" w:right="73" w:hanging="1"/>
              <w:jc w:val="center"/>
              <w:rPr>
                <w:sz w:val="14"/>
              </w:rPr>
            </w:pPr>
            <w:r>
              <w:rPr>
                <w:sz w:val="14"/>
              </w:rPr>
              <w:t>Subdirector(a) / Jefe(a) Técnico Pedagógico DIDEDUC</w:t>
            </w:r>
          </w:p>
        </w:tc>
        <w:tc>
          <w:tcPr>
            <w:tcW w:w="8534" w:type="dxa"/>
          </w:tcPr>
          <w:p>
            <w:pPr>
              <w:pStyle w:val="TableParagraph"/>
              <w:spacing w:before="26"/>
              <w:ind w:left="57" w:right="17"/>
              <w:jc w:val="both"/>
              <w:rPr>
                <w:sz w:val="22"/>
              </w:rPr>
            </w:pPr>
            <w:r>
              <w:rPr>
                <w:sz w:val="22"/>
              </w:rPr>
              <w:t>Recibe expediente y procede a revisar la información incluida en el Dictamen, Resolución y oficio. Si la información es correcta, procede a firmar y sellar de visto bueno el Dictamen y oficio, y; rubrica la Resolución, caso contrario procede a solicitar que se realicen las correcciones pertinentes.</w:t>
            </w:r>
          </w:p>
          <w:p>
            <w:pPr>
              <w:pStyle w:val="TableParagraph"/>
              <w:rPr>
                <w:sz w:val="22"/>
              </w:rPr>
            </w:pPr>
          </w:p>
          <w:p>
            <w:pPr>
              <w:pStyle w:val="TableParagraph"/>
              <w:ind w:left="57" w:right="20"/>
              <w:jc w:val="both"/>
              <w:rPr>
                <w:sz w:val="22"/>
              </w:rPr>
            </w:pPr>
            <w:r>
              <w:rPr>
                <w:sz w:val="22"/>
              </w:rPr>
              <w:t>Traslada el expediente al Director(a) Departamental de Educación para su aprobación.</w:t>
            </w:r>
          </w:p>
        </w:tc>
      </w:tr>
      <w:tr>
        <w:trPr>
          <w:trHeight w:val="1883" w:hRule="atLeast"/>
        </w:trPr>
        <w:tc>
          <w:tcPr>
            <w:tcW w:w="1133" w:type="dxa"/>
          </w:tcPr>
          <w:p>
            <w:pPr>
              <w:pStyle w:val="TableParagraph"/>
              <w:rPr>
                <w:sz w:val="16"/>
              </w:rPr>
            </w:pPr>
          </w:p>
          <w:p>
            <w:pPr>
              <w:pStyle w:val="TableParagraph"/>
              <w:rPr>
                <w:sz w:val="16"/>
              </w:rPr>
            </w:pPr>
          </w:p>
          <w:p>
            <w:pPr>
              <w:pStyle w:val="TableParagraph"/>
              <w:rPr>
                <w:sz w:val="16"/>
              </w:rPr>
            </w:pPr>
          </w:p>
          <w:p>
            <w:pPr>
              <w:pStyle w:val="TableParagraph"/>
              <w:spacing w:before="115"/>
              <w:ind w:left="48" w:right="43"/>
              <w:jc w:val="center"/>
              <w:rPr>
                <w:b/>
                <w:sz w:val="14"/>
              </w:rPr>
            </w:pPr>
            <w:r>
              <w:rPr>
                <w:b/>
                <w:sz w:val="14"/>
              </w:rPr>
              <w:t>13.</w:t>
            </w:r>
          </w:p>
          <w:p>
            <w:pPr>
              <w:pStyle w:val="TableParagraph"/>
              <w:spacing w:before="3"/>
              <w:ind w:left="49" w:right="43"/>
              <w:jc w:val="center"/>
              <w:rPr>
                <w:b/>
                <w:sz w:val="14"/>
              </w:rPr>
            </w:pPr>
            <w:r>
              <w:rPr>
                <w:b/>
                <w:sz w:val="14"/>
              </w:rPr>
              <w:t>Aprobar </w:t>
            </w:r>
            <w:r>
              <w:rPr>
                <w:b/>
                <w:w w:val="95"/>
                <w:sz w:val="14"/>
              </w:rPr>
              <w:t>Resolución</w:t>
            </w:r>
          </w:p>
        </w:tc>
        <w:tc>
          <w:tcPr>
            <w:tcW w:w="1135" w:type="dxa"/>
          </w:tcPr>
          <w:p>
            <w:pPr>
              <w:pStyle w:val="TableParagraph"/>
              <w:rPr>
                <w:sz w:val="16"/>
              </w:rPr>
            </w:pPr>
          </w:p>
          <w:p>
            <w:pPr>
              <w:pStyle w:val="TableParagraph"/>
              <w:rPr>
                <w:sz w:val="16"/>
              </w:rPr>
            </w:pPr>
          </w:p>
          <w:p>
            <w:pPr>
              <w:pStyle w:val="TableParagraph"/>
              <w:rPr>
                <w:sz w:val="16"/>
              </w:rPr>
            </w:pPr>
          </w:p>
          <w:p>
            <w:pPr>
              <w:pStyle w:val="TableParagraph"/>
              <w:spacing w:line="242" w:lineRule="auto" w:before="118"/>
              <w:ind w:left="110" w:right="96" w:hanging="2"/>
              <w:jc w:val="center"/>
              <w:rPr>
                <w:sz w:val="14"/>
              </w:rPr>
            </w:pPr>
            <w:r>
              <w:rPr>
                <w:sz w:val="14"/>
              </w:rPr>
              <w:t>Director (a) </w:t>
            </w:r>
            <w:r>
              <w:rPr>
                <w:w w:val="95"/>
                <w:sz w:val="14"/>
              </w:rPr>
              <w:t>Departamental </w:t>
            </w:r>
            <w:r>
              <w:rPr>
                <w:sz w:val="14"/>
              </w:rPr>
              <w:t>de Educación</w:t>
            </w:r>
          </w:p>
        </w:tc>
        <w:tc>
          <w:tcPr>
            <w:tcW w:w="8534" w:type="dxa"/>
          </w:tcPr>
          <w:p>
            <w:pPr>
              <w:pStyle w:val="TableParagraph"/>
              <w:spacing w:before="26"/>
              <w:ind w:left="57" w:right="14"/>
              <w:jc w:val="both"/>
              <w:rPr>
                <w:sz w:val="22"/>
              </w:rPr>
            </w:pPr>
            <w:r>
              <w:rPr>
                <w:sz w:val="22"/>
              </w:rPr>
              <w:t>Procede a aprobar la continuidad de la asignación presupuestaria a los Institutos de Educación por Cooperativa de Enseñanza de su jurisdicción, por medio de firma y sello en la Resolución. Asimismo, firma y sella el oficio por medio del cual, se notificará la misma a DIGEACE y</w:t>
            </w:r>
            <w:r>
              <w:rPr>
                <w:spacing w:val="-5"/>
                <w:sz w:val="22"/>
              </w:rPr>
              <w:t> </w:t>
            </w:r>
            <w:r>
              <w:rPr>
                <w:sz w:val="22"/>
              </w:rPr>
              <w:t>DAFI.</w:t>
            </w:r>
          </w:p>
          <w:p>
            <w:pPr>
              <w:pStyle w:val="TableParagraph"/>
              <w:rPr>
                <w:sz w:val="22"/>
              </w:rPr>
            </w:pPr>
          </w:p>
          <w:p>
            <w:pPr>
              <w:pStyle w:val="TableParagraph"/>
              <w:ind w:left="57" w:right="17"/>
              <w:jc w:val="both"/>
              <w:rPr>
                <w:sz w:val="22"/>
              </w:rPr>
            </w:pPr>
            <w:r>
              <w:rPr>
                <w:sz w:val="22"/>
              </w:rPr>
              <w:t>Traslada el expediente al Asistente Técnico Pedagógico para su notificación a las instancias correspondientes.</w:t>
            </w:r>
          </w:p>
        </w:tc>
      </w:tr>
      <w:tr>
        <w:trPr>
          <w:trHeight w:val="1240" w:hRule="atLeast"/>
        </w:trPr>
        <w:tc>
          <w:tcPr>
            <w:tcW w:w="1133" w:type="dxa"/>
          </w:tcPr>
          <w:p>
            <w:pPr>
              <w:pStyle w:val="TableParagraph"/>
              <w:spacing w:before="24"/>
              <w:ind w:left="48" w:right="43"/>
              <w:jc w:val="center"/>
              <w:rPr>
                <w:b/>
                <w:sz w:val="14"/>
              </w:rPr>
            </w:pPr>
            <w:r>
              <w:rPr>
                <w:b/>
                <w:sz w:val="14"/>
              </w:rPr>
              <w:t>14.</w:t>
            </w:r>
          </w:p>
          <w:p>
            <w:pPr>
              <w:pStyle w:val="TableParagraph"/>
              <w:ind w:left="64" w:right="54" w:hanging="4"/>
              <w:jc w:val="center"/>
              <w:rPr>
                <w:b/>
                <w:sz w:val="14"/>
              </w:rPr>
            </w:pPr>
            <w:r>
              <w:rPr>
                <w:b/>
                <w:sz w:val="14"/>
              </w:rPr>
              <w:t>Notificar constancias (solvencias), continuidad asignación </w:t>
            </w:r>
            <w:r>
              <w:rPr>
                <w:b/>
                <w:w w:val="95"/>
                <w:sz w:val="14"/>
              </w:rPr>
              <w:t>presupuestaria</w:t>
            </w:r>
          </w:p>
        </w:tc>
        <w:tc>
          <w:tcPr>
            <w:tcW w:w="1135" w:type="dxa"/>
          </w:tcPr>
          <w:p>
            <w:pPr>
              <w:pStyle w:val="TableParagraph"/>
              <w:spacing w:before="4"/>
              <w:rPr>
                <w:sz w:val="23"/>
              </w:rPr>
            </w:pPr>
          </w:p>
          <w:p>
            <w:pPr>
              <w:pStyle w:val="TableParagraph"/>
              <w:spacing w:before="1"/>
              <w:ind w:left="178" w:right="166"/>
              <w:jc w:val="center"/>
              <w:rPr>
                <w:sz w:val="14"/>
              </w:rPr>
            </w:pPr>
            <w:r>
              <w:rPr>
                <w:sz w:val="14"/>
              </w:rPr>
              <w:t>Asistente Técnico Pedagógico DIDEDUC</w:t>
            </w:r>
          </w:p>
        </w:tc>
        <w:tc>
          <w:tcPr>
            <w:tcW w:w="8534" w:type="dxa"/>
          </w:tcPr>
          <w:p>
            <w:pPr>
              <w:pStyle w:val="TableParagraph"/>
              <w:spacing w:before="84"/>
              <w:ind w:left="57"/>
              <w:rPr>
                <w:sz w:val="22"/>
              </w:rPr>
            </w:pPr>
            <w:r>
              <w:rPr>
                <w:sz w:val="22"/>
              </w:rPr>
              <w:t>Recibe expediente y procede de la forma siguiente:</w:t>
            </w:r>
          </w:p>
          <w:p>
            <w:pPr>
              <w:pStyle w:val="TableParagraph"/>
              <w:rPr>
                <w:sz w:val="22"/>
              </w:rPr>
            </w:pPr>
          </w:p>
          <w:p>
            <w:pPr>
              <w:pStyle w:val="TableParagraph"/>
              <w:ind w:left="417" w:hanging="360"/>
              <w:rPr>
                <w:sz w:val="22"/>
              </w:rPr>
            </w:pPr>
            <w:r>
              <w:rPr>
                <w:sz w:val="22"/>
              </w:rPr>
              <w:t>1. Notifica a la DIGEACE y DAFI a más tardar el 30 de noviembre de cada año, por medio del oficio correspondiente, los documentos siguientes:</w:t>
            </w:r>
          </w:p>
        </w:tc>
      </w:tr>
    </w:tbl>
    <w:p>
      <w:pPr>
        <w:spacing w:after="0"/>
        <w:rPr>
          <w:sz w:val="22"/>
        </w:rPr>
        <w:sectPr>
          <w:pgSz w:w="12250" w:h="15850"/>
          <w:pgMar w:header="214" w:footer="337" w:top="400" w:bottom="520" w:left="440" w:right="8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0" w:hRule="atLeast"/>
        </w:trPr>
        <w:tc>
          <w:tcPr>
            <w:tcW w:w="857" w:type="dxa"/>
            <w:vMerge w:val="restart"/>
          </w:tcPr>
          <w:p>
            <w:pPr>
              <w:pStyle w:val="TableParagraph"/>
              <w:rPr>
                <w:sz w:val="5"/>
              </w:rPr>
            </w:pPr>
          </w:p>
          <w:p>
            <w:pPr>
              <w:pStyle w:val="TableParagraph"/>
              <w:ind w:left="21" w:right="-44"/>
              <w:rPr>
                <w:sz w:val="20"/>
              </w:rPr>
            </w:pPr>
            <w:r>
              <w:rPr>
                <w:sz w:val="20"/>
              </w:rPr>
              <w:drawing>
                <wp:inline distT="0" distB="0" distL="0" distR="0">
                  <wp:extent cx="519085" cy="427481"/>
                  <wp:effectExtent l="0" t="0" r="0" b="0"/>
                  <wp:docPr id="11" name="image1.jpeg"/>
                  <wp:cNvGraphicFramePr>
                    <a:graphicFrameLocks noChangeAspect="1"/>
                  </wp:cNvGraphicFramePr>
                  <a:graphic>
                    <a:graphicData uri="http://schemas.openxmlformats.org/drawingml/2006/picture">
                      <pic:pic>
                        <pic:nvPicPr>
                          <pic:cNvPr id="12" name="image1.jpeg"/>
                          <pic:cNvPicPr/>
                        </pic:nvPicPr>
                        <pic:blipFill>
                          <a:blip r:embed="rId7" cstate="print"/>
                          <a:stretch>
                            <a:fillRect/>
                          </a:stretch>
                        </pic:blipFill>
                        <pic:spPr>
                          <a:xfrm>
                            <a:off x="0" y="0"/>
                            <a:ext cx="519085" cy="427481"/>
                          </a:xfrm>
                          <a:prstGeom prst="rect">
                            <a:avLst/>
                          </a:prstGeom>
                        </pic:spPr>
                      </pic:pic>
                    </a:graphicData>
                  </a:graphic>
                </wp:inline>
              </w:drawing>
            </w:r>
            <w:r>
              <w:rPr>
                <w:sz w:val="20"/>
              </w:rPr>
            </w:r>
          </w:p>
        </w:tc>
        <w:tc>
          <w:tcPr>
            <w:tcW w:w="10344" w:type="dxa"/>
            <w:gridSpan w:val="4"/>
          </w:tcPr>
          <w:p>
            <w:pPr>
              <w:pStyle w:val="TableParagraph"/>
              <w:spacing w:before="53"/>
              <w:ind w:left="21" w:right="30"/>
              <w:jc w:val="center"/>
              <w:rPr>
                <w:sz w:val="16"/>
              </w:rPr>
            </w:pPr>
            <w:r>
              <w:rPr>
                <w:sz w:val="16"/>
              </w:rPr>
              <w:t>INSTRU CTIVO</w:t>
            </w:r>
          </w:p>
          <w:p>
            <w:pPr>
              <w:pStyle w:val="TableParagraph"/>
              <w:spacing w:line="270" w:lineRule="atLeast" w:before="27"/>
              <w:ind w:left="21" w:right="2"/>
              <w:jc w:val="center"/>
              <w:rPr>
                <w:b/>
                <w:sz w:val="24"/>
              </w:rPr>
            </w:pPr>
            <w:r>
              <w:rPr>
                <w:b/>
                <w:sz w:val="24"/>
              </w:rPr>
              <w:t>LINEAMIENTOS GENERALES PARA LA CONTINUACIÓN DE LA SUBVENCIÓN ESTATAL A INSTITUTOS DE EDUCACIÓN POR COOPERATIVA DE ENSEÑANZA</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0" w:lineRule="exact"/>
              <w:ind w:left="1142"/>
              <w:rPr>
                <w:sz w:val="16"/>
              </w:rPr>
            </w:pPr>
            <w:r>
              <w:rPr>
                <w:sz w:val="16"/>
              </w:rPr>
              <w:t>Del proceso: Proceso de Apoyo</w:t>
            </w:r>
          </w:p>
        </w:tc>
        <w:tc>
          <w:tcPr>
            <w:tcW w:w="2409" w:type="dxa"/>
          </w:tcPr>
          <w:p>
            <w:pPr>
              <w:pStyle w:val="TableParagraph"/>
              <w:spacing w:line="180" w:lineRule="exact"/>
              <w:ind w:left="211"/>
              <w:rPr>
                <w:sz w:val="16"/>
              </w:rPr>
            </w:pPr>
            <w:r>
              <w:rPr>
                <w:sz w:val="16"/>
              </w:rPr>
              <w:t>Código: INTCOOP-INS-01</w:t>
            </w:r>
          </w:p>
        </w:tc>
        <w:tc>
          <w:tcPr>
            <w:tcW w:w="1557" w:type="dxa"/>
          </w:tcPr>
          <w:p>
            <w:pPr>
              <w:pStyle w:val="TableParagraph"/>
              <w:spacing w:line="180" w:lineRule="exact"/>
              <w:ind w:left="337"/>
              <w:rPr>
                <w:sz w:val="16"/>
              </w:rPr>
            </w:pPr>
            <w:r>
              <w:rPr>
                <w:sz w:val="16"/>
              </w:rPr>
              <w:t>Versión: 01</w:t>
            </w:r>
          </w:p>
        </w:tc>
        <w:tc>
          <w:tcPr>
            <w:tcW w:w="1842" w:type="dxa"/>
          </w:tcPr>
          <w:p>
            <w:pPr>
              <w:pStyle w:val="TableParagraph"/>
              <w:spacing w:line="180" w:lineRule="exact"/>
              <w:ind w:left="432"/>
              <w:rPr>
                <w:sz w:val="16"/>
              </w:rPr>
            </w:pPr>
            <w:r>
              <w:rPr>
                <w:sz w:val="16"/>
              </w:rPr>
              <w:t>Página 5 de 7</w:t>
            </w:r>
          </w:p>
        </w:tc>
      </w:tr>
    </w:tbl>
    <w:p>
      <w:pPr>
        <w:pStyle w:val="BodyText"/>
        <w:spacing w:before="4"/>
        <w:rPr>
          <w:sz w:val="10"/>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3"/>
        <w:gridCol w:w="1135"/>
        <w:gridCol w:w="8534"/>
      </w:tblGrid>
      <w:tr>
        <w:trPr>
          <w:trHeight w:val="232" w:hRule="atLeast"/>
        </w:trPr>
        <w:tc>
          <w:tcPr>
            <w:tcW w:w="1133" w:type="dxa"/>
            <w:shd w:val="clear" w:color="auto" w:fill="D9D9D9"/>
          </w:tcPr>
          <w:p>
            <w:pPr>
              <w:pStyle w:val="TableParagraph"/>
              <w:spacing w:before="19"/>
              <w:ind w:left="249"/>
              <w:rPr>
                <w:b/>
                <w:sz w:val="14"/>
              </w:rPr>
            </w:pPr>
            <w:r>
              <w:rPr>
                <w:b/>
                <w:sz w:val="14"/>
              </w:rPr>
              <w:t>Actividad</w:t>
            </w:r>
          </w:p>
        </w:tc>
        <w:tc>
          <w:tcPr>
            <w:tcW w:w="1135" w:type="dxa"/>
            <w:shd w:val="clear" w:color="auto" w:fill="D9D9D9"/>
          </w:tcPr>
          <w:p>
            <w:pPr>
              <w:pStyle w:val="TableParagraph"/>
              <w:spacing w:before="19"/>
              <w:ind w:left="131"/>
              <w:rPr>
                <w:b/>
                <w:sz w:val="14"/>
              </w:rPr>
            </w:pPr>
            <w:r>
              <w:rPr>
                <w:b/>
                <w:sz w:val="14"/>
              </w:rPr>
              <w:t>Responsable</w:t>
            </w:r>
          </w:p>
        </w:tc>
        <w:tc>
          <w:tcPr>
            <w:tcW w:w="8534" w:type="dxa"/>
            <w:shd w:val="clear" w:color="auto" w:fill="D9D9D9"/>
          </w:tcPr>
          <w:p>
            <w:pPr>
              <w:pStyle w:val="TableParagraph"/>
              <w:spacing w:before="19"/>
              <w:ind w:left="3228" w:right="3193"/>
              <w:jc w:val="center"/>
              <w:rPr>
                <w:b/>
                <w:sz w:val="14"/>
              </w:rPr>
            </w:pPr>
            <w:r>
              <w:rPr>
                <w:b/>
                <w:sz w:val="14"/>
              </w:rPr>
              <w:t>Descripción de las Actividades</w:t>
            </w:r>
          </w:p>
        </w:tc>
      </w:tr>
      <w:tr>
        <w:trPr>
          <w:trHeight w:val="5172" w:hRule="atLeast"/>
        </w:trPr>
        <w:tc>
          <w:tcPr>
            <w:tcW w:w="1133" w:type="dxa"/>
          </w:tcPr>
          <w:p>
            <w:pPr>
              <w:pStyle w:val="TableParagraph"/>
              <w:rPr>
                <w:rFonts w:ascii="Times New Roman"/>
                <w:sz w:val="20"/>
              </w:rPr>
            </w:pPr>
          </w:p>
        </w:tc>
        <w:tc>
          <w:tcPr>
            <w:tcW w:w="1135" w:type="dxa"/>
          </w:tcPr>
          <w:p>
            <w:pPr>
              <w:pStyle w:val="TableParagraph"/>
              <w:rPr>
                <w:rFonts w:ascii="Times New Roman"/>
                <w:sz w:val="20"/>
              </w:rPr>
            </w:pPr>
          </w:p>
        </w:tc>
        <w:tc>
          <w:tcPr>
            <w:tcW w:w="8534" w:type="dxa"/>
          </w:tcPr>
          <w:p>
            <w:pPr>
              <w:pStyle w:val="TableParagraph"/>
              <w:spacing w:before="2"/>
              <w:rPr>
                <w:sz w:val="24"/>
              </w:rPr>
            </w:pPr>
          </w:p>
          <w:p>
            <w:pPr>
              <w:pStyle w:val="TableParagraph"/>
              <w:numPr>
                <w:ilvl w:val="0"/>
                <w:numId w:val="7"/>
              </w:numPr>
              <w:tabs>
                <w:tab w:pos="1139" w:val="left" w:leader="none"/>
              </w:tabs>
              <w:spacing w:line="240" w:lineRule="auto" w:before="0" w:after="0"/>
              <w:ind w:left="1138" w:right="19" w:hanging="360"/>
              <w:jc w:val="both"/>
              <w:rPr>
                <w:sz w:val="22"/>
              </w:rPr>
            </w:pPr>
            <w:r>
              <w:rPr>
                <w:sz w:val="22"/>
              </w:rPr>
              <w:t>Copias de las constancias (Solvencias) emitidas por las personas que realizan funciones de Supervisión Educativa a los Institutos de Educación por Cooperativa de Enseñanza de su</w:t>
            </w:r>
            <w:r>
              <w:rPr>
                <w:spacing w:val="-3"/>
                <w:sz w:val="22"/>
              </w:rPr>
              <w:t> </w:t>
            </w:r>
            <w:r>
              <w:rPr>
                <w:sz w:val="22"/>
              </w:rPr>
              <w:t>jurisdicción.</w:t>
            </w:r>
          </w:p>
          <w:p>
            <w:pPr>
              <w:pStyle w:val="TableParagraph"/>
              <w:spacing w:before="1"/>
              <w:rPr>
                <w:sz w:val="22"/>
              </w:rPr>
            </w:pPr>
          </w:p>
          <w:p>
            <w:pPr>
              <w:pStyle w:val="TableParagraph"/>
              <w:numPr>
                <w:ilvl w:val="0"/>
                <w:numId w:val="7"/>
              </w:numPr>
              <w:tabs>
                <w:tab w:pos="1139" w:val="left" w:leader="none"/>
              </w:tabs>
              <w:spacing w:line="240" w:lineRule="auto" w:before="0" w:after="0"/>
              <w:ind w:left="1138" w:right="16" w:hanging="360"/>
              <w:jc w:val="both"/>
              <w:rPr>
                <w:sz w:val="22"/>
              </w:rPr>
            </w:pPr>
            <w:r>
              <w:rPr>
                <w:sz w:val="22"/>
              </w:rPr>
              <w:t>Copia de la Resolución de la DIDEDUC, en que se aprueba la continuidad de la asignación presupuestaria a los Institutos de Educación por Cooperativa de Enseñanza de su</w:t>
            </w:r>
            <w:r>
              <w:rPr>
                <w:spacing w:val="-3"/>
                <w:sz w:val="22"/>
              </w:rPr>
              <w:t> </w:t>
            </w:r>
            <w:r>
              <w:rPr>
                <w:sz w:val="22"/>
              </w:rPr>
              <w:t>jurisdicción.</w:t>
            </w:r>
          </w:p>
          <w:p>
            <w:pPr>
              <w:pStyle w:val="TableParagraph"/>
              <w:spacing w:before="10"/>
              <w:rPr>
                <w:sz w:val="21"/>
              </w:rPr>
            </w:pPr>
          </w:p>
          <w:p>
            <w:pPr>
              <w:pStyle w:val="TableParagraph"/>
              <w:ind w:left="417" w:right="13" w:hanging="360"/>
              <w:jc w:val="both"/>
              <w:rPr>
                <w:sz w:val="22"/>
              </w:rPr>
            </w:pPr>
            <w:r>
              <w:rPr>
                <w:sz w:val="22"/>
              </w:rPr>
              <w:t>2. Notifica copia de la Resolución de la DIDEDUC, en que se aprueba la continuidad de la asignación presupuestaria a los Institutos de Educación por Cooperativa de Enseñanza de su jurisdicción, a las personas que realizan funciones de Supervisión Educativa.</w:t>
            </w:r>
          </w:p>
          <w:p>
            <w:pPr>
              <w:pStyle w:val="TableParagraph"/>
              <w:rPr>
                <w:sz w:val="22"/>
              </w:rPr>
            </w:pPr>
          </w:p>
          <w:p>
            <w:pPr>
              <w:pStyle w:val="TableParagraph"/>
              <w:ind w:left="57" w:right="20"/>
              <w:jc w:val="both"/>
              <w:rPr>
                <w:sz w:val="22"/>
              </w:rPr>
            </w:pPr>
            <w:r>
              <w:rPr>
                <w:sz w:val="22"/>
              </w:rPr>
              <w:t>Resguarda y archiva los documentos notificados a las instancias correspondientes, con las respectivas firmas y sellos de recibido.</w:t>
            </w:r>
          </w:p>
          <w:p>
            <w:pPr>
              <w:pStyle w:val="TableParagraph"/>
              <w:spacing w:before="2"/>
              <w:rPr>
                <w:sz w:val="22"/>
              </w:rPr>
            </w:pPr>
          </w:p>
          <w:p>
            <w:pPr>
              <w:pStyle w:val="TableParagraph"/>
              <w:ind w:left="57" w:right="14"/>
              <w:jc w:val="both"/>
              <w:rPr>
                <w:sz w:val="22"/>
              </w:rPr>
            </w:pPr>
            <w:r>
              <w:rPr>
                <w:sz w:val="22"/>
              </w:rPr>
              <w:t>Traslada expedientes al Coordinador(a) de la Unidad/Sección de Acreditamiento y Certificación de la Subdirección/Departamento Técnico Pedagógico de la DIDEDUC, para su resguardo y custodia.</w:t>
            </w:r>
          </w:p>
        </w:tc>
      </w:tr>
    </w:tbl>
    <w:p>
      <w:pPr>
        <w:pStyle w:val="BodyText"/>
        <w:rPr>
          <w:sz w:val="20"/>
        </w:rPr>
      </w:pPr>
    </w:p>
    <w:p>
      <w:pPr>
        <w:pStyle w:val="Heading1"/>
        <w:numPr>
          <w:ilvl w:val="1"/>
          <w:numId w:val="2"/>
        </w:numPr>
        <w:tabs>
          <w:tab w:pos="1542" w:val="left" w:leader="none"/>
          <w:tab w:pos="1543" w:val="left" w:leader="none"/>
        </w:tabs>
        <w:spacing w:line="240" w:lineRule="auto" w:before="226" w:after="0"/>
        <w:ind w:left="1542" w:right="0" w:hanging="990"/>
        <w:jc w:val="left"/>
      </w:pPr>
      <w:r>
        <w:rPr/>
        <w:t>Gestiones para la continuación del pago mensual de la subvención</w:t>
      </w:r>
      <w:r>
        <w:rPr>
          <w:spacing w:val="-14"/>
        </w:rPr>
        <w:t> </w:t>
      </w:r>
      <w:r>
        <w:rPr/>
        <w:t>estatal.</w:t>
      </w:r>
    </w:p>
    <w:p>
      <w:pPr>
        <w:pStyle w:val="BodyText"/>
        <w:spacing w:before="5"/>
        <w:rPr>
          <w:b/>
          <w:sz w:val="20"/>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3"/>
        <w:gridCol w:w="1135"/>
        <w:gridCol w:w="8534"/>
      </w:tblGrid>
      <w:tr>
        <w:trPr>
          <w:trHeight w:val="232" w:hRule="atLeast"/>
        </w:trPr>
        <w:tc>
          <w:tcPr>
            <w:tcW w:w="1133" w:type="dxa"/>
            <w:shd w:val="clear" w:color="auto" w:fill="D9D9D9"/>
          </w:tcPr>
          <w:p>
            <w:pPr>
              <w:pStyle w:val="TableParagraph"/>
              <w:spacing w:before="22"/>
              <w:ind w:left="249"/>
              <w:rPr>
                <w:b/>
                <w:sz w:val="14"/>
              </w:rPr>
            </w:pPr>
            <w:r>
              <w:rPr>
                <w:b/>
                <w:sz w:val="14"/>
              </w:rPr>
              <w:t>Actividad</w:t>
            </w:r>
          </w:p>
        </w:tc>
        <w:tc>
          <w:tcPr>
            <w:tcW w:w="1135" w:type="dxa"/>
            <w:shd w:val="clear" w:color="auto" w:fill="D9D9D9"/>
          </w:tcPr>
          <w:p>
            <w:pPr>
              <w:pStyle w:val="TableParagraph"/>
              <w:spacing w:before="22"/>
              <w:ind w:left="131"/>
              <w:rPr>
                <w:b/>
                <w:sz w:val="14"/>
              </w:rPr>
            </w:pPr>
            <w:r>
              <w:rPr>
                <w:b/>
                <w:sz w:val="14"/>
              </w:rPr>
              <w:t>Responsable</w:t>
            </w:r>
          </w:p>
        </w:tc>
        <w:tc>
          <w:tcPr>
            <w:tcW w:w="8534" w:type="dxa"/>
            <w:shd w:val="clear" w:color="auto" w:fill="D9D9D9"/>
          </w:tcPr>
          <w:p>
            <w:pPr>
              <w:pStyle w:val="TableParagraph"/>
              <w:spacing w:before="22"/>
              <w:ind w:left="3228" w:right="3193"/>
              <w:jc w:val="center"/>
              <w:rPr>
                <w:b/>
                <w:sz w:val="14"/>
              </w:rPr>
            </w:pPr>
            <w:r>
              <w:rPr>
                <w:b/>
                <w:sz w:val="14"/>
              </w:rPr>
              <w:t>Descripción de las Actividades</w:t>
            </w:r>
          </w:p>
        </w:tc>
      </w:tr>
      <w:tr>
        <w:trPr>
          <w:trHeight w:val="3909" w:hRule="atLeast"/>
        </w:trPr>
        <w:tc>
          <w:tcPr>
            <w:tcW w:w="1133"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27"/>
              <w:ind w:left="48" w:right="43"/>
              <w:jc w:val="center"/>
              <w:rPr>
                <w:b/>
                <w:sz w:val="14"/>
              </w:rPr>
            </w:pPr>
            <w:r>
              <w:rPr>
                <w:b/>
                <w:sz w:val="14"/>
              </w:rPr>
              <w:t>1.</w:t>
            </w:r>
          </w:p>
          <w:p>
            <w:pPr>
              <w:pStyle w:val="TableParagraph"/>
              <w:spacing w:line="242" w:lineRule="auto"/>
              <w:ind w:left="28" w:right="21"/>
              <w:jc w:val="center"/>
              <w:rPr>
                <w:b/>
                <w:sz w:val="14"/>
              </w:rPr>
            </w:pPr>
            <w:r>
              <w:rPr>
                <w:b/>
                <w:sz w:val="14"/>
              </w:rPr>
              <w:t>Notificar los requisitos para gestión de pago</w:t>
            </w:r>
          </w:p>
        </w:tc>
        <w:tc>
          <w:tcPr>
            <w:tcW w:w="1135"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29"/>
              <w:ind w:left="43" w:right="28"/>
              <w:jc w:val="center"/>
              <w:rPr>
                <w:sz w:val="14"/>
              </w:rPr>
            </w:pPr>
            <w:r>
              <w:rPr>
                <w:sz w:val="14"/>
              </w:rPr>
              <w:t>Asistente de Acreditamiento y Certificación DIDEDUC</w:t>
            </w:r>
          </w:p>
        </w:tc>
        <w:tc>
          <w:tcPr>
            <w:tcW w:w="8534" w:type="dxa"/>
          </w:tcPr>
          <w:p>
            <w:pPr>
              <w:pStyle w:val="TableParagraph"/>
              <w:spacing w:before="26"/>
              <w:ind w:left="57" w:right="19"/>
              <w:jc w:val="both"/>
              <w:rPr>
                <w:sz w:val="22"/>
              </w:rPr>
            </w:pPr>
            <w:r>
              <w:rPr>
                <w:sz w:val="22"/>
              </w:rPr>
              <w:t>Informa al Director(a) de Institutos de Educación por Cooperativa de Enseñanza sobre los requisitos que debe presentarse mensualmente para las gestiones de pago de la subvención estatal, los cuales se detallan a continuación:</w:t>
            </w:r>
          </w:p>
          <w:p>
            <w:pPr>
              <w:pStyle w:val="TableParagraph"/>
              <w:spacing w:before="1"/>
              <w:rPr>
                <w:b/>
                <w:sz w:val="22"/>
              </w:rPr>
            </w:pPr>
          </w:p>
          <w:p>
            <w:pPr>
              <w:pStyle w:val="TableParagraph"/>
              <w:numPr>
                <w:ilvl w:val="0"/>
                <w:numId w:val="8"/>
              </w:numPr>
              <w:tabs>
                <w:tab w:pos="767" w:val="left" w:leader="none"/>
              </w:tabs>
              <w:spacing w:line="252" w:lineRule="exact" w:before="0" w:after="0"/>
              <w:ind w:left="766" w:right="0" w:hanging="350"/>
              <w:jc w:val="left"/>
              <w:rPr>
                <w:sz w:val="22"/>
              </w:rPr>
            </w:pPr>
            <w:r>
              <w:rPr>
                <w:sz w:val="22"/>
              </w:rPr>
              <w:t>Copia de la Resolución de la continuación del pago de la subvención</w:t>
            </w:r>
            <w:r>
              <w:rPr>
                <w:spacing w:val="-14"/>
                <w:sz w:val="22"/>
              </w:rPr>
              <w:t> </w:t>
            </w:r>
            <w:r>
              <w:rPr>
                <w:sz w:val="22"/>
              </w:rPr>
              <w:t>estatal.</w:t>
            </w:r>
          </w:p>
          <w:p>
            <w:pPr>
              <w:pStyle w:val="TableParagraph"/>
              <w:numPr>
                <w:ilvl w:val="0"/>
                <w:numId w:val="8"/>
              </w:numPr>
              <w:tabs>
                <w:tab w:pos="767" w:val="left" w:leader="none"/>
              </w:tabs>
              <w:spacing w:line="252" w:lineRule="exact" w:before="0" w:after="0"/>
              <w:ind w:left="766" w:right="0" w:hanging="350"/>
              <w:jc w:val="left"/>
              <w:rPr>
                <w:sz w:val="22"/>
              </w:rPr>
            </w:pPr>
            <w:r>
              <w:rPr>
                <w:sz w:val="22"/>
              </w:rPr>
              <w:t>Forma oficial 306-C1 “Ingresos en Establecimientos de</w:t>
            </w:r>
            <w:r>
              <w:rPr>
                <w:spacing w:val="-13"/>
                <w:sz w:val="22"/>
              </w:rPr>
              <w:t> </w:t>
            </w:r>
            <w:r>
              <w:rPr>
                <w:sz w:val="22"/>
              </w:rPr>
              <w:t>Enseñanza”.</w:t>
            </w:r>
          </w:p>
          <w:p>
            <w:pPr>
              <w:pStyle w:val="TableParagraph"/>
              <w:numPr>
                <w:ilvl w:val="0"/>
                <w:numId w:val="8"/>
              </w:numPr>
              <w:tabs>
                <w:tab w:pos="767" w:val="left" w:leader="none"/>
              </w:tabs>
              <w:spacing w:line="240" w:lineRule="auto" w:before="0" w:after="0"/>
              <w:ind w:left="778" w:right="14" w:hanging="361"/>
              <w:jc w:val="left"/>
              <w:rPr>
                <w:sz w:val="22"/>
              </w:rPr>
            </w:pPr>
            <w:r>
              <w:rPr>
                <w:sz w:val="22"/>
              </w:rPr>
              <w:t>Copia del conocimiento de la entrega de las formas oficiales 200-A “Caja Fiscal” del mes anterior, ante la Contraloría General de</w:t>
            </w:r>
            <w:r>
              <w:rPr>
                <w:spacing w:val="-10"/>
                <w:sz w:val="22"/>
              </w:rPr>
              <w:t> </w:t>
            </w:r>
            <w:r>
              <w:rPr>
                <w:sz w:val="22"/>
              </w:rPr>
              <w:t>Cuentas.</w:t>
            </w:r>
          </w:p>
          <w:p>
            <w:pPr>
              <w:pStyle w:val="TableParagraph"/>
              <w:spacing w:before="1"/>
              <w:rPr>
                <w:b/>
                <w:sz w:val="22"/>
              </w:rPr>
            </w:pPr>
          </w:p>
          <w:p>
            <w:pPr>
              <w:pStyle w:val="TableParagraph"/>
              <w:ind w:left="57" w:right="19"/>
              <w:jc w:val="both"/>
              <w:rPr>
                <w:sz w:val="22"/>
              </w:rPr>
            </w:pPr>
            <w:r>
              <w:rPr>
                <w:sz w:val="22"/>
              </w:rPr>
              <w:t>El requisito 1 únicamente se adjuntará al expediente que corresponda al primer pago del Ejercicio Fiscal, en los pagos siguientes se adjuntará únicamente los documentos indicados en los numerales 2 y 3, deberán presentarse en los primeros diez días de cada mes.</w:t>
            </w:r>
          </w:p>
          <w:p>
            <w:pPr>
              <w:pStyle w:val="TableParagraph"/>
              <w:spacing w:before="1"/>
              <w:rPr>
                <w:b/>
                <w:sz w:val="22"/>
              </w:rPr>
            </w:pPr>
          </w:p>
          <w:p>
            <w:pPr>
              <w:pStyle w:val="TableParagraph"/>
              <w:ind w:left="57"/>
              <w:jc w:val="both"/>
              <w:rPr>
                <w:sz w:val="22"/>
              </w:rPr>
            </w:pPr>
            <w:r>
              <w:rPr>
                <w:sz w:val="22"/>
              </w:rPr>
              <w:t>Archiva y resguarda los documentos presentados.</w:t>
            </w:r>
          </w:p>
        </w:tc>
      </w:tr>
      <w:tr>
        <w:trPr>
          <w:trHeight w:val="2894" w:hRule="atLeast"/>
        </w:trPr>
        <w:tc>
          <w:tcPr>
            <w:tcW w:w="1133"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5"/>
              </w:rPr>
            </w:pPr>
          </w:p>
          <w:p>
            <w:pPr>
              <w:pStyle w:val="TableParagraph"/>
              <w:ind w:left="48" w:right="43"/>
              <w:jc w:val="center"/>
              <w:rPr>
                <w:b/>
                <w:sz w:val="14"/>
              </w:rPr>
            </w:pPr>
            <w:r>
              <w:rPr>
                <w:b/>
                <w:sz w:val="14"/>
              </w:rPr>
              <w:t>2.</w:t>
            </w:r>
          </w:p>
          <w:p>
            <w:pPr>
              <w:pStyle w:val="TableParagraph"/>
              <w:ind w:left="28" w:right="20" w:firstLine="1"/>
              <w:jc w:val="center"/>
              <w:rPr>
                <w:b/>
                <w:sz w:val="14"/>
              </w:rPr>
            </w:pPr>
            <w:r>
              <w:rPr>
                <w:b/>
                <w:sz w:val="14"/>
              </w:rPr>
              <w:t>Recibir expediente para gestión de pago</w:t>
            </w:r>
          </w:p>
        </w:tc>
        <w:tc>
          <w:tcPr>
            <w:tcW w:w="1135"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15"/>
              </w:rPr>
            </w:pPr>
          </w:p>
          <w:p>
            <w:pPr>
              <w:pStyle w:val="TableParagraph"/>
              <w:ind w:left="43" w:right="28"/>
              <w:jc w:val="center"/>
              <w:rPr>
                <w:sz w:val="14"/>
              </w:rPr>
            </w:pPr>
            <w:r>
              <w:rPr>
                <w:sz w:val="14"/>
              </w:rPr>
              <w:t>Asistente de Acreditamiento y Certificación DIDEDUC</w:t>
            </w:r>
          </w:p>
        </w:tc>
        <w:tc>
          <w:tcPr>
            <w:tcW w:w="8534" w:type="dxa"/>
          </w:tcPr>
          <w:p>
            <w:pPr>
              <w:pStyle w:val="TableParagraph"/>
              <w:spacing w:before="24"/>
              <w:ind w:left="57" w:right="17"/>
              <w:jc w:val="both"/>
              <w:rPr>
                <w:sz w:val="22"/>
              </w:rPr>
            </w:pPr>
            <w:r>
              <w:rPr>
                <w:sz w:val="22"/>
              </w:rPr>
              <w:t>De conformidad con el calendario establecido para el efecto, recibe expedientes de cada uno de los Institutos de Educación por Cooperativa de Enseñanza de su jurisdicción, según los requisitos indicados en la actividad anterior y verifica lo siguiente:</w:t>
            </w:r>
          </w:p>
          <w:p>
            <w:pPr>
              <w:pStyle w:val="TableParagraph"/>
              <w:spacing w:before="11"/>
              <w:rPr>
                <w:b/>
                <w:sz w:val="21"/>
              </w:rPr>
            </w:pPr>
          </w:p>
          <w:p>
            <w:pPr>
              <w:pStyle w:val="TableParagraph"/>
              <w:numPr>
                <w:ilvl w:val="0"/>
                <w:numId w:val="9"/>
              </w:numPr>
              <w:tabs>
                <w:tab w:pos="418" w:val="left" w:leader="none"/>
              </w:tabs>
              <w:spacing w:line="240" w:lineRule="auto" w:before="0" w:after="0"/>
              <w:ind w:left="417" w:right="18" w:hanging="360"/>
              <w:jc w:val="left"/>
              <w:rPr>
                <w:sz w:val="22"/>
              </w:rPr>
            </w:pPr>
            <w:r>
              <w:rPr>
                <w:sz w:val="22"/>
              </w:rPr>
              <w:t>Revisa que la Resolución de la continuación del pago de la subvención estatal corresponda al Instituto de Educación por Cooperativa de</w:t>
            </w:r>
            <w:r>
              <w:rPr>
                <w:spacing w:val="-10"/>
                <w:sz w:val="22"/>
              </w:rPr>
              <w:t> </w:t>
            </w:r>
            <w:r>
              <w:rPr>
                <w:sz w:val="22"/>
              </w:rPr>
              <w:t>Enseñanza.</w:t>
            </w:r>
          </w:p>
          <w:p>
            <w:pPr>
              <w:pStyle w:val="TableParagraph"/>
              <w:spacing w:before="2"/>
              <w:rPr>
                <w:b/>
                <w:sz w:val="22"/>
              </w:rPr>
            </w:pPr>
          </w:p>
          <w:p>
            <w:pPr>
              <w:pStyle w:val="TableParagraph"/>
              <w:numPr>
                <w:ilvl w:val="0"/>
                <w:numId w:val="9"/>
              </w:numPr>
              <w:tabs>
                <w:tab w:pos="418" w:val="left" w:leader="none"/>
              </w:tabs>
              <w:spacing w:line="240" w:lineRule="auto" w:before="0" w:after="0"/>
              <w:ind w:left="417" w:right="20" w:hanging="360"/>
              <w:jc w:val="left"/>
              <w:rPr>
                <w:sz w:val="22"/>
              </w:rPr>
            </w:pPr>
            <w:r>
              <w:rPr>
                <w:sz w:val="22"/>
              </w:rPr>
              <w:t>En la forma oficial 306-C1 “Ingresos en Establecimientos de Enseñanza”, revisa lo siguiente:</w:t>
            </w:r>
          </w:p>
        </w:tc>
      </w:tr>
    </w:tbl>
    <w:p>
      <w:pPr>
        <w:spacing w:after="0" w:line="240" w:lineRule="auto"/>
        <w:jc w:val="left"/>
        <w:rPr>
          <w:sz w:val="22"/>
        </w:rPr>
        <w:sectPr>
          <w:pgSz w:w="12250" w:h="15850"/>
          <w:pgMar w:header="214" w:footer="337" w:top="400" w:bottom="520" w:left="440" w:right="8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0" w:hRule="atLeast"/>
        </w:trPr>
        <w:tc>
          <w:tcPr>
            <w:tcW w:w="857" w:type="dxa"/>
            <w:vMerge w:val="restart"/>
          </w:tcPr>
          <w:p>
            <w:pPr>
              <w:pStyle w:val="TableParagraph"/>
              <w:rPr>
                <w:b/>
                <w:sz w:val="5"/>
              </w:rPr>
            </w:pPr>
          </w:p>
          <w:p>
            <w:pPr>
              <w:pStyle w:val="TableParagraph"/>
              <w:ind w:left="21" w:right="-44"/>
              <w:rPr>
                <w:sz w:val="20"/>
              </w:rPr>
            </w:pPr>
            <w:r>
              <w:rPr>
                <w:sz w:val="20"/>
              </w:rPr>
              <w:drawing>
                <wp:inline distT="0" distB="0" distL="0" distR="0">
                  <wp:extent cx="519085" cy="427481"/>
                  <wp:effectExtent l="0" t="0" r="0" b="0"/>
                  <wp:docPr id="13" name="image1.jpeg"/>
                  <wp:cNvGraphicFramePr>
                    <a:graphicFrameLocks noChangeAspect="1"/>
                  </wp:cNvGraphicFramePr>
                  <a:graphic>
                    <a:graphicData uri="http://schemas.openxmlformats.org/drawingml/2006/picture">
                      <pic:pic>
                        <pic:nvPicPr>
                          <pic:cNvPr id="14" name="image1.jpeg"/>
                          <pic:cNvPicPr/>
                        </pic:nvPicPr>
                        <pic:blipFill>
                          <a:blip r:embed="rId7" cstate="print"/>
                          <a:stretch>
                            <a:fillRect/>
                          </a:stretch>
                        </pic:blipFill>
                        <pic:spPr>
                          <a:xfrm>
                            <a:off x="0" y="0"/>
                            <a:ext cx="519085" cy="427481"/>
                          </a:xfrm>
                          <a:prstGeom prst="rect">
                            <a:avLst/>
                          </a:prstGeom>
                        </pic:spPr>
                      </pic:pic>
                    </a:graphicData>
                  </a:graphic>
                </wp:inline>
              </w:drawing>
            </w:r>
            <w:r>
              <w:rPr>
                <w:sz w:val="20"/>
              </w:rPr>
            </w:r>
          </w:p>
        </w:tc>
        <w:tc>
          <w:tcPr>
            <w:tcW w:w="10344" w:type="dxa"/>
            <w:gridSpan w:val="4"/>
          </w:tcPr>
          <w:p>
            <w:pPr>
              <w:pStyle w:val="TableParagraph"/>
              <w:spacing w:before="53"/>
              <w:ind w:left="21" w:right="30"/>
              <w:jc w:val="center"/>
              <w:rPr>
                <w:sz w:val="16"/>
              </w:rPr>
            </w:pPr>
            <w:r>
              <w:rPr>
                <w:sz w:val="16"/>
              </w:rPr>
              <w:t>INSTRU CTIVO</w:t>
            </w:r>
          </w:p>
          <w:p>
            <w:pPr>
              <w:pStyle w:val="TableParagraph"/>
              <w:spacing w:line="270" w:lineRule="atLeast" w:before="27"/>
              <w:ind w:left="21" w:right="2"/>
              <w:jc w:val="center"/>
              <w:rPr>
                <w:b/>
                <w:sz w:val="24"/>
              </w:rPr>
            </w:pPr>
            <w:r>
              <w:rPr>
                <w:b/>
                <w:sz w:val="24"/>
              </w:rPr>
              <w:t>LINEAMIENTOS GENERALES PARA LA CONTINUACIÓN DE LA SUBVENCIÓN ESTATAL A INSTITUTOS DE EDUCACIÓN POR COOPERATIVA DE ENSEÑANZA</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0" w:lineRule="exact"/>
              <w:ind w:left="1142"/>
              <w:rPr>
                <w:sz w:val="16"/>
              </w:rPr>
            </w:pPr>
            <w:r>
              <w:rPr>
                <w:sz w:val="16"/>
              </w:rPr>
              <w:t>Del proceso: Proceso de Apoyo</w:t>
            </w:r>
          </w:p>
        </w:tc>
        <w:tc>
          <w:tcPr>
            <w:tcW w:w="2409" w:type="dxa"/>
          </w:tcPr>
          <w:p>
            <w:pPr>
              <w:pStyle w:val="TableParagraph"/>
              <w:spacing w:line="180" w:lineRule="exact"/>
              <w:ind w:left="211"/>
              <w:rPr>
                <w:sz w:val="16"/>
              </w:rPr>
            </w:pPr>
            <w:r>
              <w:rPr>
                <w:sz w:val="16"/>
              </w:rPr>
              <w:t>Código: INTCOOP-INS-01</w:t>
            </w:r>
          </w:p>
        </w:tc>
        <w:tc>
          <w:tcPr>
            <w:tcW w:w="1557" w:type="dxa"/>
          </w:tcPr>
          <w:p>
            <w:pPr>
              <w:pStyle w:val="TableParagraph"/>
              <w:spacing w:line="180" w:lineRule="exact"/>
              <w:ind w:left="337"/>
              <w:rPr>
                <w:sz w:val="16"/>
              </w:rPr>
            </w:pPr>
            <w:r>
              <w:rPr>
                <w:sz w:val="16"/>
              </w:rPr>
              <w:t>Versión: 01</w:t>
            </w:r>
          </w:p>
        </w:tc>
        <w:tc>
          <w:tcPr>
            <w:tcW w:w="1842" w:type="dxa"/>
          </w:tcPr>
          <w:p>
            <w:pPr>
              <w:pStyle w:val="TableParagraph"/>
              <w:spacing w:line="180" w:lineRule="exact"/>
              <w:ind w:left="432"/>
              <w:rPr>
                <w:sz w:val="16"/>
              </w:rPr>
            </w:pPr>
            <w:r>
              <w:rPr>
                <w:sz w:val="16"/>
              </w:rPr>
              <w:t>Página 6 de 7</w:t>
            </w:r>
          </w:p>
        </w:tc>
      </w:tr>
    </w:tbl>
    <w:p>
      <w:pPr>
        <w:pStyle w:val="BodyText"/>
        <w:spacing w:before="4"/>
        <w:rPr>
          <w:b/>
          <w:sz w:val="10"/>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3"/>
        <w:gridCol w:w="1135"/>
        <w:gridCol w:w="8534"/>
      </w:tblGrid>
      <w:tr>
        <w:trPr>
          <w:trHeight w:val="232" w:hRule="atLeast"/>
        </w:trPr>
        <w:tc>
          <w:tcPr>
            <w:tcW w:w="1133" w:type="dxa"/>
            <w:shd w:val="clear" w:color="auto" w:fill="D9D9D9"/>
          </w:tcPr>
          <w:p>
            <w:pPr>
              <w:pStyle w:val="TableParagraph"/>
              <w:spacing w:before="19"/>
              <w:ind w:left="249"/>
              <w:rPr>
                <w:b/>
                <w:sz w:val="14"/>
              </w:rPr>
            </w:pPr>
            <w:r>
              <w:rPr>
                <w:b/>
                <w:sz w:val="14"/>
              </w:rPr>
              <w:t>Actividad</w:t>
            </w:r>
          </w:p>
        </w:tc>
        <w:tc>
          <w:tcPr>
            <w:tcW w:w="1135" w:type="dxa"/>
            <w:shd w:val="clear" w:color="auto" w:fill="D9D9D9"/>
          </w:tcPr>
          <w:p>
            <w:pPr>
              <w:pStyle w:val="TableParagraph"/>
              <w:spacing w:before="19"/>
              <w:ind w:left="131"/>
              <w:rPr>
                <w:b/>
                <w:sz w:val="14"/>
              </w:rPr>
            </w:pPr>
            <w:r>
              <w:rPr>
                <w:b/>
                <w:sz w:val="14"/>
              </w:rPr>
              <w:t>Responsable</w:t>
            </w:r>
          </w:p>
        </w:tc>
        <w:tc>
          <w:tcPr>
            <w:tcW w:w="8534" w:type="dxa"/>
            <w:shd w:val="clear" w:color="auto" w:fill="D9D9D9"/>
          </w:tcPr>
          <w:p>
            <w:pPr>
              <w:pStyle w:val="TableParagraph"/>
              <w:spacing w:before="19"/>
              <w:ind w:left="3228" w:right="3193"/>
              <w:jc w:val="center"/>
              <w:rPr>
                <w:b/>
                <w:sz w:val="14"/>
              </w:rPr>
            </w:pPr>
            <w:r>
              <w:rPr>
                <w:b/>
                <w:sz w:val="14"/>
              </w:rPr>
              <w:t>Descripción de las Actividades</w:t>
            </w:r>
          </w:p>
        </w:tc>
      </w:tr>
      <w:tr>
        <w:trPr>
          <w:trHeight w:val="5930" w:hRule="atLeast"/>
        </w:trPr>
        <w:tc>
          <w:tcPr>
            <w:tcW w:w="1133" w:type="dxa"/>
          </w:tcPr>
          <w:p>
            <w:pPr>
              <w:pStyle w:val="TableParagraph"/>
              <w:rPr>
                <w:rFonts w:ascii="Times New Roman"/>
                <w:sz w:val="20"/>
              </w:rPr>
            </w:pPr>
          </w:p>
        </w:tc>
        <w:tc>
          <w:tcPr>
            <w:tcW w:w="1135" w:type="dxa"/>
          </w:tcPr>
          <w:p>
            <w:pPr>
              <w:pStyle w:val="TableParagraph"/>
              <w:rPr>
                <w:rFonts w:ascii="Times New Roman"/>
                <w:sz w:val="20"/>
              </w:rPr>
            </w:pPr>
          </w:p>
        </w:tc>
        <w:tc>
          <w:tcPr>
            <w:tcW w:w="8534" w:type="dxa"/>
          </w:tcPr>
          <w:p>
            <w:pPr>
              <w:pStyle w:val="TableParagraph"/>
              <w:numPr>
                <w:ilvl w:val="0"/>
                <w:numId w:val="10"/>
              </w:numPr>
              <w:tabs>
                <w:tab w:pos="767" w:val="left" w:leader="none"/>
              </w:tabs>
              <w:spacing w:line="240" w:lineRule="auto" w:before="26" w:after="0"/>
              <w:ind w:left="778" w:right="23" w:hanging="361"/>
              <w:jc w:val="both"/>
              <w:rPr>
                <w:sz w:val="22"/>
              </w:rPr>
            </w:pPr>
            <w:r>
              <w:rPr>
                <w:sz w:val="22"/>
              </w:rPr>
              <w:t>Que el monto consignado coincida con la parte proporcional que</w:t>
            </w:r>
            <w:r>
              <w:rPr>
                <w:spacing w:val="37"/>
                <w:sz w:val="22"/>
              </w:rPr>
              <w:t> </w:t>
            </w:r>
            <w:r>
              <w:rPr>
                <w:sz w:val="22"/>
              </w:rPr>
              <w:t>le corresponde según monto total indicado en la</w:t>
            </w:r>
            <w:r>
              <w:rPr>
                <w:spacing w:val="-9"/>
                <w:sz w:val="22"/>
              </w:rPr>
              <w:t> </w:t>
            </w:r>
            <w:r>
              <w:rPr>
                <w:sz w:val="22"/>
              </w:rPr>
              <w:t>Resolución.</w:t>
            </w:r>
          </w:p>
          <w:p>
            <w:pPr>
              <w:pStyle w:val="TableParagraph"/>
              <w:spacing w:before="11"/>
              <w:rPr>
                <w:b/>
                <w:sz w:val="21"/>
              </w:rPr>
            </w:pPr>
          </w:p>
          <w:p>
            <w:pPr>
              <w:pStyle w:val="TableParagraph"/>
              <w:numPr>
                <w:ilvl w:val="0"/>
                <w:numId w:val="10"/>
              </w:numPr>
              <w:tabs>
                <w:tab w:pos="767" w:val="left" w:leader="none"/>
              </w:tabs>
              <w:spacing w:line="240" w:lineRule="auto" w:before="0" w:after="0"/>
              <w:ind w:left="778" w:right="17" w:hanging="361"/>
              <w:jc w:val="both"/>
              <w:rPr>
                <w:sz w:val="22"/>
              </w:rPr>
            </w:pPr>
            <w:r>
              <w:rPr>
                <w:sz w:val="22"/>
              </w:rPr>
              <w:t>Que la información registrada en la forma oficial 306-C1 “Ingresos en Establecimientos de Enseñanza” no presente borrones, tachones y enmiendas.</w:t>
            </w:r>
          </w:p>
          <w:p>
            <w:pPr>
              <w:pStyle w:val="TableParagraph"/>
              <w:spacing w:before="1"/>
              <w:rPr>
                <w:b/>
                <w:sz w:val="22"/>
              </w:rPr>
            </w:pPr>
          </w:p>
          <w:p>
            <w:pPr>
              <w:pStyle w:val="TableParagraph"/>
              <w:numPr>
                <w:ilvl w:val="0"/>
                <w:numId w:val="10"/>
              </w:numPr>
              <w:tabs>
                <w:tab w:pos="767" w:val="left" w:leader="none"/>
              </w:tabs>
              <w:spacing w:line="240" w:lineRule="auto" w:before="0" w:after="0"/>
              <w:ind w:left="766" w:right="0" w:hanging="350"/>
              <w:jc w:val="left"/>
              <w:rPr>
                <w:sz w:val="22"/>
              </w:rPr>
            </w:pPr>
            <w:r>
              <w:rPr>
                <w:sz w:val="22"/>
              </w:rPr>
              <w:t>Que se encuentre debidamente firmada y</w:t>
            </w:r>
            <w:r>
              <w:rPr>
                <w:spacing w:val="-13"/>
                <w:sz w:val="22"/>
              </w:rPr>
              <w:t> </w:t>
            </w:r>
            <w:r>
              <w:rPr>
                <w:sz w:val="22"/>
              </w:rPr>
              <w:t>sellada.</w:t>
            </w:r>
          </w:p>
          <w:p>
            <w:pPr>
              <w:pStyle w:val="TableParagraph"/>
              <w:spacing w:before="9"/>
              <w:rPr>
                <w:b/>
                <w:sz w:val="21"/>
              </w:rPr>
            </w:pPr>
          </w:p>
          <w:p>
            <w:pPr>
              <w:pStyle w:val="TableParagraph"/>
              <w:numPr>
                <w:ilvl w:val="0"/>
                <w:numId w:val="10"/>
              </w:numPr>
              <w:tabs>
                <w:tab w:pos="767" w:val="left" w:leader="none"/>
              </w:tabs>
              <w:spacing w:line="240" w:lineRule="auto" w:before="0" w:after="0"/>
              <w:ind w:left="778" w:right="18" w:hanging="361"/>
              <w:jc w:val="both"/>
              <w:rPr>
                <w:sz w:val="22"/>
              </w:rPr>
            </w:pPr>
            <w:r>
              <w:rPr>
                <w:sz w:val="22"/>
              </w:rPr>
              <w:t>Que la fecha consignada coincida con el mes al que corresponde el pago solicitado.</w:t>
            </w:r>
          </w:p>
          <w:p>
            <w:pPr>
              <w:pStyle w:val="TableParagraph"/>
              <w:spacing w:before="3"/>
              <w:rPr>
                <w:b/>
                <w:sz w:val="22"/>
              </w:rPr>
            </w:pPr>
          </w:p>
          <w:p>
            <w:pPr>
              <w:pStyle w:val="TableParagraph"/>
              <w:numPr>
                <w:ilvl w:val="0"/>
                <w:numId w:val="11"/>
              </w:numPr>
              <w:tabs>
                <w:tab w:pos="418" w:val="left" w:leader="none"/>
              </w:tabs>
              <w:spacing w:line="240" w:lineRule="auto" w:before="0" w:after="0"/>
              <w:ind w:left="417" w:right="15" w:hanging="360"/>
              <w:jc w:val="both"/>
              <w:rPr>
                <w:sz w:val="22"/>
              </w:rPr>
            </w:pPr>
            <w:r>
              <w:rPr>
                <w:sz w:val="22"/>
              </w:rPr>
              <w:t>Que la copia del conocimiento de la entrega de las formas oficiales 200-A “Caja Fiscal” del mes anterior, ante la Contraloría General de Cuentas, se encuentre debidamente firmada y sellada de</w:t>
            </w:r>
            <w:r>
              <w:rPr>
                <w:spacing w:val="-4"/>
                <w:sz w:val="22"/>
              </w:rPr>
              <w:t> </w:t>
            </w:r>
            <w:r>
              <w:rPr>
                <w:sz w:val="22"/>
              </w:rPr>
              <w:t>recibido.</w:t>
            </w:r>
          </w:p>
          <w:p>
            <w:pPr>
              <w:pStyle w:val="TableParagraph"/>
              <w:spacing w:before="10"/>
              <w:rPr>
                <w:b/>
                <w:sz w:val="21"/>
              </w:rPr>
            </w:pPr>
          </w:p>
          <w:p>
            <w:pPr>
              <w:pStyle w:val="TableParagraph"/>
              <w:numPr>
                <w:ilvl w:val="0"/>
                <w:numId w:val="11"/>
              </w:numPr>
              <w:tabs>
                <w:tab w:pos="418" w:val="left" w:leader="none"/>
              </w:tabs>
              <w:spacing w:line="240" w:lineRule="auto" w:before="0" w:after="0"/>
              <w:ind w:left="417" w:right="20" w:hanging="360"/>
              <w:jc w:val="both"/>
              <w:rPr>
                <w:sz w:val="22"/>
              </w:rPr>
            </w:pPr>
            <w:r>
              <w:rPr>
                <w:sz w:val="22"/>
              </w:rPr>
              <w:t>Que el Informe de avance físico y financiero corresponda al Instituto de Educación por Cooperativa de Enseñanza respectivo y contenga los sellos de recibido por parte de las instancias</w:t>
            </w:r>
            <w:r>
              <w:rPr>
                <w:spacing w:val="-3"/>
                <w:sz w:val="22"/>
              </w:rPr>
              <w:t> </w:t>
            </w:r>
            <w:r>
              <w:rPr>
                <w:sz w:val="22"/>
              </w:rPr>
              <w:t>notificadas.</w:t>
            </w:r>
          </w:p>
          <w:p>
            <w:pPr>
              <w:pStyle w:val="TableParagraph"/>
              <w:rPr>
                <w:b/>
                <w:sz w:val="22"/>
              </w:rPr>
            </w:pPr>
          </w:p>
          <w:p>
            <w:pPr>
              <w:pStyle w:val="TableParagraph"/>
              <w:spacing w:before="1"/>
              <w:ind w:left="57" w:right="18"/>
              <w:jc w:val="both"/>
              <w:rPr>
                <w:sz w:val="22"/>
              </w:rPr>
            </w:pPr>
            <w:r>
              <w:rPr>
                <w:sz w:val="22"/>
              </w:rPr>
              <w:t>Si el expediente se encuentra completo y la información no presenta inconsistencias, recibe, firma y sella de recibido, caso contrario indica claramente que información o documentación debe ser corregida o presentada.</w:t>
            </w:r>
          </w:p>
        </w:tc>
      </w:tr>
      <w:tr>
        <w:trPr>
          <w:trHeight w:val="873" w:hRule="atLeast"/>
        </w:trPr>
        <w:tc>
          <w:tcPr>
            <w:tcW w:w="1133" w:type="dxa"/>
          </w:tcPr>
          <w:p>
            <w:pPr>
              <w:pStyle w:val="TableParagraph"/>
              <w:spacing w:before="3"/>
              <w:rPr>
                <w:b/>
                <w:sz w:val="14"/>
              </w:rPr>
            </w:pPr>
          </w:p>
          <w:p>
            <w:pPr>
              <w:pStyle w:val="TableParagraph"/>
              <w:ind w:left="48" w:right="43"/>
              <w:jc w:val="center"/>
              <w:rPr>
                <w:b/>
                <w:sz w:val="14"/>
              </w:rPr>
            </w:pPr>
            <w:r>
              <w:rPr>
                <w:b/>
                <w:sz w:val="14"/>
              </w:rPr>
              <w:t>3.</w:t>
            </w:r>
          </w:p>
          <w:p>
            <w:pPr>
              <w:pStyle w:val="TableParagraph"/>
              <w:ind w:left="110" w:right="103" w:hanging="1"/>
              <w:jc w:val="center"/>
              <w:rPr>
                <w:b/>
                <w:sz w:val="14"/>
              </w:rPr>
            </w:pPr>
            <w:r>
              <w:rPr>
                <w:b/>
                <w:sz w:val="14"/>
              </w:rPr>
              <w:t>Elaborar </w:t>
            </w:r>
            <w:r>
              <w:rPr>
                <w:b/>
                <w:w w:val="95"/>
                <w:sz w:val="14"/>
              </w:rPr>
              <w:t>conocimiento</w:t>
            </w:r>
          </w:p>
        </w:tc>
        <w:tc>
          <w:tcPr>
            <w:tcW w:w="1135" w:type="dxa"/>
          </w:tcPr>
          <w:p>
            <w:pPr>
              <w:pStyle w:val="TableParagraph"/>
              <w:spacing w:before="84"/>
              <w:ind w:left="43" w:right="28"/>
              <w:jc w:val="center"/>
              <w:rPr>
                <w:sz w:val="14"/>
              </w:rPr>
            </w:pPr>
            <w:r>
              <w:rPr>
                <w:sz w:val="14"/>
              </w:rPr>
              <w:t>Asistente de Acreditamiento y Certificación DIDEDUC</w:t>
            </w:r>
          </w:p>
        </w:tc>
        <w:tc>
          <w:tcPr>
            <w:tcW w:w="8534" w:type="dxa"/>
          </w:tcPr>
          <w:p>
            <w:pPr>
              <w:pStyle w:val="TableParagraph"/>
              <w:spacing w:before="26"/>
              <w:ind w:left="57" w:right="17"/>
              <w:jc w:val="both"/>
              <w:rPr>
                <w:sz w:val="22"/>
              </w:rPr>
            </w:pPr>
            <w:r>
              <w:rPr>
                <w:sz w:val="22"/>
              </w:rPr>
              <w:t>Elabora, firma y sella conocimiento para trasladar los expedientes recibidos al Coordinador(a) de la Sección/Unidad de Acreditamiento y Certificación de la DIDEDUC.</w:t>
            </w:r>
          </w:p>
        </w:tc>
      </w:tr>
      <w:tr>
        <w:trPr>
          <w:trHeight w:val="1631" w:hRule="atLeast"/>
        </w:trPr>
        <w:tc>
          <w:tcPr>
            <w:tcW w:w="1133" w:type="dxa"/>
          </w:tcPr>
          <w:p>
            <w:pPr>
              <w:pStyle w:val="TableParagraph"/>
              <w:rPr>
                <w:b/>
                <w:sz w:val="16"/>
              </w:rPr>
            </w:pPr>
          </w:p>
          <w:p>
            <w:pPr>
              <w:pStyle w:val="TableParagraph"/>
              <w:rPr>
                <w:b/>
                <w:sz w:val="17"/>
              </w:rPr>
            </w:pPr>
          </w:p>
          <w:p>
            <w:pPr>
              <w:pStyle w:val="TableParagraph"/>
              <w:ind w:left="48" w:right="43"/>
              <w:jc w:val="center"/>
              <w:rPr>
                <w:b/>
                <w:sz w:val="14"/>
              </w:rPr>
            </w:pPr>
            <w:r>
              <w:rPr>
                <w:b/>
                <w:sz w:val="14"/>
              </w:rPr>
              <w:t>4.</w:t>
            </w:r>
          </w:p>
          <w:p>
            <w:pPr>
              <w:pStyle w:val="TableParagraph"/>
              <w:spacing w:line="242" w:lineRule="auto"/>
              <w:ind w:left="110" w:right="103" w:firstLine="2"/>
              <w:jc w:val="center"/>
              <w:rPr>
                <w:b/>
                <w:sz w:val="14"/>
              </w:rPr>
            </w:pPr>
            <w:r>
              <w:rPr>
                <w:b/>
                <w:sz w:val="14"/>
              </w:rPr>
              <w:t>Revisar y autorizar </w:t>
            </w:r>
            <w:r>
              <w:rPr>
                <w:b/>
                <w:w w:val="95"/>
                <w:sz w:val="14"/>
              </w:rPr>
              <w:t>conocimiento</w:t>
            </w:r>
          </w:p>
        </w:tc>
        <w:tc>
          <w:tcPr>
            <w:tcW w:w="1135" w:type="dxa"/>
          </w:tcPr>
          <w:p>
            <w:pPr>
              <w:pStyle w:val="TableParagraph"/>
              <w:rPr>
                <w:b/>
                <w:sz w:val="16"/>
              </w:rPr>
            </w:pPr>
          </w:p>
          <w:p>
            <w:pPr>
              <w:pStyle w:val="TableParagraph"/>
              <w:spacing w:before="119"/>
              <w:ind w:left="48" w:right="33" w:hanging="2"/>
              <w:jc w:val="center"/>
              <w:rPr>
                <w:sz w:val="14"/>
              </w:rPr>
            </w:pPr>
            <w:r>
              <w:rPr>
                <w:sz w:val="14"/>
              </w:rPr>
              <w:t>Coordinador(a) de Sección/ Unidad de Acreditamiento y Certificación DIDEDUC</w:t>
            </w:r>
          </w:p>
        </w:tc>
        <w:tc>
          <w:tcPr>
            <w:tcW w:w="8534" w:type="dxa"/>
          </w:tcPr>
          <w:p>
            <w:pPr>
              <w:pStyle w:val="TableParagraph"/>
              <w:spacing w:before="26"/>
              <w:ind w:left="57" w:right="19"/>
              <w:jc w:val="both"/>
              <w:rPr>
                <w:sz w:val="22"/>
              </w:rPr>
            </w:pPr>
            <w:r>
              <w:rPr>
                <w:sz w:val="22"/>
              </w:rPr>
              <w:t>Revisa información consignada en el conocimiento, y si esta correcta procede a firmar y sellar el mismo, caso contrario solicita que se realicen las correcciones que correspondan.</w:t>
            </w:r>
          </w:p>
          <w:p>
            <w:pPr>
              <w:pStyle w:val="TableParagraph"/>
              <w:spacing w:before="10"/>
              <w:rPr>
                <w:b/>
                <w:sz w:val="21"/>
              </w:rPr>
            </w:pPr>
          </w:p>
          <w:p>
            <w:pPr>
              <w:pStyle w:val="TableParagraph"/>
              <w:ind w:left="57" w:right="17"/>
              <w:jc w:val="both"/>
              <w:rPr>
                <w:sz w:val="22"/>
              </w:rPr>
            </w:pPr>
            <w:r>
              <w:rPr>
                <w:sz w:val="22"/>
              </w:rPr>
              <w:t>Traslada conocimiento y expedientes al Asistente de Acreditamiento y Certificación de la DIDEDUC.</w:t>
            </w:r>
          </w:p>
        </w:tc>
      </w:tr>
      <w:tr>
        <w:trPr>
          <w:trHeight w:val="2136" w:hRule="atLeast"/>
        </w:trPr>
        <w:tc>
          <w:tcPr>
            <w:tcW w:w="1133" w:type="dxa"/>
          </w:tcPr>
          <w:p>
            <w:pPr>
              <w:pStyle w:val="TableParagraph"/>
              <w:rPr>
                <w:b/>
                <w:sz w:val="16"/>
              </w:rPr>
            </w:pPr>
          </w:p>
          <w:p>
            <w:pPr>
              <w:pStyle w:val="TableParagraph"/>
              <w:rPr>
                <w:b/>
                <w:sz w:val="16"/>
              </w:rPr>
            </w:pPr>
          </w:p>
          <w:p>
            <w:pPr>
              <w:pStyle w:val="TableParagraph"/>
              <w:rPr>
                <w:b/>
                <w:sz w:val="16"/>
              </w:rPr>
            </w:pPr>
          </w:p>
          <w:p>
            <w:pPr>
              <w:pStyle w:val="TableParagraph"/>
              <w:rPr>
                <w:b/>
                <w:sz w:val="14"/>
              </w:rPr>
            </w:pPr>
          </w:p>
          <w:p>
            <w:pPr>
              <w:pStyle w:val="TableParagraph"/>
              <w:ind w:left="48" w:right="43"/>
              <w:jc w:val="center"/>
              <w:rPr>
                <w:b/>
                <w:sz w:val="14"/>
              </w:rPr>
            </w:pPr>
            <w:r>
              <w:rPr>
                <w:b/>
                <w:sz w:val="14"/>
              </w:rPr>
              <w:t>5.</w:t>
            </w:r>
          </w:p>
          <w:p>
            <w:pPr>
              <w:pStyle w:val="TableParagraph"/>
              <w:ind w:left="28" w:right="21" w:hanging="1"/>
              <w:jc w:val="center"/>
              <w:rPr>
                <w:b/>
                <w:sz w:val="14"/>
              </w:rPr>
            </w:pPr>
            <w:r>
              <w:rPr>
                <w:b/>
                <w:sz w:val="14"/>
              </w:rPr>
              <w:t>Trasladar expediente para gestión de pago</w:t>
            </w:r>
          </w:p>
        </w:tc>
        <w:tc>
          <w:tcPr>
            <w:tcW w:w="1135" w:type="dxa"/>
          </w:tcPr>
          <w:p>
            <w:pPr>
              <w:pStyle w:val="TableParagraph"/>
              <w:rPr>
                <w:b/>
                <w:sz w:val="16"/>
              </w:rPr>
            </w:pPr>
          </w:p>
          <w:p>
            <w:pPr>
              <w:pStyle w:val="TableParagraph"/>
              <w:rPr>
                <w:b/>
                <w:sz w:val="16"/>
              </w:rPr>
            </w:pPr>
          </w:p>
          <w:p>
            <w:pPr>
              <w:pStyle w:val="TableParagraph"/>
              <w:rPr>
                <w:b/>
                <w:sz w:val="16"/>
              </w:rPr>
            </w:pPr>
          </w:p>
          <w:p>
            <w:pPr>
              <w:pStyle w:val="TableParagraph"/>
              <w:spacing w:before="2"/>
              <w:rPr>
                <w:b/>
                <w:sz w:val="14"/>
              </w:rPr>
            </w:pPr>
          </w:p>
          <w:p>
            <w:pPr>
              <w:pStyle w:val="TableParagraph"/>
              <w:ind w:left="43" w:right="28"/>
              <w:jc w:val="center"/>
              <w:rPr>
                <w:sz w:val="14"/>
              </w:rPr>
            </w:pPr>
            <w:r>
              <w:rPr>
                <w:sz w:val="14"/>
              </w:rPr>
              <w:t>Asistente de Acreditamiento y Certificación DIDEDUC</w:t>
            </w:r>
          </w:p>
        </w:tc>
        <w:tc>
          <w:tcPr>
            <w:tcW w:w="8534" w:type="dxa"/>
          </w:tcPr>
          <w:p>
            <w:pPr>
              <w:pStyle w:val="TableParagraph"/>
              <w:spacing w:before="24"/>
              <w:ind w:left="57" w:right="16"/>
              <w:jc w:val="both"/>
              <w:rPr>
                <w:sz w:val="22"/>
              </w:rPr>
            </w:pPr>
            <w:r>
              <w:rPr>
                <w:sz w:val="22"/>
              </w:rPr>
              <w:t>Por medio del conocimiento, traslada los expedientes a la Subdirección/Departamento Administrativo Financiero de la DIDEDUC, de conformidad con el calendario de operaciones establecido para el efecto, para que se realicen las gestiones que correspondan, según los instructivos FIN-INS-10 “Programación y Reprogramación de Transferencias Corrientes y de Capital” y FIN-INS-11 “Programación de la Ejecución Presupuestaria (Cuota Financiera).</w:t>
            </w:r>
          </w:p>
          <w:p>
            <w:pPr>
              <w:pStyle w:val="TableParagraph"/>
              <w:rPr>
                <w:b/>
                <w:sz w:val="22"/>
              </w:rPr>
            </w:pPr>
          </w:p>
          <w:p>
            <w:pPr>
              <w:pStyle w:val="TableParagraph"/>
              <w:ind w:left="57"/>
              <w:jc w:val="both"/>
              <w:rPr>
                <w:sz w:val="22"/>
              </w:rPr>
            </w:pPr>
            <w:r>
              <w:rPr>
                <w:sz w:val="22"/>
              </w:rPr>
              <w:t>Archiva y resguarda conocimiento con la firma y sello de recibido.</w:t>
            </w:r>
          </w:p>
        </w:tc>
      </w:tr>
    </w:tbl>
    <w:p>
      <w:pPr>
        <w:pStyle w:val="BodyText"/>
        <w:rPr>
          <w:b/>
          <w:sz w:val="20"/>
        </w:rPr>
      </w:pPr>
    </w:p>
    <w:p>
      <w:pPr>
        <w:pStyle w:val="BodyText"/>
        <w:rPr>
          <w:b/>
          <w:sz w:val="20"/>
        </w:rPr>
      </w:pPr>
    </w:p>
    <w:p>
      <w:pPr>
        <w:pStyle w:val="BodyText"/>
        <w:spacing w:before="8"/>
        <w:rPr>
          <w:b/>
          <w:sz w:val="19"/>
        </w:rPr>
      </w:pPr>
    </w:p>
    <w:p>
      <w:pPr>
        <w:pStyle w:val="Heading2"/>
        <w:numPr>
          <w:ilvl w:val="1"/>
          <w:numId w:val="12"/>
        </w:numPr>
        <w:tabs>
          <w:tab w:pos="834" w:val="left" w:leader="none"/>
          <w:tab w:pos="835" w:val="left" w:leader="none"/>
        </w:tabs>
        <w:spacing w:line="240" w:lineRule="auto" w:before="0" w:after="0"/>
        <w:ind w:left="834" w:right="0" w:hanging="709"/>
        <w:jc w:val="left"/>
        <w:rPr>
          <w:u w:val="none"/>
        </w:rPr>
      </w:pPr>
      <w:r>
        <w:rPr>
          <w:u w:val="none"/>
        </w:rPr>
        <w:t>GESTIONES DE</w:t>
      </w:r>
      <w:r>
        <w:rPr>
          <w:spacing w:val="-1"/>
          <w:u w:val="none"/>
        </w:rPr>
        <w:t> </w:t>
      </w:r>
      <w:r>
        <w:rPr>
          <w:u w:val="none"/>
        </w:rPr>
        <w:t>PAGO</w:t>
      </w:r>
    </w:p>
    <w:p>
      <w:pPr>
        <w:pStyle w:val="BodyText"/>
        <w:spacing w:before="2"/>
        <w:rPr>
          <w:b/>
        </w:rPr>
      </w:pPr>
    </w:p>
    <w:p>
      <w:pPr>
        <w:pStyle w:val="BodyText"/>
        <w:ind w:left="553" w:right="391"/>
        <w:jc w:val="both"/>
      </w:pPr>
      <w:r>
        <w:rPr/>
        <w:t>Previo a efectuar gestiones de pago de la subvención estatal que se otorga a los Institutos de Educación por Cooperativa de Enseñanza, deberán ejecutarse las actividades descritas en los instructivos FIN-INS-10 “Programación y Reprogramación de Transferencias Corrientes y de Capital” y FIN-INS-11 “Programación de la Ejecución Presupuestaria (Cuota Financiera)”.</w:t>
      </w:r>
    </w:p>
    <w:p>
      <w:pPr>
        <w:spacing w:after="0"/>
        <w:jc w:val="both"/>
        <w:sectPr>
          <w:pgSz w:w="12250" w:h="15850"/>
          <w:pgMar w:header="214" w:footer="337" w:top="400" w:bottom="520" w:left="440" w:right="8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0" w:hRule="atLeast"/>
        </w:trPr>
        <w:tc>
          <w:tcPr>
            <w:tcW w:w="857" w:type="dxa"/>
            <w:vMerge w:val="restart"/>
          </w:tcPr>
          <w:p>
            <w:pPr>
              <w:pStyle w:val="TableParagraph"/>
              <w:rPr>
                <w:sz w:val="5"/>
              </w:rPr>
            </w:pPr>
          </w:p>
          <w:p>
            <w:pPr>
              <w:pStyle w:val="TableParagraph"/>
              <w:ind w:left="21" w:right="-44"/>
              <w:rPr>
                <w:sz w:val="20"/>
              </w:rPr>
            </w:pPr>
            <w:r>
              <w:rPr>
                <w:sz w:val="20"/>
              </w:rPr>
              <w:drawing>
                <wp:inline distT="0" distB="0" distL="0" distR="0">
                  <wp:extent cx="519085" cy="427481"/>
                  <wp:effectExtent l="0" t="0" r="0" b="0"/>
                  <wp:docPr id="15" name="image1.jpeg"/>
                  <wp:cNvGraphicFramePr>
                    <a:graphicFrameLocks noChangeAspect="1"/>
                  </wp:cNvGraphicFramePr>
                  <a:graphic>
                    <a:graphicData uri="http://schemas.openxmlformats.org/drawingml/2006/picture">
                      <pic:pic>
                        <pic:nvPicPr>
                          <pic:cNvPr id="16" name="image1.jpeg"/>
                          <pic:cNvPicPr/>
                        </pic:nvPicPr>
                        <pic:blipFill>
                          <a:blip r:embed="rId7" cstate="print"/>
                          <a:stretch>
                            <a:fillRect/>
                          </a:stretch>
                        </pic:blipFill>
                        <pic:spPr>
                          <a:xfrm>
                            <a:off x="0" y="0"/>
                            <a:ext cx="519085" cy="427481"/>
                          </a:xfrm>
                          <a:prstGeom prst="rect">
                            <a:avLst/>
                          </a:prstGeom>
                        </pic:spPr>
                      </pic:pic>
                    </a:graphicData>
                  </a:graphic>
                </wp:inline>
              </w:drawing>
            </w:r>
            <w:r>
              <w:rPr>
                <w:sz w:val="20"/>
              </w:rPr>
            </w:r>
          </w:p>
        </w:tc>
        <w:tc>
          <w:tcPr>
            <w:tcW w:w="10344" w:type="dxa"/>
            <w:gridSpan w:val="4"/>
          </w:tcPr>
          <w:p>
            <w:pPr>
              <w:pStyle w:val="TableParagraph"/>
              <w:spacing w:before="53"/>
              <w:ind w:left="21" w:right="30"/>
              <w:jc w:val="center"/>
              <w:rPr>
                <w:sz w:val="16"/>
              </w:rPr>
            </w:pPr>
            <w:r>
              <w:rPr>
                <w:sz w:val="16"/>
              </w:rPr>
              <w:t>INSTRU CTIVO</w:t>
            </w:r>
          </w:p>
          <w:p>
            <w:pPr>
              <w:pStyle w:val="TableParagraph"/>
              <w:spacing w:line="270" w:lineRule="atLeast" w:before="27"/>
              <w:ind w:left="21" w:right="2"/>
              <w:jc w:val="center"/>
              <w:rPr>
                <w:b/>
                <w:sz w:val="24"/>
              </w:rPr>
            </w:pPr>
            <w:r>
              <w:rPr>
                <w:b/>
                <w:sz w:val="24"/>
              </w:rPr>
              <w:t>LINEAMIENTOS GENERALES PARA LA CONTINUACIÓN DE LA SUBVENCIÓN ESTATAL A INSTITUTOS DE EDUCACIÓN POR COOPERATIVA DE ENSEÑANZA</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0" w:lineRule="exact"/>
              <w:ind w:left="1142"/>
              <w:rPr>
                <w:sz w:val="16"/>
              </w:rPr>
            </w:pPr>
            <w:r>
              <w:rPr>
                <w:sz w:val="16"/>
              </w:rPr>
              <w:t>Del proceso: Proceso de Apoyo</w:t>
            </w:r>
          </w:p>
        </w:tc>
        <w:tc>
          <w:tcPr>
            <w:tcW w:w="2409" w:type="dxa"/>
          </w:tcPr>
          <w:p>
            <w:pPr>
              <w:pStyle w:val="TableParagraph"/>
              <w:spacing w:line="180" w:lineRule="exact"/>
              <w:ind w:left="211"/>
              <w:rPr>
                <w:sz w:val="16"/>
              </w:rPr>
            </w:pPr>
            <w:r>
              <w:rPr>
                <w:sz w:val="16"/>
              </w:rPr>
              <w:t>Código: INTCOOP-INS-01</w:t>
            </w:r>
          </w:p>
        </w:tc>
        <w:tc>
          <w:tcPr>
            <w:tcW w:w="1557" w:type="dxa"/>
          </w:tcPr>
          <w:p>
            <w:pPr>
              <w:pStyle w:val="TableParagraph"/>
              <w:spacing w:line="180" w:lineRule="exact"/>
              <w:ind w:left="337"/>
              <w:rPr>
                <w:sz w:val="16"/>
              </w:rPr>
            </w:pPr>
            <w:r>
              <w:rPr>
                <w:sz w:val="16"/>
              </w:rPr>
              <w:t>Versión: 01</w:t>
            </w:r>
          </w:p>
        </w:tc>
        <w:tc>
          <w:tcPr>
            <w:tcW w:w="1842" w:type="dxa"/>
          </w:tcPr>
          <w:p>
            <w:pPr>
              <w:pStyle w:val="TableParagraph"/>
              <w:spacing w:line="180" w:lineRule="exact"/>
              <w:ind w:left="432"/>
              <w:rPr>
                <w:sz w:val="16"/>
              </w:rPr>
            </w:pPr>
            <w:r>
              <w:rPr>
                <w:sz w:val="16"/>
              </w:rPr>
              <w:t>Página 7 de 7</w:t>
            </w:r>
          </w:p>
        </w:tc>
      </w:tr>
    </w:tbl>
    <w:p>
      <w:pPr>
        <w:pStyle w:val="BodyText"/>
        <w:spacing w:before="10"/>
        <w:rPr>
          <w:sz w:val="23"/>
        </w:rPr>
      </w:pPr>
    </w:p>
    <w:p>
      <w:pPr>
        <w:pStyle w:val="BodyText"/>
        <w:spacing w:before="94"/>
        <w:ind w:left="553" w:right="389"/>
        <w:jc w:val="both"/>
      </w:pPr>
      <w:r>
        <w:rPr/>
        <w:t>La Subdirección/Departamento Administrativo Financiero de la DIDEDUC, realiza las acciones indicadas en el Procedimiento FIN-PRO-01 “Procedimiento para la Ejecución Presupuestaria del Ministerio de Educación, inciso C.1 Pago a través de Comprobante Único de Registro -CUR-”.</w:t>
      </w:r>
    </w:p>
    <w:p>
      <w:pPr>
        <w:pStyle w:val="BodyText"/>
        <w:rPr>
          <w:sz w:val="24"/>
        </w:rPr>
      </w:pPr>
    </w:p>
    <w:p>
      <w:pPr>
        <w:pStyle w:val="BodyText"/>
        <w:spacing w:before="9"/>
        <w:rPr>
          <w:sz w:val="19"/>
        </w:rPr>
      </w:pPr>
    </w:p>
    <w:p>
      <w:pPr>
        <w:pStyle w:val="Heading2"/>
        <w:numPr>
          <w:ilvl w:val="1"/>
          <w:numId w:val="12"/>
        </w:numPr>
        <w:tabs>
          <w:tab w:pos="834" w:val="left" w:leader="none"/>
          <w:tab w:pos="835" w:val="left" w:leader="none"/>
        </w:tabs>
        <w:spacing w:line="240" w:lineRule="auto" w:before="0" w:after="0"/>
        <w:ind w:left="834" w:right="0" w:hanging="709"/>
        <w:jc w:val="left"/>
        <w:rPr>
          <w:u w:val="none"/>
        </w:rPr>
      </w:pPr>
      <w:r>
        <w:rPr>
          <w:u w:val="none"/>
        </w:rPr>
        <w:t>PUBLICACIÓN DE</w:t>
      </w:r>
      <w:r>
        <w:rPr>
          <w:spacing w:val="-1"/>
          <w:u w:val="none"/>
        </w:rPr>
        <w:t> </w:t>
      </w:r>
      <w:r>
        <w:rPr>
          <w:u w:val="none"/>
        </w:rPr>
        <w:t>INFORMACIÓN</w:t>
      </w:r>
    </w:p>
    <w:p>
      <w:pPr>
        <w:pStyle w:val="BodyText"/>
        <w:spacing w:before="2"/>
        <w:rPr>
          <w:b/>
          <w:sz w:val="20"/>
        </w:rPr>
      </w:pPr>
    </w:p>
    <w:p>
      <w:pPr>
        <w:pStyle w:val="BodyText"/>
        <w:ind w:left="553" w:right="392"/>
        <w:jc w:val="both"/>
      </w:pPr>
      <w:r>
        <w:rPr/>
        <w:t>Para realizar la publicación de información en el portal web se realizará según lo indicado en el instructivo ASU-INS-01 “Recopilación y Publicación de Información Pública de oficio” y las circulares que sean emitidas por la Dirección de Asesoría Jurídica -DIAJ- sobre el tema.</w:t>
      </w:r>
    </w:p>
    <w:sectPr>
      <w:pgSz w:w="12250" w:h="15850"/>
      <w:pgMar w:header="214" w:footer="337" w:top="400" w:bottom="520" w:left="440" w:right="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egoe UI">
    <w:altName w:val="Segoe UI"/>
    <w:charset w:val="0"/>
    <w:family w:val="swiss"/>
    <w:pitch w:val="variable"/>
  </w:font>
  <w:font w:name="Arial Narrow">
    <w:altName w:val="Arial Narrow"/>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7.783997pt;margin-top:764.278198pt;width:421.1pt;height:11.25pt;mso-position-horizontal-relative:page;mso-position-vertical-relative:page;z-index:-252600320" type="#_x0000_t202" filled="false" stroked="false">
          <v:textbox inset="0,0,0,0">
            <w:txbxContent>
              <w:p>
                <w:pPr>
                  <w:spacing w:before="20"/>
                  <w:ind w:left="20" w:right="0" w:firstLine="0"/>
                  <w:jc w:val="left"/>
                  <w:rPr>
                    <w:rFonts w:ascii="Arial Narrow" w:hAnsi="Arial Narrow"/>
                    <w:sz w:val="16"/>
                  </w:rPr>
                </w:pPr>
                <w:r>
                  <w:rPr>
                    <w:rFonts w:ascii="Arial Narrow" w:hAnsi="Arial Narrow"/>
                    <w:color w:val="333399"/>
                    <w:sz w:val="16"/>
                  </w:rPr>
                  <w:t>Todos los documentos que se encuentran en el Sitio Web del Sistema de Gestión de la Calidad son los documentos actualizados y 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7.32pt;margin-top:13.001324pt;width:25.75pt;height:8.75pt;mso-position-horizontal-relative:page;mso-position-vertical-relative:page;z-index:-252601344" type="#_x0000_t202" filled="false" stroked="false">
          <v:textbox inset="0,0,0,0">
            <w:txbxContent>
              <w:p>
                <w:pPr>
                  <w:spacing w:before="21"/>
                  <w:ind w:left="20" w:right="0" w:firstLine="0"/>
                  <w:jc w:val="left"/>
                  <w:rPr>
                    <w:rFonts w:ascii="Segoe UI"/>
                    <w:sz w:val="10"/>
                  </w:rPr>
                </w:pPr>
                <w:r>
                  <w:rPr>
                    <w:rFonts w:ascii="Segoe UI"/>
                    <w:sz w:val="10"/>
                  </w:rPr>
                  <w:t>-PLT-05.03</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
      <w:numFmt w:val="decimal"/>
      <w:lvlText w:val="%1"/>
      <w:lvlJc w:val="left"/>
      <w:pPr>
        <w:ind w:left="834" w:hanging="709"/>
        <w:jc w:val="left"/>
      </w:pPr>
      <w:rPr>
        <w:rFonts w:hint="default"/>
        <w:lang w:val="es-ES" w:eastAsia="es-ES" w:bidi="es-ES"/>
      </w:rPr>
    </w:lvl>
    <w:lvl w:ilvl="1">
      <w:start w:val="2"/>
      <w:numFmt w:val="decimal"/>
      <w:lvlText w:val="%1.%2"/>
      <w:lvlJc w:val="left"/>
      <w:pPr>
        <w:ind w:left="834" w:hanging="709"/>
        <w:jc w:val="left"/>
      </w:pPr>
      <w:rPr>
        <w:rFonts w:hint="default" w:ascii="Arial" w:hAnsi="Arial" w:eastAsia="Arial" w:cs="Arial"/>
        <w:b/>
        <w:bCs/>
        <w:w w:val="100"/>
        <w:sz w:val="22"/>
        <w:szCs w:val="22"/>
        <w:lang w:val="es-ES" w:eastAsia="es-ES" w:bidi="es-ES"/>
      </w:rPr>
    </w:lvl>
    <w:lvl w:ilvl="2">
      <w:start w:val="0"/>
      <w:numFmt w:val="bullet"/>
      <w:lvlText w:val="•"/>
      <w:lvlJc w:val="left"/>
      <w:pPr>
        <w:ind w:left="3016" w:hanging="709"/>
      </w:pPr>
      <w:rPr>
        <w:rFonts w:hint="default"/>
        <w:lang w:val="es-ES" w:eastAsia="es-ES" w:bidi="es-ES"/>
      </w:rPr>
    </w:lvl>
    <w:lvl w:ilvl="3">
      <w:start w:val="0"/>
      <w:numFmt w:val="bullet"/>
      <w:lvlText w:val="•"/>
      <w:lvlJc w:val="left"/>
      <w:pPr>
        <w:ind w:left="4104" w:hanging="709"/>
      </w:pPr>
      <w:rPr>
        <w:rFonts w:hint="default"/>
        <w:lang w:val="es-ES" w:eastAsia="es-ES" w:bidi="es-ES"/>
      </w:rPr>
    </w:lvl>
    <w:lvl w:ilvl="4">
      <w:start w:val="0"/>
      <w:numFmt w:val="bullet"/>
      <w:lvlText w:val="•"/>
      <w:lvlJc w:val="left"/>
      <w:pPr>
        <w:ind w:left="5192" w:hanging="709"/>
      </w:pPr>
      <w:rPr>
        <w:rFonts w:hint="default"/>
        <w:lang w:val="es-ES" w:eastAsia="es-ES" w:bidi="es-ES"/>
      </w:rPr>
    </w:lvl>
    <w:lvl w:ilvl="5">
      <w:start w:val="0"/>
      <w:numFmt w:val="bullet"/>
      <w:lvlText w:val="•"/>
      <w:lvlJc w:val="left"/>
      <w:pPr>
        <w:ind w:left="6281" w:hanging="709"/>
      </w:pPr>
      <w:rPr>
        <w:rFonts w:hint="default"/>
        <w:lang w:val="es-ES" w:eastAsia="es-ES" w:bidi="es-ES"/>
      </w:rPr>
    </w:lvl>
    <w:lvl w:ilvl="6">
      <w:start w:val="0"/>
      <w:numFmt w:val="bullet"/>
      <w:lvlText w:val="•"/>
      <w:lvlJc w:val="left"/>
      <w:pPr>
        <w:ind w:left="7369" w:hanging="709"/>
      </w:pPr>
      <w:rPr>
        <w:rFonts w:hint="default"/>
        <w:lang w:val="es-ES" w:eastAsia="es-ES" w:bidi="es-ES"/>
      </w:rPr>
    </w:lvl>
    <w:lvl w:ilvl="7">
      <w:start w:val="0"/>
      <w:numFmt w:val="bullet"/>
      <w:lvlText w:val="•"/>
      <w:lvlJc w:val="left"/>
      <w:pPr>
        <w:ind w:left="8457" w:hanging="709"/>
      </w:pPr>
      <w:rPr>
        <w:rFonts w:hint="default"/>
        <w:lang w:val="es-ES" w:eastAsia="es-ES" w:bidi="es-ES"/>
      </w:rPr>
    </w:lvl>
    <w:lvl w:ilvl="8">
      <w:start w:val="0"/>
      <w:numFmt w:val="bullet"/>
      <w:lvlText w:val="•"/>
      <w:lvlJc w:val="left"/>
      <w:pPr>
        <w:ind w:left="9545" w:hanging="709"/>
      </w:pPr>
      <w:rPr>
        <w:rFonts w:hint="default"/>
        <w:lang w:val="es-ES" w:eastAsia="es-ES" w:bidi="es-ES"/>
      </w:rPr>
    </w:lvl>
  </w:abstractNum>
  <w:abstractNum w:abstractNumId="10">
    <w:multiLevelType w:val="hybridMultilevel"/>
    <w:lvl w:ilvl="0">
      <w:start w:val="3"/>
      <w:numFmt w:val="decimal"/>
      <w:lvlText w:val="%1."/>
      <w:lvlJc w:val="left"/>
      <w:pPr>
        <w:ind w:left="417" w:hanging="360"/>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230" w:hanging="360"/>
      </w:pPr>
      <w:rPr>
        <w:rFonts w:hint="default"/>
        <w:lang w:val="es-ES" w:eastAsia="es-ES" w:bidi="es-ES"/>
      </w:rPr>
    </w:lvl>
    <w:lvl w:ilvl="2">
      <w:start w:val="0"/>
      <w:numFmt w:val="bullet"/>
      <w:lvlText w:val="•"/>
      <w:lvlJc w:val="left"/>
      <w:pPr>
        <w:ind w:left="2040" w:hanging="360"/>
      </w:pPr>
      <w:rPr>
        <w:rFonts w:hint="default"/>
        <w:lang w:val="es-ES" w:eastAsia="es-ES" w:bidi="es-ES"/>
      </w:rPr>
    </w:lvl>
    <w:lvl w:ilvl="3">
      <w:start w:val="0"/>
      <w:numFmt w:val="bullet"/>
      <w:lvlText w:val="•"/>
      <w:lvlJc w:val="left"/>
      <w:pPr>
        <w:ind w:left="2851" w:hanging="360"/>
      </w:pPr>
      <w:rPr>
        <w:rFonts w:hint="default"/>
        <w:lang w:val="es-ES" w:eastAsia="es-ES" w:bidi="es-ES"/>
      </w:rPr>
    </w:lvl>
    <w:lvl w:ilvl="4">
      <w:start w:val="0"/>
      <w:numFmt w:val="bullet"/>
      <w:lvlText w:val="•"/>
      <w:lvlJc w:val="left"/>
      <w:pPr>
        <w:ind w:left="3661" w:hanging="360"/>
      </w:pPr>
      <w:rPr>
        <w:rFonts w:hint="default"/>
        <w:lang w:val="es-ES" w:eastAsia="es-ES" w:bidi="es-ES"/>
      </w:rPr>
    </w:lvl>
    <w:lvl w:ilvl="5">
      <w:start w:val="0"/>
      <w:numFmt w:val="bullet"/>
      <w:lvlText w:val="•"/>
      <w:lvlJc w:val="left"/>
      <w:pPr>
        <w:ind w:left="4472" w:hanging="360"/>
      </w:pPr>
      <w:rPr>
        <w:rFonts w:hint="default"/>
        <w:lang w:val="es-ES" w:eastAsia="es-ES" w:bidi="es-ES"/>
      </w:rPr>
    </w:lvl>
    <w:lvl w:ilvl="6">
      <w:start w:val="0"/>
      <w:numFmt w:val="bullet"/>
      <w:lvlText w:val="•"/>
      <w:lvlJc w:val="left"/>
      <w:pPr>
        <w:ind w:left="5282" w:hanging="360"/>
      </w:pPr>
      <w:rPr>
        <w:rFonts w:hint="default"/>
        <w:lang w:val="es-ES" w:eastAsia="es-ES" w:bidi="es-ES"/>
      </w:rPr>
    </w:lvl>
    <w:lvl w:ilvl="7">
      <w:start w:val="0"/>
      <w:numFmt w:val="bullet"/>
      <w:lvlText w:val="•"/>
      <w:lvlJc w:val="left"/>
      <w:pPr>
        <w:ind w:left="6092" w:hanging="360"/>
      </w:pPr>
      <w:rPr>
        <w:rFonts w:hint="default"/>
        <w:lang w:val="es-ES" w:eastAsia="es-ES" w:bidi="es-ES"/>
      </w:rPr>
    </w:lvl>
    <w:lvl w:ilvl="8">
      <w:start w:val="0"/>
      <w:numFmt w:val="bullet"/>
      <w:lvlText w:val="•"/>
      <w:lvlJc w:val="left"/>
      <w:pPr>
        <w:ind w:left="6903" w:hanging="360"/>
      </w:pPr>
      <w:rPr>
        <w:rFonts w:hint="default"/>
        <w:lang w:val="es-ES" w:eastAsia="es-ES" w:bidi="es-ES"/>
      </w:rPr>
    </w:lvl>
  </w:abstractNum>
  <w:abstractNum w:abstractNumId="9">
    <w:multiLevelType w:val="hybridMultilevel"/>
    <w:lvl w:ilvl="0">
      <w:start w:val="1"/>
      <w:numFmt w:val="lowerLetter"/>
      <w:lvlText w:val="%1."/>
      <w:lvlJc w:val="left"/>
      <w:pPr>
        <w:ind w:left="778" w:hanging="349"/>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54" w:hanging="349"/>
      </w:pPr>
      <w:rPr>
        <w:rFonts w:hint="default"/>
        <w:lang w:val="es-ES" w:eastAsia="es-ES" w:bidi="es-ES"/>
      </w:rPr>
    </w:lvl>
    <w:lvl w:ilvl="2">
      <w:start w:val="0"/>
      <w:numFmt w:val="bullet"/>
      <w:lvlText w:val="•"/>
      <w:lvlJc w:val="left"/>
      <w:pPr>
        <w:ind w:left="2328" w:hanging="349"/>
      </w:pPr>
      <w:rPr>
        <w:rFonts w:hint="default"/>
        <w:lang w:val="es-ES" w:eastAsia="es-ES" w:bidi="es-ES"/>
      </w:rPr>
    </w:lvl>
    <w:lvl w:ilvl="3">
      <w:start w:val="0"/>
      <w:numFmt w:val="bullet"/>
      <w:lvlText w:val="•"/>
      <w:lvlJc w:val="left"/>
      <w:pPr>
        <w:ind w:left="3103" w:hanging="349"/>
      </w:pPr>
      <w:rPr>
        <w:rFonts w:hint="default"/>
        <w:lang w:val="es-ES" w:eastAsia="es-ES" w:bidi="es-ES"/>
      </w:rPr>
    </w:lvl>
    <w:lvl w:ilvl="4">
      <w:start w:val="0"/>
      <w:numFmt w:val="bullet"/>
      <w:lvlText w:val="•"/>
      <w:lvlJc w:val="left"/>
      <w:pPr>
        <w:ind w:left="3877" w:hanging="349"/>
      </w:pPr>
      <w:rPr>
        <w:rFonts w:hint="default"/>
        <w:lang w:val="es-ES" w:eastAsia="es-ES" w:bidi="es-ES"/>
      </w:rPr>
    </w:lvl>
    <w:lvl w:ilvl="5">
      <w:start w:val="0"/>
      <w:numFmt w:val="bullet"/>
      <w:lvlText w:val="•"/>
      <w:lvlJc w:val="left"/>
      <w:pPr>
        <w:ind w:left="4652" w:hanging="349"/>
      </w:pPr>
      <w:rPr>
        <w:rFonts w:hint="default"/>
        <w:lang w:val="es-ES" w:eastAsia="es-ES" w:bidi="es-ES"/>
      </w:rPr>
    </w:lvl>
    <w:lvl w:ilvl="6">
      <w:start w:val="0"/>
      <w:numFmt w:val="bullet"/>
      <w:lvlText w:val="•"/>
      <w:lvlJc w:val="left"/>
      <w:pPr>
        <w:ind w:left="5426" w:hanging="349"/>
      </w:pPr>
      <w:rPr>
        <w:rFonts w:hint="default"/>
        <w:lang w:val="es-ES" w:eastAsia="es-ES" w:bidi="es-ES"/>
      </w:rPr>
    </w:lvl>
    <w:lvl w:ilvl="7">
      <w:start w:val="0"/>
      <w:numFmt w:val="bullet"/>
      <w:lvlText w:val="•"/>
      <w:lvlJc w:val="left"/>
      <w:pPr>
        <w:ind w:left="6200" w:hanging="349"/>
      </w:pPr>
      <w:rPr>
        <w:rFonts w:hint="default"/>
        <w:lang w:val="es-ES" w:eastAsia="es-ES" w:bidi="es-ES"/>
      </w:rPr>
    </w:lvl>
    <w:lvl w:ilvl="8">
      <w:start w:val="0"/>
      <w:numFmt w:val="bullet"/>
      <w:lvlText w:val="•"/>
      <w:lvlJc w:val="left"/>
      <w:pPr>
        <w:ind w:left="6975" w:hanging="349"/>
      </w:pPr>
      <w:rPr>
        <w:rFonts w:hint="default"/>
        <w:lang w:val="es-ES" w:eastAsia="es-ES" w:bidi="es-ES"/>
      </w:rPr>
    </w:lvl>
  </w:abstractNum>
  <w:abstractNum w:abstractNumId="8">
    <w:multiLevelType w:val="hybridMultilevel"/>
    <w:lvl w:ilvl="0">
      <w:start w:val="1"/>
      <w:numFmt w:val="decimal"/>
      <w:lvlText w:val="%1."/>
      <w:lvlJc w:val="left"/>
      <w:pPr>
        <w:ind w:left="417" w:hanging="360"/>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230" w:hanging="360"/>
      </w:pPr>
      <w:rPr>
        <w:rFonts w:hint="default"/>
        <w:lang w:val="es-ES" w:eastAsia="es-ES" w:bidi="es-ES"/>
      </w:rPr>
    </w:lvl>
    <w:lvl w:ilvl="2">
      <w:start w:val="0"/>
      <w:numFmt w:val="bullet"/>
      <w:lvlText w:val="•"/>
      <w:lvlJc w:val="left"/>
      <w:pPr>
        <w:ind w:left="2040" w:hanging="360"/>
      </w:pPr>
      <w:rPr>
        <w:rFonts w:hint="default"/>
        <w:lang w:val="es-ES" w:eastAsia="es-ES" w:bidi="es-ES"/>
      </w:rPr>
    </w:lvl>
    <w:lvl w:ilvl="3">
      <w:start w:val="0"/>
      <w:numFmt w:val="bullet"/>
      <w:lvlText w:val="•"/>
      <w:lvlJc w:val="left"/>
      <w:pPr>
        <w:ind w:left="2851" w:hanging="360"/>
      </w:pPr>
      <w:rPr>
        <w:rFonts w:hint="default"/>
        <w:lang w:val="es-ES" w:eastAsia="es-ES" w:bidi="es-ES"/>
      </w:rPr>
    </w:lvl>
    <w:lvl w:ilvl="4">
      <w:start w:val="0"/>
      <w:numFmt w:val="bullet"/>
      <w:lvlText w:val="•"/>
      <w:lvlJc w:val="left"/>
      <w:pPr>
        <w:ind w:left="3661" w:hanging="360"/>
      </w:pPr>
      <w:rPr>
        <w:rFonts w:hint="default"/>
        <w:lang w:val="es-ES" w:eastAsia="es-ES" w:bidi="es-ES"/>
      </w:rPr>
    </w:lvl>
    <w:lvl w:ilvl="5">
      <w:start w:val="0"/>
      <w:numFmt w:val="bullet"/>
      <w:lvlText w:val="•"/>
      <w:lvlJc w:val="left"/>
      <w:pPr>
        <w:ind w:left="4472" w:hanging="360"/>
      </w:pPr>
      <w:rPr>
        <w:rFonts w:hint="default"/>
        <w:lang w:val="es-ES" w:eastAsia="es-ES" w:bidi="es-ES"/>
      </w:rPr>
    </w:lvl>
    <w:lvl w:ilvl="6">
      <w:start w:val="0"/>
      <w:numFmt w:val="bullet"/>
      <w:lvlText w:val="•"/>
      <w:lvlJc w:val="left"/>
      <w:pPr>
        <w:ind w:left="5282" w:hanging="360"/>
      </w:pPr>
      <w:rPr>
        <w:rFonts w:hint="default"/>
        <w:lang w:val="es-ES" w:eastAsia="es-ES" w:bidi="es-ES"/>
      </w:rPr>
    </w:lvl>
    <w:lvl w:ilvl="7">
      <w:start w:val="0"/>
      <w:numFmt w:val="bullet"/>
      <w:lvlText w:val="•"/>
      <w:lvlJc w:val="left"/>
      <w:pPr>
        <w:ind w:left="6092" w:hanging="360"/>
      </w:pPr>
      <w:rPr>
        <w:rFonts w:hint="default"/>
        <w:lang w:val="es-ES" w:eastAsia="es-ES" w:bidi="es-ES"/>
      </w:rPr>
    </w:lvl>
    <w:lvl w:ilvl="8">
      <w:start w:val="0"/>
      <w:numFmt w:val="bullet"/>
      <w:lvlText w:val="•"/>
      <w:lvlJc w:val="left"/>
      <w:pPr>
        <w:ind w:left="6903" w:hanging="360"/>
      </w:pPr>
      <w:rPr>
        <w:rFonts w:hint="default"/>
        <w:lang w:val="es-ES" w:eastAsia="es-ES" w:bidi="es-ES"/>
      </w:rPr>
    </w:lvl>
  </w:abstractNum>
  <w:abstractNum w:abstractNumId="7">
    <w:multiLevelType w:val="hybridMultilevel"/>
    <w:lvl w:ilvl="0">
      <w:start w:val="1"/>
      <w:numFmt w:val="decimal"/>
      <w:lvlText w:val="%1."/>
      <w:lvlJc w:val="left"/>
      <w:pPr>
        <w:ind w:left="766" w:hanging="349"/>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36" w:hanging="349"/>
      </w:pPr>
      <w:rPr>
        <w:rFonts w:hint="default"/>
        <w:lang w:val="es-ES" w:eastAsia="es-ES" w:bidi="es-ES"/>
      </w:rPr>
    </w:lvl>
    <w:lvl w:ilvl="2">
      <w:start w:val="0"/>
      <w:numFmt w:val="bullet"/>
      <w:lvlText w:val="•"/>
      <w:lvlJc w:val="left"/>
      <w:pPr>
        <w:ind w:left="2312" w:hanging="349"/>
      </w:pPr>
      <w:rPr>
        <w:rFonts w:hint="default"/>
        <w:lang w:val="es-ES" w:eastAsia="es-ES" w:bidi="es-ES"/>
      </w:rPr>
    </w:lvl>
    <w:lvl w:ilvl="3">
      <w:start w:val="0"/>
      <w:numFmt w:val="bullet"/>
      <w:lvlText w:val="•"/>
      <w:lvlJc w:val="left"/>
      <w:pPr>
        <w:ind w:left="3089" w:hanging="349"/>
      </w:pPr>
      <w:rPr>
        <w:rFonts w:hint="default"/>
        <w:lang w:val="es-ES" w:eastAsia="es-ES" w:bidi="es-ES"/>
      </w:rPr>
    </w:lvl>
    <w:lvl w:ilvl="4">
      <w:start w:val="0"/>
      <w:numFmt w:val="bullet"/>
      <w:lvlText w:val="•"/>
      <w:lvlJc w:val="left"/>
      <w:pPr>
        <w:ind w:left="3865" w:hanging="349"/>
      </w:pPr>
      <w:rPr>
        <w:rFonts w:hint="default"/>
        <w:lang w:val="es-ES" w:eastAsia="es-ES" w:bidi="es-ES"/>
      </w:rPr>
    </w:lvl>
    <w:lvl w:ilvl="5">
      <w:start w:val="0"/>
      <w:numFmt w:val="bullet"/>
      <w:lvlText w:val="•"/>
      <w:lvlJc w:val="left"/>
      <w:pPr>
        <w:ind w:left="4642" w:hanging="349"/>
      </w:pPr>
      <w:rPr>
        <w:rFonts w:hint="default"/>
        <w:lang w:val="es-ES" w:eastAsia="es-ES" w:bidi="es-ES"/>
      </w:rPr>
    </w:lvl>
    <w:lvl w:ilvl="6">
      <w:start w:val="0"/>
      <w:numFmt w:val="bullet"/>
      <w:lvlText w:val="•"/>
      <w:lvlJc w:val="left"/>
      <w:pPr>
        <w:ind w:left="5418" w:hanging="349"/>
      </w:pPr>
      <w:rPr>
        <w:rFonts w:hint="default"/>
        <w:lang w:val="es-ES" w:eastAsia="es-ES" w:bidi="es-ES"/>
      </w:rPr>
    </w:lvl>
    <w:lvl w:ilvl="7">
      <w:start w:val="0"/>
      <w:numFmt w:val="bullet"/>
      <w:lvlText w:val="•"/>
      <w:lvlJc w:val="left"/>
      <w:pPr>
        <w:ind w:left="6194" w:hanging="349"/>
      </w:pPr>
      <w:rPr>
        <w:rFonts w:hint="default"/>
        <w:lang w:val="es-ES" w:eastAsia="es-ES" w:bidi="es-ES"/>
      </w:rPr>
    </w:lvl>
    <w:lvl w:ilvl="8">
      <w:start w:val="0"/>
      <w:numFmt w:val="bullet"/>
      <w:lvlText w:val="•"/>
      <w:lvlJc w:val="left"/>
      <w:pPr>
        <w:ind w:left="6971" w:hanging="349"/>
      </w:pPr>
      <w:rPr>
        <w:rFonts w:hint="default"/>
        <w:lang w:val="es-ES" w:eastAsia="es-ES" w:bidi="es-ES"/>
      </w:rPr>
    </w:lvl>
  </w:abstractNum>
  <w:abstractNum w:abstractNumId="6">
    <w:multiLevelType w:val="hybridMultilevel"/>
    <w:lvl w:ilvl="0">
      <w:start w:val="1"/>
      <w:numFmt w:val="lowerLetter"/>
      <w:lvlText w:val="%1."/>
      <w:lvlJc w:val="left"/>
      <w:pPr>
        <w:ind w:left="1138" w:hanging="360"/>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878" w:hanging="360"/>
      </w:pPr>
      <w:rPr>
        <w:rFonts w:hint="default"/>
        <w:lang w:val="es-ES" w:eastAsia="es-ES" w:bidi="es-ES"/>
      </w:rPr>
    </w:lvl>
    <w:lvl w:ilvl="2">
      <w:start w:val="0"/>
      <w:numFmt w:val="bullet"/>
      <w:lvlText w:val="•"/>
      <w:lvlJc w:val="left"/>
      <w:pPr>
        <w:ind w:left="2616" w:hanging="360"/>
      </w:pPr>
      <w:rPr>
        <w:rFonts w:hint="default"/>
        <w:lang w:val="es-ES" w:eastAsia="es-ES" w:bidi="es-ES"/>
      </w:rPr>
    </w:lvl>
    <w:lvl w:ilvl="3">
      <w:start w:val="0"/>
      <w:numFmt w:val="bullet"/>
      <w:lvlText w:val="•"/>
      <w:lvlJc w:val="left"/>
      <w:pPr>
        <w:ind w:left="3355" w:hanging="360"/>
      </w:pPr>
      <w:rPr>
        <w:rFonts w:hint="default"/>
        <w:lang w:val="es-ES" w:eastAsia="es-ES" w:bidi="es-ES"/>
      </w:rPr>
    </w:lvl>
    <w:lvl w:ilvl="4">
      <w:start w:val="0"/>
      <w:numFmt w:val="bullet"/>
      <w:lvlText w:val="•"/>
      <w:lvlJc w:val="left"/>
      <w:pPr>
        <w:ind w:left="4093" w:hanging="360"/>
      </w:pPr>
      <w:rPr>
        <w:rFonts w:hint="default"/>
        <w:lang w:val="es-ES" w:eastAsia="es-ES" w:bidi="es-ES"/>
      </w:rPr>
    </w:lvl>
    <w:lvl w:ilvl="5">
      <w:start w:val="0"/>
      <w:numFmt w:val="bullet"/>
      <w:lvlText w:val="•"/>
      <w:lvlJc w:val="left"/>
      <w:pPr>
        <w:ind w:left="4832" w:hanging="360"/>
      </w:pPr>
      <w:rPr>
        <w:rFonts w:hint="default"/>
        <w:lang w:val="es-ES" w:eastAsia="es-ES" w:bidi="es-ES"/>
      </w:rPr>
    </w:lvl>
    <w:lvl w:ilvl="6">
      <w:start w:val="0"/>
      <w:numFmt w:val="bullet"/>
      <w:lvlText w:val="•"/>
      <w:lvlJc w:val="left"/>
      <w:pPr>
        <w:ind w:left="5570" w:hanging="360"/>
      </w:pPr>
      <w:rPr>
        <w:rFonts w:hint="default"/>
        <w:lang w:val="es-ES" w:eastAsia="es-ES" w:bidi="es-ES"/>
      </w:rPr>
    </w:lvl>
    <w:lvl w:ilvl="7">
      <w:start w:val="0"/>
      <w:numFmt w:val="bullet"/>
      <w:lvlText w:val="•"/>
      <w:lvlJc w:val="left"/>
      <w:pPr>
        <w:ind w:left="6308" w:hanging="360"/>
      </w:pPr>
      <w:rPr>
        <w:rFonts w:hint="default"/>
        <w:lang w:val="es-ES" w:eastAsia="es-ES" w:bidi="es-ES"/>
      </w:rPr>
    </w:lvl>
    <w:lvl w:ilvl="8">
      <w:start w:val="0"/>
      <w:numFmt w:val="bullet"/>
      <w:lvlText w:val="•"/>
      <w:lvlJc w:val="left"/>
      <w:pPr>
        <w:ind w:left="7047" w:hanging="360"/>
      </w:pPr>
      <w:rPr>
        <w:rFonts w:hint="default"/>
        <w:lang w:val="es-ES" w:eastAsia="es-ES" w:bidi="es-ES"/>
      </w:rPr>
    </w:lvl>
  </w:abstractNum>
  <w:abstractNum w:abstractNumId="5">
    <w:multiLevelType w:val="hybridMultilevel"/>
    <w:lvl w:ilvl="0">
      <w:start w:val="1"/>
      <w:numFmt w:val="decimal"/>
      <w:lvlText w:val="%1."/>
      <w:lvlJc w:val="left"/>
      <w:pPr>
        <w:ind w:left="778" w:hanging="349"/>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54" w:hanging="349"/>
      </w:pPr>
      <w:rPr>
        <w:rFonts w:hint="default"/>
        <w:lang w:val="es-ES" w:eastAsia="es-ES" w:bidi="es-ES"/>
      </w:rPr>
    </w:lvl>
    <w:lvl w:ilvl="2">
      <w:start w:val="0"/>
      <w:numFmt w:val="bullet"/>
      <w:lvlText w:val="•"/>
      <w:lvlJc w:val="left"/>
      <w:pPr>
        <w:ind w:left="2328" w:hanging="349"/>
      </w:pPr>
      <w:rPr>
        <w:rFonts w:hint="default"/>
        <w:lang w:val="es-ES" w:eastAsia="es-ES" w:bidi="es-ES"/>
      </w:rPr>
    </w:lvl>
    <w:lvl w:ilvl="3">
      <w:start w:val="0"/>
      <w:numFmt w:val="bullet"/>
      <w:lvlText w:val="•"/>
      <w:lvlJc w:val="left"/>
      <w:pPr>
        <w:ind w:left="3103" w:hanging="349"/>
      </w:pPr>
      <w:rPr>
        <w:rFonts w:hint="default"/>
        <w:lang w:val="es-ES" w:eastAsia="es-ES" w:bidi="es-ES"/>
      </w:rPr>
    </w:lvl>
    <w:lvl w:ilvl="4">
      <w:start w:val="0"/>
      <w:numFmt w:val="bullet"/>
      <w:lvlText w:val="•"/>
      <w:lvlJc w:val="left"/>
      <w:pPr>
        <w:ind w:left="3877" w:hanging="349"/>
      </w:pPr>
      <w:rPr>
        <w:rFonts w:hint="default"/>
        <w:lang w:val="es-ES" w:eastAsia="es-ES" w:bidi="es-ES"/>
      </w:rPr>
    </w:lvl>
    <w:lvl w:ilvl="5">
      <w:start w:val="0"/>
      <w:numFmt w:val="bullet"/>
      <w:lvlText w:val="•"/>
      <w:lvlJc w:val="left"/>
      <w:pPr>
        <w:ind w:left="4652" w:hanging="349"/>
      </w:pPr>
      <w:rPr>
        <w:rFonts w:hint="default"/>
        <w:lang w:val="es-ES" w:eastAsia="es-ES" w:bidi="es-ES"/>
      </w:rPr>
    </w:lvl>
    <w:lvl w:ilvl="6">
      <w:start w:val="0"/>
      <w:numFmt w:val="bullet"/>
      <w:lvlText w:val="•"/>
      <w:lvlJc w:val="left"/>
      <w:pPr>
        <w:ind w:left="5426" w:hanging="349"/>
      </w:pPr>
      <w:rPr>
        <w:rFonts w:hint="default"/>
        <w:lang w:val="es-ES" w:eastAsia="es-ES" w:bidi="es-ES"/>
      </w:rPr>
    </w:lvl>
    <w:lvl w:ilvl="7">
      <w:start w:val="0"/>
      <w:numFmt w:val="bullet"/>
      <w:lvlText w:val="•"/>
      <w:lvlJc w:val="left"/>
      <w:pPr>
        <w:ind w:left="6200" w:hanging="349"/>
      </w:pPr>
      <w:rPr>
        <w:rFonts w:hint="default"/>
        <w:lang w:val="es-ES" w:eastAsia="es-ES" w:bidi="es-ES"/>
      </w:rPr>
    </w:lvl>
    <w:lvl w:ilvl="8">
      <w:start w:val="0"/>
      <w:numFmt w:val="bullet"/>
      <w:lvlText w:val="•"/>
      <w:lvlJc w:val="left"/>
      <w:pPr>
        <w:ind w:left="6975" w:hanging="349"/>
      </w:pPr>
      <w:rPr>
        <w:rFonts w:hint="default"/>
        <w:lang w:val="es-ES" w:eastAsia="es-ES" w:bidi="es-ES"/>
      </w:rPr>
    </w:lvl>
  </w:abstractNum>
  <w:abstractNum w:abstractNumId="4">
    <w:multiLevelType w:val="hybridMultilevel"/>
    <w:lvl w:ilvl="0">
      <w:start w:val="1"/>
      <w:numFmt w:val="decimal"/>
      <w:lvlText w:val="%1."/>
      <w:lvlJc w:val="left"/>
      <w:pPr>
        <w:ind w:left="778" w:hanging="349"/>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54" w:hanging="349"/>
      </w:pPr>
      <w:rPr>
        <w:rFonts w:hint="default"/>
        <w:lang w:val="es-ES" w:eastAsia="es-ES" w:bidi="es-ES"/>
      </w:rPr>
    </w:lvl>
    <w:lvl w:ilvl="2">
      <w:start w:val="0"/>
      <w:numFmt w:val="bullet"/>
      <w:lvlText w:val="•"/>
      <w:lvlJc w:val="left"/>
      <w:pPr>
        <w:ind w:left="2328" w:hanging="349"/>
      </w:pPr>
      <w:rPr>
        <w:rFonts w:hint="default"/>
        <w:lang w:val="es-ES" w:eastAsia="es-ES" w:bidi="es-ES"/>
      </w:rPr>
    </w:lvl>
    <w:lvl w:ilvl="3">
      <w:start w:val="0"/>
      <w:numFmt w:val="bullet"/>
      <w:lvlText w:val="•"/>
      <w:lvlJc w:val="left"/>
      <w:pPr>
        <w:ind w:left="3103" w:hanging="349"/>
      </w:pPr>
      <w:rPr>
        <w:rFonts w:hint="default"/>
        <w:lang w:val="es-ES" w:eastAsia="es-ES" w:bidi="es-ES"/>
      </w:rPr>
    </w:lvl>
    <w:lvl w:ilvl="4">
      <w:start w:val="0"/>
      <w:numFmt w:val="bullet"/>
      <w:lvlText w:val="•"/>
      <w:lvlJc w:val="left"/>
      <w:pPr>
        <w:ind w:left="3877" w:hanging="349"/>
      </w:pPr>
      <w:rPr>
        <w:rFonts w:hint="default"/>
        <w:lang w:val="es-ES" w:eastAsia="es-ES" w:bidi="es-ES"/>
      </w:rPr>
    </w:lvl>
    <w:lvl w:ilvl="5">
      <w:start w:val="0"/>
      <w:numFmt w:val="bullet"/>
      <w:lvlText w:val="•"/>
      <w:lvlJc w:val="left"/>
      <w:pPr>
        <w:ind w:left="4652" w:hanging="349"/>
      </w:pPr>
      <w:rPr>
        <w:rFonts w:hint="default"/>
        <w:lang w:val="es-ES" w:eastAsia="es-ES" w:bidi="es-ES"/>
      </w:rPr>
    </w:lvl>
    <w:lvl w:ilvl="6">
      <w:start w:val="0"/>
      <w:numFmt w:val="bullet"/>
      <w:lvlText w:val="•"/>
      <w:lvlJc w:val="left"/>
      <w:pPr>
        <w:ind w:left="5426" w:hanging="349"/>
      </w:pPr>
      <w:rPr>
        <w:rFonts w:hint="default"/>
        <w:lang w:val="es-ES" w:eastAsia="es-ES" w:bidi="es-ES"/>
      </w:rPr>
    </w:lvl>
    <w:lvl w:ilvl="7">
      <w:start w:val="0"/>
      <w:numFmt w:val="bullet"/>
      <w:lvlText w:val="•"/>
      <w:lvlJc w:val="left"/>
      <w:pPr>
        <w:ind w:left="6200" w:hanging="349"/>
      </w:pPr>
      <w:rPr>
        <w:rFonts w:hint="default"/>
        <w:lang w:val="es-ES" w:eastAsia="es-ES" w:bidi="es-ES"/>
      </w:rPr>
    </w:lvl>
    <w:lvl w:ilvl="8">
      <w:start w:val="0"/>
      <w:numFmt w:val="bullet"/>
      <w:lvlText w:val="•"/>
      <w:lvlJc w:val="left"/>
      <w:pPr>
        <w:ind w:left="6975" w:hanging="349"/>
      </w:pPr>
      <w:rPr>
        <w:rFonts w:hint="default"/>
        <w:lang w:val="es-ES" w:eastAsia="es-ES" w:bidi="es-ES"/>
      </w:rPr>
    </w:lvl>
  </w:abstractNum>
  <w:abstractNum w:abstractNumId="3">
    <w:multiLevelType w:val="hybridMultilevel"/>
    <w:lvl w:ilvl="0">
      <w:start w:val="0"/>
      <w:numFmt w:val="bullet"/>
      <w:lvlText w:val=""/>
      <w:lvlJc w:val="left"/>
      <w:pPr>
        <w:ind w:left="417" w:hanging="360"/>
      </w:pPr>
      <w:rPr>
        <w:rFonts w:hint="default" w:ascii="Wingdings" w:hAnsi="Wingdings" w:eastAsia="Wingdings" w:cs="Wingdings"/>
        <w:w w:val="100"/>
        <w:sz w:val="22"/>
        <w:szCs w:val="22"/>
        <w:lang w:val="es-ES" w:eastAsia="es-ES" w:bidi="es-ES"/>
      </w:rPr>
    </w:lvl>
    <w:lvl w:ilvl="1">
      <w:start w:val="0"/>
      <w:numFmt w:val="bullet"/>
      <w:lvlText w:val="•"/>
      <w:lvlJc w:val="left"/>
      <w:pPr>
        <w:ind w:left="1230" w:hanging="360"/>
      </w:pPr>
      <w:rPr>
        <w:rFonts w:hint="default"/>
        <w:lang w:val="es-ES" w:eastAsia="es-ES" w:bidi="es-ES"/>
      </w:rPr>
    </w:lvl>
    <w:lvl w:ilvl="2">
      <w:start w:val="0"/>
      <w:numFmt w:val="bullet"/>
      <w:lvlText w:val="•"/>
      <w:lvlJc w:val="left"/>
      <w:pPr>
        <w:ind w:left="2040" w:hanging="360"/>
      </w:pPr>
      <w:rPr>
        <w:rFonts w:hint="default"/>
        <w:lang w:val="es-ES" w:eastAsia="es-ES" w:bidi="es-ES"/>
      </w:rPr>
    </w:lvl>
    <w:lvl w:ilvl="3">
      <w:start w:val="0"/>
      <w:numFmt w:val="bullet"/>
      <w:lvlText w:val="•"/>
      <w:lvlJc w:val="left"/>
      <w:pPr>
        <w:ind w:left="2851" w:hanging="360"/>
      </w:pPr>
      <w:rPr>
        <w:rFonts w:hint="default"/>
        <w:lang w:val="es-ES" w:eastAsia="es-ES" w:bidi="es-ES"/>
      </w:rPr>
    </w:lvl>
    <w:lvl w:ilvl="4">
      <w:start w:val="0"/>
      <w:numFmt w:val="bullet"/>
      <w:lvlText w:val="•"/>
      <w:lvlJc w:val="left"/>
      <w:pPr>
        <w:ind w:left="3661" w:hanging="360"/>
      </w:pPr>
      <w:rPr>
        <w:rFonts w:hint="default"/>
        <w:lang w:val="es-ES" w:eastAsia="es-ES" w:bidi="es-ES"/>
      </w:rPr>
    </w:lvl>
    <w:lvl w:ilvl="5">
      <w:start w:val="0"/>
      <w:numFmt w:val="bullet"/>
      <w:lvlText w:val="•"/>
      <w:lvlJc w:val="left"/>
      <w:pPr>
        <w:ind w:left="4472" w:hanging="360"/>
      </w:pPr>
      <w:rPr>
        <w:rFonts w:hint="default"/>
        <w:lang w:val="es-ES" w:eastAsia="es-ES" w:bidi="es-ES"/>
      </w:rPr>
    </w:lvl>
    <w:lvl w:ilvl="6">
      <w:start w:val="0"/>
      <w:numFmt w:val="bullet"/>
      <w:lvlText w:val="•"/>
      <w:lvlJc w:val="left"/>
      <w:pPr>
        <w:ind w:left="5282" w:hanging="360"/>
      </w:pPr>
      <w:rPr>
        <w:rFonts w:hint="default"/>
        <w:lang w:val="es-ES" w:eastAsia="es-ES" w:bidi="es-ES"/>
      </w:rPr>
    </w:lvl>
    <w:lvl w:ilvl="7">
      <w:start w:val="0"/>
      <w:numFmt w:val="bullet"/>
      <w:lvlText w:val="•"/>
      <w:lvlJc w:val="left"/>
      <w:pPr>
        <w:ind w:left="6092" w:hanging="360"/>
      </w:pPr>
      <w:rPr>
        <w:rFonts w:hint="default"/>
        <w:lang w:val="es-ES" w:eastAsia="es-ES" w:bidi="es-ES"/>
      </w:rPr>
    </w:lvl>
    <w:lvl w:ilvl="8">
      <w:start w:val="0"/>
      <w:numFmt w:val="bullet"/>
      <w:lvlText w:val="•"/>
      <w:lvlJc w:val="left"/>
      <w:pPr>
        <w:ind w:left="6903" w:hanging="360"/>
      </w:pPr>
      <w:rPr>
        <w:rFonts w:hint="default"/>
        <w:lang w:val="es-ES" w:eastAsia="es-ES" w:bidi="es-ES"/>
      </w:rPr>
    </w:lvl>
  </w:abstractNum>
  <w:abstractNum w:abstractNumId="2">
    <w:multiLevelType w:val="hybridMultilevel"/>
    <w:lvl w:ilvl="0">
      <w:start w:val="1"/>
      <w:numFmt w:val="decimal"/>
      <w:lvlText w:val="%1."/>
      <w:lvlJc w:val="left"/>
      <w:pPr>
        <w:ind w:left="483" w:hanging="426"/>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284" w:hanging="426"/>
      </w:pPr>
      <w:rPr>
        <w:rFonts w:hint="default"/>
        <w:lang w:val="es-ES" w:eastAsia="es-ES" w:bidi="es-ES"/>
      </w:rPr>
    </w:lvl>
    <w:lvl w:ilvl="2">
      <w:start w:val="0"/>
      <w:numFmt w:val="bullet"/>
      <w:lvlText w:val="•"/>
      <w:lvlJc w:val="left"/>
      <w:pPr>
        <w:ind w:left="2088" w:hanging="426"/>
      </w:pPr>
      <w:rPr>
        <w:rFonts w:hint="default"/>
        <w:lang w:val="es-ES" w:eastAsia="es-ES" w:bidi="es-ES"/>
      </w:rPr>
    </w:lvl>
    <w:lvl w:ilvl="3">
      <w:start w:val="0"/>
      <w:numFmt w:val="bullet"/>
      <w:lvlText w:val="•"/>
      <w:lvlJc w:val="left"/>
      <w:pPr>
        <w:ind w:left="2893" w:hanging="426"/>
      </w:pPr>
      <w:rPr>
        <w:rFonts w:hint="default"/>
        <w:lang w:val="es-ES" w:eastAsia="es-ES" w:bidi="es-ES"/>
      </w:rPr>
    </w:lvl>
    <w:lvl w:ilvl="4">
      <w:start w:val="0"/>
      <w:numFmt w:val="bullet"/>
      <w:lvlText w:val="•"/>
      <w:lvlJc w:val="left"/>
      <w:pPr>
        <w:ind w:left="3697" w:hanging="426"/>
      </w:pPr>
      <w:rPr>
        <w:rFonts w:hint="default"/>
        <w:lang w:val="es-ES" w:eastAsia="es-ES" w:bidi="es-ES"/>
      </w:rPr>
    </w:lvl>
    <w:lvl w:ilvl="5">
      <w:start w:val="0"/>
      <w:numFmt w:val="bullet"/>
      <w:lvlText w:val="•"/>
      <w:lvlJc w:val="left"/>
      <w:pPr>
        <w:ind w:left="4502" w:hanging="426"/>
      </w:pPr>
      <w:rPr>
        <w:rFonts w:hint="default"/>
        <w:lang w:val="es-ES" w:eastAsia="es-ES" w:bidi="es-ES"/>
      </w:rPr>
    </w:lvl>
    <w:lvl w:ilvl="6">
      <w:start w:val="0"/>
      <w:numFmt w:val="bullet"/>
      <w:lvlText w:val="•"/>
      <w:lvlJc w:val="left"/>
      <w:pPr>
        <w:ind w:left="5306" w:hanging="426"/>
      </w:pPr>
      <w:rPr>
        <w:rFonts w:hint="default"/>
        <w:lang w:val="es-ES" w:eastAsia="es-ES" w:bidi="es-ES"/>
      </w:rPr>
    </w:lvl>
    <w:lvl w:ilvl="7">
      <w:start w:val="0"/>
      <w:numFmt w:val="bullet"/>
      <w:lvlText w:val="•"/>
      <w:lvlJc w:val="left"/>
      <w:pPr>
        <w:ind w:left="6110" w:hanging="426"/>
      </w:pPr>
      <w:rPr>
        <w:rFonts w:hint="default"/>
        <w:lang w:val="es-ES" w:eastAsia="es-ES" w:bidi="es-ES"/>
      </w:rPr>
    </w:lvl>
    <w:lvl w:ilvl="8">
      <w:start w:val="0"/>
      <w:numFmt w:val="bullet"/>
      <w:lvlText w:val="•"/>
      <w:lvlJc w:val="left"/>
      <w:pPr>
        <w:ind w:left="6915" w:hanging="426"/>
      </w:pPr>
      <w:rPr>
        <w:rFonts w:hint="default"/>
        <w:lang w:val="es-ES" w:eastAsia="es-ES" w:bidi="es-ES"/>
      </w:rPr>
    </w:lvl>
  </w:abstractNum>
  <w:abstractNum w:abstractNumId="1">
    <w:multiLevelType w:val="hybridMultilevel"/>
    <w:lvl w:ilvl="0">
      <w:start w:val="1"/>
      <w:numFmt w:val="decimal"/>
      <w:lvlText w:val="%1."/>
      <w:lvlJc w:val="left"/>
      <w:pPr>
        <w:ind w:left="553" w:hanging="428"/>
        <w:jc w:val="left"/>
      </w:pPr>
      <w:rPr>
        <w:rFonts w:hint="default" w:ascii="Arial" w:hAnsi="Arial" w:eastAsia="Arial" w:cs="Arial"/>
        <w:b/>
        <w:bCs/>
        <w:spacing w:val="-1"/>
        <w:w w:val="100"/>
        <w:sz w:val="22"/>
        <w:szCs w:val="22"/>
        <w:lang w:val="es-ES" w:eastAsia="es-ES" w:bidi="es-ES"/>
      </w:rPr>
    </w:lvl>
    <w:lvl w:ilvl="1">
      <w:start w:val="1"/>
      <w:numFmt w:val="decimal"/>
      <w:lvlText w:val="%1.%2."/>
      <w:lvlJc w:val="left"/>
      <w:pPr>
        <w:ind w:left="1542" w:hanging="990"/>
        <w:jc w:val="left"/>
      </w:pPr>
      <w:rPr>
        <w:rFonts w:hint="default" w:ascii="Arial" w:hAnsi="Arial" w:eastAsia="Arial" w:cs="Arial"/>
        <w:b/>
        <w:bCs/>
        <w:spacing w:val="-5"/>
        <w:w w:val="99"/>
        <w:sz w:val="24"/>
        <w:szCs w:val="24"/>
        <w:lang w:val="es-ES" w:eastAsia="es-ES" w:bidi="es-ES"/>
      </w:rPr>
    </w:lvl>
    <w:lvl w:ilvl="2">
      <w:start w:val="0"/>
      <w:numFmt w:val="bullet"/>
      <w:lvlText w:val="•"/>
      <w:lvlJc w:val="left"/>
      <w:pPr>
        <w:ind w:left="2671" w:hanging="990"/>
      </w:pPr>
      <w:rPr>
        <w:rFonts w:hint="default"/>
        <w:lang w:val="es-ES" w:eastAsia="es-ES" w:bidi="es-ES"/>
      </w:rPr>
    </w:lvl>
    <w:lvl w:ilvl="3">
      <w:start w:val="0"/>
      <w:numFmt w:val="bullet"/>
      <w:lvlText w:val="•"/>
      <w:lvlJc w:val="left"/>
      <w:pPr>
        <w:ind w:left="3802" w:hanging="990"/>
      </w:pPr>
      <w:rPr>
        <w:rFonts w:hint="default"/>
        <w:lang w:val="es-ES" w:eastAsia="es-ES" w:bidi="es-ES"/>
      </w:rPr>
    </w:lvl>
    <w:lvl w:ilvl="4">
      <w:start w:val="0"/>
      <w:numFmt w:val="bullet"/>
      <w:lvlText w:val="•"/>
      <w:lvlJc w:val="left"/>
      <w:pPr>
        <w:ind w:left="4934" w:hanging="990"/>
      </w:pPr>
      <w:rPr>
        <w:rFonts w:hint="default"/>
        <w:lang w:val="es-ES" w:eastAsia="es-ES" w:bidi="es-ES"/>
      </w:rPr>
    </w:lvl>
    <w:lvl w:ilvl="5">
      <w:start w:val="0"/>
      <w:numFmt w:val="bullet"/>
      <w:lvlText w:val="•"/>
      <w:lvlJc w:val="left"/>
      <w:pPr>
        <w:ind w:left="6065" w:hanging="990"/>
      </w:pPr>
      <w:rPr>
        <w:rFonts w:hint="default"/>
        <w:lang w:val="es-ES" w:eastAsia="es-ES" w:bidi="es-ES"/>
      </w:rPr>
    </w:lvl>
    <w:lvl w:ilvl="6">
      <w:start w:val="0"/>
      <w:numFmt w:val="bullet"/>
      <w:lvlText w:val="•"/>
      <w:lvlJc w:val="left"/>
      <w:pPr>
        <w:ind w:left="7196" w:hanging="990"/>
      </w:pPr>
      <w:rPr>
        <w:rFonts w:hint="default"/>
        <w:lang w:val="es-ES" w:eastAsia="es-ES" w:bidi="es-ES"/>
      </w:rPr>
    </w:lvl>
    <w:lvl w:ilvl="7">
      <w:start w:val="0"/>
      <w:numFmt w:val="bullet"/>
      <w:lvlText w:val="•"/>
      <w:lvlJc w:val="left"/>
      <w:pPr>
        <w:ind w:left="8328" w:hanging="990"/>
      </w:pPr>
      <w:rPr>
        <w:rFonts w:hint="default"/>
        <w:lang w:val="es-ES" w:eastAsia="es-ES" w:bidi="es-ES"/>
      </w:rPr>
    </w:lvl>
    <w:lvl w:ilvl="8">
      <w:start w:val="0"/>
      <w:numFmt w:val="bullet"/>
      <w:lvlText w:val="•"/>
      <w:lvlJc w:val="left"/>
      <w:pPr>
        <w:ind w:left="9459" w:hanging="990"/>
      </w:pPr>
      <w:rPr>
        <w:rFonts w:hint="default"/>
        <w:lang w:val="es-ES" w:eastAsia="es-ES" w:bidi="es-ES"/>
      </w:rPr>
    </w:lvl>
  </w:abstractNum>
  <w:abstractNum w:abstractNumId="0">
    <w:multiLevelType w:val="hybridMultilevel"/>
    <w:lvl w:ilvl="0">
      <w:start w:val="1"/>
      <w:numFmt w:val="upperLetter"/>
      <w:lvlText w:val="%1."/>
      <w:lvlJc w:val="left"/>
      <w:pPr>
        <w:ind w:left="834" w:hanging="709"/>
        <w:jc w:val="left"/>
      </w:pPr>
      <w:rPr>
        <w:rFonts w:hint="default" w:ascii="Arial" w:hAnsi="Arial" w:eastAsia="Arial" w:cs="Arial"/>
        <w:b/>
        <w:bCs/>
        <w:spacing w:val="-6"/>
        <w:w w:val="100"/>
        <w:sz w:val="22"/>
        <w:szCs w:val="22"/>
        <w:lang w:val="es-ES" w:eastAsia="es-ES" w:bidi="es-ES"/>
      </w:rPr>
    </w:lvl>
    <w:lvl w:ilvl="1">
      <w:start w:val="0"/>
      <w:numFmt w:val="bullet"/>
      <w:lvlText w:val="•"/>
      <w:lvlJc w:val="left"/>
      <w:pPr>
        <w:ind w:left="1928" w:hanging="709"/>
      </w:pPr>
      <w:rPr>
        <w:rFonts w:hint="default"/>
        <w:lang w:val="es-ES" w:eastAsia="es-ES" w:bidi="es-ES"/>
      </w:rPr>
    </w:lvl>
    <w:lvl w:ilvl="2">
      <w:start w:val="0"/>
      <w:numFmt w:val="bullet"/>
      <w:lvlText w:val="•"/>
      <w:lvlJc w:val="left"/>
      <w:pPr>
        <w:ind w:left="3016" w:hanging="709"/>
      </w:pPr>
      <w:rPr>
        <w:rFonts w:hint="default"/>
        <w:lang w:val="es-ES" w:eastAsia="es-ES" w:bidi="es-ES"/>
      </w:rPr>
    </w:lvl>
    <w:lvl w:ilvl="3">
      <w:start w:val="0"/>
      <w:numFmt w:val="bullet"/>
      <w:lvlText w:val="•"/>
      <w:lvlJc w:val="left"/>
      <w:pPr>
        <w:ind w:left="4104" w:hanging="709"/>
      </w:pPr>
      <w:rPr>
        <w:rFonts w:hint="default"/>
        <w:lang w:val="es-ES" w:eastAsia="es-ES" w:bidi="es-ES"/>
      </w:rPr>
    </w:lvl>
    <w:lvl w:ilvl="4">
      <w:start w:val="0"/>
      <w:numFmt w:val="bullet"/>
      <w:lvlText w:val="•"/>
      <w:lvlJc w:val="left"/>
      <w:pPr>
        <w:ind w:left="5192" w:hanging="709"/>
      </w:pPr>
      <w:rPr>
        <w:rFonts w:hint="default"/>
        <w:lang w:val="es-ES" w:eastAsia="es-ES" w:bidi="es-ES"/>
      </w:rPr>
    </w:lvl>
    <w:lvl w:ilvl="5">
      <w:start w:val="0"/>
      <w:numFmt w:val="bullet"/>
      <w:lvlText w:val="•"/>
      <w:lvlJc w:val="left"/>
      <w:pPr>
        <w:ind w:left="6281" w:hanging="709"/>
      </w:pPr>
      <w:rPr>
        <w:rFonts w:hint="default"/>
        <w:lang w:val="es-ES" w:eastAsia="es-ES" w:bidi="es-ES"/>
      </w:rPr>
    </w:lvl>
    <w:lvl w:ilvl="6">
      <w:start w:val="0"/>
      <w:numFmt w:val="bullet"/>
      <w:lvlText w:val="•"/>
      <w:lvlJc w:val="left"/>
      <w:pPr>
        <w:ind w:left="7369" w:hanging="709"/>
      </w:pPr>
      <w:rPr>
        <w:rFonts w:hint="default"/>
        <w:lang w:val="es-ES" w:eastAsia="es-ES" w:bidi="es-ES"/>
      </w:rPr>
    </w:lvl>
    <w:lvl w:ilvl="7">
      <w:start w:val="0"/>
      <w:numFmt w:val="bullet"/>
      <w:lvlText w:val="•"/>
      <w:lvlJc w:val="left"/>
      <w:pPr>
        <w:ind w:left="8457" w:hanging="709"/>
      </w:pPr>
      <w:rPr>
        <w:rFonts w:hint="default"/>
        <w:lang w:val="es-ES" w:eastAsia="es-ES" w:bidi="es-ES"/>
      </w:rPr>
    </w:lvl>
    <w:lvl w:ilvl="8">
      <w:start w:val="0"/>
      <w:numFmt w:val="bullet"/>
      <w:lvlText w:val="•"/>
      <w:lvlJc w:val="left"/>
      <w:pPr>
        <w:ind w:left="9545" w:hanging="709"/>
      </w:pPr>
      <w:rPr>
        <w:rFonts w:hint="default"/>
        <w:lang w:val="es-ES" w:eastAsia="es-ES" w:bidi="es-ES"/>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22"/>
      <w:szCs w:val="22"/>
      <w:lang w:val="es-ES" w:eastAsia="es-ES" w:bidi="es-ES"/>
    </w:rPr>
  </w:style>
  <w:style w:styleId="Heading1" w:type="paragraph">
    <w:name w:val="Heading 1"/>
    <w:basedOn w:val="Normal"/>
    <w:uiPriority w:val="1"/>
    <w:qFormat/>
    <w:pPr>
      <w:spacing w:before="114"/>
      <w:ind w:left="1542" w:hanging="990"/>
      <w:outlineLvl w:val="1"/>
    </w:pPr>
    <w:rPr>
      <w:rFonts w:ascii="Arial" w:hAnsi="Arial" w:eastAsia="Arial" w:cs="Arial"/>
      <w:b/>
      <w:bCs/>
      <w:sz w:val="24"/>
      <w:szCs w:val="24"/>
      <w:lang w:val="es-ES" w:eastAsia="es-ES" w:bidi="es-ES"/>
    </w:rPr>
  </w:style>
  <w:style w:styleId="Heading2" w:type="paragraph">
    <w:name w:val="Heading 2"/>
    <w:basedOn w:val="Normal"/>
    <w:uiPriority w:val="1"/>
    <w:qFormat/>
    <w:pPr>
      <w:ind w:left="834" w:hanging="709"/>
      <w:outlineLvl w:val="2"/>
    </w:pPr>
    <w:rPr>
      <w:rFonts w:ascii="Arial" w:hAnsi="Arial" w:eastAsia="Arial" w:cs="Arial"/>
      <w:b/>
      <w:bCs/>
      <w:sz w:val="22"/>
      <w:szCs w:val="22"/>
      <w:u w:val="single" w:color="000000"/>
      <w:lang w:val="es-ES" w:eastAsia="es-ES" w:bidi="es-ES"/>
    </w:rPr>
  </w:style>
  <w:style w:styleId="ListParagraph" w:type="paragraph">
    <w:name w:val="List Paragraph"/>
    <w:basedOn w:val="Normal"/>
    <w:uiPriority w:val="1"/>
    <w:qFormat/>
    <w:pPr>
      <w:ind w:left="834" w:hanging="709"/>
    </w:pPr>
    <w:rPr>
      <w:rFonts w:ascii="Arial" w:hAnsi="Arial" w:eastAsia="Arial" w:cs="Arial"/>
      <w:lang w:val="es-ES" w:eastAsia="es-ES" w:bidi="es-ES"/>
    </w:rPr>
  </w:style>
  <w:style w:styleId="TableParagraph" w:type="paragraph">
    <w:name w:val="Table Paragraph"/>
    <w:basedOn w:val="Normal"/>
    <w:uiPriority w:val="1"/>
    <w:qFormat/>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Edna Aracely Penagos Zamora</dc:creator>
  <dcterms:created xsi:type="dcterms:W3CDTF">2020-12-16T19:44:58Z</dcterms:created>
  <dcterms:modified xsi:type="dcterms:W3CDTF">2020-12-16T19:44:58Z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Creator">
    <vt:lpwstr>Microsoft® Word 2013</vt:lpwstr>
  </property>
  <property fmtid="{D5CDD505-2E9C-101B-9397-08002B2CF9AE}" pid="4" name="LastSaved">
    <vt:filetime>2020-12-16T00:00:00Z</vt:filetime>
  </property>
</Properties>
</file>