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1AC" w:rsidRDefault="002151AC" w:rsidP="00730E33">
      <w:pPr>
        <w:keepNext/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  <w:r>
        <w:rPr>
          <w:rFonts w:ascii="Arial" w:eastAsia="Times New Roman" w:hAnsi="Arial" w:cs="Arial"/>
          <w:b/>
        </w:rPr>
        <w:t>INFORME EJECUTIVO</w:t>
      </w:r>
    </w:p>
    <w:p w:rsidR="00730E33" w:rsidRDefault="00730E33" w:rsidP="00730E33">
      <w:pPr>
        <w:keepNext/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ENTREGA-RECEPCIÓN DE BIENES Y DOCUMENTOS</w:t>
      </w:r>
    </w:p>
    <w:p w:rsidR="00730E33" w:rsidRDefault="00730E33" w:rsidP="00730E33">
      <w:pPr>
        <w:keepNext/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DIRECCIÓN DE PERSONAL –DP-</w:t>
      </w:r>
    </w:p>
    <w:p w:rsidR="00730E33" w:rsidRDefault="00730E33" w:rsidP="00730E33">
      <w:pPr>
        <w:keepNext/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</w:p>
    <w:p w:rsidR="00294206" w:rsidRDefault="00730E33" w:rsidP="00730E33">
      <w:pPr>
        <w:keepNext/>
        <w:tabs>
          <w:tab w:val="left" w:pos="2550"/>
          <w:tab w:val="right" w:pos="8685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</w:p>
    <w:p w:rsidR="00730E33" w:rsidRDefault="00730E33" w:rsidP="00730E33">
      <w:pPr>
        <w:keepNext/>
        <w:tabs>
          <w:tab w:val="left" w:pos="2550"/>
          <w:tab w:val="right" w:pos="8685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</w:rPr>
        <w:t>INFORME: O-DIDAI/SUB No. 23-2020</w:t>
      </w:r>
    </w:p>
    <w:p w:rsidR="00730E33" w:rsidRDefault="00730E33" w:rsidP="00730E33">
      <w:pPr>
        <w:keepNext/>
        <w:tabs>
          <w:tab w:val="left" w:pos="2550"/>
          <w:tab w:val="right" w:pos="8685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lang w:val="es-GT"/>
        </w:rPr>
      </w:pPr>
      <w:r>
        <w:rPr>
          <w:rFonts w:ascii="Arial" w:eastAsia="Times New Roman" w:hAnsi="Arial" w:cs="Arial"/>
          <w:b/>
        </w:rPr>
        <w:tab/>
        <w:t>SIAD: 563054</w:t>
      </w:r>
    </w:p>
    <w:p w:rsidR="00730E33" w:rsidRDefault="00730E33" w:rsidP="00730E33">
      <w:pPr>
        <w:keepNext/>
        <w:autoSpaceDE w:val="0"/>
        <w:autoSpaceDN w:val="0"/>
        <w:adjustRightInd w:val="0"/>
        <w:jc w:val="center"/>
        <w:rPr>
          <w:rFonts w:ascii="Arial" w:eastAsia="Times New Roman" w:hAnsi="Arial" w:cs="Arial"/>
        </w:rPr>
      </w:pPr>
    </w:p>
    <w:p w:rsidR="00294206" w:rsidRDefault="00294206" w:rsidP="00730E33">
      <w:pPr>
        <w:keepNext/>
        <w:autoSpaceDE w:val="0"/>
        <w:autoSpaceDN w:val="0"/>
        <w:adjustRightInd w:val="0"/>
        <w:jc w:val="center"/>
        <w:rPr>
          <w:rFonts w:ascii="Arial" w:eastAsia="Times New Roman" w:hAnsi="Arial" w:cs="Arial"/>
        </w:rPr>
      </w:pPr>
    </w:p>
    <w:p w:rsidR="00730E33" w:rsidRDefault="00730E33" w:rsidP="00730E33">
      <w:pPr>
        <w:keepNext/>
        <w:autoSpaceDE w:val="0"/>
        <w:autoSpaceDN w:val="0"/>
        <w:adjustRightInd w:val="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Guatemala, 13 de noviembre de 2020.</w:t>
      </w:r>
    </w:p>
    <w:p w:rsidR="00730E33" w:rsidRDefault="00730E33" w:rsidP="00730E33">
      <w:pPr>
        <w:keepNext/>
        <w:jc w:val="both"/>
        <w:rPr>
          <w:rFonts w:ascii="Arial" w:eastAsia="Times New Roman" w:hAnsi="Arial" w:cs="Arial"/>
        </w:rPr>
      </w:pPr>
    </w:p>
    <w:p w:rsidR="00294206" w:rsidRDefault="00294206" w:rsidP="00730E33">
      <w:pPr>
        <w:keepNext/>
        <w:jc w:val="both"/>
        <w:rPr>
          <w:rFonts w:ascii="Arial" w:eastAsia="Times New Roman" w:hAnsi="Arial" w:cs="Arial"/>
        </w:rPr>
      </w:pPr>
    </w:p>
    <w:p w:rsidR="00730E33" w:rsidRDefault="00730E33" w:rsidP="00730E33">
      <w:pPr>
        <w:keepNext/>
        <w:jc w:val="both"/>
        <w:rPr>
          <w:rFonts w:ascii="Arial" w:eastAsia="Times New Roman" w:hAnsi="Arial" w:cs="Arial"/>
        </w:rPr>
      </w:pPr>
    </w:p>
    <w:p w:rsidR="00730E33" w:rsidRDefault="00730E33" w:rsidP="00730E33">
      <w:pPr>
        <w:keepNext/>
        <w:jc w:val="both"/>
        <w:rPr>
          <w:rFonts w:ascii="Arial" w:eastAsia="Times New Roman" w:hAnsi="Arial" w:cs="Arial"/>
        </w:rPr>
      </w:pPr>
    </w:p>
    <w:p w:rsidR="00730E33" w:rsidRDefault="00730E33" w:rsidP="00730E33">
      <w:pPr>
        <w:keepNext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Señor</w:t>
      </w:r>
      <w:r w:rsidR="00601836">
        <w:rPr>
          <w:rFonts w:ascii="Arial" w:eastAsia="Times New Roman" w:hAnsi="Arial" w:cs="Arial"/>
        </w:rPr>
        <w:t>a Directora</w:t>
      </w:r>
    </w:p>
    <w:p w:rsidR="00730E33" w:rsidRDefault="00730E33" w:rsidP="00730E33">
      <w:pPr>
        <w:keepNext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Lic</w:t>
      </w:r>
      <w:r w:rsidR="00601836">
        <w:rPr>
          <w:rFonts w:ascii="Arial" w:eastAsia="Times New Roman" w:hAnsi="Arial" w:cs="Arial"/>
          <w:b/>
        </w:rPr>
        <w:t>da</w:t>
      </w:r>
      <w:r>
        <w:rPr>
          <w:rFonts w:ascii="Arial" w:eastAsia="Times New Roman" w:hAnsi="Arial" w:cs="Arial"/>
          <w:b/>
        </w:rPr>
        <w:t xml:space="preserve">. </w:t>
      </w:r>
      <w:r w:rsidR="00601836">
        <w:rPr>
          <w:rFonts w:ascii="Arial" w:eastAsia="Times New Roman" w:hAnsi="Arial" w:cs="Arial"/>
          <w:b/>
        </w:rPr>
        <w:t xml:space="preserve">Julia Victoria </w:t>
      </w:r>
      <w:r>
        <w:rPr>
          <w:rFonts w:ascii="Arial" w:eastAsia="Times New Roman" w:hAnsi="Arial" w:cs="Arial"/>
          <w:b/>
        </w:rPr>
        <w:t>M</w:t>
      </w:r>
      <w:r w:rsidR="00601836">
        <w:rPr>
          <w:rFonts w:ascii="Arial" w:eastAsia="Times New Roman" w:hAnsi="Arial" w:cs="Arial"/>
          <w:b/>
        </w:rPr>
        <w:t>onzón</w:t>
      </w:r>
    </w:p>
    <w:p w:rsidR="00730E33" w:rsidRDefault="00601836" w:rsidP="00730E33">
      <w:pPr>
        <w:keepNext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Dirección de Auditoría Interna</w:t>
      </w:r>
    </w:p>
    <w:p w:rsidR="00730E33" w:rsidRDefault="00730E33" w:rsidP="00730E33">
      <w:pPr>
        <w:keepNext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Ministerio de Educación</w:t>
      </w:r>
    </w:p>
    <w:p w:rsidR="00730E33" w:rsidRDefault="00730E33" w:rsidP="00730E33">
      <w:pPr>
        <w:keepNext/>
        <w:jc w:val="both"/>
        <w:rPr>
          <w:rFonts w:ascii="Arial" w:eastAsia="Times New Roman" w:hAnsi="Arial" w:cs="Arial"/>
        </w:rPr>
      </w:pPr>
    </w:p>
    <w:p w:rsidR="00730E33" w:rsidRDefault="00730E33" w:rsidP="00730E33">
      <w:pPr>
        <w:keepNext/>
        <w:jc w:val="both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</w:rPr>
        <w:t>Estimad</w:t>
      </w:r>
      <w:r w:rsidR="00601836">
        <w:rPr>
          <w:rFonts w:ascii="Arial" w:eastAsia="Times New Roman" w:hAnsi="Arial" w:cs="Arial"/>
          <w:b/>
        </w:rPr>
        <w:t xml:space="preserve">a </w:t>
      </w:r>
      <w:r>
        <w:rPr>
          <w:rFonts w:ascii="Arial" w:eastAsia="Times New Roman" w:hAnsi="Arial" w:cs="Arial"/>
          <w:b/>
        </w:rPr>
        <w:t>Licenciad</w:t>
      </w:r>
      <w:r w:rsidR="00601836">
        <w:rPr>
          <w:rFonts w:ascii="Arial" w:eastAsia="Times New Roman" w:hAnsi="Arial" w:cs="Arial"/>
          <w:b/>
        </w:rPr>
        <w:t>a</w:t>
      </w:r>
      <w:r>
        <w:rPr>
          <w:rFonts w:ascii="Arial" w:eastAsia="Times New Roman" w:hAnsi="Arial" w:cs="Arial"/>
          <w:b/>
        </w:rPr>
        <w:t xml:space="preserve"> M</w:t>
      </w:r>
      <w:r w:rsidR="00601836">
        <w:rPr>
          <w:rFonts w:ascii="Arial" w:eastAsia="Times New Roman" w:hAnsi="Arial" w:cs="Arial"/>
          <w:b/>
        </w:rPr>
        <w:t>onzón</w:t>
      </w:r>
      <w:r>
        <w:rPr>
          <w:rFonts w:ascii="Arial" w:eastAsia="Times New Roman" w:hAnsi="Arial" w:cs="Arial"/>
          <w:b/>
        </w:rPr>
        <w:t>:</w:t>
      </w:r>
    </w:p>
    <w:p w:rsidR="00730E33" w:rsidRDefault="00730E33" w:rsidP="00730E33">
      <w:pPr>
        <w:keepNext/>
        <w:jc w:val="both"/>
        <w:rPr>
          <w:rFonts w:ascii="Arial" w:eastAsia="Times New Roman" w:hAnsi="Arial" w:cs="Arial"/>
          <w:lang w:val="es-ES"/>
        </w:rPr>
      </w:pPr>
    </w:p>
    <w:p w:rsidR="00730E33" w:rsidRDefault="00730E33" w:rsidP="00730E33">
      <w:pPr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lang w:val="es-GT"/>
        </w:rPr>
      </w:pPr>
      <w:r>
        <w:rPr>
          <w:rFonts w:ascii="Arial" w:eastAsia="Times New Roman" w:hAnsi="Arial" w:cs="Arial"/>
        </w:rPr>
        <w:t>Por este medio r</w:t>
      </w:r>
      <w:r w:rsidR="000473C1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nd</w:t>
      </w:r>
      <w:r w:rsidR="00601836">
        <w:rPr>
          <w:rFonts w:ascii="Arial" w:eastAsia="Times New Roman" w:hAnsi="Arial" w:cs="Arial"/>
        </w:rPr>
        <w:t xml:space="preserve">o </w:t>
      </w:r>
      <w:r>
        <w:rPr>
          <w:rFonts w:ascii="Arial" w:eastAsia="Times New Roman" w:hAnsi="Arial" w:cs="Arial"/>
        </w:rPr>
        <w:t xml:space="preserve">el informe relativo al encabezado del presente oficio, de la siguiente manera: </w:t>
      </w:r>
    </w:p>
    <w:p w:rsidR="00730E33" w:rsidRDefault="00730E33" w:rsidP="00730E33">
      <w:pPr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. </w:t>
      </w:r>
    </w:p>
    <w:p w:rsidR="00730E33" w:rsidRDefault="00730E33" w:rsidP="00730E33">
      <w:pPr>
        <w:keepNext/>
        <w:numPr>
          <w:ilvl w:val="0"/>
          <w:numId w:val="1"/>
        </w:numPr>
        <w:spacing w:before="240" w:after="60"/>
        <w:outlineLvl w:val="0"/>
        <w:rPr>
          <w:rFonts w:ascii="Arial" w:eastAsia="Times New Roman" w:hAnsi="Arial" w:cs="Arial"/>
          <w:b/>
          <w:bCs/>
          <w:kern w:val="32"/>
        </w:rPr>
      </w:pPr>
      <w:bookmarkStart w:id="1" w:name="_Toc229199208"/>
      <w:r>
        <w:rPr>
          <w:rFonts w:ascii="Arial" w:eastAsia="Times New Roman" w:hAnsi="Arial" w:cs="Arial"/>
          <w:b/>
          <w:bCs/>
          <w:kern w:val="32"/>
        </w:rPr>
        <w:t>INTRODUCCI</w:t>
      </w:r>
      <w:bookmarkEnd w:id="1"/>
      <w:r>
        <w:rPr>
          <w:rFonts w:ascii="Arial" w:eastAsia="Times New Roman" w:hAnsi="Arial" w:cs="Arial"/>
          <w:b/>
          <w:bCs/>
          <w:kern w:val="32"/>
        </w:rPr>
        <w:t>ÓN</w:t>
      </w:r>
    </w:p>
    <w:p w:rsidR="00730E33" w:rsidRDefault="00730E33" w:rsidP="00730E33">
      <w:pPr>
        <w:keepNext/>
        <w:ind w:left="480"/>
        <w:jc w:val="both"/>
        <w:rPr>
          <w:rFonts w:ascii="Arial" w:eastAsia="Times New Roman" w:hAnsi="Arial" w:cs="Arial"/>
        </w:rPr>
      </w:pPr>
    </w:p>
    <w:p w:rsidR="00730E33" w:rsidRPr="00AE0E5E" w:rsidRDefault="00730E33" w:rsidP="00730E33">
      <w:pPr>
        <w:keepNext/>
        <w:ind w:left="480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</w:rPr>
        <w:t xml:space="preserve">En oficio O-DIDAI/SUB No. 23-2020 de fecha 25 de septiembre del año en curso, fui designado para brindar acompañamiento en el traslado de bienes y documentos que la Comisión Liquidadora de la Dirección de Personal –DP- a cargo de la Ingeniera Ingrid Maricel Figueroa Cisneros, haría a la Dirección de Recursos Humanos –DIREH-; y proporcionar a ésta la asesoría para finiquitar la </w:t>
      </w:r>
      <w:proofErr w:type="spellStart"/>
      <w:r>
        <w:rPr>
          <w:rFonts w:ascii="Arial" w:eastAsia="Times New Roman" w:hAnsi="Arial" w:cs="Arial"/>
        </w:rPr>
        <w:t>cuentadancia</w:t>
      </w:r>
      <w:proofErr w:type="spellEnd"/>
      <w:r>
        <w:rPr>
          <w:rFonts w:ascii="Arial" w:eastAsia="Times New Roman" w:hAnsi="Arial" w:cs="Arial"/>
        </w:rPr>
        <w:t xml:space="preserve"> D2-68, bajo el entendido que la toma de decisiones y resolución de problemas es responsabilidad de los acompañados.</w:t>
      </w:r>
    </w:p>
    <w:p w:rsidR="00730E33" w:rsidRDefault="00730E33" w:rsidP="00730E33">
      <w:pPr>
        <w:keepNext/>
        <w:ind w:left="480"/>
        <w:jc w:val="both"/>
        <w:rPr>
          <w:rFonts w:ascii="Arial" w:eastAsia="Times New Roman" w:hAnsi="Arial" w:cs="Arial"/>
        </w:rPr>
      </w:pPr>
    </w:p>
    <w:p w:rsidR="00730E33" w:rsidRDefault="00730E33" w:rsidP="00730E33">
      <w:pPr>
        <w:keepNext/>
        <w:numPr>
          <w:ilvl w:val="0"/>
          <w:numId w:val="1"/>
        </w:numPr>
        <w:spacing w:before="240" w:after="60"/>
        <w:jc w:val="both"/>
        <w:outlineLvl w:val="0"/>
        <w:rPr>
          <w:rFonts w:ascii="Arial" w:eastAsia="Times New Roman" w:hAnsi="Arial" w:cs="Arial"/>
          <w:b/>
          <w:bCs/>
          <w:kern w:val="32"/>
        </w:rPr>
      </w:pPr>
      <w:r>
        <w:rPr>
          <w:rFonts w:ascii="Arial" w:eastAsia="Times New Roman" w:hAnsi="Arial" w:cs="Arial"/>
          <w:b/>
          <w:bCs/>
          <w:kern w:val="32"/>
        </w:rPr>
        <w:t>ALCANCE DE LA ACTIVIDAD</w:t>
      </w:r>
    </w:p>
    <w:p w:rsidR="00730E33" w:rsidRDefault="00730E33" w:rsidP="00730E33">
      <w:pPr>
        <w:keepNext/>
        <w:ind w:left="480"/>
        <w:jc w:val="both"/>
        <w:rPr>
          <w:rFonts w:ascii="Arial" w:eastAsia="Times New Roman" w:hAnsi="Arial" w:cs="Arial"/>
          <w:lang w:val="es-ES"/>
        </w:rPr>
      </w:pPr>
    </w:p>
    <w:p w:rsidR="00730E33" w:rsidRDefault="00730E33" w:rsidP="00730E33">
      <w:pPr>
        <w:jc w:val="both"/>
        <w:rPr>
          <w:rFonts w:ascii="Arial" w:eastAsia="Times New Roman" w:hAnsi="Arial" w:cs="Arial"/>
          <w:lang w:val="es-GT"/>
        </w:rPr>
      </w:pPr>
      <w:r>
        <w:rPr>
          <w:rFonts w:ascii="Arial" w:eastAsia="Times New Roman" w:hAnsi="Arial" w:cs="Arial"/>
          <w:lang w:val="es-GT"/>
        </w:rPr>
        <w:t xml:space="preserve">Se proporcionó acompañamiento en la ejecución de las instrucciones cronológicamente contenidas en: </w:t>
      </w:r>
    </w:p>
    <w:p w:rsidR="00730E33" w:rsidRDefault="00730E33" w:rsidP="00730E33">
      <w:pPr>
        <w:jc w:val="both"/>
        <w:rPr>
          <w:rFonts w:ascii="Arial" w:eastAsia="Times New Roman" w:hAnsi="Arial" w:cs="Arial"/>
          <w:lang w:val="es-GT"/>
        </w:rPr>
      </w:pPr>
    </w:p>
    <w:p w:rsidR="00730E33" w:rsidRDefault="00730E33" w:rsidP="00730E33">
      <w:pPr>
        <w:ind w:left="284" w:hanging="284"/>
        <w:jc w:val="both"/>
        <w:rPr>
          <w:rFonts w:ascii="Arial" w:eastAsia="Times New Roman" w:hAnsi="Arial" w:cs="Arial"/>
          <w:lang w:val="es-GT"/>
        </w:rPr>
      </w:pPr>
      <w:r>
        <w:rPr>
          <w:rFonts w:ascii="Arial" w:eastAsia="Times New Roman" w:hAnsi="Arial" w:cs="Arial"/>
          <w:lang w:val="es-GT"/>
        </w:rPr>
        <w:t>1- Los Oficios DIREH-10,884-2020, DIREH-10,885-2020 y DIREH-10,887-2020 de fecha 11 de septiembre de 2020, y el Oficio DIREH-10,777-2020, de fecha 17 de</w:t>
      </w:r>
      <w:r w:rsidR="00671A12">
        <w:rPr>
          <w:rFonts w:ascii="Arial" w:eastAsia="Times New Roman" w:hAnsi="Arial" w:cs="Arial"/>
          <w:lang w:val="es-GT"/>
        </w:rPr>
        <w:t xml:space="preserve"> igual mes y</w:t>
      </w:r>
      <w:r>
        <w:rPr>
          <w:rFonts w:ascii="Arial" w:eastAsia="Times New Roman" w:hAnsi="Arial" w:cs="Arial"/>
          <w:lang w:val="es-GT"/>
        </w:rPr>
        <w:t xml:space="preserve"> año, donde el Director de Recursos Humanos, Lic. Walter Arturo Cabrera Sosa:</w:t>
      </w:r>
    </w:p>
    <w:p w:rsidR="00730E33" w:rsidRDefault="00730E33" w:rsidP="00730E33">
      <w:pPr>
        <w:ind w:left="284" w:hanging="284"/>
        <w:jc w:val="both"/>
        <w:rPr>
          <w:rFonts w:ascii="Arial" w:eastAsia="Times New Roman" w:hAnsi="Arial" w:cs="Arial"/>
          <w:lang w:val="es-GT"/>
        </w:rPr>
      </w:pPr>
    </w:p>
    <w:p w:rsidR="00730E33" w:rsidRDefault="00730E33" w:rsidP="00730E33">
      <w:pPr>
        <w:ind w:left="851" w:hanging="567"/>
        <w:jc w:val="both"/>
        <w:rPr>
          <w:rFonts w:ascii="Arial" w:eastAsia="Times New Roman" w:hAnsi="Arial" w:cs="Arial"/>
          <w:lang w:val="es-GT"/>
        </w:rPr>
      </w:pPr>
      <w:r>
        <w:rPr>
          <w:rFonts w:ascii="Arial" w:eastAsia="Times New Roman" w:hAnsi="Arial" w:cs="Arial"/>
          <w:lang w:val="es-GT"/>
        </w:rPr>
        <w:lastRenderedPageBreak/>
        <w:t xml:space="preserve">1.1 </w:t>
      </w:r>
      <w:r w:rsidR="00E43119">
        <w:rPr>
          <w:rFonts w:ascii="Arial" w:eastAsia="Times New Roman" w:hAnsi="Arial" w:cs="Arial"/>
          <w:lang w:val="es-GT"/>
        </w:rPr>
        <w:tab/>
      </w:r>
      <w:r>
        <w:rPr>
          <w:rFonts w:ascii="Arial" w:eastAsia="Times New Roman" w:hAnsi="Arial" w:cs="Arial"/>
          <w:lang w:val="es-GT"/>
        </w:rPr>
        <w:t>Traslada temporalmente a l</w:t>
      </w:r>
      <w:r w:rsidR="00671A12">
        <w:rPr>
          <w:rFonts w:ascii="Arial" w:eastAsia="Times New Roman" w:hAnsi="Arial" w:cs="Arial"/>
          <w:lang w:val="es-GT"/>
        </w:rPr>
        <w:t>a Licenciada Nidia Edna Contreras Vela a la Subdirección de Presupuesto de Nóminas</w:t>
      </w:r>
      <w:r w:rsidR="000473C1">
        <w:rPr>
          <w:rFonts w:ascii="Arial" w:eastAsia="Times New Roman" w:hAnsi="Arial" w:cs="Arial"/>
          <w:lang w:val="es-GT"/>
        </w:rPr>
        <w:t>,</w:t>
      </w:r>
      <w:r w:rsidR="00671A12">
        <w:rPr>
          <w:rFonts w:ascii="Arial" w:eastAsia="Times New Roman" w:hAnsi="Arial" w:cs="Arial"/>
          <w:lang w:val="es-GT"/>
        </w:rPr>
        <w:t xml:space="preserve"> </w:t>
      </w:r>
      <w:r w:rsidR="000473C1">
        <w:rPr>
          <w:rFonts w:ascii="Arial" w:eastAsia="Times New Roman" w:hAnsi="Arial" w:cs="Arial"/>
          <w:lang w:val="es-GT"/>
        </w:rPr>
        <w:t xml:space="preserve">al </w:t>
      </w:r>
      <w:r w:rsidR="00671A12">
        <w:rPr>
          <w:rFonts w:ascii="Arial" w:eastAsia="Times New Roman" w:hAnsi="Arial" w:cs="Arial"/>
          <w:lang w:val="es-GT"/>
        </w:rPr>
        <w:t xml:space="preserve">Licenciado Carlos Rubén Torres Rodríguez y a la Ingeniera Ingrid Maricel Figueroa Cisneros, a la Subdirección de Administración de Nóminas; integrantes de la extinta </w:t>
      </w:r>
      <w:r w:rsidR="00671A12">
        <w:rPr>
          <w:rFonts w:ascii="Arial" w:eastAsia="Times New Roman" w:hAnsi="Arial" w:cs="Arial"/>
        </w:rPr>
        <w:t xml:space="preserve">Comisión Liquidadora de la Dependencia Subrogada Dirección de Personal –DP- y su </w:t>
      </w:r>
      <w:proofErr w:type="spellStart"/>
      <w:r w:rsidR="00671A12">
        <w:rPr>
          <w:rFonts w:ascii="Arial" w:eastAsia="Times New Roman" w:hAnsi="Arial" w:cs="Arial"/>
        </w:rPr>
        <w:t>Cuentadancia</w:t>
      </w:r>
      <w:proofErr w:type="spellEnd"/>
      <w:r w:rsidR="00671A12">
        <w:rPr>
          <w:rFonts w:ascii="Arial" w:eastAsia="Times New Roman" w:hAnsi="Arial" w:cs="Arial"/>
        </w:rPr>
        <w:t xml:space="preserve"> D2-68. A ésta última solicita, </w:t>
      </w:r>
      <w:r w:rsidR="00671A12">
        <w:rPr>
          <w:rFonts w:ascii="Arial" w:eastAsia="Times New Roman" w:hAnsi="Arial" w:cs="Arial"/>
          <w:lang w:val="es-GT"/>
        </w:rPr>
        <w:t xml:space="preserve">además, </w:t>
      </w:r>
      <w:r w:rsidR="00671A12" w:rsidRPr="00896502">
        <w:rPr>
          <w:rFonts w:ascii="Arial" w:eastAsia="Times New Roman" w:hAnsi="Arial" w:cs="Arial"/>
          <w:b/>
          <w:lang w:val="es-GT"/>
        </w:rPr>
        <w:t>trasladar al Departamento Administrativo Financiero de la Dirección de Recursos Humanos los bienes y documentos</w:t>
      </w:r>
      <w:r w:rsidR="00671A12">
        <w:rPr>
          <w:rFonts w:ascii="Arial" w:eastAsia="Times New Roman" w:hAnsi="Arial" w:cs="Arial"/>
          <w:lang w:val="es-GT"/>
        </w:rPr>
        <w:t xml:space="preserve"> que corresponden al cierre de la referida </w:t>
      </w:r>
      <w:proofErr w:type="spellStart"/>
      <w:r w:rsidR="00671A12">
        <w:rPr>
          <w:rFonts w:ascii="Arial" w:eastAsia="Times New Roman" w:hAnsi="Arial" w:cs="Arial"/>
          <w:lang w:val="es-GT"/>
        </w:rPr>
        <w:t>cuentadancia</w:t>
      </w:r>
      <w:proofErr w:type="spellEnd"/>
      <w:r w:rsidR="00671A12">
        <w:rPr>
          <w:rFonts w:ascii="Arial" w:eastAsia="Times New Roman" w:hAnsi="Arial" w:cs="Arial"/>
          <w:lang w:val="es-GT"/>
        </w:rPr>
        <w:t>-</w:t>
      </w:r>
      <w:r w:rsidR="000473C1">
        <w:rPr>
          <w:rFonts w:ascii="Arial" w:eastAsia="Times New Roman" w:hAnsi="Arial" w:cs="Arial"/>
          <w:lang w:val="es-GT"/>
        </w:rPr>
        <w:t>;</w:t>
      </w:r>
      <w:r w:rsidR="00671A12">
        <w:rPr>
          <w:rFonts w:ascii="Arial" w:eastAsia="Times New Roman" w:hAnsi="Arial" w:cs="Arial"/>
          <w:lang w:val="es-GT"/>
        </w:rPr>
        <w:t xml:space="preserve"> </w:t>
      </w:r>
      <w:r>
        <w:rPr>
          <w:rFonts w:ascii="Arial" w:eastAsia="Times New Roman" w:hAnsi="Arial" w:cs="Arial"/>
          <w:lang w:val="es-GT"/>
        </w:rPr>
        <w:t xml:space="preserve">y, </w:t>
      </w:r>
    </w:p>
    <w:p w:rsidR="00730E33" w:rsidRDefault="00730E33" w:rsidP="00730E33">
      <w:pPr>
        <w:ind w:left="284" w:hanging="284"/>
        <w:jc w:val="both"/>
        <w:rPr>
          <w:rFonts w:ascii="Arial" w:eastAsia="Times New Roman" w:hAnsi="Arial" w:cs="Arial"/>
          <w:lang w:val="es-GT"/>
        </w:rPr>
      </w:pPr>
    </w:p>
    <w:p w:rsidR="00730E33" w:rsidRDefault="00730E33" w:rsidP="00730E33">
      <w:pPr>
        <w:ind w:left="851" w:hanging="567"/>
        <w:jc w:val="both"/>
        <w:rPr>
          <w:rFonts w:ascii="Arial" w:eastAsia="Times New Roman" w:hAnsi="Arial" w:cs="Arial"/>
          <w:lang w:val="es-GT"/>
        </w:rPr>
      </w:pPr>
      <w:r>
        <w:rPr>
          <w:rFonts w:ascii="Arial" w:eastAsia="Times New Roman" w:hAnsi="Arial" w:cs="Arial"/>
          <w:lang w:val="es-GT"/>
        </w:rPr>
        <w:t>1.2</w:t>
      </w:r>
      <w:r>
        <w:rPr>
          <w:rFonts w:ascii="Arial" w:eastAsia="Times New Roman" w:hAnsi="Arial" w:cs="Arial"/>
          <w:lang w:val="es-GT"/>
        </w:rPr>
        <w:tab/>
        <w:t xml:space="preserve">Solicita al Jefe del Departamento Administrativo Financiero de la Dirección de Recursos Humanos –DIREH-, Ingeniero Mario Alfredo Cuevas Barahona, que la Unidad Financiera asuma y distribuya las actividades para finalizar la </w:t>
      </w:r>
      <w:proofErr w:type="spellStart"/>
      <w:r>
        <w:rPr>
          <w:rFonts w:ascii="Arial" w:eastAsia="Times New Roman" w:hAnsi="Arial" w:cs="Arial"/>
          <w:lang w:val="es-GT"/>
        </w:rPr>
        <w:t>cuentadancia</w:t>
      </w:r>
      <w:proofErr w:type="spellEnd"/>
      <w:r>
        <w:rPr>
          <w:rFonts w:ascii="Arial" w:eastAsia="Times New Roman" w:hAnsi="Arial" w:cs="Arial"/>
          <w:lang w:val="es-GT"/>
        </w:rPr>
        <w:t xml:space="preserve"> de la Dirección de Personal –DP-, respectivamente; y,</w:t>
      </w:r>
    </w:p>
    <w:p w:rsidR="00730E33" w:rsidRDefault="00730E33" w:rsidP="00730E33">
      <w:pPr>
        <w:jc w:val="both"/>
        <w:rPr>
          <w:rFonts w:ascii="Arial" w:eastAsia="Times New Roman" w:hAnsi="Arial" w:cs="Arial"/>
          <w:lang w:val="es-GT"/>
        </w:rPr>
      </w:pPr>
    </w:p>
    <w:p w:rsidR="00730E33" w:rsidRPr="00411A02" w:rsidRDefault="00730E33" w:rsidP="00730E33">
      <w:pPr>
        <w:ind w:left="284" w:hanging="284"/>
        <w:jc w:val="both"/>
        <w:rPr>
          <w:rFonts w:ascii="Arial" w:eastAsia="Times New Roman" w:hAnsi="Arial" w:cs="Arial"/>
          <w:lang w:val="es-GT"/>
        </w:rPr>
      </w:pPr>
      <w:r>
        <w:rPr>
          <w:rFonts w:ascii="Arial" w:eastAsia="Times New Roman" w:hAnsi="Arial" w:cs="Arial"/>
          <w:lang w:val="es-GT"/>
        </w:rPr>
        <w:t xml:space="preserve">2- El Oficio VDA-972-2020, de fecha 29 de septiembre del 2020, donde el Viceministro Administrativo, Lic. Erick Fernando Mazariegos Salas, </w:t>
      </w:r>
      <w:r w:rsidR="00896502">
        <w:rPr>
          <w:rFonts w:ascii="Arial" w:eastAsia="Times New Roman" w:hAnsi="Arial" w:cs="Arial"/>
          <w:lang w:val="es-GT"/>
        </w:rPr>
        <w:t xml:space="preserve">solicita a los </w:t>
      </w:r>
      <w:r>
        <w:rPr>
          <w:rFonts w:ascii="Arial" w:eastAsia="Times New Roman" w:hAnsi="Arial" w:cs="Arial"/>
          <w:lang w:val="es-GT"/>
        </w:rPr>
        <w:t xml:space="preserve">ex integrantes de la Comisión Liquidadora supra identificados, </w:t>
      </w:r>
      <w:r w:rsidRPr="00500618">
        <w:rPr>
          <w:rFonts w:ascii="Arial" w:eastAsia="Times New Roman" w:hAnsi="Arial" w:cs="Arial"/>
          <w:b/>
          <w:lang w:val="es-GT"/>
        </w:rPr>
        <w:t>concluir los trabajos de liquidación correspondientes</w:t>
      </w:r>
      <w:r w:rsidR="00896502">
        <w:rPr>
          <w:rFonts w:ascii="Arial" w:eastAsia="Times New Roman" w:hAnsi="Arial" w:cs="Arial"/>
          <w:b/>
          <w:lang w:val="es-GT"/>
        </w:rPr>
        <w:t xml:space="preserve">, </w:t>
      </w:r>
      <w:r w:rsidR="00896502">
        <w:rPr>
          <w:rFonts w:ascii="Arial" w:eastAsia="Times New Roman" w:hAnsi="Arial" w:cs="Arial"/>
          <w:lang w:val="es-GT"/>
        </w:rPr>
        <w:t xml:space="preserve">aclarados el 12 de noviembre del año en curso en el oficio No. VDA-1116-2020, como </w:t>
      </w:r>
      <w:r w:rsidR="00411A02">
        <w:rPr>
          <w:rFonts w:ascii="Arial" w:eastAsia="Times New Roman" w:hAnsi="Arial" w:cs="Arial"/>
          <w:lang w:val="es-GT"/>
        </w:rPr>
        <w:t xml:space="preserve">los trabajos </w:t>
      </w:r>
      <w:r w:rsidR="00896502">
        <w:rPr>
          <w:rFonts w:ascii="Arial" w:eastAsia="Times New Roman" w:hAnsi="Arial" w:cs="Arial"/>
          <w:lang w:val="es-GT"/>
        </w:rPr>
        <w:t>par</w:t>
      </w:r>
      <w:r w:rsidR="00411A02">
        <w:rPr>
          <w:rFonts w:ascii="Arial" w:eastAsia="Times New Roman" w:hAnsi="Arial" w:cs="Arial"/>
          <w:lang w:val="es-GT"/>
        </w:rPr>
        <w:t>a concluir la entrega de documentación realizada.</w:t>
      </w:r>
    </w:p>
    <w:p w:rsidR="00730E33" w:rsidRDefault="00730E33" w:rsidP="00730E33">
      <w:pPr>
        <w:ind w:left="284" w:hanging="284"/>
        <w:jc w:val="both"/>
        <w:rPr>
          <w:rFonts w:ascii="Arial" w:eastAsia="Times New Roman" w:hAnsi="Arial" w:cs="Arial"/>
          <w:b/>
          <w:lang w:val="es-GT"/>
        </w:rPr>
      </w:pPr>
    </w:p>
    <w:p w:rsidR="00730E33" w:rsidRDefault="00730E33" w:rsidP="00730E33">
      <w:pPr>
        <w:ind w:left="284" w:hanging="284"/>
        <w:jc w:val="both"/>
        <w:rPr>
          <w:rFonts w:ascii="Arial" w:eastAsia="Times New Roman" w:hAnsi="Arial" w:cs="Arial"/>
          <w:b/>
          <w:lang w:val="es-GT"/>
        </w:rPr>
      </w:pPr>
    </w:p>
    <w:p w:rsidR="00730E33" w:rsidRDefault="00730E33" w:rsidP="00730E33">
      <w:pPr>
        <w:keepNext/>
        <w:numPr>
          <w:ilvl w:val="0"/>
          <w:numId w:val="1"/>
        </w:numPr>
        <w:spacing w:before="240" w:after="60"/>
        <w:jc w:val="both"/>
        <w:outlineLvl w:val="0"/>
        <w:rPr>
          <w:rFonts w:ascii="Arial" w:eastAsia="Times New Roman" w:hAnsi="Arial" w:cs="Arial"/>
          <w:b/>
          <w:bCs/>
          <w:kern w:val="32"/>
          <w:sz w:val="22"/>
          <w:szCs w:val="22"/>
        </w:rPr>
      </w:pPr>
      <w:r>
        <w:rPr>
          <w:rFonts w:ascii="Arial" w:eastAsia="Times New Roman" w:hAnsi="Arial" w:cs="Arial"/>
          <w:b/>
          <w:bCs/>
          <w:kern w:val="32"/>
        </w:rPr>
        <w:t>LOS ASPECTOS MÁS IMPORTANTES DEL TRABAJO REALIZADO SE RESUMEN A CONTINUACIÒN:</w:t>
      </w:r>
    </w:p>
    <w:p w:rsidR="00730E33" w:rsidRDefault="00730E33" w:rsidP="00730E33">
      <w:pPr>
        <w:keepNext/>
        <w:rPr>
          <w:rFonts w:ascii="Times New Roman" w:eastAsia="Times New Roman" w:hAnsi="Times New Roman" w:cs="Times New Roman"/>
          <w:sz w:val="20"/>
          <w:szCs w:val="20"/>
        </w:rPr>
      </w:pPr>
    </w:p>
    <w:p w:rsidR="00730E33" w:rsidRDefault="00730E33" w:rsidP="00730E33">
      <w:pPr>
        <w:keepNext/>
        <w:numPr>
          <w:ilvl w:val="0"/>
          <w:numId w:val="3"/>
        </w:numPr>
        <w:ind w:left="84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</w:rPr>
        <w:t xml:space="preserve">  La documentación generada por la gestión de la Comisión Liquidadora del caso y la relativa al inventario de bienes, incluyendo libros de actas y de inventarios, se trasladaron para su resguardo y custodia al archivo institucional del Ministerio de Educación, </w:t>
      </w:r>
      <w:r w:rsidRPr="001E2070">
        <w:rPr>
          <w:rFonts w:ascii="Arial" w:eastAsia="Times New Roman" w:hAnsi="Arial" w:cs="Arial"/>
          <w:b/>
        </w:rPr>
        <w:t>sin que l</w:t>
      </w:r>
      <w:r>
        <w:rPr>
          <w:rFonts w:ascii="Arial" w:eastAsia="Times New Roman" w:hAnsi="Arial" w:cs="Arial"/>
          <w:b/>
        </w:rPr>
        <w:t>a acción</w:t>
      </w:r>
      <w:r w:rsidRPr="001E2070">
        <w:rPr>
          <w:rFonts w:ascii="Arial" w:eastAsia="Times New Roman" w:hAnsi="Arial" w:cs="Arial"/>
          <w:b/>
        </w:rPr>
        <w:t xml:space="preserve"> incluya la entrega de bienes muebles en liquidación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lang w:val="es-GT"/>
        </w:rPr>
        <w:t>al Departamento Administrativo Financiero de la Dirección de Recursos Humanos –DIREH-</w:t>
      </w:r>
      <w:r w:rsidRPr="001E2070">
        <w:rPr>
          <w:rFonts w:ascii="Arial" w:eastAsia="Times New Roman" w:hAnsi="Arial" w:cs="Arial"/>
          <w:b/>
        </w:rPr>
        <w:t>;</w:t>
      </w:r>
      <w:r w:rsidR="00671A12">
        <w:rPr>
          <w:rFonts w:ascii="Arial" w:eastAsia="Times New Roman" w:hAnsi="Arial" w:cs="Arial"/>
          <w:b/>
        </w:rPr>
        <w:t xml:space="preserve"> y,</w:t>
      </w:r>
    </w:p>
    <w:p w:rsidR="00730E33" w:rsidRDefault="00730E33" w:rsidP="00730E33">
      <w:pPr>
        <w:keepNext/>
        <w:ind w:left="840"/>
        <w:jc w:val="both"/>
        <w:rPr>
          <w:rFonts w:ascii="Arial" w:eastAsia="Times New Roman" w:hAnsi="Arial" w:cs="Arial"/>
        </w:rPr>
      </w:pPr>
    </w:p>
    <w:p w:rsidR="00730E33" w:rsidRDefault="00730E33" w:rsidP="00730E33">
      <w:pPr>
        <w:keepNext/>
        <w:numPr>
          <w:ilvl w:val="0"/>
          <w:numId w:val="3"/>
        </w:numPr>
        <w:ind w:left="8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s-ES"/>
        </w:rPr>
        <w:t xml:space="preserve">  De lo actuado se dejó constancia </w:t>
      </w:r>
      <w:r>
        <w:rPr>
          <w:rFonts w:ascii="Arial" w:eastAsia="Times New Roman" w:hAnsi="Arial" w:cs="Arial"/>
        </w:rPr>
        <w:t>en actas administrativas Nos. 02-2020 y 03-2020, de fecha 27 de octubre de 2020 que, a folios 025 al 039, obran en el libro de actas de la Dirección de Recursos Humanos –DIREH-, autorizado por la Contraloría General de Cuentas bajo el registro No. L</w:t>
      </w:r>
      <w:r>
        <w:rPr>
          <w:rFonts w:ascii="Arial" w:eastAsia="Times New Roman" w:hAnsi="Arial" w:cs="Arial"/>
          <w:vertAlign w:val="subscript"/>
        </w:rPr>
        <w:t>2</w:t>
      </w:r>
      <w:r>
        <w:rPr>
          <w:rFonts w:ascii="Arial" w:eastAsia="Times New Roman" w:hAnsi="Arial" w:cs="Arial"/>
        </w:rPr>
        <w:t xml:space="preserve"> 16,524, de fecha 21 de junio de 2011. </w:t>
      </w:r>
    </w:p>
    <w:p w:rsidR="00730E33" w:rsidRDefault="00730E33" w:rsidP="00730E33"/>
    <w:p w:rsidR="00E43119" w:rsidRDefault="00E43119" w:rsidP="00730E33"/>
    <w:p w:rsidR="00E43119" w:rsidRDefault="00E43119" w:rsidP="00730E33"/>
    <w:p w:rsidR="00E43119" w:rsidRDefault="00E43119" w:rsidP="00730E33"/>
    <w:p w:rsidR="00730E33" w:rsidRDefault="00730E33" w:rsidP="00730E33">
      <w:pPr>
        <w:ind w:left="480" w:firstLine="10"/>
        <w:jc w:val="both"/>
        <w:rPr>
          <w:rFonts w:ascii="Arial" w:eastAsia="Times New Roman" w:hAnsi="Arial" w:cs="Arial"/>
        </w:rPr>
      </w:pPr>
    </w:p>
    <w:p w:rsidR="00730E33" w:rsidRPr="00DC061C" w:rsidRDefault="00730E33" w:rsidP="00730E33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lastRenderedPageBreak/>
        <w:t>CONCLUSIÓN</w:t>
      </w:r>
    </w:p>
    <w:p w:rsidR="00730E33" w:rsidRPr="00DC061C" w:rsidRDefault="00730E33" w:rsidP="00730E33">
      <w:pPr>
        <w:jc w:val="both"/>
        <w:rPr>
          <w:rFonts w:ascii="Arial" w:eastAsia="Times New Roman" w:hAnsi="Arial" w:cs="Arial"/>
        </w:rPr>
      </w:pPr>
    </w:p>
    <w:p w:rsidR="00AB32B7" w:rsidRDefault="00FD3652" w:rsidP="00C607B0">
      <w:pPr>
        <w:ind w:left="4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s-GT"/>
        </w:rPr>
        <w:t xml:space="preserve">Las </w:t>
      </w:r>
      <w:r w:rsidR="00730E33">
        <w:rPr>
          <w:rFonts w:ascii="Arial" w:eastAsia="Times New Roman" w:hAnsi="Arial" w:cs="Arial"/>
          <w:lang w:val="es-GT"/>
        </w:rPr>
        <w:t>instrucciones del oficio DIREH-10,887-2020, dictadas el 11 de septiembre de 2020 por el Director de Recursos Humanos</w:t>
      </w:r>
      <w:r w:rsidR="00730E33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fueron cumplidas parcialmente por los obligados al trasladar </w:t>
      </w:r>
      <w:r w:rsidR="00730E33">
        <w:rPr>
          <w:rFonts w:ascii="Arial" w:eastAsia="Times New Roman" w:hAnsi="Arial" w:cs="Arial"/>
        </w:rPr>
        <w:t xml:space="preserve">al archivo institucional la documentación que generó </w:t>
      </w:r>
      <w:r w:rsidR="00AB32B7">
        <w:rPr>
          <w:rFonts w:ascii="Arial" w:eastAsia="Times New Roman" w:hAnsi="Arial" w:cs="Arial"/>
        </w:rPr>
        <w:t>la ge</w:t>
      </w:r>
      <w:r w:rsidR="00730E33">
        <w:rPr>
          <w:rFonts w:ascii="Arial" w:eastAsia="Times New Roman" w:hAnsi="Arial" w:cs="Arial"/>
        </w:rPr>
        <w:t xml:space="preserve">stión </w:t>
      </w:r>
      <w:r w:rsidR="00AB32B7">
        <w:rPr>
          <w:rFonts w:ascii="Arial" w:eastAsia="Times New Roman" w:hAnsi="Arial" w:cs="Arial"/>
        </w:rPr>
        <w:t xml:space="preserve">de la </w:t>
      </w:r>
      <w:r w:rsidR="00AB32B7">
        <w:rPr>
          <w:rFonts w:ascii="Arial" w:eastAsia="Times New Roman" w:hAnsi="Arial" w:cs="Arial"/>
          <w:lang w:val="es-GT"/>
        </w:rPr>
        <w:t xml:space="preserve">extinta </w:t>
      </w:r>
      <w:r w:rsidR="00AB32B7">
        <w:rPr>
          <w:rFonts w:ascii="Arial" w:eastAsia="Times New Roman" w:hAnsi="Arial" w:cs="Arial"/>
        </w:rPr>
        <w:t xml:space="preserve">Comisión Liquidadora de la Dirección de Personal –DP- </w:t>
      </w:r>
      <w:r w:rsidR="00730E33">
        <w:rPr>
          <w:rFonts w:ascii="Arial" w:eastAsia="Times New Roman" w:hAnsi="Arial" w:cs="Arial"/>
        </w:rPr>
        <w:t xml:space="preserve">y los libros de actas y de inventarios. </w:t>
      </w:r>
    </w:p>
    <w:p w:rsidR="00AB32B7" w:rsidRDefault="00AB32B7" w:rsidP="00C607B0">
      <w:pPr>
        <w:ind w:left="480"/>
        <w:jc w:val="both"/>
        <w:rPr>
          <w:rFonts w:ascii="Arial" w:eastAsia="Times New Roman" w:hAnsi="Arial" w:cs="Arial"/>
        </w:rPr>
      </w:pPr>
    </w:p>
    <w:p w:rsidR="00730E33" w:rsidRPr="00DC061C" w:rsidRDefault="00730E33" w:rsidP="00C607B0">
      <w:pPr>
        <w:ind w:left="4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Parcialmente, </w:t>
      </w:r>
      <w:r w:rsidR="000473C1">
        <w:rPr>
          <w:rFonts w:ascii="Arial" w:eastAsia="Times New Roman" w:hAnsi="Arial" w:cs="Arial"/>
        </w:rPr>
        <w:t>en virtud que</w:t>
      </w:r>
      <w:r>
        <w:rPr>
          <w:rFonts w:ascii="Arial" w:eastAsia="Times New Roman" w:hAnsi="Arial" w:cs="Arial"/>
        </w:rPr>
        <w:t xml:space="preserve"> </w:t>
      </w:r>
      <w:r w:rsidR="00FD3652">
        <w:rPr>
          <w:rFonts w:ascii="Arial" w:eastAsia="Times New Roman" w:hAnsi="Arial" w:cs="Arial"/>
        </w:rPr>
        <w:t xml:space="preserve">quedaron sin </w:t>
      </w:r>
      <w:r>
        <w:rPr>
          <w:rFonts w:ascii="Arial" w:eastAsia="Times New Roman" w:hAnsi="Arial" w:cs="Arial"/>
          <w:lang w:val="es-GT"/>
        </w:rPr>
        <w:t>entreg</w:t>
      </w:r>
      <w:r w:rsidR="00FD3652">
        <w:rPr>
          <w:rFonts w:ascii="Arial" w:eastAsia="Times New Roman" w:hAnsi="Arial" w:cs="Arial"/>
          <w:lang w:val="es-GT"/>
        </w:rPr>
        <w:t>ar</w:t>
      </w:r>
      <w:r>
        <w:rPr>
          <w:rFonts w:ascii="Arial" w:eastAsia="Times New Roman" w:hAnsi="Arial" w:cs="Arial"/>
          <w:lang w:val="es-GT"/>
        </w:rPr>
        <w:t xml:space="preserve"> al Departamento Administrativo Financiero de la Dirección de Recursos Humanos –DIREH-</w:t>
      </w:r>
      <w:r w:rsidRPr="00D623EF">
        <w:rPr>
          <w:rFonts w:ascii="Arial" w:eastAsia="Times New Roman" w:hAnsi="Arial" w:cs="Arial"/>
          <w:lang w:val="es-GT"/>
        </w:rPr>
        <w:t xml:space="preserve"> </w:t>
      </w:r>
      <w:r>
        <w:rPr>
          <w:rFonts w:ascii="Arial" w:eastAsia="Times New Roman" w:hAnsi="Arial" w:cs="Arial"/>
          <w:lang w:val="es-GT"/>
        </w:rPr>
        <w:t>los bienes muebles en liquidación</w:t>
      </w:r>
      <w:r w:rsidR="00AB32B7">
        <w:rPr>
          <w:rFonts w:ascii="Arial" w:eastAsia="Times New Roman" w:hAnsi="Arial" w:cs="Arial"/>
          <w:lang w:val="es-GT"/>
        </w:rPr>
        <w:t xml:space="preserve">, dado que </w:t>
      </w:r>
      <w:r w:rsidR="00FD3652">
        <w:rPr>
          <w:rFonts w:ascii="Arial" w:eastAsia="Times New Roman" w:hAnsi="Arial" w:cs="Arial"/>
          <w:lang w:val="es-GT"/>
        </w:rPr>
        <w:t xml:space="preserve">el receptor designado </w:t>
      </w:r>
      <w:r w:rsidR="00E43119">
        <w:rPr>
          <w:rFonts w:ascii="Arial" w:eastAsia="Times New Roman" w:hAnsi="Arial" w:cs="Arial"/>
          <w:lang w:val="es-GT"/>
        </w:rPr>
        <w:t>se encuentra</w:t>
      </w:r>
      <w:r w:rsidR="00FD3652">
        <w:rPr>
          <w:rFonts w:ascii="Arial" w:eastAsia="Times New Roman" w:hAnsi="Arial" w:cs="Arial"/>
          <w:lang w:val="es-GT"/>
        </w:rPr>
        <w:t xml:space="preserve"> </w:t>
      </w:r>
      <w:r w:rsidR="00F60D84">
        <w:rPr>
          <w:rFonts w:ascii="Arial" w:eastAsia="Times New Roman" w:hAnsi="Arial" w:cs="Arial"/>
          <w:lang w:val="es-GT"/>
        </w:rPr>
        <w:t xml:space="preserve">a la </w:t>
      </w:r>
      <w:r w:rsidR="00FD3652">
        <w:rPr>
          <w:rFonts w:ascii="Arial" w:eastAsia="Times New Roman" w:hAnsi="Arial" w:cs="Arial"/>
          <w:lang w:val="es-GT"/>
        </w:rPr>
        <w:t>espera</w:t>
      </w:r>
      <w:r w:rsidR="00AB32B7">
        <w:rPr>
          <w:rFonts w:ascii="Arial" w:eastAsia="Times New Roman" w:hAnsi="Arial" w:cs="Arial"/>
          <w:lang w:val="es-GT"/>
        </w:rPr>
        <w:t xml:space="preserve"> de la respuesta a la consulta efectuada a la Contraloría General de Cuentas sobre el instrumento legal que </w:t>
      </w:r>
      <w:r w:rsidR="00F60D84">
        <w:rPr>
          <w:rFonts w:ascii="Arial" w:eastAsia="Times New Roman" w:hAnsi="Arial" w:cs="Arial"/>
          <w:lang w:val="es-GT"/>
        </w:rPr>
        <w:t xml:space="preserve">se </w:t>
      </w:r>
      <w:r w:rsidR="00AB32B7">
        <w:rPr>
          <w:rFonts w:ascii="Arial" w:eastAsia="Times New Roman" w:hAnsi="Arial" w:cs="Arial"/>
          <w:lang w:val="es-GT"/>
        </w:rPr>
        <w:t xml:space="preserve">requiere </w:t>
      </w:r>
      <w:r w:rsidR="00F60D84">
        <w:rPr>
          <w:rFonts w:ascii="Arial" w:eastAsia="Times New Roman" w:hAnsi="Arial" w:cs="Arial"/>
          <w:lang w:val="es-GT"/>
        </w:rPr>
        <w:t xml:space="preserve">para </w:t>
      </w:r>
      <w:r w:rsidR="00AB32B7">
        <w:rPr>
          <w:rFonts w:ascii="Arial" w:eastAsia="Times New Roman" w:hAnsi="Arial" w:cs="Arial"/>
          <w:lang w:val="es-GT"/>
        </w:rPr>
        <w:t>finiquita</w:t>
      </w:r>
      <w:r w:rsidR="00E30FBE">
        <w:rPr>
          <w:rFonts w:ascii="Arial" w:eastAsia="Times New Roman" w:hAnsi="Arial" w:cs="Arial"/>
          <w:lang w:val="es-GT"/>
        </w:rPr>
        <w:t>r</w:t>
      </w:r>
      <w:r w:rsidR="00AB32B7">
        <w:rPr>
          <w:rFonts w:ascii="Arial" w:eastAsia="Times New Roman" w:hAnsi="Arial" w:cs="Arial"/>
          <w:lang w:val="es-GT"/>
        </w:rPr>
        <w:t xml:space="preserve"> la </w:t>
      </w:r>
      <w:proofErr w:type="spellStart"/>
      <w:r w:rsidR="00AB32B7">
        <w:rPr>
          <w:rFonts w:ascii="Arial" w:eastAsia="Times New Roman" w:hAnsi="Arial" w:cs="Arial"/>
          <w:lang w:val="es-GT"/>
        </w:rPr>
        <w:t>Cuentadancia</w:t>
      </w:r>
      <w:proofErr w:type="spellEnd"/>
      <w:r w:rsidR="00AB32B7">
        <w:rPr>
          <w:rFonts w:ascii="Arial" w:eastAsia="Times New Roman" w:hAnsi="Arial" w:cs="Arial"/>
          <w:lang w:val="es-GT"/>
        </w:rPr>
        <w:t xml:space="preserve"> D2-68</w:t>
      </w:r>
      <w:r w:rsidR="00E30FBE">
        <w:rPr>
          <w:rFonts w:ascii="Arial" w:eastAsia="Times New Roman" w:hAnsi="Arial" w:cs="Arial"/>
          <w:lang w:val="es-GT"/>
        </w:rPr>
        <w:t>,</w:t>
      </w:r>
      <w:r w:rsidR="00AB32B7">
        <w:rPr>
          <w:rFonts w:ascii="Arial" w:eastAsia="Times New Roman" w:hAnsi="Arial" w:cs="Arial"/>
          <w:lang w:val="es-GT"/>
        </w:rPr>
        <w:t xml:space="preserve"> correspondiente a la Dirección de Personal –DP-, como </w:t>
      </w:r>
      <w:r w:rsidR="0069083C">
        <w:rPr>
          <w:rFonts w:ascii="Arial" w:eastAsia="Times New Roman" w:hAnsi="Arial" w:cs="Arial"/>
          <w:lang w:val="es-GT"/>
        </w:rPr>
        <w:t>adujo</w:t>
      </w:r>
      <w:r w:rsidR="00AB32B7">
        <w:rPr>
          <w:rFonts w:ascii="Arial" w:eastAsia="Times New Roman" w:hAnsi="Arial" w:cs="Arial"/>
          <w:lang w:val="es-GT"/>
        </w:rPr>
        <w:t xml:space="preserve"> en oficio DIREH-DAF-UF-12,089-2020, el 09 de octubre del año que corre.</w:t>
      </w:r>
    </w:p>
    <w:p w:rsidR="00730E33" w:rsidRPr="00DC061C" w:rsidRDefault="00730E33" w:rsidP="00730E33">
      <w:pPr>
        <w:jc w:val="both"/>
        <w:rPr>
          <w:rFonts w:ascii="Arial" w:eastAsia="Times New Roman" w:hAnsi="Arial" w:cs="Arial"/>
        </w:rPr>
      </w:pPr>
    </w:p>
    <w:p w:rsidR="00730E33" w:rsidRDefault="00730E33" w:rsidP="00730E33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RECOMENCACIONES</w:t>
      </w:r>
    </w:p>
    <w:p w:rsidR="00730E33" w:rsidRDefault="00730E33" w:rsidP="00730E33">
      <w:pPr>
        <w:ind w:left="480"/>
        <w:jc w:val="both"/>
        <w:rPr>
          <w:rFonts w:ascii="Arial" w:eastAsia="Times New Roman" w:hAnsi="Arial" w:cs="Arial"/>
        </w:rPr>
      </w:pPr>
    </w:p>
    <w:p w:rsidR="00CA4844" w:rsidRDefault="00BD1AC3" w:rsidP="00CA4844">
      <w:pPr>
        <w:ind w:left="480"/>
        <w:jc w:val="both"/>
        <w:rPr>
          <w:rFonts w:ascii="Arial" w:eastAsia="Times New Roman" w:hAnsi="Arial" w:cs="Arial"/>
          <w:b/>
          <w:bCs/>
        </w:rPr>
      </w:pPr>
      <w:r w:rsidRPr="00BD1AC3">
        <w:rPr>
          <w:rFonts w:ascii="Calibri" w:eastAsia="Calibri" w:hAnsi="Calibri" w:cs="Times New Roman"/>
          <w:noProof/>
          <w:lang w:val="es-GT" w:eastAsia="es-GT"/>
        </w:rPr>
        <w:drawing>
          <wp:anchor distT="0" distB="0" distL="114300" distR="114300" simplePos="0" relativeHeight="251659264" behindDoc="1" locked="0" layoutInCell="1" allowOverlap="1" wp14:anchorId="2E930EF1" wp14:editId="5AB11209">
            <wp:simplePos x="0" y="0"/>
            <wp:positionH relativeFrom="column">
              <wp:posOffset>1175385</wp:posOffset>
            </wp:positionH>
            <wp:positionV relativeFrom="paragraph">
              <wp:posOffset>517906</wp:posOffset>
            </wp:positionV>
            <wp:extent cx="2828925" cy="2331085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4A7">
        <w:rPr>
          <w:rFonts w:ascii="Arial" w:eastAsia="Times New Roman" w:hAnsi="Arial" w:cs="Arial"/>
        </w:rPr>
        <w:t>Mientras se formaliza su traslado a la Dirección de Recursos Humanos           –DIREH-, d</w:t>
      </w:r>
      <w:r w:rsidR="00CA4844">
        <w:rPr>
          <w:rFonts w:ascii="Arial" w:eastAsia="Times New Roman" w:hAnsi="Arial" w:cs="Arial"/>
        </w:rPr>
        <w:t xml:space="preserve">ebe designarse un responsable de la custodia </w:t>
      </w:r>
      <w:r w:rsidR="00730E33">
        <w:rPr>
          <w:rFonts w:ascii="Arial" w:eastAsia="Times New Roman" w:hAnsi="Arial" w:cs="Arial"/>
        </w:rPr>
        <w:t>de</w:t>
      </w:r>
      <w:r w:rsidR="00CA4844">
        <w:rPr>
          <w:rFonts w:ascii="Arial" w:eastAsia="Times New Roman" w:hAnsi="Arial" w:cs="Arial"/>
        </w:rPr>
        <w:t xml:space="preserve"> los bienes muebles de la Dirección de Personal que encontró la Comisión Liquidadora disuelta</w:t>
      </w:r>
      <w:r w:rsidR="00F60D84">
        <w:rPr>
          <w:rFonts w:ascii="Arial" w:eastAsia="Times New Roman" w:hAnsi="Arial" w:cs="Arial"/>
        </w:rPr>
        <w:t>,</w:t>
      </w:r>
      <w:r w:rsidR="00D4640D">
        <w:rPr>
          <w:rFonts w:ascii="Arial" w:eastAsia="Times New Roman" w:hAnsi="Arial" w:cs="Arial"/>
        </w:rPr>
        <w:t xml:space="preserve"> </w:t>
      </w:r>
      <w:r w:rsidR="00E43119">
        <w:rPr>
          <w:rFonts w:ascii="Arial" w:eastAsia="Times New Roman" w:hAnsi="Arial" w:cs="Arial"/>
        </w:rPr>
        <w:t xml:space="preserve">asimismo </w:t>
      </w:r>
      <w:r w:rsidR="00D4640D">
        <w:rPr>
          <w:rFonts w:ascii="Arial" w:eastAsia="Times New Roman" w:hAnsi="Arial" w:cs="Arial"/>
        </w:rPr>
        <w:t>dar seguimiento a los expedientes de traslado de bienes presenta</w:t>
      </w:r>
      <w:r w:rsidR="00A454A7">
        <w:rPr>
          <w:rFonts w:ascii="Arial" w:eastAsia="Times New Roman" w:hAnsi="Arial" w:cs="Arial"/>
        </w:rPr>
        <w:t>dos</w:t>
      </w:r>
      <w:r w:rsidR="00D4640D">
        <w:rPr>
          <w:rFonts w:ascii="Arial" w:eastAsia="Times New Roman" w:hAnsi="Arial" w:cs="Arial"/>
        </w:rPr>
        <w:t xml:space="preserve"> ante el Ministerio de Finanzas </w:t>
      </w:r>
      <w:r w:rsidR="00A454A7">
        <w:rPr>
          <w:rFonts w:ascii="Arial" w:eastAsia="Times New Roman" w:hAnsi="Arial" w:cs="Arial"/>
        </w:rPr>
        <w:t xml:space="preserve">y </w:t>
      </w:r>
      <w:r w:rsidR="00D4640D">
        <w:rPr>
          <w:rFonts w:ascii="Arial" w:eastAsia="Times New Roman" w:hAnsi="Arial" w:cs="Arial"/>
        </w:rPr>
        <w:t xml:space="preserve">a </w:t>
      </w:r>
      <w:r w:rsidR="00E30FBE">
        <w:rPr>
          <w:rFonts w:ascii="Arial" w:eastAsia="Times New Roman" w:hAnsi="Arial" w:cs="Arial"/>
        </w:rPr>
        <w:t xml:space="preserve">los </w:t>
      </w:r>
      <w:r w:rsidR="00D4640D">
        <w:rPr>
          <w:rFonts w:ascii="Arial" w:eastAsia="Times New Roman" w:hAnsi="Arial" w:cs="Arial"/>
        </w:rPr>
        <w:t xml:space="preserve">que preparaba </w:t>
      </w:r>
      <w:r w:rsidR="00E30FBE">
        <w:rPr>
          <w:rFonts w:ascii="Arial" w:eastAsia="Times New Roman" w:hAnsi="Arial" w:cs="Arial"/>
        </w:rPr>
        <w:t xml:space="preserve">dicha Comisión </w:t>
      </w:r>
      <w:r w:rsidR="00D4640D">
        <w:rPr>
          <w:rFonts w:ascii="Arial" w:eastAsia="Times New Roman" w:hAnsi="Arial" w:cs="Arial"/>
        </w:rPr>
        <w:t>al momento de cierre de operaciones.</w:t>
      </w:r>
    </w:p>
    <w:p w:rsidR="00CA4844" w:rsidRDefault="00CA4844" w:rsidP="00CA4844">
      <w:pPr>
        <w:ind w:left="480"/>
        <w:jc w:val="both"/>
        <w:rPr>
          <w:rFonts w:ascii="Arial" w:eastAsia="Times New Roman" w:hAnsi="Arial" w:cs="Arial"/>
          <w:b/>
          <w:bCs/>
        </w:rPr>
      </w:pPr>
    </w:p>
    <w:p w:rsidR="00730E33" w:rsidRDefault="00730E33" w:rsidP="00730E33">
      <w:pPr>
        <w:ind w:left="480"/>
        <w:jc w:val="both"/>
        <w:rPr>
          <w:rFonts w:ascii="Arial" w:eastAsia="Times New Roman" w:hAnsi="Arial" w:cs="Arial"/>
          <w:lang w:val="es-GT"/>
        </w:rPr>
      </w:pPr>
      <w:r>
        <w:rPr>
          <w:rFonts w:ascii="Arial" w:eastAsia="Times New Roman" w:hAnsi="Arial" w:cs="Arial"/>
        </w:rPr>
        <w:t>Atentamente,</w:t>
      </w:r>
    </w:p>
    <w:p w:rsidR="00730E33" w:rsidRDefault="00730E33" w:rsidP="00730E33">
      <w:pPr>
        <w:ind w:left="480"/>
        <w:jc w:val="both"/>
        <w:rPr>
          <w:rFonts w:ascii="Arial" w:eastAsia="Times New Roman" w:hAnsi="Arial" w:cs="Arial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60D84" w:rsidRDefault="00F60D84" w:rsidP="00601836">
      <w:pPr>
        <w:tabs>
          <w:tab w:val="left" w:pos="3015"/>
        </w:tabs>
        <w:rPr>
          <w:rFonts w:ascii="Arial" w:hAnsi="Arial" w:cs="Arial"/>
          <w:sz w:val="16"/>
          <w:szCs w:val="16"/>
        </w:rPr>
      </w:pPr>
    </w:p>
    <w:p w:rsidR="00F13EE2" w:rsidRDefault="00730E33" w:rsidP="00601836">
      <w:pPr>
        <w:tabs>
          <w:tab w:val="left" w:pos="3015"/>
        </w:tabs>
      </w:pPr>
      <w:r>
        <w:rPr>
          <w:rFonts w:ascii="Arial" w:hAnsi="Arial" w:cs="Arial"/>
          <w:sz w:val="16"/>
          <w:szCs w:val="16"/>
        </w:rPr>
        <w:t>c.c. Archivo</w:t>
      </w:r>
    </w:p>
    <w:sectPr w:rsidR="00F13EE2" w:rsidSect="00730E33">
      <w:headerReference w:type="default" r:id="rId8"/>
      <w:footerReference w:type="default" r:id="rId9"/>
      <w:pgSz w:w="12240" w:h="15840" w:code="1"/>
      <w:pgMar w:top="158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A83" w:rsidRDefault="00141A83" w:rsidP="00F733D7">
      <w:r>
        <w:separator/>
      </w:r>
    </w:p>
  </w:endnote>
  <w:endnote w:type="continuationSeparator" w:id="0">
    <w:p w:rsidR="00141A83" w:rsidRDefault="00141A83" w:rsidP="00F7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779" w:rsidRPr="00432BEF" w:rsidRDefault="00472C35" w:rsidP="00432779">
    <w:pPr>
      <w:pStyle w:val="Piedepgina"/>
      <w:jc w:val="center"/>
      <w:rPr>
        <w:color w:val="548DD4" w:themeColor="text2" w:themeTint="99"/>
      </w:rPr>
    </w:pPr>
    <w:r w:rsidRPr="00432BEF">
      <w:rPr>
        <w:rFonts w:ascii="Times New Roman" w:hAnsi="Times New Roman" w:cs="Times New Roman"/>
        <w:noProof/>
        <w:sz w:val="20"/>
        <w:szCs w:val="20"/>
        <w:lang w:val="es-GT"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DD591" wp14:editId="4B16DFEF">
              <wp:simplePos x="0" y="0"/>
              <wp:positionH relativeFrom="column">
                <wp:posOffset>1534160</wp:posOffset>
              </wp:positionH>
              <wp:positionV relativeFrom="paragraph">
                <wp:posOffset>100330</wp:posOffset>
              </wp:positionV>
              <wp:extent cx="1487170" cy="164465"/>
              <wp:effectExtent l="0" t="0" r="0" b="6985"/>
              <wp:wrapSquare wrapText="bothSides"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170" cy="164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2BEF" w:rsidRPr="00294206" w:rsidRDefault="00432BEF" w:rsidP="00432BE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0"/>
                              <w:szCs w:val="10"/>
                            </w:rPr>
                          </w:pPr>
                          <w:r w:rsidRPr="00294206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0"/>
                              <w:szCs w:val="10"/>
                            </w:rPr>
                            <w:t>DIR</w:t>
                          </w:r>
                          <w:r w:rsidR="00294206" w:rsidRPr="00294206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0"/>
                              <w:szCs w:val="10"/>
                            </w:rPr>
                            <w:t>ECCI</w:t>
                          </w:r>
                          <w:r w:rsidRPr="00294206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0"/>
                              <w:szCs w:val="10"/>
                            </w:rPr>
                            <w:t>ÓN</w:t>
                          </w:r>
                          <w:r w:rsidR="00294206" w:rsidRPr="00294206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0"/>
                              <w:szCs w:val="10"/>
                            </w:rPr>
                            <w:t xml:space="preserve">  D</w:t>
                          </w:r>
                          <w:r w:rsidRPr="00294206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0"/>
                              <w:szCs w:val="10"/>
                            </w:rPr>
                            <w:t>E AUDITORÍA INTERNA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DD59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0.8pt;margin-top:7.9pt;width:117.1pt;height: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RxJgIAACQEAAAOAAAAZHJzL2Uyb0RvYy54bWysU9tu2zAMfR+wfxD0vjjJnEuNOEWXLsOA&#10;7gJ0+wBakmNhsuhJSuzs60spaZptb8P8IIgmeXh4SK1uh9awg3Jeoy35ZDTmTFmBUttdyb9/275Z&#10;cuYDWAkGrSr5UXl+u379atV3hZpig0YqxwjE+qLvSt6E0BVZ5kWjWvAj7JQlZ42uhUCm22XSQU/o&#10;rcmm4/E869HJzqFQ3tPf+5OTrxN+XSsRvtS1V4GZkhO3kE6Xziqe2XoFxc5B12hxpgH/wKIFbano&#10;BeoeArC9039BtVo49FiHkcA2w7rWQqUeqJvJ+I9uHhvoVOqFxPHdRSb//2DF58NXx7Qs+dvxgjML&#10;LQ1pswfpkEnFghoCsmmUqe98QdGPHcWH4R0ONO7Usu8eUPzwzOKmAbtTd85h3yiQRHMSM7Or1BOO&#10;jyBV/wklVYN9wAQ01K6NGpIqjNBpXMfLiIgHE7FkvlxMFuQS5JvM83w+SyWgeM7unA8fFLYsXkru&#10;aAUSOhwefIhsoHgOicU8Gi232phkuF21MY4dgNZlm74z+m9hxrK+5Dez6SwhW4z5aZNaHWidjW5L&#10;vhzHL6ZDEdV4b2W6B9DmdCcmxp7liYqctAlDNVBg1KxCeSShHJ7Wlp4ZXRp0vzjraWVL7n/uwSnO&#10;zEdLYt9M8jzueDLy2WJKhrv2VNcesIKgSh44O103Ib2LyNfiHQ2l1kmvFyZnrrSKScbzs4m7fm2n&#10;qJfHvX4CAAD//wMAUEsDBBQABgAIAAAAIQAxGP2Y3AAAAAkBAAAPAAAAZHJzL2Rvd25yZXYueG1s&#10;TI9BT4NAEIXvJv6HzZh4MXahoaDI0qiJxmtrf8AAUyCys4TdFvrvnZ709ibv5c33iu1iB3WmyfeO&#10;DcSrCBRx7ZqeWwOH74/HJ1A+IDc4OCYDF/KwLW9vCswbN/OOzvvQKilhn6OBLoQx19rXHVn0KzcS&#10;i3d0k8Ug59TqZsJZyu2g11GUaos9y4cOR3rvqP7Zn6yB49f8sHmeq89wyHZJ+oZ9VrmLMfd3y+sL&#10;qEBL+AvDFV/QoRSmyp248WowsE7iVKJibGSCBJLsKioRcQa6LPT/BeUvAAAA//8DAFBLAQItABQA&#10;BgAIAAAAIQC2gziS/gAAAOEBAAATAAAAAAAAAAAAAAAAAAAAAABbQ29udGVudF9UeXBlc10ueG1s&#10;UEsBAi0AFAAGAAgAAAAhADj9If/WAAAAlAEAAAsAAAAAAAAAAAAAAAAALwEAAF9yZWxzLy5yZWxz&#10;UEsBAi0AFAAGAAgAAAAhAMCBlHEmAgAAJAQAAA4AAAAAAAAAAAAAAAAALgIAAGRycy9lMm9Eb2Mu&#10;eG1sUEsBAi0AFAAGAAgAAAAhADEY/ZjcAAAACQEAAA8AAAAAAAAAAAAAAAAAgAQAAGRycy9kb3du&#10;cmV2LnhtbFBLBQYAAAAABAAEAPMAAACJBQAAAAA=&#10;" stroked="f">
              <v:textbox>
                <w:txbxContent>
                  <w:p w:rsidR="00432BEF" w:rsidRPr="00294206" w:rsidRDefault="00432BEF" w:rsidP="00432BEF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0"/>
                        <w:szCs w:val="10"/>
                      </w:rPr>
                    </w:pPr>
                    <w:r w:rsidRPr="00294206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0"/>
                        <w:szCs w:val="10"/>
                      </w:rPr>
                      <w:t>DIR</w:t>
                    </w:r>
                    <w:r w:rsidR="00294206" w:rsidRPr="00294206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0"/>
                        <w:szCs w:val="10"/>
                      </w:rPr>
                      <w:t>ECCI</w:t>
                    </w:r>
                    <w:r w:rsidRPr="00294206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0"/>
                        <w:szCs w:val="10"/>
                      </w:rPr>
                      <w:t>ÓN</w:t>
                    </w:r>
                    <w:r w:rsidR="00294206" w:rsidRPr="00294206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0"/>
                        <w:szCs w:val="10"/>
                      </w:rPr>
                      <w:t xml:space="preserve">  D</w:t>
                    </w:r>
                    <w:r w:rsidRPr="00294206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0"/>
                        <w:szCs w:val="10"/>
                      </w:rPr>
                      <w:t>E AUDITORÍA INTERNA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GT" w:eastAsia="es-GT"/>
      </w:rPr>
      <w:drawing>
        <wp:anchor distT="0" distB="0" distL="114300" distR="114300" simplePos="0" relativeHeight="251658240" behindDoc="0" locked="0" layoutInCell="1" allowOverlap="1" wp14:anchorId="4799BFDF" wp14:editId="7062A500">
          <wp:simplePos x="0" y="0"/>
          <wp:positionH relativeFrom="column">
            <wp:posOffset>742315</wp:posOffset>
          </wp:positionH>
          <wp:positionV relativeFrom="paragraph">
            <wp:posOffset>-187960</wp:posOffset>
          </wp:positionV>
          <wp:extent cx="3059430" cy="748665"/>
          <wp:effectExtent l="0" t="0" r="762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430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BEF">
      <w:rPr>
        <w:rFonts w:ascii="Times New Roman" w:hAnsi="Times New Roman" w:cs="Times New Roman"/>
        <w:sz w:val="20"/>
        <w:szCs w:val="20"/>
      </w:rPr>
      <w:t>D</w:t>
    </w:r>
    <w:r w:rsidR="00432BEF">
      <w:rPr>
        <w:rFonts w:ascii="Times New Roman" w:hAnsi="Times New Roman" w:cs="Times New Roman"/>
        <w:color w:val="548DD4" w:themeColor="text2" w:themeTint="99"/>
        <w:sz w:val="20"/>
        <w:szCs w:val="20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A83" w:rsidRDefault="00141A83" w:rsidP="00F733D7">
      <w:r>
        <w:separator/>
      </w:r>
    </w:p>
  </w:footnote>
  <w:footnote w:type="continuationSeparator" w:id="0">
    <w:p w:rsidR="00141A83" w:rsidRDefault="00141A83" w:rsidP="00F73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2A7" w:rsidRDefault="00294206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1312" behindDoc="0" locked="0" layoutInCell="1" allowOverlap="1" wp14:anchorId="36969A8E" wp14:editId="4AB41273">
          <wp:simplePos x="0" y="0"/>
          <wp:positionH relativeFrom="column">
            <wp:posOffset>923290</wp:posOffset>
          </wp:positionH>
          <wp:positionV relativeFrom="paragraph">
            <wp:posOffset>-222885</wp:posOffset>
          </wp:positionV>
          <wp:extent cx="453390" cy="384810"/>
          <wp:effectExtent l="0" t="0" r="381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4D3956D3" wp14:editId="2BC4C3C1">
          <wp:simplePos x="0" y="0"/>
          <wp:positionH relativeFrom="column">
            <wp:posOffset>1301115</wp:posOffset>
          </wp:positionH>
          <wp:positionV relativeFrom="paragraph">
            <wp:posOffset>-428625</wp:posOffset>
          </wp:positionV>
          <wp:extent cx="2498090" cy="723265"/>
          <wp:effectExtent l="0" t="0" r="0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37" t="3583" r="30816" b="86818"/>
                  <a:stretch/>
                </pic:blipFill>
                <pic:spPr bwMode="auto">
                  <a:xfrm>
                    <a:off x="0" y="0"/>
                    <a:ext cx="249809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87E6B"/>
    <w:multiLevelType w:val="hybridMultilevel"/>
    <w:tmpl w:val="060C78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E6E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1F6B08"/>
    <w:multiLevelType w:val="multilevel"/>
    <w:tmpl w:val="649079C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Ttulo111pt"/>
      <w:lvlText w:val="%1.%2"/>
      <w:lvlJc w:val="left"/>
      <w:pPr>
        <w:tabs>
          <w:tab w:val="num" w:pos="840"/>
        </w:tabs>
        <w:ind w:left="840" w:hanging="480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 w:val="0"/>
        <w:strike w:val="0"/>
        <w:dstrike w:val="0"/>
        <w:u w:val="none"/>
        <w:effect w:val="none"/>
      </w:rPr>
    </w:lvl>
  </w:abstractNum>
  <w:abstractNum w:abstractNumId="2" w15:restartNumberingAfterBreak="0">
    <w:nsid w:val="52026826"/>
    <w:multiLevelType w:val="hybridMultilevel"/>
    <w:tmpl w:val="4E56C99C"/>
    <w:lvl w:ilvl="0" w:tplc="102CA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G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D7"/>
    <w:rsid w:val="000473C1"/>
    <w:rsid w:val="00064785"/>
    <w:rsid w:val="000932A7"/>
    <w:rsid w:val="00141A83"/>
    <w:rsid w:val="00187183"/>
    <w:rsid w:val="001C0578"/>
    <w:rsid w:val="002151AC"/>
    <w:rsid w:val="00294206"/>
    <w:rsid w:val="003F60BB"/>
    <w:rsid w:val="00411A02"/>
    <w:rsid w:val="00432779"/>
    <w:rsid w:val="00432BEF"/>
    <w:rsid w:val="00472C35"/>
    <w:rsid w:val="004A6CB8"/>
    <w:rsid w:val="004D26CF"/>
    <w:rsid w:val="0052032D"/>
    <w:rsid w:val="00580696"/>
    <w:rsid w:val="00600CB9"/>
    <w:rsid w:val="00601836"/>
    <w:rsid w:val="00671A12"/>
    <w:rsid w:val="0069083C"/>
    <w:rsid w:val="00730E33"/>
    <w:rsid w:val="007B64D7"/>
    <w:rsid w:val="00870C50"/>
    <w:rsid w:val="008900CE"/>
    <w:rsid w:val="00896502"/>
    <w:rsid w:val="008D0A48"/>
    <w:rsid w:val="008F03E9"/>
    <w:rsid w:val="009046C7"/>
    <w:rsid w:val="00A347A0"/>
    <w:rsid w:val="00A454A7"/>
    <w:rsid w:val="00A8377D"/>
    <w:rsid w:val="00A917F3"/>
    <w:rsid w:val="00AB32B7"/>
    <w:rsid w:val="00AC39A8"/>
    <w:rsid w:val="00B75FD6"/>
    <w:rsid w:val="00B82495"/>
    <w:rsid w:val="00BD1AC3"/>
    <w:rsid w:val="00C5164B"/>
    <w:rsid w:val="00C607B0"/>
    <w:rsid w:val="00C75EE3"/>
    <w:rsid w:val="00CA4844"/>
    <w:rsid w:val="00D43391"/>
    <w:rsid w:val="00D4640D"/>
    <w:rsid w:val="00E14AFD"/>
    <w:rsid w:val="00E159A6"/>
    <w:rsid w:val="00E23C3A"/>
    <w:rsid w:val="00E30FBE"/>
    <w:rsid w:val="00E43119"/>
    <w:rsid w:val="00E642FF"/>
    <w:rsid w:val="00EC2AE5"/>
    <w:rsid w:val="00F13EE2"/>
    <w:rsid w:val="00F60D84"/>
    <w:rsid w:val="00F64D17"/>
    <w:rsid w:val="00F733D7"/>
    <w:rsid w:val="00FD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4C32C47-4C0A-4EE6-BB4F-9D15ED31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E33"/>
    <w:pPr>
      <w:spacing w:after="0" w:line="240" w:lineRule="auto"/>
    </w:pPr>
    <w:rPr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0E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33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3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33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3D7"/>
  </w:style>
  <w:style w:type="paragraph" w:styleId="Piedepgina">
    <w:name w:val="footer"/>
    <w:basedOn w:val="Normal"/>
    <w:link w:val="PiedepginaCar"/>
    <w:uiPriority w:val="99"/>
    <w:unhideWhenUsed/>
    <w:rsid w:val="00F733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3D7"/>
  </w:style>
  <w:style w:type="paragraph" w:customStyle="1" w:styleId="Ttulo111pt">
    <w:name w:val="Título 1 + 11 pt"/>
    <w:aliases w:val="Sin Cursiva"/>
    <w:basedOn w:val="Ttulo2"/>
    <w:rsid w:val="00730E33"/>
    <w:pPr>
      <w:keepLines w:val="0"/>
      <w:numPr>
        <w:ilvl w:val="1"/>
        <w:numId w:val="1"/>
      </w:numPr>
      <w:tabs>
        <w:tab w:val="clear" w:pos="840"/>
        <w:tab w:val="num" w:pos="360"/>
        <w:tab w:val="num" w:pos="1440"/>
      </w:tabs>
      <w:spacing w:before="240" w:after="60"/>
      <w:ind w:left="0" w:firstLine="0"/>
    </w:pPr>
    <w:rPr>
      <w:rFonts w:ascii="Arial" w:eastAsia="Times New Roman" w:hAnsi="Arial" w:cs="Arial"/>
      <w:iCs/>
      <w:color w:val="auto"/>
      <w:sz w:val="22"/>
      <w:szCs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0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papi</dc:creator>
  <cp:lastModifiedBy>José Alejandro Dávila Álvarez</cp:lastModifiedBy>
  <cp:revision>2</cp:revision>
  <dcterms:created xsi:type="dcterms:W3CDTF">2021-01-15T15:34:00Z</dcterms:created>
  <dcterms:modified xsi:type="dcterms:W3CDTF">2021-01-15T15:34:00Z</dcterms:modified>
</cp:coreProperties>
</file>