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12A" w:rsidRDefault="00370EB1">
      <w:pPr>
        <w:spacing w:before="71" w:line="290" w:lineRule="auto"/>
        <w:ind w:left="4439" w:right="2838" w:hanging="378"/>
        <w:rPr>
          <w:b/>
          <w:sz w:val="24"/>
        </w:rPr>
      </w:pPr>
      <w:bookmarkStart w:id="0" w:name="_GoBack"/>
      <w:bookmarkEnd w:id="0"/>
      <w:r>
        <w:rPr>
          <w:b/>
          <w:sz w:val="24"/>
        </w:rPr>
        <w:t>MINISTERIO DE EDUCACIÓN AUDITORIA INTERNA CUA No.:107895</w:t>
      </w: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81012A">
      <w:pPr>
        <w:pStyle w:val="Textoindependiente"/>
        <w:rPr>
          <w:b/>
          <w:sz w:val="26"/>
        </w:rPr>
      </w:pPr>
    </w:p>
    <w:p w:rsidR="0081012A" w:rsidRDefault="00370EB1">
      <w:pPr>
        <w:spacing w:before="185" w:line="340" w:lineRule="auto"/>
        <w:ind w:left="3767" w:right="2565" w:hanging="2"/>
        <w:jc w:val="center"/>
        <w:rPr>
          <w:b/>
          <w:sz w:val="24"/>
        </w:rPr>
      </w:pPr>
      <w:r>
        <w:rPr>
          <w:b/>
          <w:sz w:val="24"/>
        </w:rPr>
        <w:t>MINISTERIO DE EDUCACIÓN ACTIVIDADES ADMINISTRATIVAS</w:t>
      </w:r>
    </w:p>
    <w:p w:rsidR="0081012A" w:rsidRDefault="00370EB1">
      <w:pPr>
        <w:spacing w:before="3" w:line="290" w:lineRule="auto"/>
        <w:ind w:left="2507" w:right="1309" w:firstLine="2"/>
        <w:jc w:val="center"/>
        <w:rPr>
          <w:b/>
          <w:sz w:val="24"/>
        </w:rPr>
      </w:pPr>
      <w:r>
        <w:rPr>
          <w:b/>
          <w:sz w:val="24"/>
        </w:rPr>
        <w:t>Auditoría administrativa de seguimiento a las recomendaciones emitidas por la Dirección de</w:t>
      </w:r>
      <w:r>
        <w:rPr>
          <w:b/>
          <w:spacing w:val="-46"/>
          <w:sz w:val="24"/>
        </w:rPr>
        <w:t xml:space="preserve"> </w:t>
      </w:r>
      <w:r>
        <w:rPr>
          <w:b/>
          <w:sz w:val="24"/>
        </w:rPr>
        <w:t>Auditoría Interna, en el Informe CUA 96893-1-2020, en la</w:t>
      </w:r>
      <w:r>
        <w:rPr>
          <w:b/>
          <w:spacing w:val="-46"/>
          <w:sz w:val="24"/>
        </w:rPr>
        <w:t xml:space="preserve"> </w:t>
      </w:r>
      <w:r>
        <w:rPr>
          <w:b/>
          <w:sz w:val="24"/>
        </w:rPr>
        <w:t>Dirección Departamental de Educación de</w:t>
      </w:r>
      <w:r>
        <w:rPr>
          <w:b/>
          <w:spacing w:val="-18"/>
          <w:sz w:val="24"/>
        </w:rPr>
        <w:t xml:space="preserve"> </w:t>
      </w:r>
      <w:r>
        <w:rPr>
          <w:b/>
          <w:sz w:val="24"/>
        </w:rPr>
        <w:t>Quetzaltenango.</w:t>
      </w: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rPr>
          <w:b/>
          <w:sz w:val="20"/>
        </w:rPr>
      </w:pPr>
    </w:p>
    <w:p w:rsidR="0081012A" w:rsidRDefault="0081012A">
      <w:pPr>
        <w:pStyle w:val="Textoindependiente"/>
        <w:spacing w:before="8"/>
        <w:rPr>
          <w:b/>
          <w:sz w:val="15"/>
        </w:rPr>
      </w:pPr>
    </w:p>
    <w:p w:rsidR="0081012A" w:rsidRDefault="00370EB1">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ABRIL DE 2021</w:t>
      </w:r>
    </w:p>
    <w:p w:rsidR="0081012A" w:rsidRDefault="0081012A">
      <w:pPr>
        <w:rPr>
          <w:sz w:val="24"/>
        </w:rPr>
        <w:sectPr w:rsidR="0081012A">
          <w:type w:val="continuous"/>
          <w:pgSz w:w="12240" w:h="15840"/>
          <w:pgMar w:top="1080" w:right="1600" w:bottom="0" w:left="400" w:header="720" w:footer="720" w:gutter="0"/>
          <w:cols w:space="720"/>
        </w:sectPr>
      </w:pPr>
    </w:p>
    <w:p w:rsidR="0081012A" w:rsidRDefault="00370EB1">
      <w:pPr>
        <w:spacing w:before="71"/>
        <w:ind w:left="4938" w:right="4447"/>
        <w:jc w:val="center"/>
        <w:rPr>
          <w:b/>
          <w:sz w:val="24"/>
        </w:rPr>
      </w:pPr>
      <w:r>
        <w:rPr>
          <w:b/>
          <w:sz w:val="24"/>
        </w:rPr>
        <w:lastRenderedPageBreak/>
        <w:t>INDICE</w:t>
      </w:r>
    </w:p>
    <w:sdt>
      <w:sdtPr>
        <w:id w:val="-1568791877"/>
        <w:docPartObj>
          <w:docPartGallery w:val="Table of Contents"/>
          <w:docPartUnique/>
        </w:docPartObj>
      </w:sdtPr>
      <w:sdtEndPr/>
      <w:sdtContent>
        <w:p w:rsidR="0081012A" w:rsidRDefault="00370EB1">
          <w:pPr>
            <w:pStyle w:val="TDC1"/>
            <w:tabs>
              <w:tab w:val="right" w:pos="9427"/>
            </w:tabs>
            <w:spacing w:before="741"/>
            <w:rPr>
              <w:b w:val="0"/>
            </w:rPr>
          </w:pPr>
          <w:hyperlink w:anchor="_TOC_250003" w:history="1">
            <w:r>
              <w:t>INTRODUCCION</w:t>
            </w:r>
            <w:r>
              <w:tab/>
            </w:r>
            <w:r>
              <w:rPr>
                <w:b w:val="0"/>
                <w:position w:val="-3"/>
              </w:rPr>
              <w:t>1</w:t>
            </w:r>
          </w:hyperlink>
        </w:p>
        <w:p w:rsidR="0081012A" w:rsidRDefault="00370EB1">
          <w:pPr>
            <w:pStyle w:val="TDC1"/>
            <w:tabs>
              <w:tab w:val="right" w:pos="9427"/>
            </w:tabs>
            <w:rPr>
              <w:b w:val="0"/>
            </w:rPr>
          </w:pPr>
          <w:r>
            <w:t>OBJETIVOS</w:t>
          </w:r>
          <w:r>
            <w:tab/>
          </w:r>
          <w:r>
            <w:rPr>
              <w:b w:val="0"/>
              <w:position w:val="-3"/>
            </w:rPr>
            <w:t>1</w:t>
          </w:r>
        </w:p>
        <w:p w:rsidR="0081012A" w:rsidRDefault="00370EB1">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81012A" w:rsidRDefault="00370EB1">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81012A" w:rsidRDefault="00370EB1">
          <w:pPr>
            <w:pStyle w:val="TDC1"/>
            <w:tabs>
              <w:tab w:val="right" w:pos="9427"/>
            </w:tabs>
            <w:spacing w:before="154"/>
            <w:rPr>
              <w:b w:val="0"/>
            </w:rPr>
          </w:pPr>
          <w:hyperlink w:anchor="_TOC_250000" w:history="1">
            <w:r>
              <w:t>ANEXOS</w:t>
            </w:r>
            <w:r>
              <w:tab/>
            </w:r>
            <w:r>
              <w:rPr>
                <w:b w:val="0"/>
                <w:position w:val="-3"/>
              </w:rPr>
              <w:t>3</w:t>
            </w:r>
          </w:hyperlink>
        </w:p>
      </w:sdtContent>
    </w:sdt>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370EB1">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81012A" w:rsidRDefault="0081012A">
      <w:pPr>
        <w:rPr>
          <w:sz w:val="18"/>
        </w:rPr>
        <w:sectPr w:rsidR="0081012A">
          <w:pgSz w:w="12240" w:h="15840"/>
          <w:pgMar w:top="1080" w:right="1600" w:bottom="0" w:left="400" w:header="720" w:footer="720" w:gutter="0"/>
          <w:cols w:space="720"/>
        </w:sectPr>
      </w:pPr>
    </w:p>
    <w:p w:rsidR="0081012A" w:rsidRDefault="00370EB1">
      <w:pPr>
        <w:pStyle w:val="Ttulo1"/>
        <w:spacing w:before="82"/>
      </w:pPr>
      <w:bookmarkStart w:id="1" w:name="_TOC_250003"/>
      <w:bookmarkEnd w:id="1"/>
      <w:r>
        <w:lastRenderedPageBreak/>
        <w:t>INTRODUCCION</w:t>
      </w:r>
    </w:p>
    <w:p w:rsidR="0081012A" w:rsidRDefault="0081012A">
      <w:pPr>
        <w:pStyle w:val="Textoindependiente"/>
        <w:spacing w:before="10"/>
        <w:rPr>
          <w:b/>
          <w:sz w:val="33"/>
        </w:rPr>
      </w:pPr>
    </w:p>
    <w:p w:rsidR="0081012A" w:rsidRDefault="00370EB1">
      <w:pPr>
        <w:pStyle w:val="Textoindependiente"/>
        <w:spacing w:line="278" w:lineRule="auto"/>
        <w:ind w:left="1301" w:right="100"/>
        <w:jc w:val="both"/>
      </w:pPr>
      <w:r>
        <w:t>De conformidad con el nombramiento de auditoría No. 107895-1-2021 de fecha 16 de marzo de 2021, fui nombrado para realizar Auditoría Administrativa del primer seguimiento a las recomendaciones emitidas por la Dirección de Auditoría Interna, en el informe C</w:t>
      </w:r>
      <w:r>
        <w:t>UA 96893-1-2020 "Auditoría de verificación de inventario físico, de equipo recibido para el Sistema Nacional de Acompañamiento Educativo</w:t>
      </w:r>
    </w:p>
    <w:p w:rsidR="0081012A" w:rsidRDefault="00370EB1">
      <w:pPr>
        <w:pStyle w:val="Textoindependiente"/>
        <w:spacing w:line="273" w:lineRule="exact"/>
        <w:ind w:left="1301"/>
        <w:jc w:val="both"/>
      </w:pPr>
      <w:r>
        <w:t>-SINAE-", en la Dirección Departamental de Educación de Quetzaltenango.</w:t>
      </w:r>
    </w:p>
    <w:p w:rsidR="0081012A" w:rsidRDefault="00370EB1">
      <w:pPr>
        <w:spacing w:before="70" w:line="666" w:lineRule="exact"/>
        <w:ind w:left="1301" w:right="7545"/>
        <w:rPr>
          <w:b/>
          <w:sz w:val="24"/>
        </w:rPr>
      </w:pPr>
      <w:r>
        <w:rPr>
          <w:b/>
          <w:sz w:val="24"/>
        </w:rPr>
        <w:t>OBJETIVOS GENERAL</w:t>
      </w:r>
    </w:p>
    <w:p w:rsidR="0081012A" w:rsidRDefault="00370EB1">
      <w:pPr>
        <w:pStyle w:val="Textoindependiente"/>
        <w:spacing w:line="250" w:lineRule="exact"/>
        <w:ind w:left="1301"/>
        <w:jc w:val="both"/>
      </w:pPr>
      <w:r>
        <w:t>Realizar primer seguimiento a</w:t>
      </w:r>
      <w:r>
        <w:t xml:space="preserve"> las recomendaciones emitidas por la Dirección de</w:t>
      </w:r>
    </w:p>
    <w:p w:rsidR="0081012A" w:rsidRDefault="00370EB1">
      <w:pPr>
        <w:pStyle w:val="Textoindependiente"/>
        <w:spacing w:before="43"/>
        <w:ind w:left="1301"/>
      </w:pPr>
      <w:r>
        <w:t>Auditoría Interna -DIDAI-, en el informe CUA 96893-1-2020.</w:t>
      </w:r>
    </w:p>
    <w:p w:rsidR="0081012A" w:rsidRDefault="0081012A">
      <w:pPr>
        <w:pStyle w:val="Textoindependiente"/>
        <w:spacing w:before="8"/>
        <w:rPr>
          <w:sz w:val="31"/>
        </w:rPr>
      </w:pPr>
    </w:p>
    <w:p w:rsidR="0081012A" w:rsidRDefault="00370EB1">
      <w:pPr>
        <w:ind w:left="1301"/>
        <w:rPr>
          <w:b/>
          <w:sz w:val="24"/>
        </w:rPr>
      </w:pPr>
      <w:r>
        <w:rPr>
          <w:b/>
          <w:sz w:val="24"/>
        </w:rPr>
        <w:t>ESPECÍFICO</w:t>
      </w:r>
    </w:p>
    <w:p w:rsidR="0081012A" w:rsidRDefault="00370EB1">
      <w:pPr>
        <w:pStyle w:val="Textoindependiente"/>
        <w:spacing w:before="56"/>
        <w:ind w:left="1301"/>
      </w:pPr>
      <w:r>
        <w:t>Verificar si existen recomendaciones implementadas, en proceso e incumplidas.</w:t>
      </w:r>
    </w:p>
    <w:p w:rsidR="0081012A" w:rsidRDefault="0081012A">
      <w:pPr>
        <w:pStyle w:val="Textoindependiente"/>
        <w:spacing w:before="9"/>
        <w:rPr>
          <w:sz w:val="32"/>
        </w:rPr>
      </w:pPr>
    </w:p>
    <w:p w:rsidR="0081012A" w:rsidRDefault="00370EB1">
      <w:pPr>
        <w:pStyle w:val="Ttulo1"/>
      </w:pPr>
      <w:bookmarkStart w:id="2" w:name="_TOC_250002"/>
      <w:bookmarkEnd w:id="2"/>
      <w:r>
        <w:t>ALCANCE DE LA ACTIVIDAD</w:t>
      </w:r>
    </w:p>
    <w:p w:rsidR="0081012A" w:rsidRDefault="0081012A">
      <w:pPr>
        <w:pStyle w:val="Textoindependiente"/>
        <w:spacing w:before="10"/>
        <w:rPr>
          <w:b/>
          <w:sz w:val="33"/>
        </w:rPr>
      </w:pPr>
    </w:p>
    <w:p w:rsidR="0081012A" w:rsidRDefault="00370EB1">
      <w:pPr>
        <w:pStyle w:val="Textoindependiente"/>
        <w:spacing w:line="278" w:lineRule="auto"/>
        <w:ind w:left="1301" w:right="102"/>
        <w:jc w:val="both"/>
      </w:pPr>
      <w:r>
        <w:t>Se efectuó primer seguimiento a</w:t>
      </w:r>
      <w:r>
        <w:t xml:space="preserve"> dos recomendaciones emitidas por la Dirección de Auditoría Interna, según nombramiento No. 107895-1-2021, de fecha 16 de marzo de 2021, Auditoría Administrativa de seguimiento a las recomendaciones emitidas por la Dirección de Auditoría Interna, en el inf</w:t>
      </w:r>
      <w:r>
        <w:t>orme CUA 96893-1-2020, en la Dirección Departamental de Educación de</w:t>
      </w:r>
      <w:r>
        <w:rPr>
          <w:spacing w:val="-16"/>
        </w:rPr>
        <w:t xml:space="preserve"> </w:t>
      </w:r>
      <w:r>
        <w:t>Quetzaltenango.</w:t>
      </w:r>
    </w:p>
    <w:p w:rsidR="0081012A" w:rsidRDefault="0081012A">
      <w:pPr>
        <w:pStyle w:val="Textoindependiente"/>
        <w:spacing w:before="9"/>
        <w:rPr>
          <w:sz w:val="28"/>
        </w:rPr>
      </w:pPr>
    </w:p>
    <w:p w:rsidR="0081012A" w:rsidRDefault="00370EB1">
      <w:pPr>
        <w:pStyle w:val="Ttulo1"/>
      </w:pPr>
      <w:bookmarkStart w:id="3" w:name="_TOC_250001"/>
      <w:bookmarkEnd w:id="3"/>
      <w:r>
        <w:t>RESULTADOS DE LA ACTIVIDAD</w:t>
      </w:r>
    </w:p>
    <w:p w:rsidR="0081012A" w:rsidRDefault="0081012A">
      <w:pPr>
        <w:pStyle w:val="Textoindependiente"/>
        <w:spacing w:before="9"/>
        <w:rPr>
          <w:b/>
          <w:sz w:val="33"/>
        </w:rPr>
      </w:pPr>
    </w:p>
    <w:p w:rsidR="0081012A" w:rsidRDefault="00370EB1">
      <w:pPr>
        <w:pStyle w:val="Textoindependiente"/>
        <w:ind w:left="1301"/>
      </w:pPr>
      <w:r>
        <w:t>Los resultados del trabajo realizado se resumen a continuación:</w:t>
      </w:r>
    </w:p>
    <w:p w:rsidR="0081012A" w:rsidRDefault="0081012A">
      <w:pPr>
        <w:pStyle w:val="Textoindependiente"/>
        <w:spacing w:before="8"/>
        <w:rPr>
          <w:sz w:val="31"/>
        </w:rPr>
      </w:pPr>
    </w:p>
    <w:p w:rsidR="0081012A" w:rsidRDefault="00370EB1">
      <w:pPr>
        <w:ind w:left="1301"/>
        <w:rPr>
          <w:b/>
          <w:sz w:val="24"/>
        </w:rPr>
      </w:pPr>
      <w:r>
        <w:rPr>
          <w:b/>
          <w:sz w:val="24"/>
        </w:rPr>
        <w:t>RECOMENDACIONES EN PROCESO (Ver Anexo)</w:t>
      </w:r>
    </w:p>
    <w:p w:rsidR="0081012A" w:rsidRDefault="00370EB1">
      <w:pPr>
        <w:pStyle w:val="Textoindependiente"/>
        <w:spacing w:before="56" w:line="278" w:lineRule="auto"/>
        <w:ind w:left="1301" w:right="102"/>
        <w:jc w:val="both"/>
      </w:pPr>
      <w:r>
        <w:t>De conformidad con el Formulario SR1, Implementación de recomendaciones, así como evidencia, documentación y evaluación realizada, se estableció que las recomendaciones de los hallazgos monetarios y de incumplimiento a aspectos legales, no obstante se gira</w:t>
      </w:r>
      <w:r>
        <w:t>ron instrucciones para el debido cumplimiento a las recomendaciones emitidas por la Auditoría Interna, las mismas quedaron en proceso, debido a lo siguiente:</w:t>
      </w:r>
    </w:p>
    <w:p w:rsidR="0081012A" w:rsidRDefault="0081012A">
      <w:pPr>
        <w:pStyle w:val="Textoindependiente"/>
        <w:spacing w:before="5"/>
        <w:rPr>
          <w:sz w:val="27"/>
        </w:rPr>
      </w:pPr>
    </w:p>
    <w:p w:rsidR="0081012A" w:rsidRDefault="00370EB1">
      <w:pPr>
        <w:pStyle w:val="Textoindependiente"/>
        <w:spacing w:line="278" w:lineRule="auto"/>
        <w:ind w:left="1301" w:right="103"/>
        <w:jc w:val="both"/>
      </w:pPr>
      <w:r>
        <w:t xml:space="preserve">Hallazgo No.1. Faltante de equipo educacional y de cómputo. Se determinó que no </w:t>
      </w:r>
      <w:r>
        <w:rPr>
          <w:spacing w:val="2"/>
        </w:rPr>
        <w:t xml:space="preserve">obstante </w:t>
      </w:r>
      <w:r>
        <w:t xml:space="preserve">se han </w:t>
      </w:r>
      <w:r>
        <w:rPr>
          <w:spacing w:val="2"/>
        </w:rPr>
        <w:t>r</w:t>
      </w:r>
      <w:r>
        <w:rPr>
          <w:spacing w:val="2"/>
        </w:rPr>
        <w:t xml:space="preserve">ealizado nuevas ampliaciones </w:t>
      </w:r>
      <w:r>
        <w:t xml:space="preserve">a la </w:t>
      </w:r>
      <w:r>
        <w:rPr>
          <w:spacing w:val="2"/>
        </w:rPr>
        <w:t xml:space="preserve">denuncia </w:t>
      </w:r>
      <w:r>
        <w:t>No. MP 113/2020/3865</w:t>
      </w:r>
      <w:r>
        <w:rPr>
          <w:spacing w:val="29"/>
        </w:rPr>
        <w:t xml:space="preserve"> </w:t>
      </w:r>
      <w:r>
        <w:t>de</w:t>
      </w:r>
      <w:r>
        <w:rPr>
          <w:spacing w:val="30"/>
        </w:rPr>
        <w:t xml:space="preserve"> </w:t>
      </w:r>
      <w:r>
        <w:t>fecha</w:t>
      </w:r>
      <w:r>
        <w:rPr>
          <w:spacing w:val="30"/>
        </w:rPr>
        <w:t xml:space="preserve"> </w:t>
      </w:r>
      <w:r>
        <w:t>12</w:t>
      </w:r>
      <w:r>
        <w:rPr>
          <w:spacing w:val="30"/>
        </w:rPr>
        <w:t xml:space="preserve"> </w:t>
      </w:r>
      <w:r>
        <w:t>de</w:t>
      </w:r>
      <w:r>
        <w:rPr>
          <w:spacing w:val="30"/>
        </w:rPr>
        <w:t xml:space="preserve"> </w:t>
      </w:r>
      <w:r>
        <w:t>marzo</w:t>
      </w:r>
      <w:r>
        <w:rPr>
          <w:spacing w:val="30"/>
        </w:rPr>
        <w:t xml:space="preserve"> </w:t>
      </w:r>
      <w:r>
        <w:t>de</w:t>
      </w:r>
      <w:r>
        <w:rPr>
          <w:spacing w:val="29"/>
        </w:rPr>
        <w:t xml:space="preserve"> </w:t>
      </w:r>
      <w:r>
        <w:t>2020,</w:t>
      </w:r>
      <w:r>
        <w:rPr>
          <w:spacing w:val="30"/>
        </w:rPr>
        <w:t xml:space="preserve"> </w:t>
      </w:r>
      <w:r>
        <w:t>y</w:t>
      </w:r>
      <w:r>
        <w:rPr>
          <w:spacing w:val="30"/>
        </w:rPr>
        <w:t xml:space="preserve"> </w:t>
      </w:r>
      <w:r>
        <w:t>enviado</w:t>
      </w:r>
      <w:r>
        <w:rPr>
          <w:spacing w:val="30"/>
        </w:rPr>
        <w:t xml:space="preserve"> </w:t>
      </w:r>
      <w:r>
        <w:t>a</w:t>
      </w:r>
      <w:r>
        <w:rPr>
          <w:spacing w:val="30"/>
        </w:rPr>
        <w:t xml:space="preserve"> </w:t>
      </w:r>
      <w:r>
        <w:t>Recursos</w:t>
      </w:r>
      <w:r>
        <w:rPr>
          <w:spacing w:val="30"/>
        </w:rPr>
        <w:t xml:space="preserve"> </w:t>
      </w:r>
      <w:r>
        <w:t>Humanos</w:t>
      </w:r>
    </w:p>
    <w:p w:rsidR="0081012A" w:rsidRDefault="0081012A">
      <w:pPr>
        <w:spacing w:line="278" w:lineRule="auto"/>
        <w:jc w:val="both"/>
        <w:sectPr w:rsidR="0081012A">
          <w:headerReference w:type="default" r:id="rId7"/>
          <w:footerReference w:type="default" r:id="rId8"/>
          <w:pgSz w:w="12240" w:h="15840"/>
          <w:pgMar w:top="1060" w:right="1600" w:bottom="780" w:left="400" w:header="617" w:footer="596" w:gutter="0"/>
          <w:pgNumType w:start="1"/>
          <w:cols w:space="720"/>
        </w:sectPr>
      </w:pPr>
    </w:p>
    <w:p w:rsidR="0081012A" w:rsidRDefault="00370EB1">
      <w:pPr>
        <w:pStyle w:val="Textoindependiente"/>
        <w:spacing w:before="82" w:line="278" w:lineRule="auto"/>
        <w:ind w:left="1301" w:right="102"/>
        <w:jc w:val="both"/>
      </w:pPr>
      <w:r>
        <w:t>del MINEDUC, la providencia No. 913-2021, relacionado a la responsabilidad del encargado de inventarios, aún no se han concluído ambos casos.</w:t>
      </w:r>
    </w:p>
    <w:p w:rsidR="0081012A" w:rsidRDefault="0081012A">
      <w:pPr>
        <w:pStyle w:val="Textoindependiente"/>
        <w:spacing w:before="7"/>
        <w:rPr>
          <w:sz w:val="27"/>
        </w:rPr>
      </w:pPr>
    </w:p>
    <w:p w:rsidR="0081012A" w:rsidRDefault="00370EB1">
      <w:pPr>
        <w:pStyle w:val="Textoindependiente"/>
        <w:spacing w:before="1" w:line="278" w:lineRule="auto"/>
        <w:ind w:left="1301" w:right="102"/>
        <w:jc w:val="both"/>
      </w:pPr>
      <w:r>
        <w:t>Hallazgo No.2. Deficiencia en el área de inventa</w:t>
      </w:r>
      <w:r>
        <w:t>rios. A pesar que se giraron las instrucciones para el debido cumplimiento a las recomendaciones emitidas por la Auditoría Interna, según argumentan los responsables, aún no se ha cumplido a cabalidad con la totalidad de recomendaciones.</w:t>
      </w:r>
    </w:p>
    <w:p w:rsidR="0081012A" w:rsidRDefault="0081012A">
      <w:pPr>
        <w:pStyle w:val="Textoindependiente"/>
        <w:spacing w:before="6"/>
        <w:rPr>
          <w:sz w:val="27"/>
        </w:rPr>
      </w:pPr>
    </w:p>
    <w:p w:rsidR="0081012A" w:rsidRDefault="00370EB1">
      <w:pPr>
        <w:pStyle w:val="Textoindependiente"/>
        <w:spacing w:line="278" w:lineRule="auto"/>
        <w:ind w:left="1301" w:right="103"/>
        <w:jc w:val="both"/>
      </w:pPr>
      <w:r>
        <w:t>El resultado de q</w:t>
      </w:r>
      <w:r>
        <w:t>ue las recomendaciones efectuadas estén en proceso, propicia que se mantengan firmes la acciones correctivas, que exista atraso en el proceso administrativo, así mismo se corre el riesgo de una posible sanción económica por parte del ente fiscalizador esta</w:t>
      </w:r>
      <w:r>
        <w:t>tal.</w:t>
      </w:r>
    </w:p>
    <w:p w:rsidR="0081012A" w:rsidRDefault="0081012A">
      <w:pPr>
        <w:pStyle w:val="Textoindependiente"/>
        <w:spacing w:before="7"/>
        <w:rPr>
          <w:sz w:val="27"/>
        </w:rPr>
      </w:pPr>
    </w:p>
    <w:p w:rsidR="0081012A" w:rsidRDefault="00370EB1">
      <w:pPr>
        <w:ind w:left="1301"/>
        <w:jc w:val="both"/>
        <w:rPr>
          <w:b/>
          <w:sz w:val="24"/>
        </w:rPr>
      </w:pPr>
      <w:r>
        <w:rPr>
          <w:b/>
          <w:sz w:val="24"/>
        </w:rPr>
        <w:t>COMPROMISO ADQUIRIDO POR LOS RESPONSABLES</w:t>
      </w:r>
    </w:p>
    <w:p w:rsidR="0081012A" w:rsidRDefault="00370EB1">
      <w:pPr>
        <w:pStyle w:val="Textoindependiente"/>
        <w:spacing w:before="57" w:line="278" w:lineRule="auto"/>
        <w:ind w:left="1301" w:right="102"/>
        <w:jc w:val="both"/>
      </w:pPr>
      <w:r>
        <w:t>De acuerdo a lo manifestado vía correo electrónico de fecha 25 de marzo de 2021, el Director Departamental de Educación, Lic Francisco Tito Huinac Xiloj, manifiesta literalmente lo siguiente: "En respuesta al</w:t>
      </w:r>
      <w:r>
        <w:t xml:space="preserve"> plazo en que se tenga ya realizadas las recomendaciones emitidas por la Auditoria Interna en el informe CUA 96893-1-2020, en relación al faltante de quipo y computo, caso denunciado al proceso que se tiene en el Ministerio Público, del cual no sabemos en </w:t>
      </w:r>
      <w:r>
        <w:t>cuánto tiempo se resolverá el caso de la denuncia presentada a dicho Ministerio, por tal razón, no podemos fijar un plazo de tiempo en el cual esté resuelta la recomendación. Respecto a la deficiencia en el área de inventario, para poder realizar registros</w:t>
      </w:r>
      <w:r>
        <w:t xml:space="preserve"> contables es necesario que se tenga la autorización de traslado de bienes y equipo por parte del Ministerio de Finanzas Públicas, es por lo que no podemos indicar como haya quedado el caso".</w:t>
      </w: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13"/>
        </w:rPr>
      </w:pPr>
    </w:p>
    <w:p w:rsidR="0081012A" w:rsidRDefault="00370EB1">
      <w:pPr>
        <w:tabs>
          <w:tab w:val="left" w:pos="5840"/>
        </w:tabs>
        <w:spacing w:line="20" w:lineRule="exact"/>
        <w:ind w:left="1436"/>
        <w:rPr>
          <w:sz w:val="2"/>
        </w:rPr>
      </w:pPr>
      <w:r>
        <w:rPr>
          <w:noProof/>
          <w:sz w:val="2"/>
          <w:lang w:val="es-GT" w:eastAsia="es-GT"/>
        </w:rPr>
        <mc:AlternateContent>
          <mc:Choice Requires="wpg">
            <w:drawing>
              <wp:inline distT="0" distB="0" distL="0" distR="0">
                <wp:extent cx="1651635" cy="9525"/>
                <wp:effectExtent l="3810" t="0" r="1905" b="2540"/>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9525"/>
                          <a:chOff x="0" y="0"/>
                          <a:chExt cx="2601" cy="15"/>
                        </a:xfrm>
                      </wpg:grpSpPr>
                      <wps:wsp>
                        <wps:cNvPr id="25" name="Rectangle 9"/>
                        <wps:cNvSpPr>
                          <a:spLocks noChangeArrowheads="1"/>
                        </wps:cNvSpPr>
                        <wps:spPr bwMode="auto">
                          <a:xfrm>
                            <a:off x="0" y="0"/>
                            <a:ext cx="260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E6D7E1" id="Group 8" o:spid="_x0000_s1026" style="width:130.05pt;height:.75pt;mso-position-horizontal-relative:char;mso-position-vertical-relative:line" coordsize="26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">
                <v:rect id="Rectangle 9" o:spid="_x0000_s1027" style="position:absolute;width:260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112520" cy="9525"/>
                <wp:effectExtent l="0" t="0" r="1905" b="2540"/>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3"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BDDB0E"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w9xQIAAEg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p>
    <w:p w:rsidR="0081012A" w:rsidRDefault="0081012A">
      <w:pPr>
        <w:spacing w:line="20" w:lineRule="exact"/>
        <w:rPr>
          <w:sz w:val="2"/>
        </w:rPr>
        <w:sectPr w:rsidR="0081012A">
          <w:pgSz w:w="12240" w:h="15840"/>
          <w:pgMar w:top="1060" w:right="1600" w:bottom="780" w:left="400" w:header="617" w:footer="596" w:gutter="0"/>
          <w:cols w:space="720"/>
        </w:sectPr>
      </w:pPr>
    </w:p>
    <w:p w:rsidR="0081012A" w:rsidRDefault="00370EB1">
      <w:pPr>
        <w:spacing w:before="20"/>
        <w:ind w:left="1451"/>
        <w:rPr>
          <w:sz w:val="14"/>
        </w:rPr>
      </w:pPr>
      <w:r>
        <w:rPr>
          <w:sz w:val="14"/>
        </w:rPr>
        <w:t>OSCAR ARNOLDO RUANO GONZALEZ</w:t>
      </w:r>
    </w:p>
    <w:p w:rsidR="0081012A" w:rsidRDefault="00370EB1">
      <w:pPr>
        <w:spacing w:before="85"/>
        <w:ind w:left="1451"/>
        <w:rPr>
          <w:sz w:val="14"/>
        </w:rPr>
      </w:pPr>
      <w:r>
        <w:rPr>
          <w:sz w:val="14"/>
        </w:rPr>
        <w:t>Auditor</w:t>
      </w:r>
    </w:p>
    <w:p w:rsidR="0081012A" w:rsidRDefault="00370EB1">
      <w:pPr>
        <w:spacing w:before="20"/>
        <w:ind w:left="1451"/>
        <w:rPr>
          <w:sz w:val="14"/>
        </w:rPr>
      </w:pPr>
      <w:r>
        <w:br w:type="column"/>
      </w:r>
      <w:r>
        <w:rPr>
          <w:sz w:val="14"/>
        </w:rPr>
        <w:t>JORGE EFRAIN YOC COY</w:t>
      </w:r>
    </w:p>
    <w:p w:rsidR="0081012A" w:rsidRDefault="00370EB1">
      <w:pPr>
        <w:spacing w:before="85"/>
        <w:ind w:left="1451"/>
        <w:rPr>
          <w:sz w:val="14"/>
        </w:rPr>
      </w:pPr>
      <w:r>
        <w:rPr>
          <w:sz w:val="14"/>
        </w:rPr>
        <w:t>Supervisor</w:t>
      </w:r>
    </w:p>
    <w:p w:rsidR="0081012A" w:rsidRDefault="0081012A">
      <w:pPr>
        <w:rPr>
          <w:sz w:val="14"/>
        </w:rPr>
        <w:sectPr w:rsidR="0081012A">
          <w:type w:val="continuous"/>
          <w:pgSz w:w="12240" w:h="15840"/>
          <w:pgMar w:top="1080" w:right="1600" w:bottom="0" w:left="400" w:header="720" w:footer="720" w:gutter="0"/>
          <w:cols w:num="2" w:space="720" w:equalWidth="0">
            <w:col w:w="4058" w:space="346"/>
            <w:col w:w="5836"/>
          </w:cols>
        </w:sect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rPr>
          <w:sz w:val="20"/>
        </w:rPr>
      </w:pPr>
    </w:p>
    <w:p w:rsidR="0081012A" w:rsidRDefault="0081012A">
      <w:pPr>
        <w:pStyle w:val="Textoindependiente"/>
        <w:spacing w:before="1"/>
        <w:rPr>
          <w:sz w:val="20"/>
        </w:rPr>
      </w:pPr>
    </w:p>
    <w:p w:rsidR="0081012A" w:rsidRDefault="00370EB1">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4445"/>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1"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4E67EB"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U4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yZe1OM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444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9"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6E0BDC"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QUxA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Lk0pBT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81012A" w:rsidRDefault="0081012A">
      <w:pPr>
        <w:spacing w:line="20" w:lineRule="exact"/>
        <w:rPr>
          <w:sz w:val="2"/>
        </w:rPr>
        <w:sectPr w:rsidR="0081012A">
          <w:type w:val="continuous"/>
          <w:pgSz w:w="12240" w:h="15840"/>
          <w:pgMar w:top="1080" w:right="1600" w:bottom="0" w:left="400" w:header="720" w:footer="720" w:gutter="0"/>
          <w:cols w:space="720"/>
        </w:sectPr>
      </w:pPr>
    </w:p>
    <w:p w:rsidR="0081012A" w:rsidRDefault="00370EB1">
      <w:pPr>
        <w:spacing w:before="19"/>
        <w:ind w:left="1451"/>
        <w:rPr>
          <w:sz w:val="14"/>
        </w:rPr>
      </w:pPr>
      <w:r>
        <w:rPr>
          <w:sz w:val="14"/>
        </w:rPr>
        <w:t>MILDRED LORENA FUENTES DE LEON</w:t>
      </w:r>
    </w:p>
    <w:p w:rsidR="0081012A" w:rsidRDefault="00370EB1">
      <w:pPr>
        <w:spacing w:before="86"/>
        <w:ind w:left="1451"/>
        <w:rPr>
          <w:sz w:val="14"/>
        </w:rPr>
      </w:pPr>
      <w:r>
        <w:rPr>
          <w:sz w:val="14"/>
        </w:rPr>
        <w:t>Sub Director</w:t>
      </w:r>
    </w:p>
    <w:p w:rsidR="0081012A" w:rsidRDefault="00370EB1">
      <w:pPr>
        <w:spacing w:before="19"/>
        <w:ind w:left="1451"/>
        <w:rPr>
          <w:sz w:val="14"/>
        </w:rPr>
      </w:pPr>
      <w:r>
        <w:br w:type="column"/>
      </w:r>
      <w:r>
        <w:rPr>
          <w:sz w:val="14"/>
        </w:rPr>
        <w:t>JULIA VICTORIA MONZON PEREZ</w:t>
      </w:r>
    </w:p>
    <w:p w:rsidR="0081012A" w:rsidRDefault="00370EB1">
      <w:pPr>
        <w:spacing w:before="86"/>
        <w:ind w:left="1451"/>
        <w:rPr>
          <w:sz w:val="14"/>
        </w:rPr>
      </w:pPr>
      <w:r>
        <w:rPr>
          <w:sz w:val="14"/>
        </w:rPr>
        <w:t>Director</w:t>
      </w:r>
    </w:p>
    <w:p w:rsidR="0081012A" w:rsidRDefault="0081012A">
      <w:pPr>
        <w:rPr>
          <w:sz w:val="14"/>
        </w:rPr>
        <w:sectPr w:rsidR="0081012A">
          <w:type w:val="continuous"/>
          <w:pgSz w:w="12240" w:h="15840"/>
          <w:pgMar w:top="1080" w:right="1600" w:bottom="0" w:left="400" w:header="720" w:footer="720" w:gutter="0"/>
          <w:cols w:num="2" w:space="720" w:equalWidth="0">
            <w:col w:w="4083" w:space="321"/>
            <w:col w:w="5836"/>
          </w:cols>
        </w:sectPr>
      </w:pPr>
    </w:p>
    <w:p w:rsidR="0081012A" w:rsidRDefault="00370EB1">
      <w:pPr>
        <w:pStyle w:val="Ttulo1"/>
        <w:spacing w:before="82"/>
      </w:pPr>
      <w:bookmarkStart w:id="4" w:name="_TOC_250000"/>
      <w:bookmarkEnd w:id="4"/>
      <w:r>
        <w:t>ANEXOS</w:t>
      </w:r>
    </w:p>
    <w:p w:rsidR="0081012A" w:rsidRDefault="0081012A">
      <w:pPr>
        <w:pStyle w:val="Textoindependiente"/>
        <w:spacing w:before="1"/>
        <w:rPr>
          <w:b/>
          <w:sz w:val="29"/>
        </w:rPr>
      </w:pPr>
    </w:p>
    <w:p w:rsidR="0081012A" w:rsidRDefault="00370EB1">
      <w:pPr>
        <w:spacing w:before="94"/>
        <w:ind w:left="1256"/>
        <w:jc w:val="center"/>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261923</wp:posOffset>
            </wp:positionV>
            <wp:extent cx="5398597" cy="690524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98597" cy="6905244"/>
                    </a:xfrm>
                    <a:prstGeom prst="rect">
                      <a:avLst/>
                    </a:prstGeom>
                  </pic:spPr>
                </pic:pic>
              </a:graphicData>
            </a:graphic>
          </wp:anchor>
        </w:drawing>
      </w:r>
      <w:r>
        <w:rPr>
          <w:sz w:val="16"/>
        </w:rPr>
        <w:t>.</w:t>
      </w:r>
    </w:p>
    <w:p w:rsidR="0081012A" w:rsidRDefault="0081012A">
      <w:pPr>
        <w:jc w:val="center"/>
        <w:rPr>
          <w:sz w:val="16"/>
        </w:rPr>
        <w:sectPr w:rsidR="0081012A">
          <w:pgSz w:w="12240" w:h="15840"/>
          <w:pgMar w:top="1060" w:right="1600" w:bottom="780" w:left="400" w:header="617" w:footer="596" w:gutter="0"/>
          <w:cols w:space="720"/>
        </w:sectPr>
      </w:pPr>
    </w:p>
    <w:p w:rsidR="0081012A" w:rsidRDefault="00370EB1">
      <w:pPr>
        <w:spacing w:before="121"/>
        <w:ind w:left="1256"/>
        <w:jc w:val="center"/>
        <w:rPr>
          <w:sz w:val="16"/>
        </w:rPr>
      </w:pPr>
      <w:r>
        <w:rPr>
          <w:noProof/>
          <w:lang w:val="es-GT" w:eastAsia="es-GT"/>
        </w:rPr>
        <w:drawing>
          <wp:anchor distT="0" distB="0" distL="0" distR="0" simplePos="0" relativeHeight="7" behindDoc="0" locked="0" layoutInCell="1" allowOverlap="1">
            <wp:simplePos x="0" y="0"/>
            <wp:positionH relativeFrom="page">
              <wp:posOffset>1108710</wp:posOffset>
            </wp:positionH>
            <wp:positionV relativeFrom="paragraph">
              <wp:posOffset>279195</wp:posOffset>
            </wp:positionV>
            <wp:extent cx="5398597" cy="687019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398597" cy="6870192"/>
                    </a:xfrm>
                    <a:prstGeom prst="rect">
                      <a:avLst/>
                    </a:prstGeom>
                  </pic:spPr>
                </pic:pic>
              </a:graphicData>
            </a:graphic>
          </wp:anchor>
        </w:drawing>
      </w:r>
      <w:r>
        <w:rPr>
          <w:sz w:val="16"/>
        </w:rPr>
        <w:t>.</w:t>
      </w:r>
    </w:p>
    <w:p w:rsidR="0081012A" w:rsidRDefault="0081012A">
      <w:pPr>
        <w:jc w:val="center"/>
        <w:rPr>
          <w:sz w:val="16"/>
        </w:rPr>
        <w:sectPr w:rsidR="0081012A">
          <w:pgSz w:w="12240" w:h="15840"/>
          <w:pgMar w:top="1060" w:right="1600" w:bottom="780" w:left="400" w:header="617" w:footer="596" w:gutter="0"/>
          <w:cols w:space="720"/>
        </w:sectPr>
      </w:pPr>
    </w:p>
    <w:p w:rsidR="0081012A" w:rsidRDefault="00370EB1">
      <w:pPr>
        <w:spacing w:before="121"/>
        <w:ind w:left="1256"/>
        <w:jc w:val="center"/>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279195</wp:posOffset>
            </wp:positionV>
            <wp:extent cx="5398597" cy="7001636"/>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398597" cy="7001636"/>
                    </a:xfrm>
                    <a:prstGeom prst="rect">
                      <a:avLst/>
                    </a:prstGeom>
                  </pic:spPr>
                </pic:pic>
              </a:graphicData>
            </a:graphic>
          </wp:anchor>
        </w:drawing>
      </w:r>
      <w:r>
        <w:rPr>
          <w:sz w:val="16"/>
        </w:rPr>
        <w:t>.</w:t>
      </w:r>
    </w:p>
    <w:p w:rsidR="0081012A" w:rsidRDefault="0081012A">
      <w:pPr>
        <w:jc w:val="center"/>
        <w:rPr>
          <w:sz w:val="16"/>
        </w:rPr>
        <w:sectPr w:rsidR="0081012A">
          <w:pgSz w:w="12240" w:h="15840"/>
          <w:pgMar w:top="1060" w:right="1600" w:bottom="780" w:left="400" w:header="617" w:footer="596" w:gutter="0"/>
          <w:cols w:space="720"/>
        </w:sectPr>
      </w:pPr>
    </w:p>
    <w:p w:rsidR="0081012A" w:rsidRDefault="00370EB1">
      <w:pPr>
        <w:spacing w:before="121"/>
        <w:ind w:left="1256"/>
        <w:jc w:val="center"/>
        <w:rPr>
          <w:sz w:val="16"/>
        </w:rPr>
      </w:pPr>
      <w:r>
        <w:rPr>
          <w:noProof/>
          <w:lang w:val="es-GT" w:eastAsia="es-GT"/>
        </w:rPr>
        <w:drawing>
          <wp:anchor distT="0" distB="0" distL="0" distR="0" simplePos="0" relativeHeight="9" behindDoc="0" locked="0" layoutInCell="1" allowOverlap="1">
            <wp:simplePos x="0" y="0"/>
            <wp:positionH relativeFrom="page">
              <wp:posOffset>1143373</wp:posOffset>
            </wp:positionH>
            <wp:positionV relativeFrom="paragraph">
              <wp:posOffset>279195</wp:posOffset>
            </wp:positionV>
            <wp:extent cx="5364428" cy="6940296"/>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364428" cy="6940296"/>
                    </a:xfrm>
                    <a:prstGeom prst="rect">
                      <a:avLst/>
                    </a:prstGeom>
                  </pic:spPr>
                </pic:pic>
              </a:graphicData>
            </a:graphic>
          </wp:anchor>
        </w:drawing>
      </w:r>
      <w:r>
        <w:rPr>
          <w:sz w:val="16"/>
        </w:rPr>
        <w:t>.</w:t>
      </w:r>
    </w:p>
    <w:p w:rsidR="0081012A" w:rsidRDefault="0081012A">
      <w:pPr>
        <w:jc w:val="center"/>
        <w:rPr>
          <w:sz w:val="16"/>
        </w:rPr>
        <w:sectPr w:rsidR="0081012A">
          <w:pgSz w:w="12240" w:h="15840"/>
          <w:pgMar w:top="1060" w:right="1600" w:bottom="780" w:left="400" w:header="617" w:footer="596" w:gutter="0"/>
          <w:cols w:space="720"/>
        </w:sectPr>
      </w:pPr>
    </w:p>
    <w:p w:rsidR="0081012A" w:rsidRDefault="00370EB1">
      <w:pPr>
        <w:spacing w:before="121"/>
        <w:ind w:left="1256"/>
        <w:jc w:val="center"/>
        <w:rPr>
          <w:sz w:val="16"/>
        </w:rPr>
      </w:pPr>
      <w:r>
        <w:rPr>
          <w:sz w:val="16"/>
        </w:rPr>
        <w:t>.</w:t>
      </w:r>
    </w:p>
    <w:p w:rsidR="0081012A" w:rsidRDefault="00370EB1">
      <w:pPr>
        <w:pStyle w:val="Textoindependiente"/>
        <w:spacing w:before="2"/>
        <w:rPr>
          <w:sz w:val="13"/>
        </w:rPr>
      </w:pPr>
      <w:r>
        <w:rPr>
          <w:noProof/>
          <w:lang w:val="es-GT" w:eastAsia="es-GT"/>
        </w:rPr>
        <w:drawing>
          <wp:anchor distT="0" distB="0" distL="0" distR="0" simplePos="0" relativeHeight="10" behindDoc="0" locked="0" layoutInCell="1" allowOverlap="1">
            <wp:simplePos x="0" y="0"/>
            <wp:positionH relativeFrom="page">
              <wp:posOffset>1108710</wp:posOffset>
            </wp:positionH>
            <wp:positionV relativeFrom="paragraph">
              <wp:posOffset>121082</wp:posOffset>
            </wp:positionV>
            <wp:extent cx="5398597" cy="6870192"/>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398597" cy="6870192"/>
                    </a:xfrm>
                    <a:prstGeom prst="rect">
                      <a:avLst/>
                    </a:prstGeom>
                  </pic:spPr>
                </pic:pic>
              </a:graphicData>
            </a:graphic>
          </wp:anchor>
        </w:drawing>
      </w:r>
    </w:p>
    <w:p w:rsidR="0081012A" w:rsidRDefault="0081012A">
      <w:pPr>
        <w:rPr>
          <w:sz w:val="13"/>
        </w:rPr>
        <w:sectPr w:rsidR="0081012A">
          <w:pgSz w:w="12240" w:h="15840"/>
          <w:pgMar w:top="1060" w:right="1600" w:bottom="780" w:left="400" w:header="617" w:footer="596" w:gutter="0"/>
          <w:cols w:space="720"/>
        </w:sectPr>
      </w:pPr>
    </w:p>
    <w:p w:rsidR="0081012A" w:rsidRDefault="00370EB1">
      <w:pPr>
        <w:spacing w:before="121"/>
        <w:ind w:left="1256"/>
        <w:jc w:val="center"/>
        <w:rPr>
          <w:sz w:val="16"/>
        </w:rPr>
      </w:pPr>
      <w:r>
        <w:rPr>
          <w:sz w:val="16"/>
        </w:rPr>
        <w:t>.</w:t>
      </w:r>
    </w:p>
    <w:p w:rsidR="0081012A" w:rsidRDefault="00370EB1">
      <w:pPr>
        <w:pStyle w:val="Textoindependiente"/>
        <w:spacing w:before="2"/>
        <w:rPr>
          <w:sz w:val="13"/>
        </w:rPr>
      </w:pPr>
      <w:r>
        <w:rPr>
          <w:noProof/>
          <w:lang w:val="es-GT" w:eastAsia="es-GT"/>
        </w:rPr>
        <w:drawing>
          <wp:anchor distT="0" distB="0" distL="0" distR="0" simplePos="0" relativeHeight="11" behindDoc="0" locked="0" layoutInCell="1" allowOverlap="1">
            <wp:simplePos x="0" y="0"/>
            <wp:positionH relativeFrom="page">
              <wp:posOffset>1143373</wp:posOffset>
            </wp:positionH>
            <wp:positionV relativeFrom="paragraph">
              <wp:posOffset>121082</wp:posOffset>
            </wp:positionV>
            <wp:extent cx="5364428" cy="6905244"/>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364428" cy="6905244"/>
                    </a:xfrm>
                    <a:prstGeom prst="rect">
                      <a:avLst/>
                    </a:prstGeom>
                  </pic:spPr>
                </pic:pic>
              </a:graphicData>
            </a:graphic>
          </wp:anchor>
        </w:drawing>
      </w:r>
    </w:p>
    <w:p w:rsidR="0081012A" w:rsidRDefault="0081012A">
      <w:pPr>
        <w:rPr>
          <w:sz w:val="13"/>
        </w:rPr>
        <w:sectPr w:rsidR="0081012A">
          <w:pgSz w:w="12240" w:h="15840"/>
          <w:pgMar w:top="1060" w:right="1600" w:bottom="780" w:left="400" w:header="617" w:footer="596" w:gutter="0"/>
          <w:cols w:space="720"/>
        </w:sectPr>
      </w:pPr>
    </w:p>
    <w:p w:rsidR="0081012A" w:rsidRDefault="00370EB1">
      <w:pPr>
        <w:spacing w:before="121"/>
        <w:ind w:left="1256"/>
        <w:jc w:val="center"/>
        <w:rPr>
          <w:sz w:val="16"/>
        </w:rPr>
      </w:pPr>
      <w:r>
        <w:rPr>
          <w:sz w:val="16"/>
        </w:rPr>
        <w:t>.</w:t>
      </w:r>
    </w:p>
    <w:p w:rsidR="0081012A" w:rsidRDefault="00370EB1">
      <w:pPr>
        <w:pStyle w:val="Textoindependiente"/>
        <w:spacing w:before="2"/>
        <w:rPr>
          <w:sz w:val="13"/>
        </w:rPr>
      </w:pPr>
      <w:r>
        <w:rPr>
          <w:noProof/>
          <w:lang w:val="es-GT" w:eastAsia="es-GT"/>
        </w:rPr>
        <w:drawing>
          <wp:anchor distT="0" distB="0" distL="0" distR="0" simplePos="0" relativeHeight="12" behindDoc="0" locked="0" layoutInCell="1" allowOverlap="1">
            <wp:simplePos x="0" y="0"/>
            <wp:positionH relativeFrom="page">
              <wp:posOffset>1143373</wp:posOffset>
            </wp:positionH>
            <wp:positionV relativeFrom="paragraph">
              <wp:posOffset>121082</wp:posOffset>
            </wp:positionV>
            <wp:extent cx="5364428" cy="6870192"/>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364428" cy="6870192"/>
                    </a:xfrm>
                    <a:prstGeom prst="rect">
                      <a:avLst/>
                    </a:prstGeom>
                  </pic:spPr>
                </pic:pic>
              </a:graphicData>
            </a:graphic>
          </wp:anchor>
        </w:drawing>
      </w:r>
    </w:p>
    <w:sectPr w:rsidR="0081012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70EB1">
      <w:r>
        <w:separator/>
      </w:r>
    </w:p>
  </w:endnote>
  <w:endnote w:type="continuationSeparator" w:id="0">
    <w:p w:rsidR="00000000" w:rsidRDefault="00370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12A" w:rsidRDefault="00370EB1">
    <w:pPr>
      <w:pStyle w:val="Textoindependiente"/>
      <w:spacing w:line="14" w:lineRule="auto"/>
      <w:rPr>
        <w:sz w:val="20"/>
      </w:rPr>
    </w:pPr>
    <w:r>
      <w:rPr>
        <w:noProof/>
        <w:lang w:val="es-GT" w:eastAsia="es-GT"/>
      </w:rPr>
      <mc:AlternateContent>
        <mc:Choice Requires="wpg">
          <w:drawing>
            <wp:anchor distT="0" distB="0" distL="114300" distR="114300" simplePos="0" relativeHeight="48744704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DAAFFB" id="Group 3" o:spid="_x0000_s1026" style="position:absolute;margin-left:25pt;margin-top:748.2pt;width:502pt;height:28.8pt;z-index:-1586944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FJ9uEE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aqDFAAAA2wAAAA8AAABkcnMvZG93bnJldi54bWxEj0FrwkAQhe8F/8MyQm91Y8FSoquoVJDW&#10;HqrxPmTHJJidjdnVxP76zkHobYb35r1vZove1epGbag8GxiPElDEubcVFwayw+blHVSIyBZrz2Tg&#10;TgEW88HTDFPrO/6h2z4WSkI4pGigjLFJtQ55SQ7DyDfEop186zDK2hbatthJuKv1a5K8aYcVS0OJ&#10;Da1Lys/7qzNQnL6/JsffkO1Wk/vnxyVb5te6M+Z52C+noCL18d/8uN5awRd6+UUG0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Gqg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4755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2A" w:rsidRDefault="00370EB1">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81012A" w:rsidRDefault="00370EB1">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8064"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2A" w:rsidRDefault="00370EB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81012A" w:rsidRDefault="00370EB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70EB1">
      <w:r>
        <w:separator/>
      </w:r>
    </w:p>
  </w:footnote>
  <w:footnote w:type="continuationSeparator" w:id="0">
    <w:p w:rsidR="00000000" w:rsidRDefault="00370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12A" w:rsidRDefault="00370EB1">
    <w:pPr>
      <w:pStyle w:val="Textoindependiente"/>
      <w:spacing w:line="14" w:lineRule="auto"/>
      <w:rPr>
        <w:sz w:val="20"/>
      </w:rPr>
    </w:pPr>
    <w:r>
      <w:rPr>
        <w:noProof/>
        <w:lang w:val="es-GT" w:eastAsia="es-GT"/>
      </w:rPr>
      <mc:AlternateContent>
        <mc:Choice Requires="wps">
          <w:drawing>
            <wp:anchor distT="0" distB="0" distL="114300" distR="114300" simplePos="0" relativeHeight="48744550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F32C2" id="Freeform 8" o:spid="_x0000_s1026" style="position:absolute;margin-left:85.05pt;margin-top:40.1pt;width:442pt;height:.75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4601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2A" w:rsidRDefault="00370EB1">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81012A" w:rsidRDefault="00370EB1">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652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2A" w:rsidRDefault="00370EB1">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81012A" w:rsidRDefault="00370EB1">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2A"/>
    <w:rsid w:val="00370EB1"/>
    <w:rsid w:val="0081012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CFF2D9B9-F555-4913-8CEF-4749234B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680</Words>
  <Characters>3746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2021-05-04T21:42:00Z</dcterms:created>
  <dcterms:modified xsi:type="dcterms:W3CDTF">2021-05-04T21:42:00Z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