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BF3" w:rsidRDefault="005C51C3">
      <w:pPr>
        <w:spacing w:before="71" w:line="290" w:lineRule="auto"/>
        <w:ind w:left="4439" w:right="2838" w:hanging="378"/>
        <w:rPr>
          <w:b/>
          <w:sz w:val="24"/>
        </w:rPr>
      </w:pPr>
      <w:bookmarkStart w:id="0" w:name="_GoBack"/>
      <w:bookmarkEnd w:id="0"/>
      <w:r>
        <w:rPr>
          <w:b/>
          <w:sz w:val="24"/>
        </w:rPr>
        <w:t>MINISTERIO DE EDUCACIÓN AUDITORIA INTERNA CUA No.:107232</w:t>
      </w: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320BF3">
      <w:pPr>
        <w:pStyle w:val="Textoindependiente"/>
        <w:rPr>
          <w:b/>
          <w:sz w:val="26"/>
        </w:rPr>
      </w:pPr>
    </w:p>
    <w:p w:rsidR="00320BF3" w:rsidRDefault="005C51C3">
      <w:pPr>
        <w:spacing w:before="185" w:line="340" w:lineRule="auto"/>
        <w:ind w:left="3767" w:right="2565" w:hanging="2"/>
        <w:jc w:val="center"/>
        <w:rPr>
          <w:b/>
          <w:sz w:val="24"/>
        </w:rPr>
      </w:pPr>
      <w:r>
        <w:rPr>
          <w:b/>
          <w:sz w:val="24"/>
        </w:rPr>
        <w:t>MINISTERIO DE EDUCACIÓN ACTIVIDADES ADMINISTRATIVAS</w:t>
      </w:r>
    </w:p>
    <w:p w:rsidR="00320BF3" w:rsidRDefault="005C51C3">
      <w:pPr>
        <w:spacing w:before="3" w:line="290" w:lineRule="auto"/>
        <w:ind w:left="2233" w:right="1041" w:firstLine="2"/>
        <w:jc w:val="center"/>
        <w:rPr>
          <w:b/>
          <w:sz w:val="24"/>
        </w:rPr>
      </w:pPr>
      <w:r>
        <w:rPr>
          <w:b/>
          <w:sz w:val="24"/>
        </w:rPr>
        <w:t>Primer seguimiento a las recomendaciones emitidas por la Contraloría</w:t>
      </w:r>
      <w:r>
        <w:rPr>
          <w:b/>
          <w:spacing w:val="-6"/>
          <w:sz w:val="24"/>
        </w:rPr>
        <w:t xml:space="preserve"> </w:t>
      </w:r>
      <w:r>
        <w:rPr>
          <w:b/>
          <w:sz w:val="24"/>
        </w:rPr>
        <w:t>General</w:t>
      </w:r>
      <w:r>
        <w:rPr>
          <w:b/>
          <w:spacing w:val="-6"/>
          <w:sz w:val="24"/>
        </w:rPr>
        <w:t xml:space="preserve"> </w:t>
      </w:r>
      <w:r>
        <w:rPr>
          <w:b/>
          <w:sz w:val="24"/>
        </w:rPr>
        <w:t>de</w:t>
      </w:r>
      <w:r>
        <w:rPr>
          <w:b/>
          <w:spacing w:val="-5"/>
          <w:sz w:val="24"/>
        </w:rPr>
        <w:t xml:space="preserve"> </w:t>
      </w:r>
      <w:r>
        <w:rPr>
          <w:b/>
          <w:sz w:val="24"/>
        </w:rPr>
        <w:t>Cuentas</w:t>
      </w:r>
      <w:r>
        <w:rPr>
          <w:b/>
          <w:spacing w:val="-6"/>
          <w:sz w:val="24"/>
        </w:rPr>
        <w:t xml:space="preserve"> </w:t>
      </w:r>
      <w:r>
        <w:rPr>
          <w:b/>
          <w:sz w:val="24"/>
        </w:rPr>
        <w:t>en</w:t>
      </w:r>
      <w:r>
        <w:rPr>
          <w:b/>
          <w:spacing w:val="-5"/>
          <w:sz w:val="24"/>
        </w:rPr>
        <w:t xml:space="preserve"> </w:t>
      </w:r>
      <w:r>
        <w:rPr>
          <w:b/>
          <w:sz w:val="24"/>
        </w:rPr>
        <w:t>el</w:t>
      </w:r>
      <w:r>
        <w:rPr>
          <w:b/>
          <w:spacing w:val="-6"/>
          <w:sz w:val="24"/>
        </w:rPr>
        <w:t xml:space="preserve"> </w:t>
      </w:r>
      <w:r>
        <w:rPr>
          <w:b/>
          <w:sz w:val="24"/>
        </w:rPr>
        <w:t>informe</w:t>
      </w:r>
      <w:r>
        <w:rPr>
          <w:b/>
          <w:spacing w:val="-5"/>
          <w:sz w:val="24"/>
        </w:rPr>
        <w:t xml:space="preserve"> </w:t>
      </w:r>
      <w:r>
        <w:rPr>
          <w:b/>
          <w:sz w:val="24"/>
        </w:rPr>
        <w:t>de</w:t>
      </w:r>
      <w:r>
        <w:rPr>
          <w:b/>
          <w:spacing w:val="-6"/>
          <w:sz w:val="24"/>
        </w:rPr>
        <w:t xml:space="preserve"> </w:t>
      </w:r>
      <w:r>
        <w:rPr>
          <w:b/>
          <w:sz w:val="24"/>
        </w:rPr>
        <w:t>Auditoría</w:t>
      </w:r>
      <w:r>
        <w:rPr>
          <w:b/>
          <w:spacing w:val="-5"/>
          <w:sz w:val="24"/>
        </w:rPr>
        <w:t xml:space="preserve"> </w:t>
      </w:r>
      <w:r>
        <w:rPr>
          <w:b/>
          <w:sz w:val="24"/>
        </w:rPr>
        <w:t>de Cumplimiento con Seguridad Limitada, del 01 de diciembre de 2018 al 31 de enero de</w:t>
      </w:r>
      <w:r>
        <w:rPr>
          <w:b/>
          <w:spacing w:val="-11"/>
          <w:sz w:val="24"/>
        </w:rPr>
        <w:t xml:space="preserve"> </w:t>
      </w:r>
      <w:r>
        <w:rPr>
          <w:b/>
          <w:sz w:val="24"/>
        </w:rPr>
        <w:t>2019.</w:t>
      </w: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rPr>
          <w:b/>
          <w:sz w:val="20"/>
        </w:rPr>
      </w:pPr>
    </w:p>
    <w:p w:rsidR="00320BF3" w:rsidRDefault="00320BF3">
      <w:pPr>
        <w:pStyle w:val="Textoindependiente"/>
        <w:spacing w:before="8"/>
        <w:rPr>
          <w:b/>
          <w:sz w:val="15"/>
        </w:rPr>
      </w:pPr>
    </w:p>
    <w:p w:rsidR="00320BF3" w:rsidRDefault="005C51C3">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320BF3" w:rsidRDefault="00320BF3">
      <w:pPr>
        <w:rPr>
          <w:sz w:val="24"/>
        </w:rPr>
        <w:sectPr w:rsidR="00320BF3">
          <w:type w:val="continuous"/>
          <w:pgSz w:w="12240" w:h="15840"/>
          <w:pgMar w:top="1080" w:right="1600" w:bottom="0" w:left="400" w:header="720" w:footer="720" w:gutter="0"/>
          <w:cols w:space="720"/>
        </w:sectPr>
      </w:pPr>
    </w:p>
    <w:p w:rsidR="00320BF3" w:rsidRDefault="005C51C3">
      <w:pPr>
        <w:spacing w:before="71"/>
        <w:ind w:left="4938" w:right="4447"/>
        <w:jc w:val="center"/>
        <w:rPr>
          <w:b/>
          <w:sz w:val="24"/>
        </w:rPr>
      </w:pPr>
      <w:r>
        <w:rPr>
          <w:b/>
          <w:sz w:val="24"/>
        </w:rPr>
        <w:lastRenderedPageBreak/>
        <w:t>INDICE</w:t>
      </w:r>
    </w:p>
    <w:sdt>
      <w:sdtPr>
        <w:rPr>
          <w:b w:val="0"/>
          <w:bCs w:val="0"/>
          <w:sz w:val="22"/>
          <w:szCs w:val="22"/>
        </w:rPr>
        <w:id w:val="-1981531415"/>
        <w:docPartObj>
          <w:docPartGallery w:val="Table of Contents"/>
          <w:docPartUnique/>
        </w:docPartObj>
      </w:sdtPr>
      <w:sdtEndPr/>
      <w:sdtContent>
        <w:p w:rsidR="00320BF3" w:rsidRDefault="005C51C3">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320BF3" w:rsidRDefault="005C51C3">
          <w:pPr>
            <w:pStyle w:val="TDC1"/>
            <w:tabs>
              <w:tab w:val="right" w:pos="9427"/>
            </w:tabs>
            <w:rPr>
              <w:b w:val="0"/>
            </w:rPr>
          </w:pPr>
          <w:hyperlink w:anchor="_TOC_250003" w:history="1">
            <w:r>
              <w:t>OBJETIVOS</w:t>
            </w:r>
            <w:r>
              <w:tab/>
            </w:r>
            <w:r>
              <w:rPr>
                <w:b w:val="0"/>
                <w:position w:val="-3"/>
              </w:rPr>
              <w:t>1</w:t>
            </w:r>
          </w:hyperlink>
        </w:p>
        <w:p w:rsidR="00320BF3" w:rsidRDefault="005C51C3">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20BF3" w:rsidRDefault="005C51C3">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320BF3" w:rsidRDefault="005C51C3">
          <w:pPr>
            <w:pStyle w:val="TDC1"/>
            <w:tabs>
              <w:tab w:val="right" w:pos="9427"/>
            </w:tabs>
            <w:spacing w:before="154"/>
            <w:rPr>
              <w:b w:val="0"/>
            </w:rPr>
          </w:pPr>
          <w:hyperlink w:anchor="_TOC_250000" w:history="1">
            <w:r>
              <w:t>ANEXOS</w:t>
            </w:r>
            <w:r>
              <w:tab/>
            </w:r>
            <w:r>
              <w:rPr>
                <w:b w:val="0"/>
                <w:position w:val="-3"/>
              </w:rPr>
              <w:t>3</w:t>
            </w:r>
          </w:hyperlink>
        </w:p>
        <w:p w:rsidR="00320BF3" w:rsidRDefault="005C51C3">
          <w:pPr>
            <w:rPr>
              <w:sz w:val="20"/>
            </w:rPr>
          </w:pPr>
          <w:r>
            <w:fldChar w:fldCharType="end"/>
          </w:r>
        </w:p>
      </w:sdtContent>
    </w:sdt>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5C51C3">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20BF3" w:rsidRDefault="00320BF3">
      <w:pPr>
        <w:rPr>
          <w:sz w:val="18"/>
        </w:rPr>
        <w:sectPr w:rsidR="00320BF3">
          <w:pgSz w:w="12240" w:h="15840"/>
          <w:pgMar w:top="1080" w:right="1600" w:bottom="0" w:left="400" w:header="720" w:footer="720" w:gutter="0"/>
          <w:cols w:space="720"/>
        </w:sectPr>
      </w:pPr>
    </w:p>
    <w:p w:rsidR="00320BF3" w:rsidRDefault="005C51C3">
      <w:pPr>
        <w:pStyle w:val="Ttulo1"/>
        <w:spacing w:before="82"/>
      </w:pPr>
      <w:bookmarkStart w:id="1" w:name="_TOC_250004"/>
      <w:bookmarkEnd w:id="1"/>
      <w:r>
        <w:lastRenderedPageBreak/>
        <w:t>INTRODUCCION</w:t>
      </w:r>
    </w:p>
    <w:p w:rsidR="00320BF3" w:rsidRDefault="00320BF3">
      <w:pPr>
        <w:pStyle w:val="Textoindependiente"/>
        <w:spacing w:before="10"/>
        <w:rPr>
          <w:b/>
          <w:sz w:val="33"/>
        </w:rPr>
      </w:pPr>
    </w:p>
    <w:p w:rsidR="00320BF3" w:rsidRDefault="005C51C3">
      <w:pPr>
        <w:pStyle w:val="Textoindependiente"/>
        <w:spacing w:line="278" w:lineRule="auto"/>
        <w:ind w:left="1301" w:right="102"/>
        <w:jc w:val="both"/>
      </w:pPr>
      <w:r>
        <w:t>De conformidad con el nombramiento de auditoría No. 107232-1-2021, de fecha 03 de febrero de 2021, emitido por la Licda. Julia Victoria Monzón Pérez, Directora de la Dirección de Auditoría Interna del Ministerio de Educación, fui designado para realizar au</w:t>
      </w:r>
      <w:r>
        <w:t>ditoría administrativa de primer seguimiento a la recomendación emitida por la Contraloría General de Cuentas, en el informe de la auditoría de cumplimiento con seguridad limitada practicada por el período del 01 de diciembre de 2018 al 31 de enero de 2019</w:t>
      </w:r>
      <w:r>
        <w:t xml:space="preserve">, efectuada en el Instituto de Educación Básica por Cooperativa Santa Cruz Chinautla, municipio de Chinautla, departamento de </w:t>
      </w:r>
      <w:r>
        <w:rPr>
          <w:spacing w:val="2"/>
        </w:rPr>
        <w:t xml:space="preserve">Guatemala, jurisdicción administrativa </w:t>
      </w:r>
      <w:r>
        <w:t xml:space="preserve">de la </w:t>
      </w:r>
      <w:r>
        <w:rPr>
          <w:spacing w:val="2"/>
        </w:rPr>
        <w:t xml:space="preserve">Dirección Departamental </w:t>
      </w:r>
      <w:r>
        <w:t>de Educación Guatemala</w:t>
      </w:r>
      <w:r>
        <w:rPr>
          <w:spacing w:val="-3"/>
        </w:rPr>
        <w:t xml:space="preserve"> </w:t>
      </w:r>
      <w:r>
        <w:t>Norte.</w:t>
      </w:r>
    </w:p>
    <w:p w:rsidR="00320BF3" w:rsidRDefault="00320BF3">
      <w:pPr>
        <w:pStyle w:val="Textoindependiente"/>
        <w:spacing w:before="5"/>
        <w:rPr>
          <w:sz w:val="28"/>
        </w:rPr>
      </w:pPr>
    </w:p>
    <w:p w:rsidR="00320BF3" w:rsidRDefault="005C51C3">
      <w:pPr>
        <w:pStyle w:val="Ttulo1"/>
      </w:pPr>
      <w:bookmarkStart w:id="2" w:name="_TOC_250003"/>
      <w:bookmarkEnd w:id="2"/>
      <w:r>
        <w:t>OBJETIVOS</w:t>
      </w:r>
    </w:p>
    <w:p w:rsidR="00320BF3" w:rsidRDefault="00320BF3">
      <w:pPr>
        <w:pStyle w:val="Textoindependiente"/>
        <w:spacing w:before="10"/>
        <w:rPr>
          <w:b/>
          <w:sz w:val="33"/>
        </w:rPr>
      </w:pPr>
    </w:p>
    <w:p w:rsidR="00320BF3" w:rsidRDefault="005C51C3">
      <w:pPr>
        <w:pStyle w:val="Textoindependiente"/>
        <w:ind w:left="1301"/>
      </w:pPr>
      <w:r>
        <w:t>GENERAL</w:t>
      </w:r>
    </w:p>
    <w:p w:rsidR="00320BF3" w:rsidRDefault="005C51C3">
      <w:pPr>
        <w:pStyle w:val="Textoindependiente"/>
        <w:spacing w:before="43" w:line="278" w:lineRule="auto"/>
        <w:ind w:left="1301" w:right="103"/>
        <w:jc w:val="both"/>
      </w:pPr>
      <w:r>
        <w:t>Realizar pr</w:t>
      </w:r>
      <w:r>
        <w:t>imer seguimiento a las recomendaciones emitidas por la Contraloría General de Cuentas.</w:t>
      </w:r>
    </w:p>
    <w:p w:rsidR="00320BF3" w:rsidRDefault="00320BF3">
      <w:pPr>
        <w:pStyle w:val="Textoindependiente"/>
        <w:spacing w:before="8"/>
        <w:rPr>
          <w:sz w:val="27"/>
        </w:rPr>
      </w:pPr>
    </w:p>
    <w:p w:rsidR="00320BF3" w:rsidRDefault="005C51C3">
      <w:pPr>
        <w:pStyle w:val="Textoindependiente"/>
        <w:ind w:left="1301"/>
      </w:pPr>
      <w:r>
        <w:t>ESPECÍFICOS</w:t>
      </w:r>
    </w:p>
    <w:p w:rsidR="00320BF3" w:rsidRDefault="005C51C3">
      <w:pPr>
        <w:pStyle w:val="Textoindependiente"/>
        <w:spacing w:before="44"/>
        <w:ind w:left="1301"/>
        <w:jc w:val="both"/>
      </w:pPr>
      <w:r>
        <w:t>Verificar si existen recomendaciones implementadas, en proceso e incumplidas.</w:t>
      </w:r>
    </w:p>
    <w:p w:rsidR="00320BF3" w:rsidRDefault="00320BF3">
      <w:pPr>
        <w:pStyle w:val="Textoindependiente"/>
        <w:rPr>
          <w:sz w:val="26"/>
        </w:rPr>
      </w:pPr>
    </w:p>
    <w:p w:rsidR="00320BF3" w:rsidRDefault="00320BF3">
      <w:pPr>
        <w:pStyle w:val="Textoindependiente"/>
        <w:spacing w:before="6"/>
        <w:rPr>
          <w:sz w:val="34"/>
        </w:rPr>
      </w:pPr>
    </w:p>
    <w:p w:rsidR="00320BF3" w:rsidRDefault="005C51C3">
      <w:pPr>
        <w:pStyle w:val="Ttulo1"/>
        <w:spacing w:before="1"/>
      </w:pPr>
      <w:bookmarkStart w:id="3" w:name="_TOC_250002"/>
      <w:bookmarkEnd w:id="3"/>
      <w:r>
        <w:t>ALCANCE DE LA ACTIVIDAD</w:t>
      </w:r>
    </w:p>
    <w:p w:rsidR="00320BF3" w:rsidRDefault="00320BF3">
      <w:pPr>
        <w:pStyle w:val="Textoindependiente"/>
        <w:spacing w:before="9"/>
        <w:rPr>
          <w:b/>
          <w:sz w:val="33"/>
        </w:rPr>
      </w:pPr>
    </w:p>
    <w:p w:rsidR="00320BF3" w:rsidRDefault="005C51C3">
      <w:pPr>
        <w:pStyle w:val="Textoindependiente"/>
        <w:spacing w:line="278" w:lineRule="auto"/>
        <w:ind w:left="1301" w:right="101"/>
        <w:jc w:val="both"/>
      </w:pPr>
      <w:r>
        <w:t>Se realizó primer seguimiento a una recomendación e</w:t>
      </w:r>
      <w:r>
        <w:t>mitida por la Contraloría General de Cuentas, en el informe de la auditoría de cumplimiento con seguridad limitada practicada por el período del 01 de diciembre de 2018 al 31 de enero de 2019, efectuada en el Instituto de Educación Básica por Cooperativa S</w:t>
      </w:r>
      <w:r>
        <w:t>anta Cruz Chinautla, municipio de Chinautla, departamento de Guatemala, jurisdicción administrativa de la Dirección Departamental de Educación Guatemala Norte.</w:t>
      </w:r>
    </w:p>
    <w:p w:rsidR="00320BF3" w:rsidRDefault="00320BF3">
      <w:pPr>
        <w:pStyle w:val="Textoindependiente"/>
        <w:spacing w:before="8"/>
        <w:rPr>
          <w:sz w:val="28"/>
        </w:rPr>
      </w:pPr>
    </w:p>
    <w:p w:rsidR="00320BF3" w:rsidRDefault="005C51C3">
      <w:pPr>
        <w:pStyle w:val="Ttulo1"/>
      </w:pPr>
      <w:bookmarkStart w:id="4" w:name="_TOC_250001"/>
      <w:bookmarkEnd w:id="4"/>
      <w:r>
        <w:t>RESULTADOS DE LA ACTIVIDAD</w:t>
      </w:r>
    </w:p>
    <w:p w:rsidR="00320BF3" w:rsidRDefault="00320BF3">
      <w:pPr>
        <w:pStyle w:val="Textoindependiente"/>
        <w:spacing w:before="10"/>
        <w:rPr>
          <w:b/>
          <w:sz w:val="33"/>
        </w:rPr>
      </w:pPr>
    </w:p>
    <w:p w:rsidR="00320BF3" w:rsidRDefault="005C51C3">
      <w:pPr>
        <w:pStyle w:val="Textoindependiente"/>
        <w:spacing w:line="278" w:lineRule="auto"/>
        <w:ind w:left="1301" w:right="101"/>
        <w:jc w:val="both"/>
      </w:pPr>
      <w:r>
        <w:t>Se analizó el oficio No. 069/2021DDEGN, de fecha 21 de enero de 2021, suscrito por el M.A. José Adolfo Espinoza Morataya, Director Departamental de Educación Guatemala Norte; y la documentación presentada por la Licda. Whendy Odely López Marroquín, Supervi</w:t>
      </w:r>
      <w:r>
        <w:t>sora Educativa, Sector 01-06-03, por medio de sus oficios No. 01-2021 Ref. WOLM/wolm y 02-2021 Ref. WOLM/wolm, ambos de fecha 04 de febrero de 2021 y se determinó que el estado actual de la recomendación es el siguiente:</w:t>
      </w:r>
    </w:p>
    <w:p w:rsidR="00320BF3" w:rsidRDefault="00320BF3">
      <w:pPr>
        <w:spacing w:line="278" w:lineRule="auto"/>
        <w:jc w:val="both"/>
        <w:sectPr w:rsidR="00320BF3">
          <w:headerReference w:type="default" r:id="rId7"/>
          <w:footerReference w:type="default" r:id="rId8"/>
          <w:pgSz w:w="12240" w:h="15840"/>
          <w:pgMar w:top="1060" w:right="1600" w:bottom="780" w:left="400" w:header="617" w:footer="596" w:gutter="0"/>
          <w:pgNumType w:start="1"/>
          <w:cols w:space="720"/>
        </w:sectPr>
      </w:pPr>
    </w:p>
    <w:p w:rsidR="00320BF3" w:rsidRDefault="005C51C3">
      <w:pPr>
        <w:spacing w:before="82"/>
        <w:ind w:left="1301"/>
        <w:jc w:val="both"/>
        <w:rPr>
          <w:b/>
          <w:sz w:val="24"/>
        </w:rPr>
      </w:pPr>
      <w:r>
        <w:rPr>
          <w:b/>
          <w:sz w:val="24"/>
        </w:rPr>
        <w:lastRenderedPageBreak/>
        <w:t>RECOMENDACIÓN EN PROCESO</w:t>
      </w:r>
    </w:p>
    <w:p w:rsidR="00320BF3" w:rsidRDefault="005C51C3">
      <w:pPr>
        <w:pStyle w:val="Textoindependiente"/>
        <w:spacing w:before="56" w:line="278" w:lineRule="auto"/>
        <w:ind w:left="1301" w:right="102"/>
        <w:jc w:val="both"/>
      </w:pPr>
      <w:r>
        <w:t>De conformidad con el análisis realizado a los comentarios y documentación presentada descritas en el formulario SR1, “Seguimiento a recomendaciones de la Contraloría General de Cuentas”, la recomendación del Hallazgo No. 1, “Atraso en la rendición de form</w:t>
      </w:r>
      <w:r>
        <w:t>as oficiales”, relacionado con el cumplimiento de leyes y regulaciones aplicables, se encuentra en proceso. Ver anexos.</w:t>
      </w:r>
    </w:p>
    <w:p w:rsidR="00320BF3" w:rsidRDefault="00320BF3">
      <w:pPr>
        <w:pStyle w:val="Textoindependiente"/>
        <w:spacing w:before="6"/>
        <w:rPr>
          <w:sz w:val="27"/>
        </w:rPr>
      </w:pPr>
    </w:p>
    <w:p w:rsidR="00320BF3" w:rsidRDefault="005C51C3">
      <w:pPr>
        <w:pStyle w:val="Textoindependiente"/>
        <w:spacing w:line="278" w:lineRule="auto"/>
        <w:ind w:left="1301" w:right="101"/>
        <w:jc w:val="both"/>
      </w:pPr>
      <w:r>
        <w:t>La recomendación se califica en proceso por lo que se explica a continuación: La Licda. Whendy Odely López Marroquín, Supervisora Educa</w:t>
      </w:r>
      <w:r>
        <w:t>tiva, Sector 01-06-03, atendió la recomendación en lo que a ella corresponde, no obstante, la PEM María Teresa Tecú Gómez, Directora del Instituto de Educación Básica por Cooperativa, Santa Cruz Chinautla, municipio de Chinautla, departamento de Guatemala,</w:t>
      </w:r>
      <w:r>
        <w:t xml:space="preserve"> presentó extemporáneamente la rendición de cuentas (caja fiscal) del mes de noviembre 2020 el día 09 de diciembre de 2020, y la caja fiscal del mes de diciembre de 2020 la entregó oportunamente el día 05 de enero de 2021; concluyendo que la presente recom</w:t>
      </w:r>
      <w:r>
        <w:t>endación queda en proceso porque la caja fiscal de noviembre 2020 se entregó fuera del plazo normado, lo que ocasiona el incumpliiento de aspectos legales.</w:t>
      </w:r>
    </w:p>
    <w:p w:rsidR="00320BF3" w:rsidRDefault="00320BF3">
      <w:pPr>
        <w:pStyle w:val="Textoindependiente"/>
        <w:spacing w:before="3"/>
        <w:rPr>
          <w:sz w:val="27"/>
        </w:rPr>
      </w:pPr>
    </w:p>
    <w:p w:rsidR="00320BF3" w:rsidRDefault="005C51C3">
      <w:pPr>
        <w:ind w:left="1301"/>
        <w:jc w:val="both"/>
        <w:rPr>
          <w:b/>
          <w:sz w:val="24"/>
        </w:rPr>
      </w:pPr>
      <w:r>
        <w:rPr>
          <w:b/>
          <w:sz w:val="24"/>
        </w:rPr>
        <w:t>COMPROMISO ADQUIRIDO POR LA RESPONSABLE</w:t>
      </w:r>
    </w:p>
    <w:p w:rsidR="00320BF3" w:rsidRDefault="005C51C3">
      <w:pPr>
        <w:pStyle w:val="Textoindependiente"/>
        <w:spacing w:before="56" w:line="278" w:lineRule="auto"/>
        <w:ind w:left="1301" w:right="102"/>
        <w:jc w:val="both"/>
      </w:pPr>
      <w:r>
        <w:t xml:space="preserve">Conforme quedó asentado en el acta número DIDAI-01-2021 de </w:t>
      </w:r>
      <w:r>
        <w:t>fecha 05 de febrero de 2021, del libro de actas No. L2 32513 autorizado por la Contraloría General de Cuentas, la responsable PEM María Teresa Tecú Gómez, se comprometió al cumplimiento de la recomendación en proceso a partir de la caja fiscal del mes de e</w:t>
      </w:r>
      <w:r>
        <w:t>nero de 2021.</w:t>
      </w: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spacing w:before="5"/>
        <w:rPr>
          <w:sz w:val="13"/>
        </w:rPr>
      </w:pPr>
    </w:p>
    <w:p w:rsidR="00320BF3" w:rsidRDefault="003E0BBA">
      <w:pPr>
        <w:tabs>
          <w:tab w:val="left" w:pos="5840"/>
        </w:tabs>
        <w:spacing w:line="20" w:lineRule="exact"/>
        <w:ind w:left="1436"/>
        <w:rPr>
          <w:sz w:val="2"/>
        </w:rPr>
      </w:pPr>
      <w:r>
        <w:rPr>
          <w:noProof/>
          <w:sz w:val="2"/>
          <w:lang w:val="es-GT" w:eastAsia="es-GT"/>
        </w:rPr>
        <mc:AlternateContent>
          <mc:Choice Requires="wpg">
            <w:drawing>
              <wp:inline distT="0" distB="0" distL="0" distR="0">
                <wp:extent cx="1152525" cy="9525"/>
                <wp:effectExtent l="3810" t="2540" r="0" b="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9525"/>
                          <a:chOff x="0" y="0"/>
                          <a:chExt cx="1815" cy="15"/>
                        </a:xfrm>
                      </wpg:grpSpPr>
                      <wps:wsp>
                        <wps:cNvPr id="23" name="Rectangle 9"/>
                        <wps:cNvSpPr>
                          <a:spLocks noChangeArrowheads="1"/>
                        </wps:cNvSpPr>
                        <wps:spPr bwMode="auto">
                          <a:xfrm>
                            <a:off x="0" y="0"/>
                            <a:ext cx="18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8CD8F3" id="Group 8" o:spid="_x0000_s1026" style="width:90.75pt;height:.75pt;mso-position-horizontal-relative:char;mso-position-vertical-relative:line" coordsize="1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">
                <v:rect id="Rectangle 9" o:spid="_x0000_s1027" style="position:absolute;width:18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r w:rsidR="005C51C3">
        <w:rPr>
          <w:sz w:val="2"/>
        </w:rPr>
        <w:tab/>
      </w:r>
      <w:r>
        <w:rPr>
          <w:noProof/>
          <w:sz w:val="2"/>
          <w:lang w:val="es-GT" w:eastAsia="es-GT"/>
        </w:rPr>
        <mc:AlternateContent>
          <mc:Choice Requires="wpg">
            <w:drawing>
              <wp:inline distT="0" distB="0" distL="0" distR="0">
                <wp:extent cx="1498600" cy="9525"/>
                <wp:effectExtent l="0" t="2540" r="0" b="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21" name="Rectangle 7"/>
                        <wps:cNvSpPr>
                          <a:spLocks noChangeArrowheads="1"/>
                        </wps:cNvSpPr>
                        <wps:spPr bwMode="auto">
                          <a:xfrm>
                            <a:off x="0" y="0"/>
                            <a:ext cx="2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E5E61C" id="Group 6"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fxAIAAEg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">
                <v:rect id="Rectangle 7" o:spid="_x0000_s1027" style="position:absolute;width:23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p>
    <w:p w:rsidR="00320BF3" w:rsidRDefault="00320BF3">
      <w:pPr>
        <w:spacing w:line="20" w:lineRule="exact"/>
        <w:rPr>
          <w:sz w:val="2"/>
        </w:rPr>
        <w:sectPr w:rsidR="00320BF3">
          <w:pgSz w:w="12240" w:h="15840"/>
          <w:pgMar w:top="1060" w:right="1600" w:bottom="780" w:left="400" w:header="617" w:footer="596" w:gutter="0"/>
          <w:cols w:space="720"/>
        </w:sectPr>
      </w:pPr>
    </w:p>
    <w:p w:rsidR="00320BF3" w:rsidRDefault="005C51C3">
      <w:pPr>
        <w:spacing w:before="20"/>
        <w:ind w:left="1451"/>
        <w:rPr>
          <w:sz w:val="14"/>
        </w:rPr>
      </w:pPr>
      <w:r>
        <w:rPr>
          <w:sz w:val="14"/>
        </w:rPr>
        <w:lastRenderedPageBreak/>
        <w:t>ESWIN GUILLERMO ORTIZ</w:t>
      </w:r>
    </w:p>
    <w:p w:rsidR="00320BF3" w:rsidRDefault="005C51C3">
      <w:pPr>
        <w:spacing w:before="85"/>
        <w:ind w:left="1451"/>
        <w:rPr>
          <w:sz w:val="14"/>
        </w:rPr>
      </w:pPr>
      <w:r>
        <w:rPr>
          <w:sz w:val="14"/>
        </w:rPr>
        <w:t>Auditor</w:t>
      </w:r>
    </w:p>
    <w:p w:rsidR="00320BF3" w:rsidRDefault="005C51C3">
      <w:pPr>
        <w:spacing w:before="20"/>
        <w:ind w:left="1451"/>
        <w:rPr>
          <w:sz w:val="14"/>
        </w:rPr>
      </w:pPr>
      <w:r>
        <w:br w:type="column"/>
      </w:r>
      <w:r>
        <w:rPr>
          <w:sz w:val="14"/>
        </w:rPr>
        <w:lastRenderedPageBreak/>
        <w:t>JORGE ALVARO SALAZAR PINEDA</w:t>
      </w:r>
    </w:p>
    <w:p w:rsidR="00320BF3" w:rsidRDefault="005C51C3">
      <w:pPr>
        <w:spacing w:before="85"/>
        <w:ind w:left="1451"/>
        <w:rPr>
          <w:sz w:val="14"/>
        </w:rPr>
      </w:pPr>
      <w:r>
        <w:rPr>
          <w:sz w:val="14"/>
        </w:rPr>
        <w:t>Supervisor</w:t>
      </w:r>
    </w:p>
    <w:p w:rsidR="00320BF3" w:rsidRDefault="00320BF3">
      <w:pPr>
        <w:rPr>
          <w:sz w:val="14"/>
        </w:rPr>
        <w:sectPr w:rsidR="00320BF3">
          <w:type w:val="continuous"/>
          <w:pgSz w:w="12240" w:h="15840"/>
          <w:pgMar w:top="1080" w:right="1600" w:bottom="0" w:left="400" w:header="720" w:footer="720" w:gutter="0"/>
          <w:cols w:num="2" w:space="720" w:equalWidth="0">
            <w:col w:w="3271" w:space="1133"/>
            <w:col w:w="5836"/>
          </w:cols>
        </w:sect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rPr>
          <w:sz w:val="20"/>
        </w:rPr>
      </w:pPr>
    </w:p>
    <w:p w:rsidR="00320BF3" w:rsidRDefault="00320BF3">
      <w:pPr>
        <w:pStyle w:val="Textoindependiente"/>
        <w:spacing w:before="1"/>
        <w:rPr>
          <w:sz w:val="20"/>
        </w:rPr>
      </w:pPr>
    </w:p>
    <w:p w:rsidR="00320BF3" w:rsidRDefault="003E0BBA">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270" r="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17654F"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lhxQ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CmcllhxQIAAEgGAAAOAAAAAAAAAAAAAAAAAC4CAABkcnMvZTJvRG9jLnhtbFBLAQItABQABgAI&#10;AAAAIQBJfwM22gAAAAMBAAAPAAAAAAAAAAAAAAAAAB8FAABkcnMvZG93bnJldi54bWxQSwUGAAAA&#10;AAQABADzAAAAJgY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r w:rsidR="005C51C3">
        <w:rPr>
          <w:sz w:val="2"/>
        </w:rPr>
        <w:tab/>
      </w:r>
      <w:r>
        <w:rPr>
          <w:noProof/>
          <w:sz w:val="2"/>
          <w:lang w:val="es-GT" w:eastAsia="es-GT"/>
        </w:rPr>
        <mc:AlternateContent>
          <mc:Choice Requires="wpg">
            <w:drawing>
              <wp:inline distT="0" distB="0" distL="0" distR="0">
                <wp:extent cx="1449070" cy="9525"/>
                <wp:effectExtent l="0" t="1270" r="0"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7"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DD4D13"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qxA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J78DOr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p>
    <w:p w:rsidR="00320BF3" w:rsidRDefault="00320BF3">
      <w:pPr>
        <w:spacing w:line="20" w:lineRule="exact"/>
        <w:rPr>
          <w:sz w:val="2"/>
        </w:rPr>
        <w:sectPr w:rsidR="00320BF3">
          <w:type w:val="continuous"/>
          <w:pgSz w:w="12240" w:h="15840"/>
          <w:pgMar w:top="1080" w:right="1600" w:bottom="0" w:left="400" w:header="720" w:footer="720" w:gutter="0"/>
          <w:cols w:space="720"/>
        </w:sectPr>
      </w:pPr>
    </w:p>
    <w:p w:rsidR="00320BF3" w:rsidRDefault="005C51C3">
      <w:pPr>
        <w:spacing w:before="19"/>
        <w:ind w:left="1451"/>
        <w:rPr>
          <w:sz w:val="14"/>
        </w:rPr>
      </w:pPr>
      <w:r>
        <w:rPr>
          <w:sz w:val="14"/>
        </w:rPr>
        <w:lastRenderedPageBreak/>
        <w:t>MILDRED LORENA FUENTES DE LEON</w:t>
      </w:r>
    </w:p>
    <w:p w:rsidR="00320BF3" w:rsidRDefault="005C51C3">
      <w:pPr>
        <w:spacing w:before="86"/>
        <w:ind w:left="1451"/>
        <w:rPr>
          <w:sz w:val="14"/>
        </w:rPr>
      </w:pPr>
      <w:r>
        <w:rPr>
          <w:sz w:val="14"/>
        </w:rPr>
        <w:t>Sub Director</w:t>
      </w:r>
    </w:p>
    <w:p w:rsidR="00320BF3" w:rsidRDefault="005C51C3">
      <w:pPr>
        <w:spacing w:before="19"/>
        <w:ind w:left="1451"/>
        <w:rPr>
          <w:sz w:val="14"/>
        </w:rPr>
      </w:pPr>
      <w:r>
        <w:br w:type="column"/>
      </w:r>
      <w:r>
        <w:rPr>
          <w:sz w:val="14"/>
        </w:rPr>
        <w:lastRenderedPageBreak/>
        <w:t>JULIA VICTORIA MONZON PEREZ</w:t>
      </w:r>
    </w:p>
    <w:p w:rsidR="00320BF3" w:rsidRDefault="005C51C3">
      <w:pPr>
        <w:spacing w:before="86"/>
        <w:ind w:left="1451"/>
        <w:rPr>
          <w:sz w:val="14"/>
        </w:rPr>
      </w:pPr>
      <w:r>
        <w:rPr>
          <w:sz w:val="14"/>
        </w:rPr>
        <w:t>Director</w:t>
      </w:r>
    </w:p>
    <w:p w:rsidR="00320BF3" w:rsidRDefault="00320BF3">
      <w:pPr>
        <w:rPr>
          <w:sz w:val="14"/>
        </w:rPr>
        <w:sectPr w:rsidR="00320BF3">
          <w:type w:val="continuous"/>
          <w:pgSz w:w="12240" w:h="15840"/>
          <w:pgMar w:top="1080" w:right="1600" w:bottom="0" w:left="400" w:header="720" w:footer="720" w:gutter="0"/>
          <w:cols w:num="2" w:space="720" w:equalWidth="0">
            <w:col w:w="4083" w:space="321"/>
            <w:col w:w="5836"/>
          </w:cols>
        </w:sectPr>
      </w:pPr>
    </w:p>
    <w:p w:rsidR="00320BF3" w:rsidRDefault="005C51C3">
      <w:pPr>
        <w:pStyle w:val="Ttulo1"/>
        <w:spacing w:before="82"/>
      </w:pPr>
      <w:bookmarkStart w:id="5" w:name="_TOC_250000"/>
      <w:bookmarkEnd w:id="5"/>
      <w:r>
        <w:lastRenderedPageBreak/>
        <w:t>ANEXOS</w:t>
      </w:r>
    </w:p>
    <w:p w:rsidR="00320BF3" w:rsidRDefault="00320BF3">
      <w:pPr>
        <w:pStyle w:val="Textoindependiente"/>
        <w:spacing w:before="3"/>
        <w:rPr>
          <w:b/>
          <w:sz w:val="37"/>
        </w:rPr>
      </w:pPr>
    </w:p>
    <w:p w:rsidR="00320BF3" w:rsidRDefault="005C51C3">
      <w:pPr>
        <w:ind w:left="1688"/>
        <w:rPr>
          <w:sz w:val="16"/>
        </w:rPr>
      </w:pPr>
      <w:r>
        <w:rPr>
          <w:sz w:val="16"/>
        </w:rPr>
        <w:t>SARA 107232-1-2021 1de5</w:t>
      </w:r>
    </w:p>
    <w:p w:rsidR="00320BF3" w:rsidRDefault="005C51C3">
      <w:pPr>
        <w:pStyle w:val="Textoindependiente"/>
        <w:spacing w:before="1"/>
        <w:rPr>
          <w:sz w:val="13"/>
        </w:rPr>
      </w:pPr>
      <w:r>
        <w:rPr>
          <w:noProof/>
          <w:lang w:val="es-GT" w:eastAsia="es-GT"/>
        </w:rPr>
        <w:drawing>
          <wp:anchor distT="0" distB="0" distL="0" distR="0" simplePos="0" relativeHeight="6" behindDoc="0" locked="0" layoutInCell="1" allowOverlap="1">
            <wp:simplePos x="0" y="0"/>
            <wp:positionH relativeFrom="page">
              <wp:posOffset>1159118</wp:posOffset>
            </wp:positionH>
            <wp:positionV relativeFrom="paragraph">
              <wp:posOffset>120913</wp:posOffset>
            </wp:positionV>
            <wp:extent cx="5465560" cy="7228332"/>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5465560" cy="7228332"/>
                    </a:xfrm>
                    <a:prstGeom prst="rect">
                      <a:avLst/>
                    </a:prstGeom>
                  </pic:spPr>
                </pic:pic>
              </a:graphicData>
            </a:graphic>
          </wp:anchor>
        </w:drawing>
      </w:r>
    </w:p>
    <w:p w:rsidR="00320BF3" w:rsidRDefault="00320BF3">
      <w:pPr>
        <w:rPr>
          <w:sz w:val="13"/>
        </w:rPr>
        <w:sectPr w:rsidR="00320BF3">
          <w:pgSz w:w="12240" w:h="15840"/>
          <w:pgMar w:top="1060" w:right="1600" w:bottom="780" w:left="400" w:header="617" w:footer="596" w:gutter="0"/>
          <w:cols w:space="720"/>
        </w:sectPr>
      </w:pPr>
    </w:p>
    <w:p w:rsidR="00320BF3" w:rsidRDefault="005C51C3">
      <w:pPr>
        <w:spacing w:before="120"/>
        <w:ind w:left="1675"/>
        <w:rPr>
          <w:sz w:val="16"/>
        </w:rPr>
      </w:pPr>
      <w:r>
        <w:rPr>
          <w:sz w:val="16"/>
        </w:rPr>
        <w:lastRenderedPageBreak/>
        <w:t>SARA 107232-1-2021 2 de 5</w:t>
      </w:r>
    </w:p>
    <w:p w:rsidR="00320BF3" w:rsidRDefault="005C51C3">
      <w:pPr>
        <w:pStyle w:val="Textoindependiente"/>
        <w:spacing w:before="2"/>
        <w:rPr>
          <w:sz w:val="13"/>
        </w:rPr>
      </w:pPr>
      <w:r>
        <w:rPr>
          <w:noProof/>
          <w:lang w:val="es-GT" w:eastAsia="es-GT"/>
        </w:rPr>
        <w:drawing>
          <wp:anchor distT="0" distB="0" distL="0" distR="0" simplePos="0" relativeHeight="7" behindDoc="0" locked="0" layoutInCell="1" allowOverlap="1">
            <wp:simplePos x="0" y="0"/>
            <wp:positionH relativeFrom="page">
              <wp:posOffset>1171721</wp:posOffset>
            </wp:positionH>
            <wp:positionV relativeFrom="paragraph">
              <wp:posOffset>121193</wp:posOffset>
            </wp:positionV>
            <wp:extent cx="5452977" cy="7228332"/>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452977" cy="7228332"/>
                    </a:xfrm>
                    <a:prstGeom prst="rect">
                      <a:avLst/>
                    </a:prstGeom>
                  </pic:spPr>
                </pic:pic>
              </a:graphicData>
            </a:graphic>
          </wp:anchor>
        </w:drawing>
      </w:r>
    </w:p>
    <w:p w:rsidR="00320BF3" w:rsidRDefault="00320BF3">
      <w:pPr>
        <w:rPr>
          <w:sz w:val="13"/>
        </w:rPr>
        <w:sectPr w:rsidR="00320BF3">
          <w:pgSz w:w="12240" w:h="15840"/>
          <w:pgMar w:top="1060" w:right="1600" w:bottom="780" w:left="400" w:header="617" w:footer="596" w:gutter="0"/>
          <w:cols w:space="720"/>
        </w:sectPr>
      </w:pPr>
    </w:p>
    <w:p w:rsidR="00320BF3" w:rsidRDefault="005C51C3">
      <w:pPr>
        <w:spacing w:before="120"/>
        <w:ind w:left="1675"/>
        <w:rPr>
          <w:sz w:val="16"/>
        </w:rPr>
      </w:pPr>
      <w:r>
        <w:rPr>
          <w:sz w:val="16"/>
        </w:rPr>
        <w:lastRenderedPageBreak/>
        <w:t>SARA 107232-1-2021 3 de 5</w:t>
      </w:r>
    </w:p>
    <w:p w:rsidR="00320BF3" w:rsidRDefault="005C51C3">
      <w:pPr>
        <w:pStyle w:val="Textoindependiente"/>
        <w:spacing w:before="2"/>
        <w:rPr>
          <w:sz w:val="13"/>
        </w:rPr>
      </w:pPr>
      <w:r>
        <w:rPr>
          <w:noProof/>
          <w:lang w:val="es-GT" w:eastAsia="es-GT"/>
        </w:rPr>
        <w:drawing>
          <wp:anchor distT="0" distB="0" distL="0" distR="0" simplePos="0" relativeHeight="8" behindDoc="0" locked="0" layoutInCell="1" allowOverlap="1">
            <wp:simplePos x="0" y="0"/>
            <wp:positionH relativeFrom="page">
              <wp:posOffset>1171721</wp:posOffset>
            </wp:positionH>
            <wp:positionV relativeFrom="paragraph">
              <wp:posOffset>121193</wp:posOffset>
            </wp:positionV>
            <wp:extent cx="5452977" cy="722833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452977" cy="7228332"/>
                    </a:xfrm>
                    <a:prstGeom prst="rect">
                      <a:avLst/>
                    </a:prstGeom>
                  </pic:spPr>
                </pic:pic>
              </a:graphicData>
            </a:graphic>
          </wp:anchor>
        </w:drawing>
      </w:r>
    </w:p>
    <w:p w:rsidR="00320BF3" w:rsidRDefault="00320BF3">
      <w:pPr>
        <w:rPr>
          <w:sz w:val="13"/>
        </w:rPr>
        <w:sectPr w:rsidR="00320BF3">
          <w:pgSz w:w="12240" w:h="15840"/>
          <w:pgMar w:top="1060" w:right="1600" w:bottom="780" w:left="400" w:header="617" w:footer="596" w:gutter="0"/>
          <w:cols w:space="720"/>
        </w:sectPr>
      </w:pPr>
    </w:p>
    <w:p w:rsidR="00320BF3" w:rsidRDefault="005C51C3">
      <w:pPr>
        <w:spacing w:before="120"/>
        <w:ind w:left="1675"/>
        <w:rPr>
          <w:sz w:val="16"/>
        </w:rPr>
      </w:pPr>
      <w:r>
        <w:rPr>
          <w:sz w:val="16"/>
        </w:rPr>
        <w:lastRenderedPageBreak/>
        <w:t>SARA 107232-1-2021 4 de 5</w:t>
      </w:r>
    </w:p>
    <w:p w:rsidR="00320BF3" w:rsidRDefault="005C51C3">
      <w:pPr>
        <w:pStyle w:val="Textoindependiente"/>
        <w:spacing w:before="2"/>
        <w:rPr>
          <w:sz w:val="13"/>
        </w:rPr>
      </w:pPr>
      <w:r>
        <w:rPr>
          <w:noProof/>
          <w:lang w:val="es-GT" w:eastAsia="es-GT"/>
        </w:rPr>
        <w:drawing>
          <wp:anchor distT="0" distB="0" distL="0" distR="0" simplePos="0" relativeHeight="9" behindDoc="0" locked="0" layoutInCell="1" allowOverlap="1">
            <wp:simplePos x="0" y="0"/>
            <wp:positionH relativeFrom="page">
              <wp:posOffset>1171721</wp:posOffset>
            </wp:positionH>
            <wp:positionV relativeFrom="paragraph">
              <wp:posOffset>121193</wp:posOffset>
            </wp:positionV>
            <wp:extent cx="5452977" cy="7228332"/>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452977" cy="7228332"/>
                    </a:xfrm>
                    <a:prstGeom prst="rect">
                      <a:avLst/>
                    </a:prstGeom>
                  </pic:spPr>
                </pic:pic>
              </a:graphicData>
            </a:graphic>
          </wp:anchor>
        </w:drawing>
      </w:r>
    </w:p>
    <w:p w:rsidR="00320BF3" w:rsidRDefault="00320BF3">
      <w:pPr>
        <w:rPr>
          <w:sz w:val="13"/>
        </w:rPr>
        <w:sectPr w:rsidR="00320BF3">
          <w:pgSz w:w="12240" w:h="15840"/>
          <w:pgMar w:top="1060" w:right="1600" w:bottom="780" w:left="400" w:header="617" w:footer="596" w:gutter="0"/>
          <w:cols w:space="720"/>
        </w:sectPr>
      </w:pPr>
    </w:p>
    <w:p w:rsidR="00320BF3" w:rsidRDefault="005C51C3">
      <w:pPr>
        <w:spacing w:before="120"/>
        <w:ind w:left="1675"/>
        <w:rPr>
          <w:sz w:val="16"/>
        </w:rPr>
      </w:pPr>
      <w:r>
        <w:rPr>
          <w:sz w:val="16"/>
        </w:rPr>
        <w:lastRenderedPageBreak/>
        <w:t>SARA 107232-1-2021 5 de 5</w:t>
      </w:r>
    </w:p>
    <w:p w:rsidR="00320BF3" w:rsidRDefault="005C51C3">
      <w:pPr>
        <w:pStyle w:val="Textoindependiente"/>
        <w:spacing w:before="2"/>
        <w:rPr>
          <w:sz w:val="13"/>
        </w:rPr>
      </w:pPr>
      <w:r>
        <w:rPr>
          <w:noProof/>
          <w:lang w:val="es-GT" w:eastAsia="es-GT"/>
        </w:rPr>
        <w:drawing>
          <wp:anchor distT="0" distB="0" distL="0" distR="0" simplePos="0" relativeHeight="10" behindDoc="0" locked="0" layoutInCell="1" allowOverlap="1">
            <wp:simplePos x="0" y="0"/>
            <wp:positionH relativeFrom="page">
              <wp:posOffset>1171721</wp:posOffset>
            </wp:positionH>
            <wp:positionV relativeFrom="paragraph">
              <wp:posOffset>121193</wp:posOffset>
            </wp:positionV>
            <wp:extent cx="5452977" cy="7225379"/>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5452977" cy="7225379"/>
                    </a:xfrm>
                    <a:prstGeom prst="rect">
                      <a:avLst/>
                    </a:prstGeom>
                  </pic:spPr>
                </pic:pic>
              </a:graphicData>
            </a:graphic>
          </wp:anchor>
        </w:drawing>
      </w:r>
    </w:p>
    <w:sectPr w:rsidR="00320BF3">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1C3" w:rsidRDefault="005C51C3">
      <w:r>
        <w:separator/>
      </w:r>
    </w:p>
  </w:endnote>
  <w:endnote w:type="continuationSeparator" w:id="0">
    <w:p w:rsidR="005C51C3" w:rsidRDefault="005C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F3" w:rsidRDefault="003E0BBA">
    <w:pPr>
      <w:pStyle w:val="Textoindependiente"/>
      <w:spacing w:line="14" w:lineRule="auto"/>
      <w:rPr>
        <w:sz w:val="20"/>
      </w:rPr>
    </w:pPr>
    <w:r>
      <w:rPr>
        <w:noProof/>
        <w:lang w:val="es-GT" w:eastAsia="es-GT"/>
      </w:rPr>
      <mc:AlternateContent>
        <mc:Choice Requires="wpg">
          <w:drawing>
            <wp:anchor distT="0" distB="0" distL="114300" distR="114300" simplePos="0" relativeHeight="48745216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3F9139" id="Group 3" o:spid="_x0000_s1026" style="position:absolute;margin-left:25pt;margin-top:748.2pt;width:502pt;height:28.8pt;z-index:-1586432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RR4HM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i0TFAAAA2wAAAA8AAABkcnMvZG93bnJldi54bWxEj09rwkAQxe8Fv8MyBW91U22rRlcpLQVP&#10;hfoPvA3ZMRuSnQ3ZVdNv7xwKvc3w3rz3m+W69426UherwAaeRxko4iLYiksD+93X0wxUTMgWm8Bk&#10;4JcirFeDhyXmNtz4h67bVCoJ4ZijAZdSm2sdC0ce4yi0xKKdQ+cxydqV2nZ4k3Df6HGWvWmPFUuD&#10;w5Y+HBX19uINzMtprV9eT25afH8e0kTXl+M+M2b42L8vQCXq07/573pjBV/o5Rc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4tE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267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F3" w:rsidRDefault="005C51C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20BF3" w:rsidRDefault="005C51C3">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318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F3" w:rsidRDefault="005C51C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E0BBA">
                            <w:rPr>
                              <w:noProof/>
                              <w:color w:val="666666"/>
                              <w:sz w:val="1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320BF3" w:rsidRDefault="005C51C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E0BBA">
                      <w:rPr>
                        <w:noProof/>
                        <w:color w:val="666666"/>
                        <w:sz w:val="14"/>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1C3" w:rsidRDefault="005C51C3">
      <w:r>
        <w:separator/>
      </w:r>
    </w:p>
  </w:footnote>
  <w:footnote w:type="continuationSeparator" w:id="0">
    <w:p w:rsidR="005C51C3" w:rsidRDefault="005C5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F3" w:rsidRDefault="003E0BBA">
    <w:pPr>
      <w:pStyle w:val="Textoindependiente"/>
      <w:spacing w:line="14" w:lineRule="auto"/>
      <w:rPr>
        <w:sz w:val="20"/>
      </w:rPr>
    </w:pPr>
    <w:r>
      <w:rPr>
        <w:noProof/>
        <w:lang w:val="es-GT" w:eastAsia="es-GT"/>
      </w:rPr>
      <mc:AlternateContent>
        <mc:Choice Requires="wps">
          <w:drawing>
            <wp:anchor distT="0" distB="0" distL="114300" distR="114300" simplePos="0" relativeHeight="48745062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D6AA8" id="Freeform 8" o:spid="_x0000_s1026" style="position:absolute;margin-left:85.05pt;margin-top:40.1pt;width:442pt;height:.7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UwRQ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113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F3" w:rsidRDefault="005C51C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20BF3" w:rsidRDefault="005C51C3">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164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F3" w:rsidRDefault="005C51C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20BF3" w:rsidRDefault="005C51C3">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BF3"/>
    <w:rsid w:val="00320BF3"/>
    <w:rsid w:val="003E0BBA"/>
    <w:rsid w:val="005C51C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2354BB-DF0B-46F8-9BA5-089D49D6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704</Words>
  <Characters>3876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2021-03-01T14:53:00Z</dcterms:created>
  <dcterms:modified xsi:type="dcterms:W3CDTF">2021-03-01T14:53:00Z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LastSaved">
    <vt:filetime>2021-03-01T00:00:00Z</vt:filetime>
  </property>
</Properties>
</file>