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1D88D53B" w:rsidR="00560641" w:rsidRDefault="00DC5A4E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w:drawing>
          <wp:inline distT="0" distB="0" distL="0" distR="0" wp14:anchorId="2568E7B7" wp14:editId="38588A42">
            <wp:extent cx="7111365" cy="22942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1583D59A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</w:t>
      </w:r>
      <w:r w:rsidR="00645ACD">
        <w:rPr>
          <w:rFonts w:ascii="Arial" w:hAnsi="Arial" w:cs="Arial"/>
          <w:sz w:val="22"/>
          <w:szCs w:val="22"/>
          <w:lang w:val="es-GT"/>
        </w:rPr>
        <w:t>incremento de cuotas</w:t>
      </w:r>
      <w:r w:rsidR="00F908BE">
        <w:rPr>
          <w:rFonts w:ascii="Arial" w:hAnsi="Arial" w:cs="Arial"/>
          <w:sz w:val="22"/>
          <w:szCs w:val="22"/>
          <w:lang w:val="es-GT"/>
        </w:rPr>
        <w:t xml:space="preserve"> 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>desde la presentación de la solicitud, el ingreso</w:t>
      </w:r>
      <w:r w:rsidR="00645ACD">
        <w:rPr>
          <w:rFonts w:ascii="Arial" w:hAnsi="Arial" w:cs="Arial"/>
          <w:sz w:val="22"/>
          <w:szCs w:val="22"/>
          <w:lang w:val="es-GT"/>
        </w:rPr>
        <w:t xml:space="preserve"> y revisión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 del expediente, hasta la emisión de resolución </w:t>
      </w:r>
      <w:r w:rsidR="00073F55">
        <w:rPr>
          <w:rFonts w:ascii="Arial" w:hAnsi="Arial" w:cs="Arial"/>
          <w:sz w:val="22"/>
          <w:szCs w:val="22"/>
          <w:lang w:val="es-GT"/>
        </w:rPr>
        <w:t>correspondiente</w:t>
      </w:r>
      <w:r w:rsidR="00AB5587" w:rsidRPr="00A83DED">
        <w:rPr>
          <w:rFonts w:ascii="Arial" w:hAnsi="Arial" w:cs="Arial"/>
          <w:sz w:val="22"/>
          <w:szCs w:val="22"/>
          <w:lang w:val="es-GT"/>
        </w:rPr>
        <w:t>.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602AB8" w:rsidRPr="00602AB8" w14:paraId="4DFE07A4" w14:textId="77777777" w:rsidTr="00ED0527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2C1E53E" w14:textId="77777777" w:rsidR="00602AB8" w:rsidRPr="00602AB8" w:rsidRDefault="00602AB8" w:rsidP="00602AB8">
            <w:pPr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3843346" w14:textId="77777777" w:rsidR="00602AB8" w:rsidRPr="00602AB8" w:rsidRDefault="00602AB8" w:rsidP="00602AB8">
            <w:pPr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b/>
                <w:sz w:val="22"/>
                <w:szCs w:val="22"/>
                <w:lang w:val="es-GT"/>
              </w:rPr>
              <w:t>DICTAMEN TÉCNICO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1AFBD4E" w14:textId="77777777" w:rsidR="00602AB8" w:rsidRPr="00602AB8" w:rsidRDefault="00602AB8" w:rsidP="00602AB8">
            <w:pPr>
              <w:tabs>
                <w:tab w:val="center" w:pos="4252"/>
                <w:tab w:val="right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sz w:val="22"/>
                <w:szCs w:val="22"/>
                <w:lang w:val="es-GT"/>
              </w:rPr>
              <w:t xml:space="preserve">Opinión técnica emitida por profesional a cargo, con base en la verificación del cumplimiento de requisitos.  </w:t>
            </w:r>
          </w:p>
        </w:tc>
      </w:tr>
      <w:tr w:rsidR="00602AB8" w:rsidRPr="00602AB8" w14:paraId="7AFB647B" w14:textId="77777777" w:rsidTr="00ED0527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578022A" w14:textId="77777777" w:rsidR="00602AB8" w:rsidRPr="00602AB8" w:rsidRDefault="00602AB8" w:rsidP="00602AB8">
            <w:pPr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2AB8">
              <w:rPr>
                <w:rFonts w:ascii="Arial" w:hAnsi="Arial" w:cs="Arial"/>
                <w:b/>
                <w:sz w:val="22"/>
                <w:szCs w:val="22"/>
              </w:rPr>
              <w:t>2.-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7F7B8BD" w14:textId="77777777" w:rsidR="00602AB8" w:rsidRPr="00602AB8" w:rsidRDefault="00602AB8" w:rsidP="00602AB8">
            <w:pPr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b/>
                <w:sz w:val="22"/>
                <w:szCs w:val="22"/>
                <w:lang w:val="es-GT"/>
              </w:rPr>
              <w:t>GUÍA DEL USUARIO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576D5F8" w14:textId="77777777" w:rsidR="00602AB8" w:rsidRPr="00602AB8" w:rsidRDefault="00602AB8" w:rsidP="00602AB8">
            <w:pPr>
              <w:tabs>
                <w:tab w:val="center" w:pos="4252"/>
                <w:tab w:val="right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sz w:val="22"/>
                <w:szCs w:val="22"/>
                <w:lang w:val="es-GT"/>
              </w:rPr>
              <w:t>Documento que contiene los lineamientos requeridos para la autorización y funcionamiento de centros educativos privados en el Subsistema de Educación Escolar.</w:t>
            </w:r>
          </w:p>
        </w:tc>
      </w:tr>
      <w:tr w:rsidR="00602AB8" w:rsidRPr="00602AB8" w14:paraId="02C8D29C" w14:textId="77777777" w:rsidTr="00ED0527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94AB746" w14:textId="77777777" w:rsidR="00602AB8" w:rsidRPr="00602AB8" w:rsidRDefault="00602AB8" w:rsidP="00602AB8">
            <w:pPr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02AB8">
              <w:rPr>
                <w:rFonts w:ascii="Arial" w:hAnsi="Arial"/>
                <w:b/>
                <w:sz w:val="22"/>
                <w:szCs w:val="22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265C42E" w14:textId="77777777" w:rsidR="00602AB8" w:rsidRPr="00602AB8" w:rsidRDefault="00602AB8" w:rsidP="00602AB8">
            <w:pPr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b/>
                <w:sz w:val="22"/>
                <w:szCs w:val="22"/>
                <w:lang w:val="es-GT"/>
              </w:rPr>
              <w:t>SISTEMA DE REGISTROS EDUCATIVOS          -SIRE-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5240B0C" w14:textId="77777777" w:rsidR="00602AB8" w:rsidRPr="00602AB8" w:rsidRDefault="00602AB8" w:rsidP="00602AB8">
            <w:pPr>
              <w:tabs>
                <w:tab w:val="center" w:pos="4252"/>
                <w:tab w:val="right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sz w:val="22"/>
                <w:szCs w:val="22"/>
                <w:lang w:val="es-GT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602AB8" w:rsidRPr="00602AB8" w14:paraId="5FFA2C64" w14:textId="77777777" w:rsidTr="00ED0527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D4458E6" w14:textId="77777777" w:rsidR="00602AB8" w:rsidRPr="00602AB8" w:rsidRDefault="00602AB8" w:rsidP="00602AB8">
            <w:pPr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02AB8"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2137287" w14:textId="77777777" w:rsidR="00602AB8" w:rsidRPr="00602AB8" w:rsidRDefault="00602AB8" w:rsidP="00602AB8">
            <w:pPr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b/>
                <w:sz w:val="22"/>
                <w:szCs w:val="22"/>
                <w:lang w:val="es-GT"/>
              </w:rPr>
              <w:t>USUARIO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F1DA970" w14:textId="77777777" w:rsidR="00602AB8" w:rsidRPr="00602AB8" w:rsidRDefault="00602AB8" w:rsidP="00602AB8">
            <w:pPr>
              <w:tabs>
                <w:tab w:val="center" w:pos="4252"/>
                <w:tab w:val="right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602AB8">
              <w:rPr>
                <w:rFonts w:ascii="Arial" w:hAnsi="Arial"/>
                <w:sz w:val="22"/>
                <w:szCs w:val="22"/>
                <w:lang w:val="es-GT"/>
              </w:rPr>
              <w:t xml:space="preserve">Es la persona que solicita el trámite.    </w:t>
            </w:r>
          </w:p>
        </w:tc>
      </w:tr>
    </w:tbl>
    <w:p w14:paraId="08EDDE70" w14:textId="77777777" w:rsidR="00602AB8" w:rsidRPr="00CA1D45" w:rsidRDefault="00602AB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5D37F475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="00602AB8">
        <w:rPr>
          <w:rFonts w:ascii="Arial" w:hAnsi="Arial" w:cs="Arial"/>
          <w:sz w:val="22"/>
          <w:szCs w:val="22"/>
          <w:lang w:val="es-GT"/>
        </w:rPr>
        <w:t>,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602AB8">
        <w:rPr>
          <w:rFonts w:ascii="Arial" w:hAnsi="Arial" w:cs="Arial"/>
          <w:sz w:val="22"/>
          <w:szCs w:val="22"/>
          <w:lang w:val="es-GT"/>
        </w:rPr>
        <w:t>“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602AB8">
        <w:rPr>
          <w:rFonts w:ascii="Arial" w:hAnsi="Arial" w:cs="Arial"/>
          <w:sz w:val="22"/>
          <w:szCs w:val="22"/>
          <w:lang w:val="es-GT"/>
        </w:rPr>
        <w:t>”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74440165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F674CD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270F3238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073F55">
        <w:rPr>
          <w:rFonts w:ascii="Arial" w:hAnsi="Arial" w:cs="Arial"/>
          <w:b/>
          <w:bCs/>
          <w:sz w:val="22"/>
          <w:szCs w:val="22"/>
          <w:lang w:val="es-GT"/>
        </w:rPr>
        <w:t>Incremento de cuotas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1DF62B51" w14:textId="3B2851AE" w:rsidR="00862DDD" w:rsidRPr="00CA1D45" w:rsidRDefault="00862DDD" w:rsidP="00602AB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29D53CD6" w:rsidR="00862DDD" w:rsidRPr="00CA1D45" w:rsidRDefault="00862DDD" w:rsidP="00602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</w:t>
            </w:r>
            <w:r w:rsidR="00602AB8" w:rsidRPr="00D178C6">
              <w:rPr>
                <w:rFonts w:ascii="Arial" w:hAnsi="Arial" w:cs="Arial"/>
                <w:sz w:val="22"/>
                <w:szCs w:val="22"/>
              </w:rPr>
              <w:t>CEP-GUI-01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Guía de Usuario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="00602AB8">
              <w:rPr>
                <w:rFonts w:ascii="Arial" w:hAnsi="Arial" w:cs="Arial"/>
                <w:sz w:val="22"/>
                <w:szCs w:val="22"/>
              </w:rPr>
              <w:t>”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E4D85DA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30093473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73AB27A7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la documentación administrativa, al Coordinador de Acreditamiento y Certificación de la DIDEDUC y solicita dictamen técnico, en un período máximo de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cinco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AB8">
              <w:rPr>
                <w:rFonts w:ascii="Arial" w:hAnsi="Arial" w:cs="Arial"/>
                <w:sz w:val="22"/>
                <w:szCs w:val="22"/>
              </w:rPr>
              <w:t>(</w:t>
            </w:r>
            <w:r w:rsidRPr="00CA1D45">
              <w:rPr>
                <w:rFonts w:ascii="Arial" w:hAnsi="Arial" w:cs="Arial"/>
                <w:sz w:val="22"/>
                <w:szCs w:val="22"/>
              </w:rPr>
              <w:t>5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77777777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 los documentos administrativos de acuerdo a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78903977" w:rsidR="00D75597" w:rsidRPr="00CA1D45" w:rsidRDefault="00F908B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F149EE" w:rsidRPr="00D178C6">
              <w:rPr>
                <w:rFonts w:ascii="Arial" w:hAnsi="Arial" w:cs="Arial"/>
                <w:sz w:val="22"/>
                <w:szCs w:val="22"/>
              </w:rPr>
              <w:t>-FOR-0</w:t>
            </w:r>
            <w:r w:rsidR="00073F55">
              <w:rPr>
                <w:rFonts w:ascii="Arial" w:hAnsi="Arial" w:cs="Arial"/>
                <w:sz w:val="22"/>
                <w:szCs w:val="22"/>
              </w:rPr>
              <w:t>8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 w:rsidR="00073F5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incremento de cuotas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60BD67A" w14:textId="77777777" w:rsidR="00F908BE" w:rsidRDefault="00F908BE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7C9C0D" w14:textId="77777777" w:rsidR="00602AB8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</w:t>
            </w:r>
            <w:r w:rsidR="001408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 w:rsidR="00602AB8">
              <w:rPr>
                <w:rFonts w:ascii="Arial" w:hAnsi="Arial" w:cs="Arial"/>
                <w:sz w:val="22"/>
                <w:szCs w:val="22"/>
              </w:rPr>
              <w:t>tres (</w:t>
            </w:r>
            <w:r w:rsidR="00073F55">
              <w:rPr>
                <w:rFonts w:ascii="Arial" w:hAnsi="Arial" w:cs="Arial"/>
                <w:sz w:val="22"/>
                <w:szCs w:val="22"/>
              </w:rPr>
              <w:t>3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Pr="00F908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8B234C" w14:textId="77777777" w:rsidR="00602AB8" w:rsidRDefault="00602AB8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1233813C" w:rsidR="00862DDD" w:rsidRPr="00CA1D45" w:rsidRDefault="0024191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8BE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376AF5" w:rsidRPr="00F908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362CBC31" w:rsidR="00862DDD" w:rsidRPr="00CA1D45" w:rsidRDefault="00461C66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</w:t>
            </w:r>
            <w:r w:rsidR="00602AB8">
              <w:rPr>
                <w:rFonts w:ascii="Arial" w:hAnsi="Arial" w:cs="Arial"/>
                <w:sz w:val="22"/>
                <w:szCs w:val="22"/>
              </w:rPr>
              <w:t>diez (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>10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384AE67F" w14:textId="15090277" w:rsidR="002B0FB1" w:rsidRPr="00CA1D45" w:rsidRDefault="00073F5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62DA07D" w14:textId="538FBD27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73F55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F55">
              <w:rPr>
                <w:rFonts w:ascii="Arial" w:hAnsi="Arial" w:cs="Arial"/>
                <w:sz w:val="22"/>
                <w:szCs w:val="22"/>
              </w:rPr>
              <w:t>dictamen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F55">
              <w:rPr>
                <w:rFonts w:ascii="Arial" w:hAnsi="Arial" w:cs="Arial"/>
                <w:sz w:val="22"/>
                <w:szCs w:val="22"/>
              </w:rPr>
              <w:t>es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>n un periodo máximo de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cinco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AB8">
              <w:rPr>
                <w:rFonts w:ascii="Arial" w:hAnsi="Arial" w:cs="Arial"/>
                <w:sz w:val="22"/>
                <w:szCs w:val="22"/>
              </w:rPr>
              <w:t>(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>5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74E31216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73F55">
              <w:rPr>
                <w:rFonts w:ascii="Arial" w:hAnsi="Arial" w:cs="Arial"/>
                <w:sz w:val="22"/>
                <w:szCs w:val="22"/>
              </w:rPr>
              <w:t>el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dict</w:t>
            </w:r>
            <w:r w:rsidR="00073F55">
              <w:rPr>
                <w:rFonts w:ascii="Arial" w:hAnsi="Arial" w:cs="Arial"/>
                <w:sz w:val="22"/>
                <w:szCs w:val="22"/>
              </w:rPr>
              <w:t>a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men es no favorable, elabora anteproyecto de resolución no favorable y traslada al despacho del Director Departamental de Educación para firma y sello respectivo, en un período máximo de </w:t>
            </w:r>
            <w:r w:rsidR="00602AB8">
              <w:rPr>
                <w:rFonts w:ascii="Arial" w:hAnsi="Arial" w:cs="Arial"/>
                <w:sz w:val="22"/>
                <w:szCs w:val="22"/>
              </w:rPr>
              <w:t>cinco (</w:t>
            </w:r>
            <w:r w:rsidRPr="005E6A4B">
              <w:rPr>
                <w:rFonts w:ascii="Arial" w:hAnsi="Arial" w:cs="Arial"/>
                <w:sz w:val="22"/>
                <w:szCs w:val="22"/>
              </w:rPr>
              <w:t>5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4BDABF3" w14:textId="7EAF3D7A" w:rsidR="002B0FB1" w:rsidRPr="00CA1D45" w:rsidRDefault="00E36A10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07A478A7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revisa,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sella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</w:t>
            </w:r>
            <w:r w:rsidR="00073F55">
              <w:rPr>
                <w:rFonts w:ascii="Arial" w:hAnsi="Arial" w:cs="Arial"/>
                <w:sz w:val="22"/>
                <w:szCs w:val="22"/>
              </w:rPr>
              <w:t>incremento de cuotas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del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 educativo privado, 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>en caso sea favorable</w:t>
            </w:r>
            <w:r w:rsidR="00663F71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tendrá una vigencia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</w:t>
            </w:r>
            <w:r w:rsidR="0099404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AB8">
              <w:rPr>
                <w:rFonts w:ascii="Arial" w:hAnsi="Arial" w:cs="Arial"/>
                <w:sz w:val="22"/>
                <w:szCs w:val="22"/>
              </w:rPr>
              <w:t>tres (</w:t>
            </w:r>
            <w:r w:rsidR="00073F55">
              <w:rPr>
                <w:rFonts w:ascii="Arial" w:hAnsi="Arial" w:cs="Arial"/>
                <w:sz w:val="22"/>
                <w:szCs w:val="22"/>
              </w:rPr>
              <w:t>3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71DFB541" w:rsidR="002B0FB1" w:rsidRPr="00CA1D45" w:rsidRDefault="00E36A10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70EDEC84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a la Unidad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dos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AB8">
              <w:rPr>
                <w:rFonts w:ascii="Arial" w:hAnsi="Arial" w:cs="Arial"/>
                <w:sz w:val="22"/>
                <w:szCs w:val="22"/>
              </w:rPr>
              <w:t>(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2</w:t>
            </w:r>
            <w:r w:rsidR="00602AB8">
              <w:rPr>
                <w:rFonts w:ascii="Arial" w:hAnsi="Arial" w:cs="Arial"/>
                <w:sz w:val="22"/>
                <w:szCs w:val="22"/>
              </w:rPr>
              <w:t>)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6B3F3239" w:rsidR="00FA6DCA" w:rsidRPr="00CA1D45" w:rsidRDefault="00E36A10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5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BF9791B" w14:textId="5ED94B27" w:rsidR="00FA6DCA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 la resolución favorable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602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no favorable, al centro educativo privado, por medio del formulario RHU-FOR-13 </w:t>
            </w:r>
            <w:r w:rsidR="00602AB8"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Cédula de </w:t>
            </w:r>
            <w:r w:rsidR="00602AB8">
              <w:rPr>
                <w:rFonts w:ascii="Arial" w:hAnsi="Arial" w:cs="Arial"/>
                <w:sz w:val="22"/>
                <w:szCs w:val="22"/>
              </w:rPr>
              <w:t>N</w:t>
            </w:r>
            <w:r w:rsidR="00602AB8" w:rsidRPr="00CA1D45">
              <w:rPr>
                <w:rFonts w:ascii="Arial" w:hAnsi="Arial" w:cs="Arial"/>
                <w:sz w:val="22"/>
                <w:szCs w:val="22"/>
              </w:rPr>
              <w:t>otificación</w:t>
            </w:r>
            <w:r w:rsidR="00602AB8">
              <w:rPr>
                <w:rFonts w:ascii="Arial" w:hAnsi="Arial" w:cs="Arial"/>
                <w:sz w:val="22"/>
                <w:szCs w:val="22"/>
              </w:rPr>
              <w:t>”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02A7" w:rsidRPr="00CA1D45" w14:paraId="4C1C687A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743600AD" w14:textId="4EE1C226" w:rsidR="008C02A7" w:rsidRPr="00CA1D45" w:rsidRDefault="00E36A10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8C02A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Registrar cuotas autorizadas en el Sistema de </w:t>
            </w:r>
            <w:r w:rsidR="002C7A8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="008C02A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uotas</w:t>
            </w:r>
          </w:p>
        </w:tc>
        <w:tc>
          <w:tcPr>
            <w:tcW w:w="1112" w:type="dxa"/>
            <w:vAlign w:val="center"/>
          </w:tcPr>
          <w:p w14:paraId="728CA7A2" w14:textId="77777777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6C4E269" w14:textId="1907F50E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A2EAFD5" w14:textId="133AA4E3" w:rsidR="008C02A7" w:rsidRPr="00CA1D45" w:rsidRDefault="002E75C1" w:rsidP="002E7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Registra las cuotas autorizadas en la resolución de autorización de funcionamiento, en el </w:t>
            </w:r>
            <w:r w:rsidR="005E6A4B">
              <w:rPr>
                <w:rFonts w:ascii="Arial" w:hAnsi="Arial" w:cs="Arial"/>
                <w:sz w:val="22"/>
                <w:szCs w:val="22"/>
              </w:rPr>
              <w:t>módulo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c</w:t>
            </w:r>
            <w:r w:rsidRPr="00CA1D45">
              <w:rPr>
                <w:rFonts w:ascii="Arial" w:hAnsi="Arial" w:cs="Arial"/>
                <w:sz w:val="22"/>
                <w:szCs w:val="22"/>
              </w:rPr>
              <w:t>uotas de Centros Educativos Privados</w:t>
            </w:r>
            <w:r w:rsidR="005E6A4B">
              <w:rPr>
                <w:rFonts w:ascii="Arial" w:hAnsi="Arial" w:cs="Arial"/>
                <w:sz w:val="22"/>
                <w:szCs w:val="22"/>
              </w:rPr>
              <w:t>, del Sistema de Registros Educativos SIRE</w:t>
            </w:r>
            <w:r w:rsidRPr="00CA1D45">
              <w:rPr>
                <w:rFonts w:ascii="Arial" w:hAnsi="Arial" w:cs="Arial"/>
                <w:sz w:val="22"/>
                <w:szCs w:val="22"/>
              </w:rPr>
              <w:t>, según la Guía publicada en el sitio Web del Ministerio de Educación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260075" w14:textId="578BDFF9" w:rsidR="00862DDD" w:rsidRPr="00CA1D45" w:rsidRDefault="005E6A4B" w:rsidP="009740E6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</w:t>
      </w:r>
      <w:r w:rsidR="00602AB8">
        <w:rPr>
          <w:rFonts w:ascii="Arial" w:hAnsi="Arial" w:cs="Arial"/>
          <w:sz w:val="22"/>
          <w:szCs w:val="22"/>
        </w:rPr>
        <w:t>“</w:t>
      </w:r>
      <w:r w:rsidR="00771BEE" w:rsidRPr="00CA1D45">
        <w:rPr>
          <w:rFonts w:ascii="Arial" w:hAnsi="Arial" w:cs="Arial"/>
          <w:sz w:val="22"/>
          <w:szCs w:val="22"/>
        </w:rPr>
        <w:t xml:space="preserve">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602AB8">
        <w:rPr>
          <w:rFonts w:ascii="Arial" w:hAnsi="Arial" w:cs="Arial"/>
          <w:sz w:val="22"/>
          <w:szCs w:val="22"/>
        </w:rPr>
        <w:t>”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52735D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0AB40DA2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</w:t>
            </w:r>
            <w:r w:rsidR="009D325F">
              <w:rPr>
                <w:rFonts w:ascii="Arial" w:hAnsi="Arial" w:cs="Arial"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3956" w:type="pct"/>
          </w:tcPr>
          <w:p w14:paraId="1F1CC435" w14:textId="6CB6A4CA" w:rsidR="00862DDD" w:rsidRPr="00CA1D45" w:rsidRDefault="00862DDD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administrativo</w:t>
            </w:r>
            <w:r w:rsidR="009D325F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incremento de cuotas</w:t>
            </w:r>
          </w:p>
        </w:tc>
      </w:tr>
      <w:tr w:rsidR="00460708" w:rsidRPr="00CA1D45" w14:paraId="480460D3" w14:textId="77777777" w:rsidTr="00862DDD">
        <w:tc>
          <w:tcPr>
            <w:tcW w:w="267" w:type="pct"/>
            <w:vAlign w:val="center"/>
          </w:tcPr>
          <w:p w14:paraId="00086B99" w14:textId="0F131ECD" w:rsidR="00460708" w:rsidRPr="00CA1D45" w:rsidRDefault="00460708" w:rsidP="0046070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5E148899" w14:textId="239621C3" w:rsidR="00460708" w:rsidRPr="00CA1D45" w:rsidRDefault="00460708" w:rsidP="0046070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54C94261" w14:textId="5199FBAC" w:rsidR="00460708" w:rsidRPr="00CA1D45" w:rsidRDefault="00460708" w:rsidP="004607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3B2B" w14:textId="77777777" w:rsidR="001278F9" w:rsidRDefault="001278F9" w:rsidP="003D767C">
      <w:r>
        <w:separator/>
      </w:r>
    </w:p>
  </w:endnote>
  <w:endnote w:type="continuationSeparator" w:id="0">
    <w:p w14:paraId="044984A7" w14:textId="77777777" w:rsidR="001278F9" w:rsidRDefault="001278F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5550F2F5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</w:t>
    </w:r>
    <w:r w:rsidR="00602AB8">
      <w:rPr>
        <w:rFonts w:ascii="Arial Narrow" w:hAnsi="Arial Narrow"/>
        <w:color w:val="333399"/>
        <w:sz w:val="16"/>
      </w:rPr>
      <w:t xml:space="preserve">eb del Sistema de Gestión de </w:t>
    </w:r>
    <w:r w:rsidRPr="0070071D">
      <w:rPr>
        <w:rFonts w:ascii="Arial Narrow" w:hAnsi="Arial Narrow"/>
        <w:color w:val="333399"/>
        <w:sz w:val="16"/>
      </w:rPr>
      <w:t>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1A0EF" w14:textId="77777777" w:rsidR="001278F9" w:rsidRDefault="001278F9" w:rsidP="003D767C">
      <w:r>
        <w:separator/>
      </w:r>
    </w:p>
  </w:footnote>
  <w:footnote w:type="continuationSeparator" w:id="0">
    <w:p w14:paraId="0CD9D9EC" w14:textId="77777777" w:rsidR="001278F9" w:rsidRDefault="001278F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4322F16D" w:rsidR="009740E6" w:rsidRPr="00823A74" w:rsidRDefault="00645ACD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INCREMENTO DE CUOTAS</w:t>
          </w:r>
          <w:r w:rsidR="00F908BE" w:rsidRPr="00EE4EE0">
            <w:rPr>
              <w:rFonts w:ascii="Arial" w:hAnsi="Arial" w:cs="Arial"/>
              <w:b/>
              <w:sz w:val="24"/>
            </w:rPr>
            <w:t xml:space="preserve"> 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399B385A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372AFD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417D3E82" w:rsidR="009740E6" w:rsidRPr="008A404F" w:rsidRDefault="009740E6" w:rsidP="00302E5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302E55">
            <w:rPr>
              <w:rFonts w:ascii="Arial" w:hAnsi="Arial" w:cs="Arial"/>
              <w:sz w:val="16"/>
              <w:szCs w:val="16"/>
            </w:rPr>
            <w:t>08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307721E5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73389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73389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664119EC"/>
    <w:multiLevelType w:val="multilevel"/>
    <w:tmpl w:val="DAB626A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28"/>
  </w:num>
  <w:num w:numId="4">
    <w:abstractNumId w:val="11"/>
  </w:num>
  <w:num w:numId="5">
    <w:abstractNumId w:val="39"/>
  </w:num>
  <w:num w:numId="6">
    <w:abstractNumId w:val="23"/>
  </w:num>
  <w:num w:numId="7">
    <w:abstractNumId w:val="41"/>
  </w:num>
  <w:num w:numId="8">
    <w:abstractNumId w:val="22"/>
  </w:num>
  <w:num w:numId="9">
    <w:abstractNumId w:val="8"/>
  </w:num>
  <w:num w:numId="10">
    <w:abstractNumId w:val="44"/>
  </w:num>
  <w:num w:numId="11">
    <w:abstractNumId w:val="31"/>
  </w:num>
  <w:num w:numId="12">
    <w:abstractNumId w:val="21"/>
  </w:num>
  <w:num w:numId="13">
    <w:abstractNumId w:val="24"/>
  </w:num>
  <w:num w:numId="14">
    <w:abstractNumId w:val="15"/>
  </w:num>
  <w:num w:numId="15">
    <w:abstractNumId w:val="42"/>
  </w:num>
  <w:num w:numId="16">
    <w:abstractNumId w:val="32"/>
  </w:num>
  <w:num w:numId="17">
    <w:abstractNumId w:val="33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34"/>
  </w:num>
  <w:num w:numId="25">
    <w:abstractNumId w:val="26"/>
  </w:num>
  <w:num w:numId="26">
    <w:abstractNumId w:val="9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27"/>
  </w:num>
  <w:num w:numId="32">
    <w:abstractNumId w:val="14"/>
  </w:num>
  <w:num w:numId="33">
    <w:abstractNumId w:val="19"/>
  </w:num>
  <w:num w:numId="34">
    <w:abstractNumId w:val="6"/>
  </w:num>
  <w:num w:numId="35">
    <w:abstractNumId w:val="43"/>
  </w:num>
  <w:num w:numId="36">
    <w:abstractNumId w:val="29"/>
  </w:num>
  <w:num w:numId="37">
    <w:abstractNumId w:val="30"/>
  </w:num>
  <w:num w:numId="38">
    <w:abstractNumId w:val="25"/>
  </w:num>
  <w:num w:numId="39">
    <w:abstractNumId w:val="18"/>
  </w:num>
  <w:num w:numId="40">
    <w:abstractNumId w:val="13"/>
  </w:num>
  <w:num w:numId="41">
    <w:abstractNumId w:val="7"/>
  </w:num>
  <w:num w:numId="42">
    <w:abstractNumId w:val="40"/>
  </w:num>
  <w:num w:numId="43">
    <w:abstractNumId w:val="37"/>
  </w:num>
  <w:num w:numId="44">
    <w:abstractNumId w:val="35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421B"/>
    <w:rsid w:val="00022A74"/>
    <w:rsid w:val="00025DDB"/>
    <w:rsid w:val="00026EE1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3F55"/>
    <w:rsid w:val="00076E46"/>
    <w:rsid w:val="00084438"/>
    <w:rsid w:val="000A0FA6"/>
    <w:rsid w:val="000A3B27"/>
    <w:rsid w:val="000A4B3F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278F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7858"/>
    <w:rsid w:val="002216A8"/>
    <w:rsid w:val="0022204C"/>
    <w:rsid w:val="002228EB"/>
    <w:rsid w:val="0024191D"/>
    <w:rsid w:val="00243CB9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09C5"/>
    <w:rsid w:val="002E75C1"/>
    <w:rsid w:val="002F4CD2"/>
    <w:rsid w:val="002F5E58"/>
    <w:rsid w:val="002F6CF4"/>
    <w:rsid w:val="00300B05"/>
    <w:rsid w:val="00302E5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403"/>
    <w:rsid w:val="00350DB4"/>
    <w:rsid w:val="0035708F"/>
    <w:rsid w:val="00357CF1"/>
    <w:rsid w:val="00360C36"/>
    <w:rsid w:val="00362EED"/>
    <w:rsid w:val="0037091A"/>
    <w:rsid w:val="00371013"/>
    <w:rsid w:val="00372AFD"/>
    <w:rsid w:val="003741AD"/>
    <w:rsid w:val="00375793"/>
    <w:rsid w:val="00376AF5"/>
    <w:rsid w:val="00380198"/>
    <w:rsid w:val="00384017"/>
    <w:rsid w:val="003873C6"/>
    <w:rsid w:val="00390ACF"/>
    <w:rsid w:val="003B1699"/>
    <w:rsid w:val="003C15AA"/>
    <w:rsid w:val="003C294B"/>
    <w:rsid w:val="003D093D"/>
    <w:rsid w:val="003D1FED"/>
    <w:rsid w:val="003D767C"/>
    <w:rsid w:val="003E404C"/>
    <w:rsid w:val="003F26D0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457B5"/>
    <w:rsid w:val="004568B4"/>
    <w:rsid w:val="00460708"/>
    <w:rsid w:val="00461C66"/>
    <w:rsid w:val="00462D79"/>
    <w:rsid w:val="00473F15"/>
    <w:rsid w:val="00485FAF"/>
    <w:rsid w:val="00493988"/>
    <w:rsid w:val="00494C45"/>
    <w:rsid w:val="0049580A"/>
    <w:rsid w:val="00495CA0"/>
    <w:rsid w:val="004A5E1A"/>
    <w:rsid w:val="004A7732"/>
    <w:rsid w:val="004B28F0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50558E"/>
    <w:rsid w:val="0052264F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E35D1"/>
    <w:rsid w:val="005E6A4B"/>
    <w:rsid w:val="005F17FB"/>
    <w:rsid w:val="005F1836"/>
    <w:rsid w:val="005F3933"/>
    <w:rsid w:val="005F6DD1"/>
    <w:rsid w:val="005F7577"/>
    <w:rsid w:val="00602AB8"/>
    <w:rsid w:val="006034AC"/>
    <w:rsid w:val="00612068"/>
    <w:rsid w:val="00612C67"/>
    <w:rsid w:val="00615631"/>
    <w:rsid w:val="00616EEB"/>
    <w:rsid w:val="0062186D"/>
    <w:rsid w:val="00623E0F"/>
    <w:rsid w:val="0063123E"/>
    <w:rsid w:val="00631714"/>
    <w:rsid w:val="006354AE"/>
    <w:rsid w:val="0064131B"/>
    <w:rsid w:val="00645ACD"/>
    <w:rsid w:val="00650E14"/>
    <w:rsid w:val="00651322"/>
    <w:rsid w:val="00651503"/>
    <w:rsid w:val="00652E7F"/>
    <w:rsid w:val="0065530A"/>
    <w:rsid w:val="00663F71"/>
    <w:rsid w:val="0066615A"/>
    <w:rsid w:val="006670D2"/>
    <w:rsid w:val="0067158D"/>
    <w:rsid w:val="0067323E"/>
    <w:rsid w:val="006779B3"/>
    <w:rsid w:val="00680E60"/>
    <w:rsid w:val="00684BF0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60AED"/>
    <w:rsid w:val="00763DAD"/>
    <w:rsid w:val="00770B26"/>
    <w:rsid w:val="00771BEE"/>
    <w:rsid w:val="00773FD9"/>
    <w:rsid w:val="007814C1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5035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44A9F"/>
    <w:rsid w:val="009525BE"/>
    <w:rsid w:val="00953D18"/>
    <w:rsid w:val="0095660D"/>
    <w:rsid w:val="00960ED9"/>
    <w:rsid w:val="00966B92"/>
    <w:rsid w:val="00967D84"/>
    <w:rsid w:val="00973108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D325F"/>
    <w:rsid w:val="009E01CF"/>
    <w:rsid w:val="009E0B3B"/>
    <w:rsid w:val="009E1412"/>
    <w:rsid w:val="009E3088"/>
    <w:rsid w:val="009F1E32"/>
    <w:rsid w:val="009F3214"/>
    <w:rsid w:val="009F53DF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96683"/>
    <w:rsid w:val="00AB05E7"/>
    <w:rsid w:val="00AB5587"/>
    <w:rsid w:val="00AE12F7"/>
    <w:rsid w:val="00AE1C3D"/>
    <w:rsid w:val="00AE3B13"/>
    <w:rsid w:val="00AF47B0"/>
    <w:rsid w:val="00B11800"/>
    <w:rsid w:val="00B21C90"/>
    <w:rsid w:val="00B21CE2"/>
    <w:rsid w:val="00B227E0"/>
    <w:rsid w:val="00B22E5D"/>
    <w:rsid w:val="00B235A9"/>
    <w:rsid w:val="00B34783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7C8"/>
    <w:rsid w:val="00BD1889"/>
    <w:rsid w:val="00BE2F1A"/>
    <w:rsid w:val="00BE5233"/>
    <w:rsid w:val="00BE6DD1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7418"/>
    <w:rsid w:val="00C27D69"/>
    <w:rsid w:val="00C4320E"/>
    <w:rsid w:val="00C43574"/>
    <w:rsid w:val="00C43D70"/>
    <w:rsid w:val="00C4712E"/>
    <w:rsid w:val="00C51858"/>
    <w:rsid w:val="00C66713"/>
    <w:rsid w:val="00C66972"/>
    <w:rsid w:val="00C73389"/>
    <w:rsid w:val="00C73F5F"/>
    <w:rsid w:val="00C75357"/>
    <w:rsid w:val="00C75921"/>
    <w:rsid w:val="00C76238"/>
    <w:rsid w:val="00C80234"/>
    <w:rsid w:val="00C805AE"/>
    <w:rsid w:val="00C8620C"/>
    <w:rsid w:val="00C942B4"/>
    <w:rsid w:val="00C96B58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D02969"/>
    <w:rsid w:val="00D178C6"/>
    <w:rsid w:val="00D203EB"/>
    <w:rsid w:val="00D20C20"/>
    <w:rsid w:val="00D21666"/>
    <w:rsid w:val="00D22771"/>
    <w:rsid w:val="00D23009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C5A4E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6A10"/>
    <w:rsid w:val="00E36ADE"/>
    <w:rsid w:val="00E4041F"/>
    <w:rsid w:val="00E42E38"/>
    <w:rsid w:val="00E52128"/>
    <w:rsid w:val="00E62DA4"/>
    <w:rsid w:val="00E706A9"/>
    <w:rsid w:val="00E72995"/>
    <w:rsid w:val="00E8439C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C73D2"/>
    <w:rsid w:val="00ED3CB4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70A9"/>
    <w:rsid w:val="00F23DEC"/>
    <w:rsid w:val="00F23E49"/>
    <w:rsid w:val="00F26D89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56B0-A9CF-4E18-85DE-DAF272F3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Wendy Lorena Ramirez Alvarez</cp:lastModifiedBy>
  <cp:revision>2</cp:revision>
  <cp:lastPrinted>2021-09-28T14:50:00Z</cp:lastPrinted>
  <dcterms:created xsi:type="dcterms:W3CDTF">2022-08-05T18:32:00Z</dcterms:created>
  <dcterms:modified xsi:type="dcterms:W3CDTF">2022-08-05T18:32:00Z</dcterms:modified>
</cp:coreProperties>
</file>