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5C9C0CD1" w14:textId="77777777" w:rsidR="002A2F52" w:rsidRPr="00FC73B5" w:rsidRDefault="002A2F52" w:rsidP="002A2F52">
      <w:pPr>
        <w:jc w:val="center"/>
        <w:rPr>
          <w:b/>
          <w:szCs w:val="24"/>
        </w:rPr>
      </w:pPr>
      <w:r w:rsidRPr="00FC73B5">
        <w:rPr>
          <w:b/>
          <w:szCs w:val="24"/>
        </w:rPr>
        <w:t>MINISTERIO DE EDUCACIÓN</w:t>
      </w:r>
    </w:p>
    <w:p w14:paraId="69A48ECE" w14:textId="77777777" w:rsidR="002A2F52" w:rsidRPr="00FC73B5" w:rsidRDefault="002A2F52" w:rsidP="002A2F52">
      <w:pPr>
        <w:jc w:val="center"/>
        <w:rPr>
          <w:b/>
          <w:szCs w:val="24"/>
        </w:rPr>
      </w:pPr>
      <w:r w:rsidRPr="00FC73B5">
        <w:rPr>
          <w:b/>
          <w:szCs w:val="24"/>
        </w:rPr>
        <w:t>AUDITORÍA INTERNA</w:t>
      </w:r>
    </w:p>
    <w:p w14:paraId="69076FB7" w14:textId="6A8E8DCA" w:rsidR="002A2F52" w:rsidRPr="00FC73B5" w:rsidRDefault="002A2F52" w:rsidP="002A2F52">
      <w:pPr>
        <w:jc w:val="center"/>
        <w:rPr>
          <w:b/>
          <w:szCs w:val="24"/>
        </w:rPr>
      </w:pPr>
      <w:r w:rsidRPr="00FC73B5">
        <w:rPr>
          <w:b/>
          <w:szCs w:val="24"/>
        </w:rPr>
        <w:t>INFORME O-DIDAI/SUB-</w:t>
      </w:r>
      <w:r w:rsidR="00D84F3A">
        <w:rPr>
          <w:b/>
          <w:szCs w:val="24"/>
        </w:rPr>
        <w:t>202</w:t>
      </w:r>
      <w:r w:rsidRPr="00FC73B5">
        <w:rPr>
          <w:b/>
          <w:szCs w:val="24"/>
        </w:rPr>
        <w:t>-2022</w:t>
      </w:r>
    </w:p>
    <w:p w14:paraId="5D55BB7C" w14:textId="6B1696E2" w:rsidR="002A2F52" w:rsidRPr="00FC73B5" w:rsidRDefault="002A2F52" w:rsidP="002A2F52">
      <w:pPr>
        <w:jc w:val="center"/>
        <w:rPr>
          <w:b/>
          <w:szCs w:val="24"/>
        </w:rPr>
      </w:pPr>
      <w:r w:rsidRPr="00FC73B5">
        <w:rPr>
          <w:b/>
          <w:szCs w:val="24"/>
        </w:rPr>
        <w:t>SIAD 5</w:t>
      </w:r>
      <w:r w:rsidR="00D362B6" w:rsidRPr="00FC73B5">
        <w:rPr>
          <w:b/>
          <w:szCs w:val="24"/>
        </w:rPr>
        <w:t>9</w:t>
      </w:r>
      <w:r w:rsidR="00D84F3A">
        <w:rPr>
          <w:b/>
          <w:szCs w:val="24"/>
        </w:rPr>
        <w:t>8104</w:t>
      </w:r>
    </w:p>
    <w:p w14:paraId="3D06757D" w14:textId="77777777" w:rsidR="002A2F52" w:rsidRPr="00FC73B5" w:rsidRDefault="002A2F52" w:rsidP="002A2F52">
      <w:pPr>
        <w:rPr>
          <w:szCs w:val="24"/>
        </w:rPr>
      </w:pPr>
    </w:p>
    <w:p w14:paraId="3BD61666" w14:textId="77777777" w:rsidR="002A2F52" w:rsidRPr="00FC73B5" w:rsidRDefault="002A2F52" w:rsidP="002A2F52">
      <w:pPr>
        <w:rPr>
          <w:szCs w:val="24"/>
        </w:rPr>
      </w:pPr>
    </w:p>
    <w:p w14:paraId="1F2626AA" w14:textId="77777777" w:rsidR="002A2F52" w:rsidRPr="00FC73B5" w:rsidRDefault="002A2F52" w:rsidP="002A2F52">
      <w:pPr>
        <w:rPr>
          <w:szCs w:val="24"/>
        </w:rPr>
      </w:pPr>
    </w:p>
    <w:p w14:paraId="15A618E8" w14:textId="77777777" w:rsidR="002A2F52" w:rsidRPr="00FC73B5" w:rsidRDefault="002A2F52" w:rsidP="002A2F52">
      <w:pPr>
        <w:rPr>
          <w:szCs w:val="24"/>
        </w:rPr>
      </w:pPr>
    </w:p>
    <w:p w14:paraId="4D77F0E5" w14:textId="77777777" w:rsidR="00D1179B" w:rsidRPr="00FC73B5" w:rsidRDefault="00D1179B" w:rsidP="002A2F52">
      <w:pPr>
        <w:rPr>
          <w:szCs w:val="24"/>
        </w:rPr>
      </w:pPr>
    </w:p>
    <w:p w14:paraId="20164B42" w14:textId="77777777" w:rsidR="002A2F52" w:rsidRPr="00FC73B5" w:rsidRDefault="002A2F52" w:rsidP="002A2F52">
      <w:pPr>
        <w:rPr>
          <w:szCs w:val="24"/>
        </w:rPr>
      </w:pPr>
    </w:p>
    <w:p w14:paraId="1251E7B0" w14:textId="77777777" w:rsidR="002A2F52" w:rsidRPr="00FC73B5" w:rsidRDefault="002A2F52" w:rsidP="002A2F52">
      <w:pPr>
        <w:rPr>
          <w:szCs w:val="24"/>
        </w:rPr>
      </w:pPr>
    </w:p>
    <w:p w14:paraId="6B321411" w14:textId="77777777" w:rsidR="002A2F52" w:rsidRPr="00FC73B5" w:rsidRDefault="002A2F52" w:rsidP="002A2F52">
      <w:pPr>
        <w:rPr>
          <w:szCs w:val="24"/>
        </w:rPr>
      </w:pPr>
    </w:p>
    <w:p w14:paraId="7B38B4CD" w14:textId="77777777" w:rsidR="002A2F52" w:rsidRPr="00FC73B5" w:rsidRDefault="002A2F52" w:rsidP="002A2F52">
      <w:pPr>
        <w:rPr>
          <w:szCs w:val="24"/>
        </w:rPr>
      </w:pPr>
    </w:p>
    <w:p w14:paraId="6E04377A" w14:textId="77777777" w:rsidR="00D1179B" w:rsidRPr="00FC73B5" w:rsidRDefault="00D1179B" w:rsidP="002A2F52">
      <w:pPr>
        <w:rPr>
          <w:szCs w:val="24"/>
        </w:rPr>
      </w:pPr>
    </w:p>
    <w:p w14:paraId="497D1A94" w14:textId="77777777" w:rsidR="002A2F52" w:rsidRPr="00FC73B5" w:rsidRDefault="002A2F52" w:rsidP="002A2F52">
      <w:pPr>
        <w:rPr>
          <w:szCs w:val="24"/>
        </w:rPr>
      </w:pPr>
    </w:p>
    <w:p w14:paraId="5F716E37" w14:textId="77777777" w:rsidR="002A2F52" w:rsidRPr="00FC73B5" w:rsidRDefault="002A2F52" w:rsidP="002A2F52">
      <w:pPr>
        <w:rPr>
          <w:szCs w:val="24"/>
        </w:rPr>
      </w:pPr>
    </w:p>
    <w:p w14:paraId="1D9E14A4" w14:textId="77777777" w:rsidR="002A2F52" w:rsidRPr="00FC73B5" w:rsidRDefault="002A2F52" w:rsidP="002A2F52">
      <w:pPr>
        <w:rPr>
          <w:szCs w:val="24"/>
        </w:rPr>
      </w:pPr>
    </w:p>
    <w:p w14:paraId="548A9731" w14:textId="77777777" w:rsidR="002A2F52" w:rsidRPr="00FC73B5" w:rsidRDefault="002A2F52" w:rsidP="002A2F52">
      <w:pPr>
        <w:rPr>
          <w:szCs w:val="24"/>
        </w:rPr>
      </w:pPr>
    </w:p>
    <w:p w14:paraId="63D714CE" w14:textId="77777777" w:rsidR="002A2F52" w:rsidRPr="00FC73B5" w:rsidRDefault="002A2F52" w:rsidP="002A2F52">
      <w:pPr>
        <w:rPr>
          <w:szCs w:val="24"/>
        </w:rPr>
      </w:pPr>
    </w:p>
    <w:p w14:paraId="6C42F092" w14:textId="3231A62E" w:rsidR="002A2F52" w:rsidRPr="00FC73B5" w:rsidRDefault="002A2F52" w:rsidP="00D84F3A">
      <w:pPr>
        <w:jc w:val="center"/>
        <w:rPr>
          <w:szCs w:val="24"/>
        </w:rPr>
      </w:pPr>
      <w:r w:rsidRPr="00FC73B5">
        <w:rPr>
          <w:b/>
          <w:szCs w:val="24"/>
        </w:rPr>
        <w:t xml:space="preserve">Consejo o </w:t>
      </w:r>
      <w:r w:rsidR="00D1179B" w:rsidRPr="00FC73B5">
        <w:rPr>
          <w:b/>
          <w:szCs w:val="24"/>
        </w:rPr>
        <w:t>c</w:t>
      </w:r>
      <w:r w:rsidRPr="00FC73B5">
        <w:rPr>
          <w:b/>
          <w:szCs w:val="24"/>
        </w:rPr>
        <w:t xml:space="preserve">onsultoría de </w:t>
      </w:r>
      <w:r w:rsidR="00D1179B" w:rsidRPr="00FC73B5">
        <w:rPr>
          <w:b/>
          <w:szCs w:val="24"/>
        </w:rPr>
        <w:t>segundo</w:t>
      </w:r>
      <w:r w:rsidRPr="00FC73B5">
        <w:rPr>
          <w:b/>
          <w:szCs w:val="24"/>
        </w:rPr>
        <w:t xml:space="preserve"> </w:t>
      </w:r>
      <w:r w:rsidR="00D1179B" w:rsidRPr="00FC73B5">
        <w:rPr>
          <w:b/>
          <w:szCs w:val="24"/>
        </w:rPr>
        <w:t>s</w:t>
      </w:r>
      <w:r w:rsidRPr="00FC73B5">
        <w:rPr>
          <w:b/>
          <w:szCs w:val="24"/>
        </w:rPr>
        <w:t xml:space="preserve">eguimiento </w:t>
      </w:r>
      <w:r w:rsidR="00D84F3A" w:rsidRPr="00D84F3A">
        <w:rPr>
          <w:b/>
          <w:szCs w:val="24"/>
          <w:lang w:val="es-ES_tradnl"/>
        </w:rPr>
        <w:t xml:space="preserve">a las recomendaciones emitidas por la Dirección de Auditoría Interna, en el informe CAI 00009, relacionadas con la Auditoría de Cumplimiento al área de inventario, por el período comprendido del 01 de septiembre de 2021 al 31 de enero de </w:t>
      </w:r>
      <w:r w:rsidR="004D7916" w:rsidRPr="00D84F3A">
        <w:rPr>
          <w:b/>
          <w:szCs w:val="24"/>
          <w:lang w:val="es-ES_tradnl"/>
        </w:rPr>
        <w:t>2022, practicada</w:t>
      </w:r>
      <w:r w:rsidR="00D84F3A" w:rsidRPr="00D84F3A">
        <w:rPr>
          <w:b/>
          <w:szCs w:val="24"/>
          <w:lang w:val="es-ES_tradnl"/>
        </w:rPr>
        <w:t xml:space="preserve"> en la Dirección General de Monitoreo y Verificación de la Calidad -DIGEMOCA</w:t>
      </w:r>
      <w:r w:rsidR="00D84F3A">
        <w:rPr>
          <w:b/>
          <w:szCs w:val="24"/>
          <w:lang w:val="es-ES_tradnl"/>
        </w:rPr>
        <w:t>-</w:t>
      </w:r>
    </w:p>
    <w:p w14:paraId="5F140BC5" w14:textId="77777777" w:rsidR="002A2F52" w:rsidRPr="00FC73B5" w:rsidRDefault="002A2F52" w:rsidP="002A2F52">
      <w:pPr>
        <w:rPr>
          <w:szCs w:val="24"/>
        </w:rPr>
      </w:pPr>
    </w:p>
    <w:p w14:paraId="1F1472CA" w14:textId="77777777" w:rsidR="002A2F52" w:rsidRPr="00FC73B5" w:rsidRDefault="002A2F52" w:rsidP="002A2F52">
      <w:pPr>
        <w:rPr>
          <w:szCs w:val="24"/>
        </w:rPr>
      </w:pPr>
    </w:p>
    <w:p w14:paraId="6E846A46" w14:textId="77777777" w:rsidR="002A2F52" w:rsidRPr="00FC73B5" w:rsidRDefault="002A2F52" w:rsidP="002A2F52">
      <w:pPr>
        <w:rPr>
          <w:szCs w:val="24"/>
        </w:rPr>
      </w:pPr>
    </w:p>
    <w:p w14:paraId="68EDF6CA" w14:textId="77777777" w:rsidR="002A2F52" w:rsidRPr="00FC73B5" w:rsidRDefault="002A2F52" w:rsidP="002A2F52">
      <w:pPr>
        <w:rPr>
          <w:szCs w:val="24"/>
        </w:rPr>
      </w:pPr>
    </w:p>
    <w:p w14:paraId="0C218ADD" w14:textId="77777777" w:rsidR="002A2F52" w:rsidRPr="00FC73B5" w:rsidRDefault="002A2F52" w:rsidP="002A2F52">
      <w:pPr>
        <w:rPr>
          <w:szCs w:val="24"/>
        </w:rPr>
      </w:pPr>
    </w:p>
    <w:p w14:paraId="7DD8EDD7" w14:textId="77777777" w:rsidR="002A2F52" w:rsidRPr="00FC73B5" w:rsidRDefault="002A2F52" w:rsidP="002A2F52">
      <w:pPr>
        <w:rPr>
          <w:szCs w:val="24"/>
        </w:rPr>
      </w:pPr>
    </w:p>
    <w:p w14:paraId="06293BBB" w14:textId="77777777" w:rsidR="002A2F52" w:rsidRPr="00FC73B5" w:rsidRDefault="002A2F52" w:rsidP="002A2F52">
      <w:pPr>
        <w:rPr>
          <w:szCs w:val="24"/>
        </w:rPr>
      </w:pPr>
    </w:p>
    <w:p w14:paraId="2D0AB9CA" w14:textId="77777777" w:rsidR="002A2F52" w:rsidRPr="00FC73B5" w:rsidRDefault="002A2F52" w:rsidP="002A2F52">
      <w:pPr>
        <w:rPr>
          <w:szCs w:val="24"/>
        </w:rPr>
      </w:pPr>
    </w:p>
    <w:p w14:paraId="0F863EDF" w14:textId="77777777" w:rsidR="002A2F52" w:rsidRPr="00FC73B5" w:rsidRDefault="002A2F52" w:rsidP="002A2F52">
      <w:pPr>
        <w:rPr>
          <w:szCs w:val="24"/>
        </w:rPr>
      </w:pPr>
    </w:p>
    <w:p w14:paraId="2C26A53D" w14:textId="77777777" w:rsidR="002A2F52" w:rsidRPr="00FC73B5" w:rsidRDefault="002A2F52" w:rsidP="002A2F52">
      <w:pPr>
        <w:rPr>
          <w:szCs w:val="24"/>
        </w:rPr>
      </w:pPr>
    </w:p>
    <w:p w14:paraId="6A2D7C3E" w14:textId="77777777" w:rsidR="00D1179B" w:rsidRPr="00FC73B5" w:rsidRDefault="00D1179B" w:rsidP="002A2F52">
      <w:pPr>
        <w:rPr>
          <w:szCs w:val="24"/>
        </w:rPr>
      </w:pPr>
    </w:p>
    <w:p w14:paraId="7BE2B167" w14:textId="77777777" w:rsidR="002A2F52" w:rsidRPr="00FC73B5" w:rsidRDefault="002A2F52" w:rsidP="002A2F52">
      <w:pPr>
        <w:rPr>
          <w:szCs w:val="24"/>
        </w:rPr>
      </w:pPr>
    </w:p>
    <w:p w14:paraId="4593AD9B" w14:textId="77777777" w:rsidR="00D1179B" w:rsidRPr="00FC73B5" w:rsidRDefault="00D1179B" w:rsidP="002A2F52">
      <w:pPr>
        <w:rPr>
          <w:szCs w:val="24"/>
        </w:rPr>
      </w:pPr>
    </w:p>
    <w:p w14:paraId="42BCB5F4" w14:textId="108A750E" w:rsidR="002A2F52" w:rsidRPr="00FC73B5" w:rsidRDefault="002A2F52" w:rsidP="002A2F52">
      <w:pPr>
        <w:jc w:val="center"/>
        <w:rPr>
          <w:b/>
          <w:szCs w:val="24"/>
        </w:rPr>
      </w:pPr>
      <w:r w:rsidRPr="00FC73B5">
        <w:rPr>
          <w:b/>
          <w:szCs w:val="24"/>
        </w:rPr>
        <w:t xml:space="preserve">GUATEMALA, </w:t>
      </w:r>
      <w:r w:rsidR="00D362B6" w:rsidRPr="00FC73B5">
        <w:rPr>
          <w:b/>
          <w:szCs w:val="24"/>
        </w:rPr>
        <w:t>OCTUBRE</w:t>
      </w:r>
      <w:r w:rsidRPr="00FC73B5">
        <w:rPr>
          <w:b/>
          <w:szCs w:val="24"/>
        </w:rPr>
        <w:t xml:space="preserve"> DE 2022</w:t>
      </w:r>
    </w:p>
    <w:p w14:paraId="43431D6B" w14:textId="76763442" w:rsidR="00DB777A" w:rsidRDefault="00DB777A">
      <w:pPr>
        <w:spacing w:after="33" w:line="259" w:lineRule="auto"/>
        <w:ind w:left="722" w:right="1"/>
        <w:jc w:val="center"/>
        <w:rPr>
          <w:b/>
        </w:rPr>
      </w:pPr>
    </w:p>
    <w:p w14:paraId="0C3F22B6" w14:textId="77777777" w:rsidR="00AB01AF" w:rsidRDefault="00AB01AF">
      <w:pPr>
        <w:spacing w:after="33" w:line="259" w:lineRule="auto"/>
        <w:ind w:left="722" w:right="1"/>
        <w:jc w:val="center"/>
        <w:rPr>
          <w:b/>
        </w:rPr>
      </w:pPr>
    </w:p>
    <w:p w14:paraId="6D23461B" w14:textId="77777777" w:rsidR="00AB01AF" w:rsidRDefault="00AB01AF">
      <w:pPr>
        <w:spacing w:after="33" w:line="259" w:lineRule="auto"/>
        <w:ind w:left="722" w:right="1"/>
        <w:jc w:val="center"/>
        <w:rPr>
          <w:b/>
        </w:rPr>
      </w:pPr>
    </w:p>
    <w:p w14:paraId="7D456E29" w14:textId="77777777" w:rsidR="00AB01AF" w:rsidRDefault="00AB01AF">
      <w:pPr>
        <w:spacing w:after="33" w:line="259" w:lineRule="auto"/>
        <w:ind w:left="722" w:right="1"/>
        <w:jc w:val="center"/>
      </w:pPr>
    </w:p>
    <w:p w14:paraId="43431D6C" w14:textId="77777777" w:rsidR="00DB777A" w:rsidRDefault="00B35046">
      <w:pPr>
        <w:spacing w:after="33" w:line="259" w:lineRule="auto"/>
        <w:ind w:left="722" w:right="709"/>
        <w:jc w:val="center"/>
      </w:pPr>
      <w:r>
        <w:rPr>
          <w:b/>
        </w:rPr>
        <w:t>INDICE</w:t>
      </w:r>
    </w:p>
    <w:p w14:paraId="43431D6D" w14:textId="77777777" w:rsidR="00DB777A" w:rsidRDefault="00B35046">
      <w:pPr>
        <w:spacing w:after="22" w:line="259" w:lineRule="auto"/>
        <w:ind w:left="0" w:firstLine="0"/>
        <w:jc w:val="left"/>
      </w:pPr>
      <w:r>
        <w:t xml:space="preserve"> </w:t>
      </w:r>
    </w:p>
    <w:p w14:paraId="43431D6E" w14:textId="77777777" w:rsidR="00DB777A" w:rsidRDefault="00B35046">
      <w:pPr>
        <w:spacing w:after="85" w:line="259" w:lineRule="auto"/>
        <w:ind w:left="0" w:firstLine="0"/>
        <w:jc w:val="left"/>
      </w:pPr>
      <w:r>
        <w:t xml:space="preserve"> </w:t>
      </w:r>
    </w:p>
    <w:p w14:paraId="4E1734F0" w14:textId="15B08D05" w:rsidR="0041208E" w:rsidRDefault="0041208E" w:rsidP="00AF0CD3">
      <w:pPr>
        <w:pStyle w:val="TDC1"/>
        <w:tabs>
          <w:tab w:val="right" w:pos="8117"/>
        </w:tabs>
      </w:pPr>
    </w:p>
    <w:p w14:paraId="43431D75" w14:textId="7BAA59D6" w:rsidR="00DB777A" w:rsidRDefault="0041208E" w:rsidP="00AF0CD3">
      <w:pPr>
        <w:pStyle w:val="TDC1"/>
        <w:tabs>
          <w:tab w:val="right" w:pos="8117"/>
        </w:tabs>
      </w:pPr>
      <w:r>
        <w:t xml:space="preserve">INTRODUCCION </w:t>
      </w:r>
      <w:r>
        <w:tab/>
        <w:t>1</w:t>
      </w:r>
    </w:p>
    <w:p w14:paraId="514564D9" w14:textId="77777777" w:rsidR="0041208E" w:rsidRDefault="0041208E" w:rsidP="00AF0CD3">
      <w:pPr>
        <w:pStyle w:val="TDC1"/>
        <w:tabs>
          <w:tab w:val="right" w:pos="8117"/>
        </w:tabs>
      </w:pPr>
    </w:p>
    <w:p w14:paraId="5B3055D0" w14:textId="6361C304" w:rsidR="0041208E" w:rsidRDefault="0041208E" w:rsidP="00AF0CD3">
      <w:pPr>
        <w:pStyle w:val="TDC1"/>
        <w:tabs>
          <w:tab w:val="right" w:pos="8117"/>
        </w:tabs>
      </w:pPr>
      <w:r>
        <w:t>OBJETIVOS</w:t>
      </w:r>
      <w:r>
        <w:tab/>
        <w:t>1</w:t>
      </w:r>
    </w:p>
    <w:p w14:paraId="7D05D24D" w14:textId="77777777" w:rsidR="0041208E" w:rsidRDefault="0041208E" w:rsidP="00AF0CD3">
      <w:pPr>
        <w:pStyle w:val="TDC1"/>
        <w:tabs>
          <w:tab w:val="right" w:pos="8117"/>
        </w:tabs>
      </w:pPr>
    </w:p>
    <w:p w14:paraId="388351C9" w14:textId="20E563FD" w:rsidR="0041208E" w:rsidRDefault="0041208E" w:rsidP="00AF0CD3">
      <w:pPr>
        <w:pStyle w:val="TDC1"/>
        <w:tabs>
          <w:tab w:val="right" w:pos="8117"/>
        </w:tabs>
      </w:pPr>
      <w:r>
        <w:t>ALCANCE DE LA ACTIVIDAD</w:t>
      </w:r>
      <w:r>
        <w:tab/>
        <w:t>1</w:t>
      </w:r>
    </w:p>
    <w:p w14:paraId="1B399DD4" w14:textId="77777777" w:rsidR="0041208E" w:rsidRDefault="0041208E" w:rsidP="00AF0CD3">
      <w:pPr>
        <w:pStyle w:val="TDC1"/>
        <w:tabs>
          <w:tab w:val="right" w:pos="8117"/>
        </w:tabs>
      </w:pPr>
    </w:p>
    <w:p w14:paraId="19C5B8BE" w14:textId="744D0FD7" w:rsidR="0041208E" w:rsidRDefault="0041208E" w:rsidP="00AF0CD3">
      <w:pPr>
        <w:pStyle w:val="TDC1"/>
        <w:tabs>
          <w:tab w:val="right" w:pos="8117"/>
        </w:tabs>
      </w:pPr>
      <w:r>
        <w:t xml:space="preserve">RESULTADOS </w:t>
      </w:r>
      <w:proofErr w:type="gramStart"/>
      <w:r>
        <w:t>DE  LA</w:t>
      </w:r>
      <w:proofErr w:type="gramEnd"/>
      <w:r>
        <w:t xml:space="preserve"> ACTIVIDAD</w:t>
      </w:r>
      <w:r>
        <w:tab/>
      </w:r>
      <w:r w:rsidR="000E08F6">
        <w:t>1</w:t>
      </w:r>
    </w:p>
    <w:p w14:paraId="718B163C" w14:textId="77777777" w:rsidR="0041208E" w:rsidRDefault="0041208E" w:rsidP="00AF0CD3">
      <w:pPr>
        <w:pStyle w:val="TDC1"/>
        <w:tabs>
          <w:tab w:val="right" w:pos="8117"/>
        </w:tabs>
      </w:pPr>
    </w:p>
    <w:p w14:paraId="7378919B" w14:textId="67E96D8D" w:rsidR="0041208E" w:rsidRDefault="0041208E" w:rsidP="00AF0CD3">
      <w:pPr>
        <w:pStyle w:val="TDC1"/>
        <w:tabs>
          <w:tab w:val="right" w:pos="8117"/>
        </w:tabs>
        <w:sectPr w:rsidR="0041208E" w:rsidSect="004A0EA2">
          <w:headerReference w:type="default" r:id="rId11"/>
          <w:pgSz w:w="12240" w:h="15840"/>
          <w:pgMar w:top="1159" w:right="2412" w:bottom="665" w:left="1701" w:header="720" w:footer="519" w:gutter="0"/>
          <w:cols w:space="720"/>
        </w:sectPr>
      </w:pPr>
      <w:r>
        <w:t>ANEXOS</w:t>
      </w:r>
      <w:r>
        <w:tab/>
      </w:r>
      <w:r w:rsidR="00250056">
        <w:t>4</w:t>
      </w:r>
    </w:p>
    <w:p w14:paraId="0EF7FABC" w14:textId="77777777" w:rsidR="002A2F52" w:rsidRPr="00FC73B5" w:rsidRDefault="002A2F52" w:rsidP="002A2F52">
      <w:pPr>
        <w:spacing w:line="276" w:lineRule="auto"/>
        <w:rPr>
          <w:b/>
          <w:szCs w:val="24"/>
        </w:rPr>
      </w:pPr>
      <w:r w:rsidRPr="00FC73B5">
        <w:rPr>
          <w:b/>
          <w:szCs w:val="24"/>
        </w:rPr>
        <w:lastRenderedPageBreak/>
        <w:t>INTRODUCCIÓN</w:t>
      </w:r>
    </w:p>
    <w:p w14:paraId="5A5AA7E1" w14:textId="77777777" w:rsidR="002A2F52" w:rsidRPr="00FC73B5" w:rsidRDefault="002A2F52" w:rsidP="002A2F52">
      <w:pPr>
        <w:spacing w:line="276" w:lineRule="auto"/>
        <w:rPr>
          <w:b/>
          <w:szCs w:val="24"/>
        </w:rPr>
      </w:pPr>
    </w:p>
    <w:p w14:paraId="377A040A" w14:textId="0DAC2B03" w:rsidR="00AD6CFB" w:rsidRDefault="002A2F52" w:rsidP="002A2F52">
      <w:pPr>
        <w:spacing w:line="276" w:lineRule="auto"/>
        <w:rPr>
          <w:szCs w:val="24"/>
        </w:rPr>
      </w:pPr>
      <w:r w:rsidRPr="00FC73B5">
        <w:rPr>
          <w:szCs w:val="24"/>
        </w:rPr>
        <w:t xml:space="preserve">De conformidad con el Nombramiento </w:t>
      </w:r>
      <w:r w:rsidR="00D362B6" w:rsidRPr="00FC73B5">
        <w:rPr>
          <w:szCs w:val="24"/>
        </w:rPr>
        <w:t>O-DIDAI/SUB-</w:t>
      </w:r>
      <w:r w:rsidR="002B3FFA">
        <w:rPr>
          <w:szCs w:val="24"/>
        </w:rPr>
        <w:t>202</w:t>
      </w:r>
      <w:r w:rsidR="00D362B6" w:rsidRPr="00FC73B5">
        <w:rPr>
          <w:szCs w:val="24"/>
        </w:rPr>
        <w:t xml:space="preserve">-2022 </w:t>
      </w:r>
      <w:r w:rsidRPr="00FC73B5">
        <w:rPr>
          <w:szCs w:val="24"/>
        </w:rPr>
        <w:t xml:space="preserve">de fecha </w:t>
      </w:r>
      <w:r w:rsidR="00AD6CFB">
        <w:rPr>
          <w:szCs w:val="24"/>
        </w:rPr>
        <w:t>18</w:t>
      </w:r>
      <w:r w:rsidRPr="00FC73B5">
        <w:rPr>
          <w:szCs w:val="24"/>
        </w:rPr>
        <w:t xml:space="preserve"> de </w:t>
      </w:r>
      <w:r w:rsidR="00D362B6" w:rsidRPr="00FC73B5">
        <w:rPr>
          <w:szCs w:val="24"/>
        </w:rPr>
        <w:t>octubre</w:t>
      </w:r>
      <w:r w:rsidRPr="00FC73B5">
        <w:rPr>
          <w:szCs w:val="24"/>
        </w:rPr>
        <w:t xml:space="preserve"> </w:t>
      </w:r>
      <w:r w:rsidR="00D362B6" w:rsidRPr="00FC73B5">
        <w:rPr>
          <w:szCs w:val="24"/>
        </w:rPr>
        <w:t>de</w:t>
      </w:r>
      <w:r w:rsidRPr="00FC73B5">
        <w:rPr>
          <w:szCs w:val="24"/>
        </w:rPr>
        <w:t xml:space="preserve"> 2022, emitido por la Directora de Auditoria Interna del Ministerio de Educación, fui designado </w:t>
      </w:r>
      <w:r w:rsidR="008D6298" w:rsidRPr="00FC73B5">
        <w:rPr>
          <w:szCs w:val="24"/>
        </w:rPr>
        <w:t xml:space="preserve">para que en representación de la Dirección de Auditoría Interna -DIDAI-, realice consejo o consultoría de segundo seguimiento a las recomendaciones emitidas </w:t>
      </w:r>
      <w:r w:rsidR="00AD6CFB" w:rsidRPr="00AD6CFB">
        <w:rPr>
          <w:szCs w:val="24"/>
        </w:rPr>
        <w:t>por la Dirección de Auditoría Interna en el Informe de Auditoría según CAI: 00009, relacionadas con la Auditoría de Cumplimiento al área de inventario, por el período comprendido del 01 de septiembre de 2021 al 31 de enero de 2022,  practicada en la Dirección General de Monitoreo y Verificación de la Calidad -DIGEMOCA-</w:t>
      </w:r>
      <w:r w:rsidR="00AD6CFB">
        <w:rPr>
          <w:szCs w:val="24"/>
        </w:rPr>
        <w:t>.</w:t>
      </w:r>
    </w:p>
    <w:p w14:paraId="60B4B5C4" w14:textId="4D0798B4" w:rsidR="002A2F52" w:rsidRPr="00FC73B5" w:rsidRDefault="002A2F52" w:rsidP="002A2F52">
      <w:pPr>
        <w:spacing w:line="276" w:lineRule="auto"/>
        <w:rPr>
          <w:szCs w:val="24"/>
        </w:rPr>
      </w:pPr>
      <w:r w:rsidRPr="00FC73B5">
        <w:rPr>
          <w:szCs w:val="24"/>
        </w:rPr>
        <w:t xml:space="preserve"> </w:t>
      </w:r>
    </w:p>
    <w:p w14:paraId="0FAE09B5" w14:textId="77777777" w:rsidR="002A2F52" w:rsidRPr="00FC73B5" w:rsidRDefault="002A2F52" w:rsidP="002A2F52">
      <w:pPr>
        <w:spacing w:line="276" w:lineRule="auto"/>
        <w:rPr>
          <w:b/>
          <w:szCs w:val="24"/>
        </w:rPr>
      </w:pPr>
      <w:r w:rsidRPr="00FC73B5">
        <w:rPr>
          <w:b/>
          <w:szCs w:val="24"/>
        </w:rPr>
        <w:t>OBJETIVOS</w:t>
      </w:r>
    </w:p>
    <w:p w14:paraId="22B70EA4" w14:textId="77777777" w:rsidR="002A2F52" w:rsidRPr="00FC73B5" w:rsidRDefault="002A2F52" w:rsidP="002A2F52">
      <w:pPr>
        <w:spacing w:line="276" w:lineRule="auto"/>
        <w:rPr>
          <w:b/>
          <w:szCs w:val="24"/>
        </w:rPr>
      </w:pPr>
    </w:p>
    <w:p w14:paraId="63B971A8" w14:textId="77777777" w:rsidR="002A2F52" w:rsidRPr="00FC73B5" w:rsidRDefault="002A2F52" w:rsidP="002A2F52">
      <w:pPr>
        <w:spacing w:line="276" w:lineRule="auto"/>
        <w:rPr>
          <w:b/>
          <w:szCs w:val="24"/>
        </w:rPr>
      </w:pPr>
      <w:r w:rsidRPr="00FC73B5">
        <w:rPr>
          <w:b/>
          <w:szCs w:val="24"/>
        </w:rPr>
        <w:t>GENERAL</w:t>
      </w:r>
    </w:p>
    <w:p w14:paraId="5C4A3031" w14:textId="77777777" w:rsidR="002A2F52" w:rsidRPr="00FC73B5" w:rsidRDefault="002A2F52" w:rsidP="002A2F52">
      <w:pPr>
        <w:spacing w:line="276" w:lineRule="auto"/>
        <w:rPr>
          <w:szCs w:val="24"/>
        </w:rPr>
      </w:pPr>
    </w:p>
    <w:p w14:paraId="2527B2CD" w14:textId="59F85A5F" w:rsidR="002A2F52" w:rsidRPr="00FC73B5" w:rsidRDefault="002A2F52" w:rsidP="002A2F52">
      <w:pPr>
        <w:spacing w:line="276" w:lineRule="auto"/>
        <w:rPr>
          <w:szCs w:val="24"/>
        </w:rPr>
      </w:pPr>
      <w:r w:rsidRPr="00FC73B5">
        <w:rPr>
          <w:szCs w:val="24"/>
        </w:rPr>
        <w:t xml:space="preserve">Realizar </w:t>
      </w:r>
      <w:r w:rsidR="00D1179B" w:rsidRPr="00FC73B5">
        <w:rPr>
          <w:szCs w:val="24"/>
        </w:rPr>
        <w:t>segundo</w:t>
      </w:r>
      <w:r w:rsidRPr="00FC73B5">
        <w:rPr>
          <w:szCs w:val="24"/>
        </w:rPr>
        <w:t xml:space="preserve"> seguimiento a las recomendaciones emitidas por la </w:t>
      </w:r>
      <w:r w:rsidR="00CD73A4">
        <w:rPr>
          <w:szCs w:val="24"/>
        </w:rPr>
        <w:t>Dirección de Auditoría Interna</w:t>
      </w:r>
      <w:r w:rsidRPr="00FC73B5">
        <w:rPr>
          <w:szCs w:val="24"/>
        </w:rPr>
        <w:t>.</w:t>
      </w:r>
    </w:p>
    <w:p w14:paraId="7F0324A1" w14:textId="77777777" w:rsidR="002A2F52" w:rsidRPr="00FC73B5" w:rsidRDefault="002A2F52" w:rsidP="002A2F52">
      <w:pPr>
        <w:spacing w:line="276" w:lineRule="auto"/>
        <w:rPr>
          <w:szCs w:val="24"/>
        </w:rPr>
      </w:pPr>
    </w:p>
    <w:p w14:paraId="36A1439A" w14:textId="77777777" w:rsidR="002A2F52" w:rsidRPr="00FC73B5" w:rsidRDefault="002A2F52" w:rsidP="002A2F52">
      <w:pPr>
        <w:spacing w:line="276" w:lineRule="auto"/>
        <w:rPr>
          <w:b/>
          <w:szCs w:val="24"/>
        </w:rPr>
      </w:pPr>
      <w:r w:rsidRPr="00FC73B5">
        <w:rPr>
          <w:b/>
          <w:szCs w:val="24"/>
        </w:rPr>
        <w:t>ESPECIFICOS</w:t>
      </w:r>
    </w:p>
    <w:p w14:paraId="63AB4263" w14:textId="77777777" w:rsidR="002A2F52" w:rsidRPr="00FC73B5" w:rsidRDefault="002A2F52" w:rsidP="002A2F52">
      <w:pPr>
        <w:spacing w:line="276" w:lineRule="auto"/>
        <w:rPr>
          <w:szCs w:val="24"/>
        </w:rPr>
      </w:pPr>
    </w:p>
    <w:p w14:paraId="3C1EA8D5" w14:textId="77777777" w:rsidR="002A2F52" w:rsidRPr="00FC73B5" w:rsidRDefault="002A2F52" w:rsidP="002A2F52">
      <w:pPr>
        <w:spacing w:line="276" w:lineRule="auto"/>
        <w:rPr>
          <w:szCs w:val="24"/>
        </w:rPr>
      </w:pPr>
      <w:r w:rsidRPr="00FC73B5">
        <w:rPr>
          <w:szCs w:val="24"/>
        </w:rPr>
        <w:t>Verificar si existen recomendaciones implementadas, en proceso e incumplidas.</w:t>
      </w:r>
    </w:p>
    <w:p w14:paraId="7F3FB72F" w14:textId="77777777" w:rsidR="002A2F52" w:rsidRPr="00FC73B5" w:rsidRDefault="002A2F52" w:rsidP="002A2F52">
      <w:pPr>
        <w:spacing w:line="276" w:lineRule="auto"/>
        <w:rPr>
          <w:szCs w:val="24"/>
        </w:rPr>
      </w:pPr>
    </w:p>
    <w:p w14:paraId="4A639509" w14:textId="77777777" w:rsidR="002A2F52" w:rsidRPr="00FC73B5" w:rsidRDefault="002A2F52" w:rsidP="002A2F52">
      <w:pPr>
        <w:spacing w:line="276" w:lineRule="auto"/>
        <w:rPr>
          <w:b/>
          <w:szCs w:val="24"/>
        </w:rPr>
      </w:pPr>
      <w:r w:rsidRPr="00FC73B5">
        <w:rPr>
          <w:b/>
          <w:szCs w:val="24"/>
        </w:rPr>
        <w:t>ALCANCE DE LA ACTIVIDAD</w:t>
      </w:r>
    </w:p>
    <w:p w14:paraId="695969FC" w14:textId="77777777" w:rsidR="002A2F52" w:rsidRPr="00FC73B5" w:rsidRDefault="002A2F52" w:rsidP="002A2F52">
      <w:pPr>
        <w:spacing w:line="276" w:lineRule="auto"/>
        <w:rPr>
          <w:szCs w:val="24"/>
        </w:rPr>
      </w:pPr>
    </w:p>
    <w:p w14:paraId="2643E215" w14:textId="317AE5B2" w:rsidR="002A2F52" w:rsidRPr="00FC73B5" w:rsidRDefault="002A2F52" w:rsidP="006F576C">
      <w:pPr>
        <w:spacing w:line="276" w:lineRule="auto"/>
        <w:rPr>
          <w:szCs w:val="24"/>
          <w:lang w:bidi="es-ES"/>
        </w:rPr>
      </w:pPr>
      <w:r w:rsidRPr="00FC73B5">
        <w:rPr>
          <w:szCs w:val="24"/>
          <w:lang w:bidi="es-ES"/>
        </w:rPr>
        <w:t xml:space="preserve">Se efectuó </w:t>
      </w:r>
      <w:r w:rsidR="00D1179B" w:rsidRPr="00FC73B5">
        <w:rPr>
          <w:szCs w:val="24"/>
          <w:lang w:bidi="es-ES"/>
        </w:rPr>
        <w:t>segundo</w:t>
      </w:r>
      <w:r w:rsidRPr="00FC73B5">
        <w:rPr>
          <w:szCs w:val="24"/>
          <w:lang w:bidi="es-ES"/>
        </w:rPr>
        <w:t xml:space="preserve"> seguimiento a </w:t>
      </w:r>
      <w:r w:rsidR="008D5623">
        <w:rPr>
          <w:szCs w:val="24"/>
          <w:lang w:bidi="es-ES"/>
        </w:rPr>
        <w:t xml:space="preserve">una </w:t>
      </w:r>
      <w:r w:rsidRPr="00FC73B5">
        <w:rPr>
          <w:szCs w:val="24"/>
          <w:lang w:bidi="es-ES"/>
        </w:rPr>
        <w:t>recomendaci</w:t>
      </w:r>
      <w:r w:rsidR="008D5623">
        <w:rPr>
          <w:szCs w:val="24"/>
          <w:lang w:bidi="es-ES"/>
        </w:rPr>
        <w:t>ón</w:t>
      </w:r>
      <w:r w:rsidRPr="00FC73B5">
        <w:rPr>
          <w:szCs w:val="24"/>
          <w:lang w:bidi="es-ES"/>
        </w:rPr>
        <w:t xml:space="preserve"> emitida </w:t>
      </w:r>
      <w:r w:rsidR="00AD6CFB" w:rsidRPr="00AD6CFB">
        <w:rPr>
          <w:szCs w:val="24"/>
        </w:rPr>
        <w:t>por la Dirección de Auditoría Interna en el Informe de Auditoría según CAI: 00009</w:t>
      </w:r>
      <w:r w:rsidR="006F576C" w:rsidRPr="00FC73B5">
        <w:rPr>
          <w:szCs w:val="24"/>
        </w:rPr>
        <w:t xml:space="preserve">, que </w:t>
      </w:r>
      <w:r w:rsidR="001F28BF" w:rsidRPr="00FC73B5">
        <w:rPr>
          <w:szCs w:val="24"/>
        </w:rPr>
        <w:t>qued</w:t>
      </w:r>
      <w:r w:rsidR="001F28BF">
        <w:rPr>
          <w:szCs w:val="24"/>
        </w:rPr>
        <w:t>ó</w:t>
      </w:r>
      <w:r w:rsidR="006F576C" w:rsidRPr="00FC73B5">
        <w:rPr>
          <w:szCs w:val="24"/>
        </w:rPr>
        <w:t xml:space="preserve"> en proceso en el</w:t>
      </w:r>
      <w:r w:rsidR="006F1CE6">
        <w:rPr>
          <w:szCs w:val="24"/>
        </w:rPr>
        <w:t xml:space="preserve"> primer seguimiento según</w:t>
      </w:r>
      <w:r w:rsidR="006F576C" w:rsidRPr="00FC73B5">
        <w:rPr>
          <w:szCs w:val="24"/>
        </w:rPr>
        <w:t xml:space="preserve"> Informe </w:t>
      </w:r>
      <w:r w:rsidR="00D437FE" w:rsidRPr="00D437FE">
        <w:rPr>
          <w:szCs w:val="24"/>
        </w:rPr>
        <w:t>O-DIDAI/SUB-1</w:t>
      </w:r>
      <w:r w:rsidR="00AD6CFB">
        <w:rPr>
          <w:szCs w:val="24"/>
        </w:rPr>
        <w:t>46</w:t>
      </w:r>
      <w:r w:rsidR="00D437FE" w:rsidRPr="00D437FE">
        <w:rPr>
          <w:szCs w:val="24"/>
        </w:rPr>
        <w:t xml:space="preserve">-2022-B </w:t>
      </w:r>
      <w:r w:rsidR="00AD6CFB" w:rsidRPr="00AD6CFB">
        <w:rPr>
          <w:szCs w:val="24"/>
        </w:rPr>
        <w:t>Dirección General de Monitoreo y Verificación de la Calidad -DIGEMOCA-</w:t>
      </w:r>
      <w:r w:rsidR="00AD6CFB">
        <w:rPr>
          <w:szCs w:val="24"/>
        </w:rPr>
        <w:t>.</w:t>
      </w:r>
    </w:p>
    <w:p w14:paraId="568CEE93" w14:textId="77A95E5B" w:rsidR="006F576C" w:rsidRPr="00FC73B5" w:rsidRDefault="006F576C" w:rsidP="002A2F52">
      <w:pPr>
        <w:spacing w:line="276" w:lineRule="auto"/>
        <w:rPr>
          <w:szCs w:val="24"/>
        </w:rPr>
      </w:pPr>
    </w:p>
    <w:p w14:paraId="14C13B5C" w14:textId="1AAB43BC" w:rsidR="002A2F52" w:rsidRPr="00FC73B5" w:rsidRDefault="002A2F52" w:rsidP="002A2F52">
      <w:pPr>
        <w:widowControl w:val="0"/>
        <w:tabs>
          <w:tab w:val="left" w:pos="5241"/>
        </w:tabs>
        <w:autoSpaceDE w:val="0"/>
        <w:autoSpaceDN w:val="0"/>
        <w:adjustRightInd w:val="0"/>
        <w:spacing w:line="276" w:lineRule="auto"/>
        <w:rPr>
          <w:b/>
          <w:bCs/>
          <w:spacing w:val="-2"/>
          <w:szCs w:val="24"/>
        </w:rPr>
      </w:pPr>
      <w:r w:rsidRPr="00FC73B5">
        <w:rPr>
          <w:b/>
          <w:bCs/>
          <w:spacing w:val="-2"/>
          <w:szCs w:val="24"/>
        </w:rPr>
        <w:t>RESULTADOS DE LA ACTIVIDAD</w:t>
      </w:r>
    </w:p>
    <w:p w14:paraId="540EE54E" w14:textId="77777777" w:rsidR="002A2F52" w:rsidRPr="00FC73B5" w:rsidRDefault="002A2F52" w:rsidP="002A2F52">
      <w:pPr>
        <w:widowControl w:val="0"/>
        <w:tabs>
          <w:tab w:val="left" w:pos="5241"/>
        </w:tabs>
        <w:autoSpaceDE w:val="0"/>
        <w:autoSpaceDN w:val="0"/>
        <w:adjustRightInd w:val="0"/>
        <w:spacing w:line="276" w:lineRule="auto"/>
        <w:rPr>
          <w:b/>
          <w:bCs/>
          <w:spacing w:val="-2"/>
          <w:szCs w:val="24"/>
        </w:rPr>
      </w:pPr>
    </w:p>
    <w:p w14:paraId="5A7FB39B" w14:textId="650520ED" w:rsidR="002A2F52" w:rsidRPr="00FC73B5" w:rsidRDefault="006F576C" w:rsidP="002A2F52">
      <w:pPr>
        <w:spacing w:line="276" w:lineRule="auto"/>
        <w:rPr>
          <w:szCs w:val="24"/>
          <w:lang w:val="es-ES"/>
        </w:rPr>
      </w:pPr>
      <w:r w:rsidRPr="00FC73B5">
        <w:rPr>
          <w:szCs w:val="24"/>
          <w:lang w:val="es-ES"/>
        </w:rPr>
        <w:t>Los resultados del trabajo se resumen a continuación</w:t>
      </w:r>
      <w:r w:rsidR="002A2F52" w:rsidRPr="00FC73B5">
        <w:rPr>
          <w:szCs w:val="24"/>
          <w:lang w:val="es-ES"/>
        </w:rPr>
        <w:t>:</w:t>
      </w:r>
    </w:p>
    <w:p w14:paraId="701A2C14" w14:textId="77777777" w:rsidR="002A2F52" w:rsidRPr="00FC73B5" w:rsidRDefault="002A2F52" w:rsidP="002A2F52">
      <w:pPr>
        <w:spacing w:line="276" w:lineRule="auto"/>
        <w:rPr>
          <w:szCs w:val="24"/>
          <w:lang w:val="es-ES"/>
        </w:rPr>
      </w:pPr>
    </w:p>
    <w:p w14:paraId="5597CFDB" w14:textId="44BBE875" w:rsidR="002A2F52" w:rsidRPr="00FC73B5" w:rsidRDefault="002A2F52" w:rsidP="002A2F52">
      <w:pPr>
        <w:spacing w:line="276" w:lineRule="auto"/>
        <w:rPr>
          <w:b/>
          <w:szCs w:val="24"/>
          <w:lang w:val="es-ES"/>
        </w:rPr>
      </w:pPr>
      <w:r w:rsidRPr="00FC73B5">
        <w:rPr>
          <w:b/>
          <w:szCs w:val="24"/>
          <w:lang w:val="es-ES"/>
        </w:rPr>
        <w:t>RECOMENDACI</w:t>
      </w:r>
      <w:r w:rsidR="00D10393">
        <w:rPr>
          <w:b/>
          <w:szCs w:val="24"/>
          <w:lang w:val="es-ES"/>
        </w:rPr>
        <w:t>ONES</w:t>
      </w:r>
      <w:r w:rsidRPr="00FC73B5">
        <w:rPr>
          <w:b/>
          <w:szCs w:val="24"/>
          <w:lang w:val="es-ES"/>
        </w:rPr>
        <w:t xml:space="preserve"> </w:t>
      </w:r>
      <w:r w:rsidR="006F576C" w:rsidRPr="00FC73B5">
        <w:rPr>
          <w:b/>
          <w:szCs w:val="24"/>
          <w:lang w:val="es-ES"/>
        </w:rPr>
        <w:t>IMPLEMENTADA</w:t>
      </w:r>
      <w:r w:rsidR="00D10393">
        <w:rPr>
          <w:b/>
          <w:szCs w:val="24"/>
          <w:lang w:val="es-ES"/>
        </w:rPr>
        <w:t>S</w:t>
      </w:r>
    </w:p>
    <w:p w14:paraId="3C0DE584" w14:textId="77777777" w:rsidR="002A2F52" w:rsidRPr="00FC73B5" w:rsidRDefault="002A2F52" w:rsidP="002A2F52">
      <w:pPr>
        <w:spacing w:line="276" w:lineRule="auto"/>
        <w:rPr>
          <w:szCs w:val="24"/>
          <w:lang w:val="es-ES"/>
        </w:rPr>
      </w:pPr>
    </w:p>
    <w:p w14:paraId="7C2AD470" w14:textId="32F983D5" w:rsidR="002A2F52" w:rsidRPr="00FC73B5" w:rsidRDefault="002A2F52" w:rsidP="002A2F52">
      <w:pPr>
        <w:spacing w:line="276" w:lineRule="auto"/>
        <w:rPr>
          <w:szCs w:val="24"/>
          <w:lang w:val="es-ES"/>
        </w:rPr>
      </w:pPr>
      <w:r w:rsidRPr="00FC73B5">
        <w:rPr>
          <w:szCs w:val="24"/>
          <w:lang w:val="es-ES"/>
        </w:rPr>
        <w:t xml:space="preserve">De conformidad con el formulario SR1 “Implementación de Recomendaciones” y la evaluación realizada a los argumentos y documentos presentados, se estableció que </w:t>
      </w:r>
      <w:r w:rsidR="00AE0A02" w:rsidRPr="00FC73B5">
        <w:rPr>
          <w:szCs w:val="24"/>
          <w:lang w:val="es-ES"/>
        </w:rPr>
        <w:t>la</w:t>
      </w:r>
      <w:r w:rsidR="00D10393">
        <w:rPr>
          <w:szCs w:val="24"/>
          <w:lang w:val="es-ES"/>
        </w:rPr>
        <w:t>s</w:t>
      </w:r>
      <w:r w:rsidR="00AE0A02" w:rsidRPr="00FC73B5">
        <w:rPr>
          <w:szCs w:val="24"/>
          <w:lang w:val="es-ES"/>
        </w:rPr>
        <w:t xml:space="preserve"> </w:t>
      </w:r>
      <w:r w:rsidRPr="00FC73B5">
        <w:rPr>
          <w:szCs w:val="24"/>
          <w:lang w:val="es-ES"/>
        </w:rPr>
        <w:t>recomendac</w:t>
      </w:r>
      <w:r w:rsidR="00D437FE">
        <w:rPr>
          <w:szCs w:val="24"/>
          <w:lang w:val="es-ES"/>
        </w:rPr>
        <w:t>i</w:t>
      </w:r>
      <w:r w:rsidR="00D10393">
        <w:rPr>
          <w:szCs w:val="24"/>
          <w:lang w:val="es-ES"/>
        </w:rPr>
        <w:t>ones</w:t>
      </w:r>
      <w:r w:rsidRPr="00FC73B5">
        <w:rPr>
          <w:szCs w:val="24"/>
          <w:lang w:val="es-ES"/>
        </w:rPr>
        <w:t xml:space="preserve"> de</w:t>
      </w:r>
      <w:r w:rsidR="00AD6CFB">
        <w:rPr>
          <w:szCs w:val="24"/>
          <w:lang w:val="es-ES"/>
        </w:rPr>
        <w:t xml:space="preserve"> </w:t>
      </w:r>
      <w:r w:rsidRPr="00FC73B5">
        <w:rPr>
          <w:szCs w:val="24"/>
          <w:lang w:val="es-ES"/>
        </w:rPr>
        <w:t>l</w:t>
      </w:r>
      <w:r w:rsidR="00AD6CFB">
        <w:rPr>
          <w:szCs w:val="24"/>
          <w:lang w:val="es-ES"/>
        </w:rPr>
        <w:t>a</w:t>
      </w:r>
      <w:r w:rsidR="00D10393">
        <w:rPr>
          <w:szCs w:val="24"/>
          <w:lang w:val="es-ES"/>
        </w:rPr>
        <w:t>s</w:t>
      </w:r>
      <w:r w:rsidRPr="00FC73B5">
        <w:rPr>
          <w:szCs w:val="24"/>
          <w:lang w:val="es-ES"/>
        </w:rPr>
        <w:t xml:space="preserve"> </w:t>
      </w:r>
      <w:r w:rsidR="00F01DCA">
        <w:rPr>
          <w:szCs w:val="24"/>
          <w:lang w:val="es-ES"/>
        </w:rPr>
        <w:t>literal</w:t>
      </w:r>
      <w:r w:rsidR="00D10393">
        <w:rPr>
          <w:szCs w:val="24"/>
          <w:lang w:val="es-ES"/>
        </w:rPr>
        <w:t>es</w:t>
      </w:r>
      <w:r w:rsidR="00F01DCA">
        <w:rPr>
          <w:szCs w:val="24"/>
          <w:lang w:val="es-ES"/>
        </w:rPr>
        <w:t xml:space="preserve"> </w:t>
      </w:r>
      <w:r w:rsidR="00F01DCA" w:rsidRPr="00F01DCA">
        <w:rPr>
          <w:b/>
          <w:szCs w:val="24"/>
          <w:lang w:val="es-ES"/>
        </w:rPr>
        <w:t>a)</w:t>
      </w:r>
      <w:r w:rsidR="00D10393">
        <w:rPr>
          <w:b/>
          <w:szCs w:val="24"/>
          <w:lang w:val="es-ES"/>
        </w:rPr>
        <w:t xml:space="preserve"> </w:t>
      </w:r>
      <w:r w:rsidR="00D10393" w:rsidRPr="00D10393">
        <w:rPr>
          <w:szCs w:val="24"/>
          <w:lang w:val="es-ES"/>
        </w:rPr>
        <w:t>y</w:t>
      </w:r>
      <w:r w:rsidR="00D10393">
        <w:rPr>
          <w:b/>
          <w:szCs w:val="24"/>
          <w:lang w:val="es-ES"/>
        </w:rPr>
        <w:t xml:space="preserve"> c)</w:t>
      </w:r>
      <w:r w:rsidR="00F01DCA">
        <w:rPr>
          <w:szCs w:val="24"/>
          <w:lang w:val="es-ES"/>
        </w:rPr>
        <w:t xml:space="preserve"> del </w:t>
      </w:r>
      <w:r w:rsidR="00F01DCA" w:rsidRPr="00AD6CFB">
        <w:rPr>
          <w:szCs w:val="24"/>
        </w:rPr>
        <w:t>Informe de Auditoría según CAI: 00009</w:t>
      </w:r>
      <w:r w:rsidR="00F01DCA">
        <w:rPr>
          <w:szCs w:val="24"/>
        </w:rPr>
        <w:t xml:space="preserve">, </w:t>
      </w:r>
      <w:r w:rsidR="006F576C" w:rsidRPr="00FC73B5">
        <w:rPr>
          <w:szCs w:val="24"/>
          <w:lang w:val="es-ES"/>
        </w:rPr>
        <w:t>fue</w:t>
      </w:r>
      <w:r w:rsidR="008D5623">
        <w:rPr>
          <w:szCs w:val="24"/>
          <w:lang w:val="es-ES"/>
        </w:rPr>
        <w:t>ron</w:t>
      </w:r>
      <w:r w:rsidR="006F576C" w:rsidRPr="00FC73B5">
        <w:rPr>
          <w:szCs w:val="24"/>
          <w:lang w:val="es-ES"/>
        </w:rPr>
        <w:t xml:space="preserve"> implementada</w:t>
      </w:r>
      <w:r w:rsidR="008D5623">
        <w:rPr>
          <w:szCs w:val="24"/>
          <w:lang w:val="es-ES"/>
        </w:rPr>
        <w:t>s</w:t>
      </w:r>
      <w:r w:rsidR="00F01DCA">
        <w:rPr>
          <w:szCs w:val="24"/>
          <w:lang w:val="es-ES"/>
        </w:rPr>
        <w:t>,</w:t>
      </w:r>
      <w:r w:rsidRPr="00FC73B5">
        <w:rPr>
          <w:szCs w:val="24"/>
          <w:lang w:val="es-ES"/>
        </w:rPr>
        <w:t xml:space="preserve"> por las razones siguientes:</w:t>
      </w:r>
    </w:p>
    <w:p w14:paraId="309FFBBB" w14:textId="77777777" w:rsidR="0001636D" w:rsidRPr="00FC73B5" w:rsidRDefault="0001636D" w:rsidP="0001636D">
      <w:pPr>
        <w:pStyle w:val="Prrafodelista"/>
        <w:tabs>
          <w:tab w:val="left" w:pos="0"/>
        </w:tabs>
        <w:ind w:firstLine="0"/>
        <w:rPr>
          <w:szCs w:val="24"/>
        </w:rPr>
      </w:pPr>
    </w:p>
    <w:p w14:paraId="6E0BE9A6" w14:textId="6C6F2938" w:rsidR="0001636D" w:rsidRPr="00FC73B5" w:rsidRDefault="00AD6CFB" w:rsidP="0001636D">
      <w:pPr>
        <w:pStyle w:val="Prrafodelista"/>
        <w:tabs>
          <w:tab w:val="left" w:pos="0"/>
        </w:tabs>
        <w:ind w:left="426" w:firstLine="0"/>
        <w:rPr>
          <w:b/>
          <w:szCs w:val="24"/>
          <w:lang w:val="es-ES"/>
        </w:rPr>
      </w:pPr>
      <w:r>
        <w:rPr>
          <w:b/>
          <w:szCs w:val="24"/>
        </w:rPr>
        <w:t>Literal a)</w:t>
      </w:r>
    </w:p>
    <w:p w14:paraId="3E84BD6F" w14:textId="6A582618" w:rsidR="001B5A36" w:rsidRDefault="00F01DCA" w:rsidP="0001636D">
      <w:pPr>
        <w:spacing w:line="276" w:lineRule="auto"/>
        <w:ind w:left="426"/>
        <w:rPr>
          <w:szCs w:val="24"/>
          <w:lang w:val="es-ES"/>
        </w:rPr>
      </w:pPr>
      <w:r w:rsidRPr="00F01DCA">
        <w:rPr>
          <w:szCs w:val="24"/>
          <w:lang w:val="es-ES"/>
        </w:rPr>
        <w:t>Se presentó evidencia que se está utilizando el Formulario INV-FOR-33 para el cargo y descargo de bienes muebles; asimismo, de las anotaciones de justificación de los movimientos de bienes muebles, en</w:t>
      </w:r>
      <w:r>
        <w:rPr>
          <w:szCs w:val="24"/>
          <w:lang w:val="es-ES"/>
        </w:rPr>
        <w:t xml:space="preserve"> </w:t>
      </w:r>
      <w:r w:rsidRPr="00F01DCA">
        <w:rPr>
          <w:szCs w:val="24"/>
          <w:lang w:val="es-ES"/>
        </w:rPr>
        <w:t>las tarjetas de responsabilidad de activos fijos</w:t>
      </w:r>
      <w:r w:rsidR="00A7613A" w:rsidRPr="00A7613A">
        <w:rPr>
          <w:szCs w:val="24"/>
          <w:lang w:val="es-ES"/>
        </w:rPr>
        <w:t>.</w:t>
      </w:r>
    </w:p>
    <w:p w14:paraId="52BA5E74" w14:textId="52C66C05" w:rsidR="00D10393" w:rsidRDefault="00D10393" w:rsidP="0001636D">
      <w:pPr>
        <w:spacing w:line="276" w:lineRule="auto"/>
        <w:ind w:left="426"/>
        <w:rPr>
          <w:szCs w:val="24"/>
          <w:lang w:val="es-ES"/>
        </w:rPr>
      </w:pPr>
    </w:p>
    <w:p w14:paraId="212ADA87" w14:textId="521A514D" w:rsidR="00D10393" w:rsidRDefault="00D10393" w:rsidP="0001636D">
      <w:pPr>
        <w:spacing w:line="276" w:lineRule="auto"/>
        <w:ind w:left="426"/>
        <w:rPr>
          <w:b/>
          <w:szCs w:val="24"/>
          <w:lang w:val="es-ES"/>
        </w:rPr>
      </w:pPr>
      <w:r w:rsidRPr="00D10393">
        <w:rPr>
          <w:b/>
          <w:szCs w:val="24"/>
          <w:lang w:val="es-ES"/>
        </w:rPr>
        <w:t xml:space="preserve">Literal </w:t>
      </w:r>
      <w:r>
        <w:rPr>
          <w:b/>
          <w:szCs w:val="24"/>
          <w:lang w:val="es-ES"/>
        </w:rPr>
        <w:t>c</w:t>
      </w:r>
      <w:r w:rsidRPr="00D10393">
        <w:rPr>
          <w:b/>
          <w:szCs w:val="24"/>
          <w:lang w:val="es-ES"/>
        </w:rPr>
        <w:t>)</w:t>
      </w:r>
    </w:p>
    <w:p w14:paraId="301A3625" w14:textId="32031A87" w:rsidR="00D10393" w:rsidRPr="00D10393" w:rsidRDefault="00D10393" w:rsidP="0001636D">
      <w:pPr>
        <w:spacing w:line="276" w:lineRule="auto"/>
        <w:ind w:left="426"/>
        <w:rPr>
          <w:szCs w:val="24"/>
          <w:lang w:val="es-ES"/>
        </w:rPr>
      </w:pPr>
      <w:r w:rsidRPr="00D10393">
        <w:rPr>
          <w:szCs w:val="24"/>
          <w:lang w:val="es-ES"/>
        </w:rPr>
        <w:t>Se presentó evidencia documental del traslado de bienes muebles con afectación en el Libro de Inventarios, en 18 Direcciones Departamentales de Educación, con un valor de Q35,821,171.00, que se encontraba en proceso, para el cumplimiento de la referida recomendación.</w:t>
      </w:r>
    </w:p>
    <w:p w14:paraId="679875FE" w14:textId="5EF37A79" w:rsidR="00A7613A" w:rsidRDefault="00A7613A" w:rsidP="00A7613A">
      <w:pPr>
        <w:spacing w:line="276" w:lineRule="auto"/>
        <w:rPr>
          <w:szCs w:val="24"/>
          <w:lang w:val="es-ES"/>
        </w:rPr>
      </w:pPr>
    </w:p>
    <w:p w14:paraId="25A034BC" w14:textId="77777777" w:rsidR="00A7613A" w:rsidRPr="00FC73B5" w:rsidRDefault="00A7613A" w:rsidP="00A7613A">
      <w:pPr>
        <w:spacing w:line="276" w:lineRule="auto"/>
        <w:rPr>
          <w:szCs w:val="24"/>
        </w:rPr>
      </w:pPr>
      <w:r w:rsidRPr="00FC73B5">
        <w:rPr>
          <w:szCs w:val="24"/>
        </w:rPr>
        <w:t>El resultado que las recomendaciones estén implementadas, fortalece el control interno y mejora el desempeño de las unidades administrativas, lo cual coadyuva al logro de sus metas y objetivos.</w:t>
      </w:r>
    </w:p>
    <w:p w14:paraId="3DAE4EB2" w14:textId="0E13E305" w:rsidR="00A7613A" w:rsidRDefault="00A7613A" w:rsidP="00A7613A">
      <w:pPr>
        <w:spacing w:line="276" w:lineRule="auto"/>
        <w:rPr>
          <w:szCs w:val="24"/>
          <w:lang w:val="es-ES"/>
        </w:rPr>
      </w:pPr>
    </w:p>
    <w:p w14:paraId="2ED045A5" w14:textId="5A010EEA" w:rsidR="00A7613A" w:rsidRPr="002A2F52" w:rsidRDefault="00A7613A" w:rsidP="00A7613A">
      <w:pPr>
        <w:spacing w:line="276" w:lineRule="auto"/>
        <w:rPr>
          <w:b/>
          <w:szCs w:val="24"/>
          <w:lang w:val="es-ES"/>
        </w:rPr>
      </w:pPr>
      <w:r w:rsidRPr="000C1013">
        <w:rPr>
          <w:b/>
          <w:szCs w:val="24"/>
          <w:lang w:val="es-ES"/>
        </w:rPr>
        <w:t>RECOMENDACI</w:t>
      </w:r>
      <w:r w:rsidR="00F01DCA">
        <w:rPr>
          <w:b/>
          <w:szCs w:val="24"/>
          <w:lang w:val="es-ES"/>
        </w:rPr>
        <w:t>ONES</w:t>
      </w:r>
      <w:r w:rsidRPr="000C1013">
        <w:rPr>
          <w:b/>
          <w:szCs w:val="24"/>
          <w:lang w:val="es-ES"/>
        </w:rPr>
        <w:t xml:space="preserve"> EN PROCESO</w:t>
      </w:r>
    </w:p>
    <w:p w14:paraId="070C8E9B" w14:textId="77777777" w:rsidR="00A7613A" w:rsidRPr="002A2F52" w:rsidRDefault="00A7613A" w:rsidP="00A7613A">
      <w:pPr>
        <w:spacing w:line="276" w:lineRule="auto"/>
        <w:rPr>
          <w:szCs w:val="24"/>
          <w:lang w:val="es-ES"/>
        </w:rPr>
      </w:pPr>
    </w:p>
    <w:p w14:paraId="07C7849D" w14:textId="08BF4002" w:rsidR="00A7613A" w:rsidRPr="002A2F52" w:rsidRDefault="00A7613A" w:rsidP="00A7613A">
      <w:pPr>
        <w:spacing w:line="276" w:lineRule="auto"/>
        <w:rPr>
          <w:szCs w:val="24"/>
          <w:lang w:val="es-ES"/>
        </w:rPr>
      </w:pPr>
      <w:r w:rsidRPr="002A2F52">
        <w:rPr>
          <w:szCs w:val="24"/>
          <w:lang w:val="es-ES"/>
        </w:rPr>
        <w:t xml:space="preserve">De conformidad con el formulario SR1 “Implementación de Recomendaciones” y la evaluación realizada a los argumentos y documentos presentados, se estableció que </w:t>
      </w:r>
      <w:r>
        <w:rPr>
          <w:szCs w:val="24"/>
          <w:lang w:val="es-ES"/>
        </w:rPr>
        <w:t>la</w:t>
      </w:r>
      <w:r w:rsidR="00F01DCA">
        <w:rPr>
          <w:szCs w:val="24"/>
          <w:lang w:val="es-ES"/>
        </w:rPr>
        <w:t xml:space="preserve">s </w:t>
      </w:r>
      <w:r w:rsidRPr="002A2F52">
        <w:rPr>
          <w:szCs w:val="24"/>
          <w:lang w:val="es-ES"/>
        </w:rPr>
        <w:t>recomendaci</w:t>
      </w:r>
      <w:r w:rsidR="00F01DCA">
        <w:rPr>
          <w:szCs w:val="24"/>
          <w:lang w:val="es-ES"/>
        </w:rPr>
        <w:t>ones</w:t>
      </w:r>
      <w:r w:rsidRPr="002A2F52">
        <w:rPr>
          <w:szCs w:val="24"/>
          <w:lang w:val="es-ES"/>
        </w:rPr>
        <w:t xml:space="preserve"> de</w:t>
      </w:r>
      <w:r w:rsidR="00F01DCA">
        <w:rPr>
          <w:szCs w:val="24"/>
          <w:lang w:val="es-ES"/>
        </w:rPr>
        <w:t xml:space="preserve"> </w:t>
      </w:r>
      <w:r w:rsidRPr="002A2F52">
        <w:rPr>
          <w:szCs w:val="24"/>
          <w:lang w:val="es-ES"/>
        </w:rPr>
        <w:t>l</w:t>
      </w:r>
      <w:r w:rsidR="00F01DCA">
        <w:rPr>
          <w:szCs w:val="24"/>
          <w:lang w:val="es-ES"/>
        </w:rPr>
        <w:t>as</w:t>
      </w:r>
      <w:r w:rsidRPr="002A2F52">
        <w:rPr>
          <w:szCs w:val="24"/>
          <w:lang w:val="es-ES"/>
        </w:rPr>
        <w:t xml:space="preserve"> </w:t>
      </w:r>
      <w:r w:rsidR="00F01DCA">
        <w:rPr>
          <w:szCs w:val="24"/>
          <w:lang w:val="es-ES"/>
        </w:rPr>
        <w:t xml:space="preserve">literales </w:t>
      </w:r>
      <w:r w:rsidR="00F01DCA" w:rsidRPr="00F01DCA">
        <w:rPr>
          <w:b/>
          <w:szCs w:val="24"/>
          <w:lang w:val="es-ES"/>
        </w:rPr>
        <w:t>b), d), f), g)</w:t>
      </w:r>
      <w:r w:rsidR="00F01DCA">
        <w:rPr>
          <w:szCs w:val="24"/>
          <w:lang w:val="es-ES"/>
        </w:rPr>
        <w:t xml:space="preserve"> y </w:t>
      </w:r>
      <w:r w:rsidR="00F01DCA" w:rsidRPr="00F01DCA">
        <w:rPr>
          <w:b/>
          <w:szCs w:val="24"/>
          <w:lang w:val="es-ES"/>
        </w:rPr>
        <w:t>j)</w:t>
      </w:r>
      <w:r w:rsidR="00F01DCA">
        <w:rPr>
          <w:szCs w:val="24"/>
          <w:lang w:val="es-ES"/>
        </w:rPr>
        <w:t xml:space="preserve"> </w:t>
      </w:r>
      <w:r w:rsidR="00F01DCA" w:rsidRPr="002A2F52">
        <w:rPr>
          <w:szCs w:val="24"/>
          <w:lang w:val="es-ES"/>
        </w:rPr>
        <w:t>del</w:t>
      </w:r>
      <w:r w:rsidR="00F01DCA">
        <w:rPr>
          <w:szCs w:val="24"/>
          <w:lang w:val="es-ES"/>
        </w:rPr>
        <w:t xml:space="preserve"> </w:t>
      </w:r>
      <w:r w:rsidR="00F01DCA" w:rsidRPr="00AD6CFB">
        <w:rPr>
          <w:szCs w:val="24"/>
        </w:rPr>
        <w:t>Informe de Auditoría según CAI: 00009</w:t>
      </w:r>
      <w:r w:rsidR="00F01DCA">
        <w:rPr>
          <w:szCs w:val="24"/>
        </w:rPr>
        <w:t xml:space="preserve">, </w:t>
      </w:r>
      <w:r w:rsidR="00F01DCA">
        <w:rPr>
          <w:szCs w:val="24"/>
          <w:lang w:val="es-ES"/>
        </w:rPr>
        <w:t>están</w:t>
      </w:r>
      <w:r>
        <w:rPr>
          <w:szCs w:val="24"/>
          <w:lang w:val="es-ES"/>
        </w:rPr>
        <w:t xml:space="preserve"> </w:t>
      </w:r>
      <w:r w:rsidRPr="000C1013">
        <w:rPr>
          <w:szCs w:val="24"/>
          <w:lang w:val="es-ES"/>
        </w:rPr>
        <w:t>en proceso</w:t>
      </w:r>
      <w:r w:rsidRPr="002A2F52">
        <w:rPr>
          <w:szCs w:val="24"/>
          <w:lang w:val="es-ES"/>
        </w:rPr>
        <w:t>, por las razones siguientes:</w:t>
      </w:r>
    </w:p>
    <w:p w14:paraId="2BF8FEAD" w14:textId="77777777" w:rsidR="00A7613A" w:rsidRPr="00FC73B5" w:rsidRDefault="00A7613A" w:rsidP="00A7613A">
      <w:pPr>
        <w:spacing w:line="276" w:lineRule="auto"/>
        <w:rPr>
          <w:szCs w:val="24"/>
          <w:lang w:val="es-ES"/>
        </w:rPr>
      </w:pPr>
    </w:p>
    <w:p w14:paraId="2DFB8C1D" w14:textId="31E38659" w:rsidR="00F01DCA" w:rsidRDefault="00F01DCA" w:rsidP="002A2F52">
      <w:pPr>
        <w:spacing w:line="276" w:lineRule="auto"/>
        <w:ind w:left="426"/>
        <w:rPr>
          <w:b/>
          <w:szCs w:val="24"/>
        </w:rPr>
      </w:pPr>
      <w:r>
        <w:rPr>
          <w:b/>
          <w:szCs w:val="24"/>
        </w:rPr>
        <w:t xml:space="preserve">Literal </w:t>
      </w:r>
      <w:r w:rsidRPr="00F01DCA">
        <w:rPr>
          <w:b/>
          <w:szCs w:val="24"/>
        </w:rPr>
        <w:t xml:space="preserve">b)  </w:t>
      </w:r>
    </w:p>
    <w:p w14:paraId="12502395" w14:textId="3C32FB41" w:rsidR="00A7613A" w:rsidRDefault="00F01DCA" w:rsidP="002A2F52">
      <w:pPr>
        <w:spacing w:line="276" w:lineRule="auto"/>
        <w:ind w:left="426"/>
        <w:rPr>
          <w:szCs w:val="24"/>
        </w:rPr>
      </w:pPr>
      <w:r w:rsidRPr="00F01DCA">
        <w:rPr>
          <w:szCs w:val="24"/>
        </w:rPr>
        <w:t>La recomendación continua en proceso, de conformidad con lo informado por DIGEMOCA, lo cual se transcribe literalmente: “Se encuentra en proceso la revisión física del inventario 2022, misma que se proyecta finalizar en el mes de noviembre del presente año con el fin de realizar las actualizaciones de los registros”.</w:t>
      </w:r>
    </w:p>
    <w:p w14:paraId="0ADDB0E0" w14:textId="75D7470E" w:rsidR="001D568F" w:rsidRDefault="001D568F" w:rsidP="002A2F52">
      <w:pPr>
        <w:spacing w:line="276" w:lineRule="auto"/>
        <w:ind w:left="426"/>
        <w:rPr>
          <w:szCs w:val="24"/>
          <w:lang w:val="es-ES"/>
        </w:rPr>
      </w:pPr>
    </w:p>
    <w:p w14:paraId="3DBD06E0" w14:textId="77777777" w:rsidR="001E3C32" w:rsidRPr="001E3C32" w:rsidRDefault="001E3C32" w:rsidP="001E3C32">
      <w:pPr>
        <w:spacing w:line="276" w:lineRule="auto"/>
        <w:ind w:left="426"/>
        <w:rPr>
          <w:b/>
          <w:szCs w:val="24"/>
          <w:lang w:val="es-ES"/>
        </w:rPr>
      </w:pPr>
      <w:r w:rsidRPr="001E3C32">
        <w:rPr>
          <w:b/>
          <w:szCs w:val="24"/>
          <w:lang w:val="es-ES"/>
        </w:rPr>
        <w:t xml:space="preserve">Literal </w:t>
      </w:r>
      <w:r w:rsidR="002F25DF" w:rsidRPr="001E3C32">
        <w:rPr>
          <w:b/>
          <w:szCs w:val="24"/>
          <w:lang w:val="es-ES"/>
        </w:rPr>
        <w:t>d)</w:t>
      </w:r>
    </w:p>
    <w:p w14:paraId="5ACAD626" w14:textId="00DA6C70" w:rsidR="002F25DF" w:rsidRDefault="002F25DF" w:rsidP="001E3C32">
      <w:pPr>
        <w:spacing w:line="276" w:lineRule="auto"/>
        <w:ind w:left="426"/>
        <w:rPr>
          <w:szCs w:val="24"/>
          <w:lang w:val="es-ES"/>
        </w:rPr>
      </w:pPr>
      <w:r w:rsidRPr="002F25DF">
        <w:rPr>
          <w:szCs w:val="24"/>
          <w:lang w:val="es-ES"/>
        </w:rPr>
        <w:t xml:space="preserve">En relación al seguimiento de la recomendación, se presentó la siguiente evidencia: i) las gestiones realizadas para el proceso de baja de 25 sillas con un valor de Q15,060.00, en el Sistema de Gestión de Resoluciones de Bienes </w:t>
      </w:r>
      <w:r w:rsidR="001E3C32" w:rsidRPr="001E3C32">
        <w:rPr>
          <w:szCs w:val="24"/>
          <w:lang w:val="es-ES"/>
        </w:rPr>
        <w:t>Muebles Dirección de Bienes del Estado -SIGERBIM-; y ii) Solicitud realizada a la Dirección de Informática, de los dictámenes técnicos para 112 computadoras portátiles marca DELL. No se presentó argumentos o documentación relacionada a 99 cámaras fotográficas digitales marca BENQ que están en desuso.</w:t>
      </w:r>
    </w:p>
    <w:p w14:paraId="567EA8BA" w14:textId="2B55FFD9" w:rsidR="001E3C32" w:rsidRDefault="001E3C32" w:rsidP="001E3C32">
      <w:pPr>
        <w:spacing w:line="276" w:lineRule="auto"/>
        <w:ind w:left="426"/>
        <w:rPr>
          <w:szCs w:val="24"/>
          <w:lang w:val="es-ES"/>
        </w:rPr>
      </w:pPr>
    </w:p>
    <w:p w14:paraId="7969CBA8" w14:textId="7BC64287" w:rsidR="00E92D13" w:rsidRPr="001E3C32" w:rsidRDefault="00E92D13" w:rsidP="00E92D13">
      <w:pPr>
        <w:spacing w:line="276" w:lineRule="auto"/>
        <w:ind w:left="426"/>
        <w:rPr>
          <w:b/>
          <w:szCs w:val="24"/>
          <w:lang w:val="es-ES"/>
        </w:rPr>
      </w:pPr>
      <w:r w:rsidRPr="001E3C32">
        <w:rPr>
          <w:b/>
          <w:szCs w:val="24"/>
          <w:lang w:val="es-ES"/>
        </w:rPr>
        <w:lastRenderedPageBreak/>
        <w:t xml:space="preserve">Literal </w:t>
      </w:r>
      <w:r>
        <w:rPr>
          <w:b/>
          <w:szCs w:val="24"/>
          <w:lang w:val="es-ES"/>
        </w:rPr>
        <w:t>f</w:t>
      </w:r>
      <w:r w:rsidRPr="001E3C32">
        <w:rPr>
          <w:b/>
          <w:szCs w:val="24"/>
          <w:lang w:val="es-ES"/>
        </w:rPr>
        <w:t>)</w:t>
      </w:r>
    </w:p>
    <w:p w14:paraId="1D44F4A3" w14:textId="6FB71862" w:rsidR="00E92D13" w:rsidRDefault="00E92D13" w:rsidP="001E3C32">
      <w:pPr>
        <w:spacing w:line="276" w:lineRule="auto"/>
        <w:ind w:left="426"/>
        <w:rPr>
          <w:szCs w:val="24"/>
          <w:lang w:val="es-ES"/>
        </w:rPr>
      </w:pPr>
      <w:r w:rsidRPr="00E92D13">
        <w:rPr>
          <w:szCs w:val="24"/>
          <w:lang w:val="es-ES"/>
        </w:rPr>
        <w:t>La recomendación continua en proceso, de conformidad con lo informado por DIGEMOCA, lo cual se transcribe literalmente: ”(…) la persona responsable del proceso (…) se encuentra suspendida por el Instituto Guatemalteco de Seguridad Social -IGSS-,</w:t>
      </w:r>
      <w:r>
        <w:rPr>
          <w:szCs w:val="24"/>
          <w:lang w:val="es-ES"/>
        </w:rPr>
        <w:t xml:space="preserve"> </w:t>
      </w:r>
      <w:r w:rsidRPr="00E92D13">
        <w:rPr>
          <w:szCs w:val="24"/>
          <w:lang w:val="es-ES"/>
        </w:rPr>
        <w:t xml:space="preserve">a su retorno se dará seguimiento al proceso”, </w:t>
      </w:r>
      <w:r>
        <w:rPr>
          <w:szCs w:val="24"/>
          <w:lang w:val="es-ES"/>
        </w:rPr>
        <w:t xml:space="preserve">para el efecto </w:t>
      </w:r>
      <w:r w:rsidRPr="00E92D13">
        <w:rPr>
          <w:szCs w:val="24"/>
          <w:lang w:val="es-ES"/>
        </w:rPr>
        <w:t>se adjunt</w:t>
      </w:r>
      <w:r>
        <w:rPr>
          <w:szCs w:val="24"/>
          <w:lang w:val="es-ES"/>
        </w:rPr>
        <w:t>ó</w:t>
      </w:r>
      <w:r w:rsidRPr="00E92D13">
        <w:rPr>
          <w:szCs w:val="24"/>
          <w:lang w:val="es-ES"/>
        </w:rPr>
        <w:t xml:space="preserve"> copia de la referida suspensión.  </w:t>
      </w:r>
    </w:p>
    <w:p w14:paraId="5E2F566B" w14:textId="59133996" w:rsidR="00E92D13" w:rsidRDefault="00E92D13" w:rsidP="001E3C32">
      <w:pPr>
        <w:spacing w:line="276" w:lineRule="auto"/>
        <w:ind w:left="426"/>
        <w:rPr>
          <w:szCs w:val="24"/>
          <w:lang w:val="es-ES"/>
        </w:rPr>
      </w:pPr>
    </w:p>
    <w:p w14:paraId="7F325054" w14:textId="77777777" w:rsidR="00E92D13" w:rsidRPr="00E92D13" w:rsidRDefault="00E92D13" w:rsidP="001E3C32">
      <w:pPr>
        <w:spacing w:line="276" w:lineRule="auto"/>
        <w:ind w:left="426"/>
        <w:rPr>
          <w:b/>
          <w:szCs w:val="24"/>
          <w:lang w:val="es-ES"/>
        </w:rPr>
      </w:pPr>
      <w:r w:rsidRPr="00E92D13">
        <w:rPr>
          <w:b/>
          <w:szCs w:val="24"/>
          <w:lang w:val="es-ES"/>
        </w:rPr>
        <w:t>Literal g)</w:t>
      </w:r>
    </w:p>
    <w:p w14:paraId="51950CDA" w14:textId="2954FDF3" w:rsidR="00E92D13" w:rsidRDefault="00E92D13" w:rsidP="001E3C32">
      <w:pPr>
        <w:spacing w:line="276" w:lineRule="auto"/>
        <w:ind w:left="426"/>
        <w:rPr>
          <w:szCs w:val="24"/>
          <w:lang w:val="es-ES"/>
        </w:rPr>
      </w:pPr>
      <w:r w:rsidRPr="00E92D13">
        <w:rPr>
          <w:szCs w:val="24"/>
          <w:lang w:val="es-ES"/>
        </w:rPr>
        <w:t>La recomendación continua en proceso, de conformidad con lo informado por DIGEMOCA, lo cual se transcribe literalmente: “El trámite se encuentra en el estado reportado por medio del oficio DIGEMOCA No. 496-2022 de fecha 11 de agosto de 2022, estando en proceso de cumplimiento</w:t>
      </w:r>
      <w:r>
        <w:rPr>
          <w:szCs w:val="24"/>
          <w:lang w:val="es-ES"/>
        </w:rPr>
        <w:t>”</w:t>
      </w:r>
      <w:r w:rsidRPr="00E92D13">
        <w:rPr>
          <w:szCs w:val="24"/>
          <w:lang w:val="es-ES"/>
        </w:rPr>
        <w:t>.</w:t>
      </w:r>
    </w:p>
    <w:p w14:paraId="3C9F233A" w14:textId="40173AA4" w:rsidR="00E92D13" w:rsidRDefault="00E92D13" w:rsidP="001E3C32">
      <w:pPr>
        <w:spacing w:line="276" w:lineRule="auto"/>
        <w:ind w:left="426"/>
        <w:rPr>
          <w:szCs w:val="24"/>
          <w:lang w:val="es-ES"/>
        </w:rPr>
      </w:pPr>
    </w:p>
    <w:p w14:paraId="1A4E1C61" w14:textId="77777777" w:rsidR="00E92D13" w:rsidRPr="00E92D13" w:rsidRDefault="00E92D13" w:rsidP="001E3C32">
      <w:pPr>
        <w:spacing w:line="276" w:lineRule="auto"/>
        <w:ind w:left="426"/>
        <w:rPr>
          <w:b/>
          <w:szCs w:val="24"/>
          <w:lang w:val="es-ES"/>
        </w:rPr>
      </w:pPr>
      <w:r w:rsidRPr="00E92D13">
        <w:rPr>
          <w:b/>
          <w:szCs w:val="24"/>
          <w:lang w:val="es-ES"/>
        </w:rPr>
        <w:t>Literal j)</w:t>
      </w:r>
    </w:p>
    <w:p w14:paraId="563185DC" w14:textId="41A37ED1" w:rsidR="00E92D13" w:rsidRDefault="00E92D13" w:rsidP="001E3C32">
      <w:pPr>
        <w:spacing w:line="276" w:lineRule="auto"/>
        <w:ind w:left="426"/>
        <w:rPr>
          <w:szCs w:val="24"/>
          <w:lang w:val="es-ES"/>
        </w:rPr>
      </w:pPr>
      <w:r w:rsidRPr="00E92D13">
        <w:rPr>
          <w:szCs w:val="24"/>
          <w:lang w:val="es-ES"/>
        </w:rPr>
        <w:t>No se presentó argumentos o pruebas de respaldo con relación al seguimiento a la presente recomendación, por tal razón, en</w:t>
      </w:r>
      <w:r>
        <w:rPr>
          <w:szCs w:val="24"/>
          <w:lang w:val="es-ES"/>
        </w:rPr>
        <w:t xml:space="preserve"> </w:t>
      </w:r>
      <w:r w:rsidRPr="00E92D13">
        <w:rPr>
          <w:szCs w:val="24"/>
          <w:lang w:val="es-ES"/>
        </w:rPr>
        <w:t>concordancia con el Informe O-DIDAI/SUB-146-2022-B, esta se encuentra en proceso.</w:t>
      </w:r>
    </w:p>
    <w:p w14:paraId="49F6FDD6" w14:textId="77777777" w:rsidR="001E3C32" w:rsidRPr="001D568F" w:rsidRDefault="001E3C32" w:rsidP="001E3C32">
      <w:pPr>
        <w:spacing w:line="276" w:lineRule="auto"/>
        <w:ind w:left="426"/>
        <w:rPr>
          <w:szCs w:val="24"/>
          <w:lang w:val="es-ES"/>
        </w:rPr>
      </w:pPr>
    </w:p>
    <w:p w14:paraId="003C0C29" w14:textId="21D5F4F5" w:rsidR="00A7613A" w:rsidRDefault="00A7613A" w:rsidP="00A7613A">
      <w:pPr>
        <w:spacing w:line="276" w:lineRule="auto"/>
        <w:rPr>
          <w:szCs w:val="24"/>
        </w:rPr>
      </w:pPr>
      <w:r w:rsidRPr="000C1013">
        <w:rPr>
          <w:szCs w:val="24"/>
        </w:rPr>
        <w:t>El resultado que la recomendaci</w:t>
      </w:r>
      <w:r w:rsidR="006F1CE6">
        <w:rPr>
          <w:szCs w:val="24"/>
        </w:rPr>
        <w:t>ón</w:t>
      </w:r>
      <w:r w:rsidRPr="000C1013">
        <w:rPr>
          <w:szCs w:val="24"/>
        </w:rPr>
        <w:t xml:space="preserve"> esté en proceso, propicia que se mantenga firme la acción correctiva y que exista atraso en el proceso administrativo, así mismo, riesgo de sanción económica por incumplimiento de recomendaciones, por parte de la Contraloría General de Cuentas.</w:t>
      </w:r>
    </w:p>
    <w:p w14:paraId="3582400F" w14:textId="31DD9A3E" w:rsidR="002A2F52" w:rsidRDefault="002A2F52" w:rsidP="00A7613A">
      <w:pPr>
        <w:spacing w:line="276" w:lineRule="auto"/>
        <w:rPr>
          <w:szCs w:val="24"/>
        </w:rPr>
      </w:pPr>
    </w:p>
    <w:p w14:paraId="0CFA73EC" w14:textId="77777777" w:rsidR="00A7613A" w:rsidRPr="0001636D" w:rsidRDefault="00A7613A" w:rsidP="00A7613A">
      <w:pPr>
        <w:spacing w:after="0" w:line="276" w:lineRule="auto"/>
        <w:rPr>
          <w:b/>
          <w:bCs/>
          <w:szCs w:val="24"/>
          <w:lang w:val="es-ES"/>
        </w:rPr>
      </w:pPr>
      <w:r w:rsidRPr="0001636D">
        <w:rPr>
          <w:b/>
          <w:bCs/>
          <w:szCs w:val="24"/>
          <w:lang w:val="es-ES"/>
        </w:rPr>
        <w:t>COMENTARIO DE AUDITORIA</w:t>
      </w:r>
    </w:p>
    <w:p w14:paraId="7F3DE2D9" w14:textId="77777777" w:rsidR="00A7613A" w:rsidRPr="0001636D" w:rsidRDefault="00A7613A" w:rsidP="00A7613A">
      <w:pPr>
        <w:spacing w:line="276" w:lineRule="auto"/>
        <w:rPr>
          <w:bCs/>
          <w:szCs w:val="24"/>
          <w:lang w:val="es-ES"/>
        </w:rPr>
      </w:pPr>
    </w:p>
    <w:p w14:paraId="04348EEE" w14:textId="5FF776C5" w:rsidR="00A7613A" w:rsidRPr="002A2F52" w:rsidRDefault="00A7613A" w:rsidP="00A7613A">
      <w:pPr>
        <w:spacing w:line="276" w:lineRule="auto"/>
        <w:rPr>
          <w:szCs w:val="24"/>
        </w:rPr>
      </w:pPr>
      <w:r w:rsidRPr="0001636D">
        <w:rPr>
          <w:szCs w:val="24"/>
        </w:rPr>
        <w:t xml:space="preserve">Derivado a que la Dirección de Auditoría Interna realizó dos seguimientos, queda bajo estricta responsabilidad de la </w:t>
      </w:r>
      <w:r w:rsidR="00E92D13" w:rsidRPr="00E92D13">
        <w:rPr>
          <w:szCs w:val="24"/>
        </w:rPr>
        <w:t>Dirección General de Monitoreo y Verificación de la Calidad -DIGEMOCA-</w:t>
      </w:r>
      <w:r>
        <w:rPr>
          <w:szCs w:val="24"/>
        </w:rPr>
        <w:t>,</w:t>
      </w:r>
      <w:r w:rsidRPr="0001636D">
        <w:rPr>
          <w:szCs w:val="24"/>
        </w:rPr>
        <w:t xml:space="preserve"> el seguimiento y la implementación de la recomendación que quedó en proceso, evitando con ello ser sancionados por pa</w:t>
      </w:r>
      <w:r>
        <w:rPr>
          <w:szCs w:val="24"/>
        </w:rPr>
        <w:t>r</w:t>
      </w:r>
      <w:r w:rsidRPr="0001636D">
        <w:rPr>
          <w:szCs w:val="24"/>
        </w:rPr>
        <w:t>te de la Contraloría General de Cuentas.</w:t>
      </w:r>
    </w:p>
    <w:p w14:paraId="3620A77F" w14:textId="77777777" w:rsidR="00D67460" w:rsidRDefault="00D67460" w:rsidP="00A7613A">
      <w:pPr>
        <w:spacing w:line="276" w:lineRule="auto"/>
        <w:rPr>
          <w:szCs w:val="24"/>
        </w:rPr>
        <w:sectPr w:rsidR="00D67460"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49AD0063" w14:textId="7C2B2156" w:rsidR="00D67460" w:rsidRDefault="00D67460" w:rsidP="00AA2BA9">
      <w:pPr>
        <w:ind w:left="4956" w:firstLine="708"/>
        <w:rPr>
          <w:sz w:val="20"/>
        </w:rPr>
      </w:pPr>
      <w:r>
        <w:rPr>
          <w:b/>
          <w:bCs/>
          <w:sz w:val="20"/>
        </w:rPr>
        <w:lastRenderedPageBreak/>
        <w:t>MINISTERIO DE EDUCACIÓN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 xml:space="preserve">                                                                                                                      </w:t>
      </w:r>
      <w:r>
        <w:rPr>
          <w:b/>
          <w:sz w:val="20"/>
        </w:rPr>
        <w:t>Formulario SR-1</w:t>
      </w:r>
    </w:p>
    <w:p w14:paraId="0CF4AAF0" w14:textId="69835CD6" w:rsidR="00D67460" w:rsidRDefault="00D67460">
      <w:pPr>
        <w:rPr>
          <w:sz w:val="20"/>
        </w:rPr>
      </w:pPr>
      <w:r>
        <w:rPr>
          <w:b/>
          <w:bCs/>
          <w:sz w:val="20"/>
        </w:rPr>
        <w:t xml:space="preserve">           DIRECCIÓN DE AUDITORIA INTERNA</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214E6BEB" w14:textId="77777777" w:rsidR="00D67460" w:rsidRDefault="00D67460">
      <w:pPr>
        <w:rPr>
          <w:sz w:val="20"/>
        </w:rPr>
      </w:pPr>
    </w:p>
    <w:p w14:paraId="588EC8B9" w14:textId="10237C3F" w:rsidR="00D67460" w:rsidRDefault="00D67460">
      <w:pPr>
        <w:pStyle w:val="Ttulo1"/>
        <w:ind w:left="2832" w:firstLine="708"/>
      </w:pPr>
      <w:r>
        <w:t xml:space="preserve">                 IMPLEMENTACION DE RECOMENDACIONES</w:t>
      </w:r>
    </w:p>
    <w:p w14:paraId="78B73D71" w14:textId="77777777" w:rsidR="00D67460" w:rsidRDefault="00D67460"/>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9"/>
        <w:gridCol w:w="3827"/>
        <w:gridCol w:w="3260"/>
        <w:gridCol w:w="4390"/>
      </w:tblGrid>
      <w:tr w:rsidR="00D67460" w14:paraId="7C568910" w14:textId="77777777" w:rsidTr="00D67460">
        <w:trPr>
          <w:trHeight w:val="404"/>
          <w:jc w:val="center"/>
        </w:trPr>
        <w:tc>
          <w:tcPr>
            <w:tcW w:w="2699" w:type="dxa"/>
            <w:vAlign w:val="center"/>
          </w:tcPr>
          <w:p w14:paraId="28BD08E5" w14:textId="77777777" w:rsidR="00D67460" w:rsidRPr="00C36FED" w:rsidRDefault="00D67460" w:rsidP="00FE2457">
            <w:pPr>
              <w:jc w:val="center"/>
              <w:rPr>
                <w:b/>
                <w:bCs/>
                <w:sz w:val="22"/>
              </w:rPr>
            </w:pPr>
            <w:r w:rsidRPr="00C36FED">
              <w:rPr>
                <w:b/>
                <w:bCs/>
                <w:sz w:val="22"/>
              </w:rPr>
              <w:t>Entidad:</w:t>
            </w:r>
          </w:p>
        </w:tc>
        <w:tc>
          <w:tcPr>
            <w:tcW w:w="11477" w:type="dxa"/>
            <w:gridSpan w:val="3"/>
            <w:vAlign w:val="center"/>
          </w:tcPr>
          <w:p w14:paraId="770B01F2" w14:textId="1953B280" w:rsidR="00D67460" w:rsidRPr="00C36FED" w:rsidRDefault="00D67460" w:rsidP="004A2AAB">
            <w:pPr>
              <w:jc w:val="center"/>
              <w:rPr>
                <w:b/>
                <w:sz w:val="22"/>
              </w:rPr>
            </w:pPr>
            <w:r w:rsidRPr="00D67460">
              <w:rPr>
                <w:b/>
                <w:sz w:val="22"/>
              </w:rPr>
              <w:t>Dirección General de Monitoreo y Verificación de la Calidad -DIGEMOCA-</w:t>
            </w:r>
          </w:p>
        </w:tc>
      </w:tr>
      <w:tr w:rsidR="00D67460" w14:paraId="5F56F3C0" w14:textId="77777777" w:rsidTr="00D67460">
        <w:trPr>
          <w:trHeight w:val="281"/>
          <w:jc w:val="center"/>
        </w:trPr>
        <w:tc>
          <w:tcPr>
            <w:tcW w:w="2699" w:type="dxa"/>
            <w:vAlign w:val="center"/>
          </w:tcPr>
          <w:p w14:paraId="1ED5173C" w14:textId="77777777" w:rsidR="00D67460" w:rsidRPr="00C36FED" w:rsidRDefault="00D67460" w:rsidP="00FE2457">
            <w:pPr>
              <w:jc w:val="center"/>
              <w:rPr>
                <w:b/>
                <w:bCs/>
                <w:sz w:val="22"/>
              </w:rPr>
            </w:pPr>
            <w:r w:rsidRPr="00C36FED">
              <w:rPr>
                <w:b/>
                <w:bCs/>
                <w:sz w:val="22"/>
              </w:rPr>
              <w:t>Tipo de Auditoria:</w:t>
            </w:r>
          </w:p>
        </w:tc>
        <w:tc>
          <w:tcPr>
            <w:tcW w:w="11477" w:type="dxa"/>
            <w:gridSpan w:val="3"/>
            <w:vAlign w:val="center"/>
          </w:tcPr>
          <w:p w14:paraId="6FE92C57" w14:textId="77777777" w:rsidR="00D67460" w:rsidRPr="00C36FED" w:rsidRDefault="00D67460" w:rsidP="00C73118">
            <w:pPr>
              <w:jc w:val="center"/>
              <w:rPr>
                <w:b/>
                <w:sz w:val="22"/>
              </w:rPr>
            </w:pPr>
            <w:r w:rsidRPr="00A46283">
              <w:rPr>
                <w:b/>
                <w:sz w:val="22"/>
              </w:rPr>
              <w:t>Auditoría de cumplimiento en área de Inventarios</w:t>
            </w:r>
          </w:p>
        </w:tc>
      </w:tr>
      <w:tr w:rsidR="00D67460" w14:paraId="6FDF1777" w14:textId="77777777" w:rsidTr="00D67460">
        <w:trPr>
          <w:trHeight w:val="244"/>
          <w:jc w:val="center"/>
        </w:trPr>
        <w:tc>
          <w:tcPr>
            <w:tcW w:w="2699" w:type="dxa"/>
            <w:vAlign w:val="center"/>
          </w:tcPr>
          <w:p w14:paraId="25D1E731" w14:textId="77777777" w:rsidR="00D67460" w:rsidRPr="00C36FED" w:rsidRDefault="00D67460" w:rsidP="00FE2457">
            <w:pPr>
              <w:jc w:val="center"/>
              <w:rPr>
                <w:b/>
                <w:bCs/>
                <w:sz w:val="22"/>
              </w:rPr>
            </w:pPr>
            <w:r w:rsidRPr="00C36FED">
              <w:rPr>
                <w:b/>
                <w:bCs/>
                <w:sz w:val="22"/>
              </w:rPr>
              <w:t>Nombramiento Actual:</w:t>
            </w:r>
          </w:p>
        </w:tc>
        <w:tc>
          <w:tcPr>
            <w:tcW w:w="3827" w:type="dxa"/>
            <w:vAlign w:val="center"/>
          </w:tcPr>
          <w:p w14:paraId="009EFF7F" w14:textId="77777777" w:rsidR="00D67460" w:rsidRPr="00C36FED" w:rsidRDefault="00D67460" w:rsidP="004A2AAB">
            <w:pPr>
              <w:jc w:val="center"/>
              <w:rPr>
                <w:b/>
                <w:bCs/>
                <w:sz w:val="22"/>
              </w:rPr>
            </w:pPr>
            <w:r w:rsidRPr="00A46283">
              <w:rPr>
                <w:b/>
                <w:bCs/>
                <w:sz w:val="22"/>
                <w:lang w:val="es-ES_tradnl"/>
              </w:rPr>
              <w:t>O-DIDAI/SUB-</w:t>
            </w:r>
            <w:r>
              <w:rPr>
                <w:b/>
                <w:bCs/>
                <w:sz w:val="22"/>
                <w:lang w:val="es-ES_tradnl"/>
              </w:rPr>
              <w:t>202</w:t>
            </w:r>
            <w:r w:rsidRPr="00A46283">
              <w:rPr>
                <w:b/>
                <w:bCs/>
                <w:sz w:val="22"/>
                <w:lang w:val="es-ES_tradnl"/>
              </w:rPr>
              <w:t>-2022</w:t>
            </w:r>
          </w:p>
        </w:tc>
        <w:tc>
          <w:tcPr>
            <w:tcW w:w="3260" w:type="dxa"/>
            <w:vAlign w:val="center"/>
          </w:tcPr>
          <w:p w14:paraId="6EBC638E" w14:textId="77777777" w:rsidR="00D67460" w:rsidRPr="00C36FED" w:rsidRDefault="00D67460" w:rsidP="001A0447">
            <w:pPr>
              <w:jc w:val="center"/>
              <w:rPr>
                <w:b/>
                <w:bCs/>
                <w:sz w:val="22"/>
              </w:rPr>
            </w:pPr>
            <w:r w:rsidRPr="00C36FED">
              <w:rPr>
                <w:b/>
                <w:bCs/>
                <w:sz w:val="22"/>
              </w:rPr>
              <w:t>Informe de Seguimiento:</w:t>
            </w:r>
          </w:p>
        </w:tc>
        <w:tc>
          <w:tcPr>
            <w:tcW w:w="4390" w:type="dxa"/>
            <w:vAlign w:val="center"/>
          </w:tcPr>
          <w:p w14:paraId="4C44362C" w14:textId="77777777" w:rsidR="00D67460" w:rsidRPr="00C36FED" w:rsidRDefault="00D67460" w:rsidP="004A2AAB">
            <w:pPr>
              <w:jc w:val="center"/>
              <w:rPr>
                <w:b/>
                <w:bCs/>
                <w:sz w:val="22"/>
              </w:rPr>
            </w:pPr>
            <w:r>
              <w:rPr>
                <w:b/>
                <w:bCs/>
                <w:sz w:val="22"/>
              </w:rPr>
              <w:t>O-DIDAI/SUB-146-2022-B</w:t>
            </w:r>
          </w:p>
        </w:tc>
      </w:tr>
      <w:tr w:rsidR="00D67460" w14:paraId="6BA537CD" w14:textId="77777777" w:rsidTr="00D67460">
        <w:trPr>
          <w:trHeight w:val="418"/>
          <w:jc w:val="center"/>
        </w:trPr>
        <w:tc>
          <w:tcPr>
            <w:tcW w:w="2699" w:type="dxa"/>
            <w:vAlign w:val="center"/>
          </w:tcPr>
          <w:p w14:paraId="5C941622" w14:textId="77777777" w:rsidR="00D67460" w:rsidRPr="00C36FED" w:rsidRDefault="00D67460" w:rsidP="00FE2457">
            <w:pPr>
              <w:jc w:val="center"/>
              <w:rPr>
                <w:b/>
                <w:bCs/>
                <w:sz w:val="22"/>
              </w:rPr>
            </w:pPr>
            <w:r>
              <w:rPr>
                <w:b/>
                <w:bCs/>
                <w:sz w:val="22"/>
              </w:rPr>
              <w:t>Consultor</w:t>
            </w:r>
            <w:r w:rsidRPr="00C36FED">
              <w:rPr>
                <w:b/>
                <w:bCs/>
                <w:sz w:val="22"/>
              </w:rPr>
              <w:t xml:space="preserve"> Encargado:</w:t>
            </w:r>
          </w:p>
        </w:tc>
        <w:tc>
          <w:tcPr>
            <w:tcW w:w="3827" w:type="dxa"/>
            <w:vAlign w:val="center"/>
          </w:tcPr>
          <w:p w14:paraId="3821F164" w14:textId="77777777" w:rsidR="00D67460" w:rsidRPr="00C36FED" w:rsidRDefault="00D67460" w:rsidP="001A0447">
            <w:pPr>
              <w:jc w:val="center"/>
              <w:rPr>
                <w:b/>
                <w:bCs/>
                <w:sz w:val="22"/>
              </w:rPr>
            </w:pPr>
            <w:r w:rsidRPr="00C36FED">
              <w:rPr>
                <w:b/>
                <w:bCs/>
                <w:sz w:val="22"/>
              </w:rPr>
              <w:t>Lic. José Alejandro Davila Alvarez</w:t>
            </w:r>
          </w:p>
        </w:tc>
        <w:tc>
          <w:tcPr>
            <w:tcW w:w="3260" w:type="dxa"/>
            <w:vAlign w:val="center"/>
          </w:tcPr>
          <w:p w14:paraId="09365768" w14:textId="77777777" w:rsidR="00D67460" w:rsidRPr="00C36FED" w:rsidRDefault="00D67460" w:rsidP="00FE2457">
            <w:pPr>
              <w:jc w:val="center"/>
              <w:rPr>
                <w:b/>
                <w:bCs/>
                <w:sz w:val="22"/>
              </w:rPr>
            </w:pPr>
            <w:r>
              <w:rPr>
                <w:b/>
                <w:bCs/>
                <w:sz w:val="22"/>
              </w:rPr>
              <w:t>Acompañamiento:</w:t>
            </w:r>
          </w:p>
        </w:tc>
        <w:tc>
          <w:tcPr>
            <w:tcW w:w="4390" w:type="dxa"/>
            <w:vAlign w:val="center"/>
          </w:tcPr>
          <w:p w14:paraId="04C3EE9A" w14:textId="77777777" w:rsidR="00D67460" w:rsidRPr="00950CF8" w:rsidRDefault="00D67460" w:rsidP="001A0447">
            <w:pPr>
              <w:jc w:val="center"/>
              <w:rPr>
                <w:b/>
                <w:bCs/>
                <w:sz w:val="22"/>
              </w:rPr>
            </w:pPr>
            <w:r>
              <w:rPr>
                <w:b/>
                <w:bCs/>
                <w:sz w:val="22"/>
              </w:rPr>
              <w:t>Byron Roberto Ramírez Velarde</w:t>
            </w:r>
          </w:p>
        </w:tc>
      </w:tr>
    </w:tbl>
    <w:p w14:paraId="3C5A939B" w14:textId="77777777" w:rsidR="00D67460" w:rsidRDefault="00D67460">
      <w:pPr>
        <w:rPr>
          <w:b/>
          <w:bCs/>
          <w:sz w:val="22"/>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4462"/>
        <w:gridCol w:w="1559"/>
        <w:gridCol w:w="1276"/>
        <w:gridCol w:w="1134"/>
        <w:gridCol w:w="1417"/>
        <w:gridCol w:w="3969"/>
      </w:tblGrid>
      <w:tr w:rsidR="00D67460" w14:paraId="7FDF8515" w14:textId="77777777" w:rsidTr="00D67460">
        <w:trPr>
          <w:cantSplit/>
          <w:trHeight w:val="300"/>
          <w:jc w:val="center"/>
        </w:trPr>
        <w:tc>
          <w:tcPr>
            <w:tcW w:w="495" w:type="dxa"/>
            <w:vMerge w:val="restart"/>
            <w:vAlign w:val="center"/>
          </w:tcPr>
          <w:p w14:paraId="79DD7CF1" w14:textId="77777777" w:rsidR="00D67460" w:rsidRDefault="00D67460">
            <w:pPr>
              <w:jc w:val="center"/>
              <w:rPr>
                <w:b/>
                <w:bCs/>
                <w:sz w:val="22"/>
              </w:rPr>
            </w:pPr>
            <w:r>
              <w:rPr>
                <w:b/>
                <w:bCs/>
                <w:sz w:val="22"/>
              </w:rPr>
              <w:t>No.</w:t>
            </w:r>
          </w:p>
        </w:tc>
        <w:tc>
          <w:tcPr>
            <w:tcW w:w="4462" w:type="dxa"/>
            <w:vMerge w:val="restart"/>
            <w:vAlign w:val="center"/>
          </w:tcPr>
          <w:p w14:paraId="410F2F5F" w14:textId="77777777" w:rsidR="00D67460" w:rsidRDefault="00D67460">
            <w:pPr>
              <w:jc w:val="center"/>
              <w:rPr>
                <w:b/>
                <w:bCs/>
                <w:sz w:val="22"/>
              </w:rPr>
            </w:pPr>
            <w:r>
              <w:rPr>
                <w:b/>
                <w:bCs/>
                <w:sz w:val="22"/>
              </w:rPr>
              <w:t>Condición y Recomendación</w:t>
            </w:r>
          </w:p>
        </w:tc>
        <w:tc>
          <w:tcPr>
            <w:tcW w:w="1559" w:type="dxa"/>
            <w:vMerge w:val="restart"/>
            <w:vAlign w:val="center"/>
          </w:tcPr>
          <w:p w14:paraId="7E99393B" w14:textId="77777777" w:rsidR="00D67460" w:rsidRDefault="00D67460">
            <w:pPr>
              <w:jc w:val="center"/>
              <w:rPr>
                <w:b/>
                <w:bCs/>
                <w:sz w:val="22"/>
              </w:rPr>
            </w:pPr>
            <w:r>
              <w:rPr>
                <w:b/>
                <w:bCs/>
                <w:sz w:val="22"/>
              </w:rPr>
              <w:t>Nombre del responsable</w:t>
            </w:r>
          </w:p>
        </w:tc>
        <w:tc>
          <w:tcPr>
            <w:tcW w:w="3827" w:type="dxa"/>
            <w:gridSpan w:val="3"/>
          </w:tcPr>
          <w:p w14:paraId="573597F3" w14:textId="77777777" w:rsidR="00D67460" w:rsidRDefault="00D67460">
            <w:pPr>
              <w:jc w:val="center"/>
              <w:rPr>
                <w:b/>
                <w:bCs/>
                <w:sz w:val="22"/>
              </w:rPr>
            </w:pPr>
            <w:r>
              <w:rPr>
                <w:b/>
                <w:bCs/>
                <w:sz w:val="22"/>
              </w:rPr>
              <w:t>Situación</w:t>
            </w:r>
          </w:p>
        </w:tc>
        <w:tc>
          <w:tcPr>
            <w:tcW w:w="3969" w:type="dxa"/>
            <w:vMerge w:val="restart"/>
            <w:vAlign w:val="center"/>
          </w:tcPr>
          <w:p w14:paraId="3E132782" w14:textId="77777777" w:rsidR="00D67460" w:rsidRDefault="00D67460">
            <w:pPr>
              <w:jc w:val="center"/>
              <w:rPr>
                <w:b/>
                <w:bCs/>
                <w:sz w:val="22"/>
              </w:rPr>
            </w:pPr>
            <w:r>
              <w:rPr>
                <w:b/>
                <w:bCs/>
                <w:sz w:val="22"/>
              </w:rPr>
              <w:t>Observaciones</w:t>
            </w:r>
          </w:p>
        </w:tc>
      </w:tr>
      <w:tr w:rsidR="00D67460" w14:paraId="5DF68BB9" w14:textId="77777777" w:rsidTr="00D67460">
        <w:trPr>
          <w:cantSplit/>
          <w:trHeight w:val="446"/>
          <w:jc w:val="center"/>
        </w:trPr>
        <w:tc>
          <w:tcPr>
            <w:tcW w:w="495" w:type="dxa"/>
            <w:vMerge/>
          </w:tcPr>
          <w:p w14:paraId="3D01752F" w14:textId="77777777" w:rsidR="00D67460" w:rsidRDefault="00D67460">
            <w:pPr>
              <w:rPr>
                <w:b/>
                <w:bCs/>
                <w:sz w:val="22"/>
              </w:rPr>
            </w:pPr>
          </w:p>
        </w:tc>
        <w:tc>
          <w:tcPr>
            <w:tcW w:w="4462" w:type="dxa"/>
            <w:vMerge/>
          </w:tcPr>
          <w:p w14:paraId="7BF95DF8" w14:textId="77777777" w:rsidR="00D67460" w:rsidRDefault="00D67460">
            <w:pPr>
              <w:jc w:val="center"/>
              <w:rPr>
                <w:b/>
                <w:bCs/>
                <w:sz w:val="22"/>
              </w:rPr>
            </w:pPr>
          </w:p>
        </w:tc>
        <w:tc>
          <w:tcPr>
            <w:tcW w:w="1559" w:type="dxa"/>
            <w:vMerge/>
          </w:tcPr>
          <w:p w14:paraId="2896E164" w14:textId="77777777" w:rsidR="00D67460" w:rsidRDefault="00D67460">
            <w:pPr>
              <w:rPr>
                <w:b/>
                <w:bCs/>
                <w:sz w:val="22"/>
              </w:rPr>
            </w:pPr>
          </w:p>
        </w:tc>
        <w:tc>
          <w:tcPr>
            <w:tcW w:w="1276" w:type="dxa"/>
            <w:vAlign w:val="center"/>
          </w:tcPr>
          <w:p w14:paraId="3F517B31" w14:textId="77777777" w:rsidR="00D67460" w:rsidRDefault="00D67460" w:rsidP="00A46283">
            <w:pPr>
              <w:jc w:val="center"/>
              <w:rPr>
                <w:b/>
                <w:bCs/>
                <w:sz w:val="22"/>
              </w:rPr>
            </w:pPr>
            <w:r>
              <w:rPr>
                <w:b/>
                <w:bCs/>
                <w:sz w:val="22"/>
              </w:rPr>
              <w:t>Realizada</w:t>
            </w:r>
          </w:p>
        </w:tc>
        <w:tc>
          <w:tcPr>
            <w:tcW w:w="1134" w:type="dxa"/>
            <w:vAlign w:val="center"/>
          </w:tcPr>
          <w:p w14:paraId="33EFD3AE" w14:textId="77777777" w:rsidR="00D67460" w:rsidRDefault="00D67460" w:rsidP="00A46283">
            <w:pPr>
              <w:jc w:val="center"/>
              <w:rPr>
                <w:b/>
                <w:bCs/>
                <w:sz w:val="22"/>
              </w:rPr>
            </w:pPr>
            <w:r>
              <w:rPr>
                <w:b/>
                <w:bCs/>
                <w:sz w:val="22"/>
              </w:rPr>
              <w:t>Proceso</w:t>
            </w:r>
          </w:p>
        </w:tc>
        <w:tc>
          <w:tcPr>
            <w:tcW w:w="1417" w:type="dxa"/>
            <w:vAlign w:val="center"/>
          </w:tcPr>
          <w:p w14:paraId="12987BA0" w14:textId="77777777" w:rsidR="00D67460" w:rsidRDefault="00D67460" w:rsidP="00A46283">
            <w:pPr>
              <w:jc w:val="center"/>
              <w:rPr>
                <w:b/>
                <w:bCs/>
                <w:sz w:val="22"/>
              </w:rPr>
            </w:pPr>
            <w:r>
              <w:rPr>
                <w:b/>
                <w:bCs/>
                <w:sz w:val="22"/>
              </w:rPr>
              <w:t>Incumplida</w:t>
            </w:r>
          </w:p>
        </w:tc>
        <w:tc>
          <w:tcPr>
            <w:tcW w:w="3969" w:type="dxa"/>
            <w:vMerge/>
          </w:tcPr>
          <w:p w14:paraId="7ECB728D" w14:textId="77777777" w:rsidR="00D67460" w:rsidRDefault="00D67460">
            <w:pPr>
              <w:rPr>
                <w:b/>
                <w:bCs/>
                <w:sz w:val="22"/>
              </w:rPr>
            </w:pPr>
          </w:p>
        </w:tc>
      </w:tr>
      <w:tr w:rsidR="00D67460" w:rsidRPr="00E40274" w14:paraId="32FF86B1" w14:textId="77777777" w:rsidTr="00D67460">
        <w:trPr>
          <w:jc w:val="center"/>
        </w:trPr>
        <w:tc>
          <w:tcPr>
            <w:tcW w:w="495" w:type="dxa"/>
            <w:tcBorders>
              <w:bottom w:val="single" w:sz="4" w:space="0" w:color="auto"/>
            </w:tcBorders>
            <w:vAlign w:val="center"/>
          </w:tcPr>
          <w:p w14:paraId="565B25D3" w14:textId="77777777" w:rsidR="00D67460" w:rsidRPr="001B3920" w:rsidRDefault="00D67460" w:rsidP="00242248">
            <w:pPr>
              <w:jc w:val="center"/>
              <w:rPr>
                <w:b/>
                <w:bCs/>
              </w:rPr>
            </w:pPr>
          </w:p>
        </w:tc>
        <w:tc>
          <w:tcPr>
            <w:tcW w:w="4462" w:type="dxa"/>
          </w:tcPr>
          <w:p w14:paraId="61EC23F0" w14:textId="77777777" w:rsidR="00D67460" w:rsidRDefault="00D67460" w:rsidP="00722C05">
            <w:pPr>
              <w:tabs>
                <w:tab w:val="left" w:pos="0"/>
              </w:tabs>
              <w:rPr>
                <w:b/>
                <w:bCs/>
                <w:sz w:val="20"/>
                <w:szCs w:val="20"/>
              </w:rPr>
            </w:pPr>
          </w:p>
          <w:p w14:paraId="4B39C76E" w14:textId="71B90470" w:rsidR="00D67460" w:rsidRDefault="00D67460" w:rsidP="00722C05">
            <w:pPr>
              <w:tabs>
                <w:tab w:val="left" w:pos="0"/>
              </w:tabs>
              <w:rPr>
                <w:b/>
                <w:bCs/>
                <w:sz w:val="20"/>
                <w:szCs w:val="20"/>
              </w:rPr>
            </w:pPr>
            <w:r w:rsidRPr="00722C05">
              <w:rPr>
                <w:b/>
                <w:bCs/>
                <w:sz w:val="20"/>
                <w:szCs w:val="20"/>
              </w:rPr>
              <w:t>CONDICIÓN</w:t>
            </w:r>
          </w:p>
          <w:p w14:paraId="02A4AB5F" w14:textId="77777777" w:rsidR="00D67460" w:rsidRPr="00722C05" w:rsidRDefault="00D67460" w:rsidP="00722C05">
            <w:pPr>
              <w:tabs>
                <w:tab w:val="left" w:pos="0"/>
              </w:tabs>
              <w:rPr>
                <w:b/>
                <w:bCs/>
                <w:sz w:val="20"/>
                <w:szCs w:val="20"/>
              </w:rPr>
            </w:pPr>
          </w:p>
          <w:p w14:paraId="024F0EEB" w14:textId="77777777" w:rsidR="00D67460" w:rsidRDefault="00D67460" w:rsidP="009D718D">
            <w:pPr>
              <w:rPr>
                <w:sz w:val="20"/>
                <w:szCs w:val="20"/>
              </w:rPr>
            </w:pPr>
            <w:r w:rsidRPr="00696AAC">
              <w:rPr>
                <w:sz w:val="20"/>
                <w:szCs w:val="20"/>
              </w:rPr>
              <w:t>Deficiencias en el área de inventarios</w:t>
            </w:r>
          </w:p>
          <w:p w14:paraId="3574C7A1" w14:textId="77777777" w:rsidR="00D67460" w:rsidRDefault="00D67460" w:rsidP="009D718D">
            <w:pPr>
              <w:rPr>
                <w:sz w:val="20"/>
                <w:szCs w:val="20"/>
              </w:rPr>
            </w:pPr>
            <w:r w:rsidRPr="00696AAC">
              <w:rPr>
                <w:sz w:val="20"/>
                <w:szCs w:val="20"/>
              </w:rPr>
              <w:t>En la Dirección General de Monitoreo y Verificación de la Calidad - DIGEMOCA-, por el período del 01 de septiembre de 2021 al 31 de enero de 2022, al realizar la evaluación en el área de inventarios se determinaron las siguientes deficiencias:</w:t>
            </w:r>
          </w:p>
          <w:p w14:paraId="5C1B28A1" w14:textId="77777777" w:rsidR="00D67460" w:rsidRPr="00696AAC" w:rsidRDefault="00D67460" w:rsidP="009D718D">
            <w:pPr>
              <w:rPr>
                <w:sz w:val="20"/>
                <w:szCs w:val="20"/>
              </w:rPr>
            </w:pPr>
          </w:p>
          <w:p w14:paraId="2BC093B4" w14:textId="486379B9" w:rsidR="00D67460" w:rsidRPr="006D1B8B" w:rsidRDefault="00D67460" w:rsidP="00D67460">
            <w:pPr>
              <w:rPr>
                <w:bCs/>
                <w:sz w:val="20"/>
                <w:szCs w:val="20"/>
              </w:rPr>
            </w:pPr>
            <w:r w:rsidRPr="009D718D">
              <w:rPr>
                <w:b/>
                <w:sz w:val="20"/>
                <w:szCs w:val="20"/>
              </w:rPr>
              <w:t>a)</w:t>
            </w:r>
            <w:r w:rsidRPr="00696AAC">
              <w:rPr>
                <w:sz w:val="20"/>
                <w:szCs w:val="20"/>
              </w:rPr>
              <w:t xml:space="preserve"> En la muestra de 20 servidores públicos, para la verificación de los registros y medidas de control y seguridad, se determinaron varias deficiencias, siendo las siguientes: 1) Hay bienes dados de baja, pero no indican el motivo si fue por inservible, desuso o traslado (ver detalle en oficio anexo a la notificación); 2) se observó equipo de aire acondicionado, que por la posición en que está instalado no fue posible verificar las características y etiqueta del mismo; 3) en la tarjeta número 161 a nombre de Blanca Lidia Pop Sajché, no están cargados bienes correspondiendo a 1 armario de metal código 003COE59 y una estantería de metal código 0012DC59.</w:t>
            </w:r>
          </w:p>
        </w:tc>
        <w:tc>
          <w:tcPr>
            <w:tcW w:w="1559" w:type="dxa"/>
          </w:tcPr>
          <w:p w14:paraId="15EF3896" w14:textId="77777777" w:rsidR="00D67460" w:rsidRDefault="00D67460" w:rsidP="00E747F8">
            <w:pPr>
              <w:jc w:val="center"/>
              <w:rPr>
                <w:bCs/>
                <w:sz w:val="20"/>
                <w:szCs w:val="20"/>
              </w:rPr>
            </w:pPr>
          </w:p>
          <w:p w14:paraId="155A7DF4" w14:textId="77777777" w:rsidR="00D67460" w:rsidRDefault="00D67460" w:rsidP="00395D51">
            <w:pPr>
              <w:rPr>
                <w:bCs/>
                <w:sz w:val="20"/>
                <w:szCs w:val="20"/>
              </w:rPr>
            </w:pPr>
          </w:p>
          <w:p w14:paraId="4B9EBA9A" w14:textId="77777777" w:rsidR="00D67460" w:rsidRDefault="00D67460" w:rsidP="00395D51">
            <w:pPr>
              <w:rPr>
                <w:bCs/>
                <w:sz w:val="20"/>
                <w:szCs w:val="20"/>
              </w:rPr>
            </w:pPr>
          </w:p>
          <w:p w14:paraId="2369924B" w14:textId="77777777" w:rsidR="00D67460" w:rsidRDefault="00D67460" w:rsidP="00E747F8">
            <w:pPr>
              <w:jc w:val="center"/>
              <w:rPr>
                <w:bCs/>
                <w:sz w:val="20"/>
                <w:szCs w:val="20"/>
              </w:rPr>
            </w:pPr>
          </w:p>
          <w:p w14:paraId="241E13C0" w14:textId="77777777" w:rsidR="00D67460" w:rsidRDefault="00D67460" w:rsidP="00E747F8">
            <w:pPr>
              <w:jc w:val="center"/>
              <w:rPr>
                <w:bCs/>
                <w:sz w:val="20"/>
                <w:szCs w:val="20"/>
              </w:rPr>
            </w:pPr>
          </w:p>
          <w:p w14:paraId="30E871AF" w14:textId="77777777" w:rsidR="00D67460" w:rsidRDefault="00D67460" w:rsidP="00E747F8">
            <w:pPr>
              <w:jc w:val="center"/>
              <w:rPr>
                <w:bCs/>
                <w:sz w:val="20"/>
                <w:szCs w:val="20"/>
              </w:rPr>
            </w:pPr>
            <w:r w:rsidRPr="001B1F10">
              <w:rPr>
                <w:bCs/>
                <w:sz w:val="20"/>
                <w:szCs w:val="20"/>
              </w:rPr>
              <w:t xml:space="preserve">Director </w:t>
            </w:r>
            <w:r>
              <w:rPr>
                <w:bCs/>
                <w:sz w:val="20"/>
                <w:szCs w:val="20"/>
              </w:rPr>
              <w:t xml:space="preserve">General </w:t>
            </w:r>
            <w:r w:rsidRPr="00B058D4">
              <w:rPr>
                <w:bCs/>
                <w:sz w:val="20"/>
                <w:szCs w:val="20"/>
              </w:rPr>
              <w:t>de Monitoreo y Verificación de la Calidad</w:t>
            </w:r>
            <w:r w:rsidRPr="001B1F10">
              <w:rPr>
                <w:bCs/>
                <w:sz w:val="20"/>
                <w:szCs w:val="20"/>
              </w:rPr>
              <w:t xml:space="preserve"> </w:t>
            </w:r>
          </w:p>
          <w:p w14:paraId="605E249C" w14:textId="77777777" w:rsidR="00D67460" w:rsidRDefault="00D67460" w:rsidP="00E747F8">
            <w:pPr>
              <w:jc w:val="center"/>
              <w:rPr>
                <w:bCs/>
                <w:sz w:val="20"/>
                <w:szCs w:val="20"/>
              </w:rPr>
            </w:pPr>
          </w:p>
          <w:p w14:paraId="16AF4CF1" w14:textId="77777777" w:rsidR="00D67460" w:rsidRDefault="00D67460" w:rsidP="00E747F8">
            <w:pPr>
              <w:jc w:val="center"/>
              <w:rPr>
                <w:bCs/>
                <w:sz w:val="20"/>
                <w:szCs w:val="20"/>
              </w:rPr>
            </w:pPr>
            <w:r>
              <w:rPr>
                <w:bCs/>
                <w:sz w:val="20"/>
                <w:szCs w:val="20"/>
              </w:rPr>
              <w:t xml:space="preserve">Subdirectora de Coordinación de Monitoreo y Verificación </w:t>
            </w:r>
          </w:p>
          <w:p w14:paraId="5E276BFA" w14:textId="77777777" w:rsidR="00D67460" w:rsidRDefault="00D67460" w:rsidP="00E747F8">
            <w:pPr>
              <w:jc w:val="center"/>
              <w:rPr>
                <w:bCs/>
                <w:sz w:val="20"/>
                <w:szCs w:val="20"/>
              </w:rPr>
            </w:pPr>
          </w:p>
          <w:p w14:paraId="29663907" w14:textId="77777777" w:rsidR="00D67460" w:rsidRDefault="00D67460" w:rsidP="00395D51">
            <w:pPr>
              <w:jc w:val="center"/>
              <w:rPr>
                <w:bCs/>
                <w:sz w:val="20"/>
                <w:szCs w:val="20"/>
              </w:rPr>
            </w:pPr>
            <w:r w:rsidRPr="001B1F10">
              <w:rPr>
                <w:bCs/>
                <w:sz w:val="20"/>
                <w:szCs w:val="20"/>
              </w:rPr>
              <w:t>Encargad</w:t>
            </w:r>
            <w:r>
              <w:rPr>
                <w:bCs/>
                <w:sz w:val="20"/>
                <w:szCs w:val="20"/>
              </w:rPr>
              <w:t>a</w:t>
            </w:r>
            <w:r w:rsidRPr="001B1F10">
              <w:rPr>
                <w:bCs/>
                <w:sz w:val="20"/>
                <w:szCs w:val="20"/>
              </w:rPr>
              <w:t xml:space="preserve"> de Inventario</w:t>
            </w:r>
          </w:p>
          <w:p w14:paraId="51A687E6" w14:textId="77777777" w:rsidR="00D67460" w:rsidRPr="009D1ADB" w:rsidRDefault="00D67460" w:rsidP="00E747F8">
            <w:pPr>
              <w:jc w:val="center"/>
              <w:rPr>
                <w:bCs/>
                <w:sz w:val="20"/>
                <w:szCs w:val="20"/>
              </w:rPr>
            </w:pPr>
          </w:p>
        </w:tc>
        <w:tc>
          <w:tcPr>
            <w:tcW w:w="1276" w:type="dxa"/>
          </w:tcPr>
          <w:p w14:paraId="7CB871E5" w14:textId="77777777" w:rsidR="00D67460" w:rsidRDefault="00D67460">
            <w:pPr>
              <w:pStyle w:val="Ttulo2"/>
              <w:rPr>
                <w:sz w:val="52"/>
                <w:szCs w:val="52"/>
              </w:rPr>
            </w:pPr>
          </w:p>
          <w:p w14:paraId="4AF65B3F" w14:textId="77777777" w:rsidR="00D67460" w:rsidRDefault="00D67460" w:rsidP="00406F9C">
            <w:pPr>
              <w:jc w:val="center"/>
              <w:rPr>
                <w:sz w:val="52"/>
                <w:szCs w:val="52"/>
              </w:rPr>
            </w:pPr>
          </w:p>
          <w:p w14:paraId="68175FDE" w14:textId="77777777" w:rsidR="00D67460" w:rsidRDefault="00D67460" w:rsidP="00406F9C">
            <w:pPr>
              <w:jc w:val="center"/>
              <w:rPr>
                <w:sz w:val="52"/>
                <w:szCs w:val="52"/>
              </w:rPr>
            </w:pPr>
          </w:p>
          <w:p w14:paraId="63C5BBA3" w14:textId="77777777" w:rsidR="00D67460" w:rsidRDefault="00D67460" w:rsidP="00406F9C">
            <w:pPr>
              <w:jc w:val="center"/>
              <w:rPr>
                <w:sz w:val="52"/>
                <w:szCs w:val="52"/>
              </w:rPr>
            </w:pPr>
          </w:p>
          <w:p w14:paraId="33BC3CF3" w14:textId="77777777" w:rsidR="00D67460" w:rsidRDefault="00D67460" w:rsidP="00406F9C">
            <w:pPr>
              <w:jc w:val="center"/>
              <w:rPr>
                <w:sz w:val="52"/>
                <w:szCs w:val="52"/>
              </w:rPr>
            </w:pPr>
          </w:p>
          <w:p w14:paraId="577AFCDC" w14:textId="77777777" w:rsidR="00D67460" w:rsidRDefault="00D67460" w:rsidP="00406F9C">
            <w:pPr>
              <w:jc w:val="center"/>
              <w:rPr>
                <w:sz w:val="52"/>
                <w:szCs w:val="52"/>
              </w:rPr>
            </w:pPr>
          </w:p>
          <w:p w14:paraId="244361CF" w14:textId="77777777" w:rsidR="00D67460" w:rsidRDefault="00D67460" w:rsidP="00406F9C">
            <w:pPr>
              <w:jc w:val="center"/>
              <w:rPr>
                <w:sz w:val="52"/>
                <w:szCs w:val="52"/>
              </w:rPr>
            </w:pPr>
          </w:p>
          <w:p w14:paraId="11497814" w14:textId="77777777" w:rsidR="00D67460" w:rsidRDefault="00D67460" w:rsidP="00406F9C">
            <w:pPr>
              <w:jc w:val="center"/>
              <w:rPr>
                <w:sz w:val="52"/>
                <w:szCs w:val="52"/>
              </w:rPr>
            </w:pPr>
          </w:p>
          <w:p w14:paraId="4A90535C" w14:textId="77777777" w:rsidR="00D67460" w:rsidRDefault="00D67460" w:rsidP="00406F9C">
            <w:pPr>
              <w:jc w:val="center"/>
              <w:rPr>
                <w:sz w:val="52"/>
                <w:szCs w:val="52"/>
              </w:rPr>
            </w:pPr>
            <w:r w:rsidRPr="009D1ADB">
              <w:rPr>
                <w:sz w:val="52"/>
                <w:szCs w:val="52"/>
              </w:rPr>
              <w:sym w:font="Wingdings" w:char="F0FC"/>
            </w:r>
          </w:p>
          <w:p w14:paraId="1DDABDD3" w14:textId="77777777" w:rsidR="00D67460" w:rsidRPr="00E40274" w:rsidRDefault="00D67460" w:rsidP="00A46283">
            <w:pPr>
              <w:jc w:val="center"/>
              <w:rPr>
                <w:sz w:val="20"/>
                <w:szCs w:val="20"/>
              </w:rPr>
            </w:pPr>
          </w:p>
        </w:tc>
        <w:tc>
          <w:tcPr>
            <w:tcW w:w="1134" w:type="dxa"/>
          </w:tcPr>
          <w:p w14:paraId="6BB1137A" w14:textId="77777777" w:rsidR="00D67460" w:rsidRDefault="00D67460" w:rsidP="0050002D">
            <w:pPr>
              <w:jc w:val="center"/>
              <w:rPr>
                <w:sz w:val="52"/>
                <w:szCs w:val="52"/>
              </w:rPr>
            </w:pPr>
          </w:p>
          <w:p w14:paraId="034528A2" w14:textId="77777777" w:rsidR="00D67460" w:rsidRDefault="00D67460" w:rsidP="0050002D">
            <w:pPr>
              <w:jc w:val="center"/>
              <w:rPr>
                <w:sz w:val="52"/>
                <w:szCs w:val="52"/>
              </w:rPr>
            </w:pPr>
          </w:p>
          <w:p w14:paraId="0F348554" w14:textId="77777777" w:rsidR="00D67460" w:rsidRDefault="00D67460" w:rsidP="0050002D">
            <w:pPr>
              <w:jc w:val="center"/>
              <w:rPr>
                <w:sz w:val="52"/>
                <w:szCs w:val="52"/>
              </w:rPr>
            </w:pPr>
          </w:p>
          <w:p w14:paraId="6CEB9D04" w14:textId="77777777" w:rsidR="00D67460" w:rsidRDefault="00D67460" w:rsidP="0050002D">
            <w:pPr>
              <w:jc w:val="center"/>
              <w:rPr>
                <w:sz w:val="52"/>
                <w:szCs w:val="52"/>
              </w:rPr>
            </w:pPr>
          </w:p>
          <w:p w14:paraId="25F38775" w14:textId="77777777" w:rsidR="00D67460" w:rsidRDefault="00D67460" w:rsidP="0050002D">
            <w:pPr>
              <w:jc w:val="center"/>
              <w:rPr>
                <w:sz w:val="52"/>
                <w:szCs w:val="52"/>
              </w:rPr>
            </w:pPr>
          </w:p>
          <w:p w14:paraId="0AA067A7" w14:textId="77777777" w:rsidR="00D67460" w:rsidRDefault="00D67460" w:rsidP="0050002D">
            <w:pPr>
              <w:jc w:val="center"/>
              <w:rPr>
                <w:sz w:val="52"/>
                <w:szCs w:val="52"/>
              </w:rPr>
            </w:pPr>
          </w:p>
          <w:p w14:paraId="46B52478" w14:textId="77777777" w:rsidR="00D67460" w:rsidRDefault="00D67460" w:rsidP="0050002D">
            <w:pPr>
              <w:jc w:val="center"/>
              <w:rPr>
                <w:sz w:val="52"/>
                <w:szCs w:val="52"/>
              </w:rPr>
            </w:pPr>
          </w:p>
          <w:p w14:paraId="2E44EF47" w14:textId="77777777" w:rsidR="00D67460" w:rsidRPr="00E40274" w:rsidRDefault="00D67460" w:rsidP="0050002D">
            <w:pPr>
              <w:jc w:val="center"/>
              <w:rPr>
                <w:b/>
                <w:bCs/>
                <w:sz w:val="20"/>
                <w:szCs w:val="20"/>
              </w:rPr>
            </w:pPr>
          </w:p>
        </w:tc>
        <w:tc>
          <w:tcPr>
            <w:tcW w:w="1417" w:type="dxa"/>
          </w:tcPr>
          <w:p w14:paraId="259C4EE9" w14:textId="77777777" w:rsidR="00D67460" w:rsidRDefault="00D67460" w:rsidP="009D1ADB">
            <w:pPr>
              <w:jc w:val="center"/>
              <w:rPr>
                <w:sz w:val="52"/>
                <w:szCs w:val="52"/>
              </w:rPr>
            </w:pPr>
          </w:p>
          <w:p w14:paraId="788C0B7F" w14:textId="77777777" w:rsidR="00D67460" w:rsidRDefault="00D67460" w:rsidP="009D1ADB">
            <w:pPr>
              <w:jc w:val="center"/>
              <w:rPr>
                <w:sz w:val="52"/>
                <w:szCs w:val="52"/>
              </w:rPr>
            </w:pPr>
          </w:p>
          <w:p w14:paraId="2FA1F296" w14:textId="77777777" w:rsidR="00D67460" w:rsidRDefault="00D67460" w:rsidP="009D1ADB">
            <w:pPr>
              <w:jc w:val="center"/>
              <w:rPr>
                <w:sz w:val="52"/>
                <w:szCs w:val="52"/>
              </w:rPr>
            </w:pPr>
          </w:p>
          <w:p w14:paraId="72E42A3F" w14:textId="77777777" w:rsidR="00D67460" w:rsidRDefault="00D67460" w:rsidP="009D1ADB">
            <w:pPr>
              <w:jc w:val="center"/>
              <w:rPr>
                <w:sz w:val="52"/>
                <w:szCs w:val="52"/>
              </w:rPr>
            </w:pPr>
          </w:p>
          <w:p w14:paraId="3635B736" w14:textId="77777777" w:rsidR="00D67460" w:rsidRPr="00E40274" w:rsidRDefault="00D67460" w:rsidP="0045354B">
            <w:pPr>
              <w:jc w:val="center"/>
              <w:rPr>
                <w:b/>
                <w:bCs/>
                <w:sz w:val="20"/>
                <w:szCs w:val="20"/>
              </w:rPr>
            </w:pPr>
          </w:p>
        </w:tc>
        <w:tc>
          <w:tcPr>
            <w:tcW w:w="3969" w:type="dxa"/>
            <w:tcBorders>
              <w:bottom w:val="single" w:sz="4" w:space="0" w:color="auto"/>
            </w:tcBorders>
          </w:tcPr>
          <w:p w14:paraId="11CEB20B" w14:textId="77777777" w:rsidR="00D67460" w:rsidRDefault="00D67460" w:rsidP="00B533A5">
            <w:pPr>
              <w:rPr>
                <w:sz w:val="20"/>
                <w:szCs w:val="20"/>
              </w:rPr>
            </w:pPr>
          </w:p>
          <w:p w14:paraId="4D85A4A9" w14:textId="3B2B93B7" w:rsidR="00D67460" w:rsidRDefault="00D67460" w:rsidP="00B533A5">
            <w:pPr>
              <w:rPr>
                <w:sz w:val="20"/>
                <w:szCs w:val="20"/>
              </w:rPr>
            </w:pPr>
            <w:r>
              <w:rPr>
                <w:sz w:val="20"/>
                <w:szCs w:val="20"/>
              </w:rPr>
              <w:t xml:space="preserve">Mediante Oficio DIGEMOCA No. 602-2022 de fecha 29 de septiembre de 2022, la </w:t>
            </w:r>
            <w:r w:rsidRPr="00795DE2">
              <w:rPr>
                <w:sz w:val="20"/>
                <w:szCs w:val="20"/>
              </w:rPr>
              <w:t>Direc</w:t>
            </w:r>
            <w:r>
              <w:rPr>
                <w:sz w:val="20"/>
                <w:szCs w:val="20"/>
              </w:rPr>
              <w:t>ción</w:t>
            </w:r>
            <w:r w:rsidRPr="00795DE2">
              <w:rPr>
                <w:sz w:val="20"/>
                <w:szCs w:val="20"/>
              </w:rPr>
              <w:t xml:space="preserve"> General de Monitoreo y Verificación de la Calidad</w:t>
            </w:r>
            <w:r>
              <w:rPr>
                <w:sz w:val="20"/>
                <w:szCs w:val="20"/>
              </w:rPr>
              <w:t xml:space="preserve">, presentó a la Dirección de Auditoría Interna, sus argumentos y pruebas de respaldo, en seguimiento a la notificación del informe            </w:t>
            </w:r>
            <w:r w:rsidRPr="00795DE2">
              <w:rPr>
                <w:bCs/>
                <w:sz w:val="20"/>
                <w:szCs w:val="20"/>
              </w:rPr>
              <w:t>O-DIDAI/SUB-146-2022-B</w:t>
            </w:r>
            <w:r>
              <w:rPr>
                <w:bCs/>
                <w:sz w:val="20"/>
                <w:szCs w:val="20"/>
              </w:rPr>
              <w:t xml:space="preserve"> </w:t>
            </w:r>
            <w:r>
              <w:rPr>
                <w:sz w:val="20"/>
                <w:szCs w:val="20"/>
              </w:rPr>
              <w:t>que corresponde al primer seguimiento a las recomendaciones emitidas en el Informe de Auditoría Interna CAI 00009 de fecha 27 de abril de 2022.</w:t>
            </w:r>
          </w:p>
          <w:p w14:paraId="1B0AC1FC" w14:textId="77777777" w:rsidR="00D67460" w:rsidRDefault="00D67460" w:rsidP="00B533A5">
            <w:pPr>
              <w:rPr>
                <w:sz w:val="20"/>
                <w:szCs w:val="20"/>
              </w:rPr>
            </w:pPr>
          </w:p>
          <w:p w14:paraId="06C0AB2E" w14:textId="77777777" w:rsidR="00D67460" w:rsidRDefault="00D67460" w:rsidP="00AC3085">
            <w:pPr>
              <w:rPr>
                <w:sz w:val="20"/>
                <w:szCs w:val="20"/>
              </w:rPr>
            </w:pPr>
            <w:r>
              <w:rPr>
                <w:sz w:val="20"/>
                <w:szCs w:val="20"/>
              </w:rPr>
              <w:t>Como resultado del análisis realizado a los argumentos y pruebas de respaldo, en relación al seguimiento de las referidas recomendaciones, se determinó lo siguiente:</w:t>
            </w:r>
          </w:p>
          <w:p w14:paraId="2873B3E4" w14:textId="77777777" w:rsidR="00D67460" w:rsidRDefault="00D67460" w:rsidP="00AC3085">
            <w:pPr>
              <w:rPr>
                <w:sz w:val="20"/>
                <w:szCs w:val="20"/>
              </w:rPr>
            </w:pPr>
          </w:p>
          <w:p w14:paraId="2FA39E60" w14:textId="2B4189C5" w:rsidR="00D67460" w:rsidRPr="00950CF8" w:rsidRDefault="00D67460" w:rsidP="00D67460">
            <w:pPr>
              <w:rPr>
                <w:sz w:val="20"/>
                <w:szCs w:val="20"/>
              </w:rPr>
            </w:pPr>
            <w:r w:rsidRPr="00776E68">
              <w:rPr>
                <w:b/>
                <w:sz w:val="20"/>
                <w:szCs w:val="20"/>
              </w:rPr>
              <w:t xml:space="preserve">a) </w:t>
            </w:r>
            <w:r>
              <w:rPr>
                <w:sz w:val="20"/>
                <w:szCs w:val="20"/>
              </w:rPr>
              <w:t xml:space="preserve">Se presentó evidencia que se esta utilizando el Formulario INV-FOR-33 para el cargo y descargo de bienes muebles; asimismo, de las anotaciones de justificación de los movimientos de bienes muebles, en </w:t>
            </w:r>
          </w:p>
        </w:tc>
      </w:tr>
      <w:tr w:rsidR="00D67460" w:rsidRPr="00E40274" w14:paraId="44509600" w14:textId="77777777" w:rsidTr="00D67460">
        <w:trPr>
          <w:jc w:val="center"/>
        </w:trPr>
        <w:tc>
          <w:tcPr>
            <w:tcW w:w="495" w:type="dxa"/>
            <w:vMerge w:val="restart"/>
            <w:vAlign w:val="center"/>
          </w:tcPr>
          <w:p w14:paraId="0FDF0886" w14:textId="77777777" w:rsidR="00D67460" w:rsidRDefault="00D67460" w:rsidP="00F9243D">
            <w:pPr>
              <w:jc w:val="center"/>
              <w:rPr>
                <w:b/>
                <w:bCs/>
                <w:sz w:val="22"/>
              </w:rPr>
            </w:pPr>
            <w:r>
              <w:rPr>
                <w:b/>
                <w:bCs/>
                <w:sz w:val="22"/>
              </w:rPr>
              <w:lastRenderedPageBreak/>
              <w:t>No.</w:t>
            </w:r>
          </w:p>
        </w:tc>
        <w:tc>
          <w:tcPr>
            <w:tcW w:w="4462" w:type="dxa"/>
            <w:vMerge w:val="restart"/>
            <w:vAlign w:val="center"/>
          </w:tcPr>
          <w:p w14:paraId="7A56B672" w14:textId="77777777" w:rsidR="00D67460" w:rsidRDefault="00D67460" w:rsidP="00F9243D">
            <w:pPr>
              <w:jc w:val="center"/>
              <w:rPr>
                <w:b/>
                <w:bCs/>
                <w:sz w:val="22"/>
              </w:rPr>
            </w:pPr>
            <w:r>
              <w:rPr>
                <w:b/>
                <w:bCs/>
                <w:sz w:val="22"/>
              </w:rPr>
              <w:t>Condición y Recomendación</w:t>
            </w:r>
          </w:p>
        </w:tc>
        <w:tc>
          <w:tcPr>
            <w:tcW w:w="1559" w:type="dxa"/>
            <w:vMerge w:val="restart"/>
            <w:vAlign w:val="center"/>
          </w:tcPr>
          <w:p w14:paraId="6BA23556" w14:textId="77777777" w:rsidR="00D67460" w:rsidRDefault="00D67460" w:rsidP="00F9243D">
            <w:pPr>
              <w:jc w:val="center"/>
              <w:rPr>
                <w:b/>
                <w:bCs/>
                <w:sz w:val="22"/>
              </w:rPr>
            </w:pPr>
            <w:r>
              <w:rPr>
                <w:b/>
                <w:bCs/>
                <w:sz w:val="22"/>
              </w:rPr>
              <w:t>Nombre del responsable</w:t>
            </w:r>
          </w:p>
        </w:tc>
        <w:tc>
          <w:tcPr>
            <w:tcW w:w="3827" w:type="dxa"/>
            <w:gridSpan w:val="3"/>
          </w:tcPr>
          <w:p w14:paraId="48E5233F" w14:textId="77777777" w:rsidR="00D67460" w:rsidRDefault="00D67460" w:rsidP="00F9243D">
            <w:pPr>
              <w:jc w:val="center"/>
              <w:rPr>
                <w:sz w:val="52"/>
                <w:szCs w:val="52"/>
              </w:rPr>
            </w:pPr>
            <w:r>
              <w:rPr>
                <w:b/>
                <w:bCs/>
                <w:sz w:val="22"/>
              </w:rPr>
              <w:t>Situación</w:t>
            </w:r>
          </w:p>
        </w:tc>
        <w:tc>
          <w:tcPr>
            <w:tcW w:w="3969" w:type="dxa"/>
            <w:vMerge w:val="restart"/>
            <w:vAlign w:val="center"/>
          </w:tcPr>
          <w:p w14:paraId="1985FD3C" w14:textId="77777777" w:rsidR="00D67460" w:rsidRPr="00A802BA" w:rsidRDefault="00D67460" w:rsidP="00F9243D">
            <w:pPr>
              <w:tabs>
                <w:tab w:val="left" w:pos="0"/>
              </w:tabs>
              <w:jc w:val="center"/>
              <w:rPr>
                <w:sz w:val="20"/>
                <w:szCs w:val="20"/>
              </w:rPr>
            </w:pPr>
            <w:r>
              <w:rPr>
                <w:b/>
                <w:bCs/>
                <w:sz w:val="22"/>
              </w:rPr>
              <w:t>Observaciones</w:t>
            </w:r>
          </w:p>
        </w:tc>
      </w:tr>
      <w:tr w:rsidR="00D67460" w:rsidRPr="00E40274" w14:paraId="168DAFF9" w14:textId="77777777" w:rsidTr="00D67460">
        <w:trPr>
          <w:trHeight w:val="427"/>
          <w:jc w:val="center"/>
        </w:trPr>
        <w:tc>
          <w:tcPr>
            <w:tcW w:w="495" w:type="dxa"/>
            <w:vMerge/>
            <w:tcBorders>
              <w:bottom w:val="single" w:sz="4" w:space="0" w:color="auto"/>
            </w:tcBorders>
            <w:vAlign w:val="center"/>
          </w:tcPr>
          <w:p w14:paraId="62976879" w14:textId="77777777" w:rsidR="00D67460" w:rsidRDefault="00D67460" w:rsidP="00F9243D">
            <w:pPr>
              <w:jc w:val="center"/>
              <w:rPr>
                <w:bCs/>
                <w:sz w:val="20"/>
                <w:szCs w:val="20"/>
              </w:rPr>
            </w:pPr>
          </w:p>
        </w:tc>
        <w:tc>
          <w:tcPr>
            <w:tcW w:w="4462" w:type="dxa"/>
            <w:vMerge/>
          </w:tcPr>
          <w:p w14:paraId="658FC811" w14:textId="77777777" w:rsidR="00D67460" w:rsidRDefault="00D67460" w:rsidP="00F9243D">
            <w:pPr>
              <w:tabs>
                <w:tab w:val="left" w:pos="0"/>
              </w:tabs>
              <w:rPr>
                <w:b/>
                <w:sz w:val="20"/>
                <w:szCs w:val="20"/>
              </w:rPr>
            </w:pPr>
          </w:p>
        </w:tc>
        <w:tc>
          <w:tcPr>
            <w:tcW w:w="1559" w:type="dxa"/>
            <w:vMerge/>
          </w:tcPr>
          <w:p w14:paraId="57FB1369" w14:textId="77777777" w:rsidR="00D67460" w:rsidRDefault="00D67460" w:rsidP="00F9243D">
            <w:pPr>
              <w:jc w:val="center"/>
              <w:rPr>
                <w:bCs/>
                <w:sz w:val="20"/>
                <w:szCs w:val="20"/>
              </w:rPr>
            </w:pPr>
          </w:p>
        </w:tc>
        <w:tc>
          <w:tcPr>
            <w:tcW w:w="1276" w:type="dxa"/>
            <w:vAlign w:val="center"/>
          </w:tcPr>
          <w:p w14:paraId="562477D0" w14:textId="77777777" w:rsidR="00D67460" w:rsidRDefault="00D67460" w:rsidP="00F9243D">
            <w:pPr>
              <w:jc w:val="center"/>
              <w:rPr>
                <w:b/>
                <w:bCs/>
                <w:sz w:val="22"/>
              </w:rPr>
            </w:pPr>
            <w:r>
              <w:rPr>
                <w:b/>
                <w:bCs/>
                <w:sz w:val="22"/>
              </w:rPr>
              <w:t>Realizada</w:t>
            </w:r>
          </w:p>
        </w:tc>
        <w:tc>
          <w:tcPr>
            <w:tcW w:w="1134" w:type="dxa"/>
            <w:vAlign w:val="center"/>
          </w:tcPr>
          <w:p w14:paraId="50154A24" w14:textId="77777777" w:rsidR="00D67460" w:rsidRDefault="00D67460" w:rsidP="00F9243D">
            <w:pPr>
              <w:jc w:val="center"/>
              <w:rPr>
                <w:b/>
                <w:bCs/>
                <w:sz w:val="22"/>
              </w:rPr>
            </w:pPr>
            <w:r>
              <w:rPr>
                <w:b/>
                <w:bCs/>
                <w:sz w:val="22"/>
              </w:rPr>
              <w:t>Proceso</w:t>
            </w:r>
          </w:p>
        </w:tc>
        <w:tc>
          <w:tcPr>
            <w:tcW w:w="1417" w:type="dxa"/>
            <w:vAlign w:val="center"/>
          </w:tcPr>
          <w:p w14:paraId="5BCA3047" w14:textId="77777777" w:rsidR="00D67460" w:rsidRDefault="00D67460" w:rsidP="00F9243D">
            <w:pPr>
              <w:rPr>
                <w:b/>
                <w:bCs/>
                <w:sz w:val="22"/>
              </w:rPr>
            </w:pPr>
            <w:r>
              <w:rPr>
                <w:b/>
                <w:bCs/>
                <w:sz w:val="22"/>
              </w:rPr>
              <w:t>Pendiente</w:t>
            </w:r>
          </w:p>
        </w:tc>
        <w:tc>
          <w:tcPr>
            <w:tcW w:w="3969" w:type="dxa"/>
            <w:vMerge/>
            <w:tcBorders>
              <w:bottom w:val="single" w:sz="4" w:space="0" w:color="auto"/>
            </w:tcBorders>
          </w:tcPr>
          <w:p w14:paraId="76AAEE87" w14:textId="77777777" w:rsidR="00D67460" w:rsidRPr="00A802BA" w:rsidRDefault="00D67460" w:rsidP="00F9243D">
            <w:pPr>
              <w:tabs>
                <w:tab w:val="left" w:pos="0"/>
              </w:tabs>
              <w:rPr>
                <w:sz w:val="20"/>
                <w:szCs w:val="20"/>
              </w:rPr>
            </w:pPr>
          </w:p>
        </w:tc>
      </w:tr>
      <w:tr w:rsidR="00D67460" w:rsidRPr="00E40274" w14:paraId="7398A211" w14:textId="77777777" w:rsidTr="00D67460">
        <w:trPr>
          <w:jc w:val="center"/>
        </w:trPr>
        <w:tc>
          <w:tcPr>
            <w:tcW w:w="495" w:type="dxa"/>
            <w:vAlign w:val="center"/>
          </w:tcPr>
          <w:p w14:paraId="54A4B1E8" w14:textId="77777777" w:rsidR="00D67460" w:rsidRDefault="00D67460" w:rsidP="00462E23">
            <w:pPr>
              <w:jc w:val="center"/>
              <w:rPr>
                <w:bCs/>
                <w:sz w:val="20"/>
                <w:szCs w:val="20"/>
              </w:rPr>
            </w:pPr>
          </w:p>
        </w:tc>
        <w:tc>
          <w:tcPr>
            <w:tcW w:w="4462" w:type="dxa"/>
          </w:tcPr>
          <w:p w14:paraId="28D36A2B" w14:textId="77777777" w:rsidR="00D67460" w:rsidRDefault="00D67460" w:rsidP="009D718D">
            <w:pPr>
              <w:rPr>
                <w:sz w:val="20"/>
                <w:szCs w:val="20"/>
              </w:rPr>
            </w:pPr>
            <w:r w:rsidRPr="009D718D">
              <w:rPr>
                <w:b/>
                <w:sz w:val="20"/>
                <w:szCs w:val="20"/>
              </w:rPr>
              <w:t>b)</w:t>
            </w:r>
            <w:r w:rsidRPr="00696AAC">
              <w:rPr>
                <w:sz w:val="20"/>
                <w:szCs w:val="20"/>
              </w:rPr>
              <w:t xml:space="preserve"> En el reporte del inventario físico realizado en el año 2021, describen bienes que están pendientes de registrar en tarjetas de responsabilidad. (ver detalle en oficio anexo a la notificación)</w:t>
            </w:r>
            <w:r>
              <w:rPr>
                <w:sz w:val="20"/>
                <w:szCs w:val="20"/>
              </w:rPr>
              <w:t>.</w:t>
            </w:r>
          </w:p>
          <w:p w14:paraId="519CAF43" w14:textId="77777777" w:rsidR="00D67460" w:rsidRPr="00696AAC" w:rsidRDefault="00D67460" w:rsidP="009D718D">
            <w:pPr>
              <w:rPr>
                <w:sz w:val="20"/>
                <w:szCs w:val="20"/>
              </w:rPr>
            </w:pPr>
          </w:p>
          <w:p w14:paraId="02FC8DA9" w14:textId="77777777" w:rsidR="00D67460" w:rsidRDefault="00D67460" w:rsidP="009D718D">
            <w:pPr>
              <w:rPr>
                <w:sz w:val="20"/>
                <w:szCs w:val="20"/>
              </w:rPr>
            </w:pPr>
            <w:r w:rsidRPr="009D718D">
              <w:rPr>
                <w:b/>
                <w:sz w:val="20"/>
                <w:szCs w:val="20"/>
              </w:rPr>
              <w:t>c)</w:t>
            </w:r>
            <w:r w:rsidRPr="00696AAC">
              <w:rPr>
                <w:sz w:val="20"/>
                <w:szCs w:val="20"/>
              </w:rPr>
              <w:t xml:space="preserve"> Diferencias en la conciliación de saldos de los bienes inventariables, ya que el saldo en libros y en el Formulario FIN-01 Resumen de Inventario Institucional, asciende a Q19,213,654.73; sin embargo, el saldo en Tarjetas de Responsabilidad es de Q6,386,888.12.</w:t>
            </w:r>
          </w:p>
          <w:p w14:paraId="2DD34A96" w14:textId="77777777" w:rsidR="00D67460" w:rsidRPr="00696AAC" w:rsidRDefault="00D67460" w:rsidP="009D718D">
            <w:pPr>
              <w:rPr>
                <w:sz w:val="20"/>
                <w:szCs w:val="20"/>
              </w:rPr>
            </w:pPr>
          </w:p>
          <w:p w14:paraId="1DE12D32" w14:textId="77777777" w:rsidR="00D67460" w:rsidRDefault="00D67460" w:rsidP="009D718D">
            <w:pPr>
              <w:rPr>
                <w:sz w:val="20"/>
                <w:szCs w:val="20"/>
              </w:rPr>
            </w:pPr>
            <w:r w:rsidRPr="009D718D">
              <w:rPr>
                <w:b/>
                <w:sz w:val="20"/>
                <w:szCs w:val="20"/>
              </w:rPr>
              <w:t>d)</w:t>
            </w:r>
            <w:r w:rsidRPr="00696AAC">
              <w:rPr>
                <w:sz w:val="20"/>
                <w:szCs w:val="20"/>
              </w:rPr>
              <w:t xml:space="preserve"> En el reporte de bienes en desuso, hay 151 computadoras portátiles marca DELL, de las cuales no describen los valores, las cuales están como obsoletas y que es necesaria una nueva revisión y emisión del dictamen respectivo; así mismo, hay 99 Cámaras fotográficas digitales marca BENQ y 28 Silla tipo semiejecutiva marca MCONTINENTAL, que necesitan dictamen de la condición. De los bienes descritos no se ha realizado gestión de baja.</w:t>
            </w:r>
          </w:p>
          <w:p w14:paraId="628F9354" w14:textId="77777777" w:rsidR="00D67460" w:rsidRPr="00696AAC" w:rsidRDefault="00D67460" w:rsidP="009D718D">
            <w:pPr>
              <w:rPr>
                <w:sz w:val="20"/>
                <w:szCs w:val="20"/>
              </w:rPr>
            </w:pPr>
          </w:p>
          <w:p w14:paraId="3913F840" w14:textId="77777777" w:rsidR="00D67460" w:rsidRDefault="00D67460" w:rsidP="009D718D">
            <w:pPr>
              <w:rPr>
                <w:sz w:val="20"/>
                <w:szCs w:val="20"/>
              </w:rPr>
            </w:pPr>
            <w:r w:rsidRPr="009D718D">
              <w:rPr>
                <w:b/>
                <w:sz w:val="20"/>
                <w:szCs w:val="20"/>
              </w:rPr>
              <w:t>f)</w:t>
            </w:r>
            <w:r w:rsidRPr="00696AAC">
              <w:rPr>
                <w:sz w:val="20"/>
                <w:szCs w:val="20"/>
              </w:rPr>
              <w:t xml:space="preserve"> El manual de puestos y funciones no está actualizado, lo que no permitió evaluar las funciones del encargado de inventarios.</w:t>
            </w:r>
          </w:p>
          <w:p w14:paraId="4E2776F5" w14:textId="77777777" w:rsidR="00D67460" w:rsidRPr="00696AAC" w:rsidRDefault="00D67460" w:rsidP="009D718D">
            <w:pPr>
              <w:rPr>
                <w:sz w:val="20"/>
                <w:szCs w:val="20"/>
              </w:rPr>
            </w:pPr>
          </w:p>
          <w:p w14:paraId="5B0B6853" w14:textId="77777777" w:rsidR="00D67460" w:rsidRDefault="00D67460" w:rsidP="009D718D">
            <w:pPr>
              <w:rPr>
                <w:sz w:val="20"/>
                <w:szCs w:val="20"/>
              </w:rPr>
            </w:pPr>
            <w:r w:rsidRPr="009D718D">
              <w:rPr>
                <w:b/>
                <w:sz w:val="20"/>
                <w:szCs w:val="20"/>
              </w:rPr>
              <w:t>g)</w:t>
            </w:r>
            <w:r w:rsidRPr="00696AAC">
              <w:rPr>
                <w:sz w:val="20"/>
                <w:szCs w:val="20"/>
              </w:rPr>
              <w:t xml:space="preserve"> Hay bienes no contabilizados por el monto de Q169,752.51 los cuales, a la fecha de la auditoría, están en proceso de regularización ante la Dirección de Contabilidad del Estado.</w:t>
            </w:r>
          </w:p>
          <w:p w14:paraId="5FAE1164" w14:textId="77777777" w:rsidR="00D67460" w:rsidRDefault="00D67460" w:rsidP="009D718D">
            <w:pPr>
              <w:rPr>
                <w:sz w:val="20"/>
                <w:szCs w:val="20"/>
              </w:rPr>
            </w:pPr>
          </w:p>
          <w:p w14:paraId="33DE0FFB" w14:textId="77777777" w:rsidR="00D67460" w:rsidRPr="00950CF8" w:rsidRDefault="00D67460" w:rsidP="00B533A5">
            <w:pPr>
              <w:rPr>
                <w:sz w:val="20"/>
                <w:szCs w:val="20"/>
              </w:rPr>
            </w:pPr>
            <w:r>
              <w:rPr>
                <w:b/>
                <w:sz w:val="20"/>
                <w:szCs w:val="20"/>
              </w:rPr>
              <w:t>j</w:t>
            </w:r>
            <w:r w:rsidRPr="009D718D">
              <w:rPr>
                <w:b/>
                <w:sz w:val="20"/>
                <w:szCs w:val="20"/>
              </w:rPr>
              <w:t>)</w:t>
            </w:r>
            <w:r w:rsidRPr="00696AAC">
              <w:rPr>
                <w:sz w:val="20"/>
                <w:szCs w:val="20"/>
              </w:rPr>
              <w:t xml:space="preserve"> Hay tres vehículos que aparecen registrados en el reporte número R00812354.rpt del SICOIN WEB, que no están incluidos en la Cotización de la Póliza de Seguro No. 73-2022, siendo los siguientes: Vehículo tipo Pick- Up, Marca Nissan, Placa O-0180BBH; Vehículo tipo </w:t>
            </w:r>
          </w:p>
        </w:tc>
        <w:tc>
          <w:tcPr>
            <w:tcW w:w="1559" w:type="dxa"/>
          </w:tcPr>
          <w:p w14:paraId="6917E42D" w14:textId="77777777" w:rsidR="00D67460" w:rsidRDefault="00D67460" w:rsidP="00462E23">
            <w:pPr>
              <w:jc w:val="center"/>
              <w:rPr>
                <w:bCs/>
                <w:sz w:val="20"/>
                <w:szCs w:val="20"/>
              </w:rPr>
            </w:pPr>
          </w:p>
        </w:tc>
        <w:tc>
          <w:tcPr>
            <w:tcW w:w="1276" w:type="dxa"/>
          </w:tcPr>
          <w:p w14:paraId="549983F0" w14:textId="77777777" w:rsidR="00D67460" w:rsidRDefault="00D67460" w:rsidP="005738BF">
            <w:pPr>
              <w:jc w:val="center"/>
              <w:rPr>
                <w:sz w:val="52"/>
                <w:szCs w:val="52"/>
              </w:rPr>
            </w:pPr>
          </w:p>
          <w:p w14:paraId="2067761E" w14:textId="77777777" w:rsidR="00D67460" w:rsidRDefault="00D67460" w:rsidP="005738BF">
            <w:pPr>
              <w:jc w:val="center"/>
              <w:rPr>
                <w:sz w:val="52"/>
                <w:szCs w:val="52"/>
              </w:rPr>
            </w:pPr>
          </w:p>
          <w:p w14:paraId="3C2B0DE7" w14:textId="77777777" w:rsidR="00D67460" w:rsidRDefault="00D67460" w:rsidP="005738BF">
            <w:pPr>
              <w:jc w:val="center"/>
              <w:rPr>
                <w:sz w:val="52"/>
                <w:szCs w:val="52"/>
              </w:rPr>
            </w:pPr>
          </w:p>
          <w:p w14:paraId="5AC128D0" w14:textId="77777777" w:rsidR="00D67460" w:rsidRDefault="00D67460" w:rsidP="005738BF">
            <w:pPr>
              <w:jc w:val="center"/>
              <w:rPr>
                <w:sz w:val="52"/>
                <w:szCs w:val="52"/>
              </w:rPr>
            </w:pPr>
          </w:p>
          <w:p w14:paraId="3F47A1DB" w14:textId="77777777" w:rsidR="00D67460" w:rsidRDefault="00D67460" w:rsidP="005738BF">
            <w:pPr>
              <w:jc w:val="center"/>
              <w:rPr>
                <w:sz w:val="52"/>
                <w:szCs w:val="52"/>
              </w:rPr>
            </w:pPr>
          </w:p>
          <w:p w14:paraId="3A1936C9" w14:textId="77777777" w:rsidR="00D67460" w:rsidRDefault="00D67460" w:rsidP="005738BF">
            <w:pPr>
              <w:jc w:val="center"/>
              <w:rPr>
                <w:sz w:val="52"/>
                <w:szCs w:val="52"/>
              </w:rPr>
            </w:pPr>
          </w:p>
          <w:p w14:paraId="74923B5E" w14:textId="77777777" w:rsidR="00D67460" w:rsidRDefault="00D67460" w:rsidP="005738BF">
            <w:pPr>
              <w:jc w:val="center"/>
              <w:rPr>
                <w:sz w:val="52"/>
                <w:szCs w:val="52"/>
              </w:rPr>
            </w:pPr>
          </w:p>
          <w:p w14:paraId="2D88DC9A" w14:textId="41910C50" w:rsidR="00D67460" w:rsidRDefault="00D67460" w:rsidP="005738BF">
            <w:pPr>
              <w:jc w:val="center"/>
              <w:rPr>
                <w:sz w:val="52"/>
                <w:szCs w:val="52"/>
              </w:rPr>
            </w:pPr>
            <w:r w:rsidRPr="009D1ADB">
              <w:rPr>
                <w:sz w:val="52"/>
                <w:szCs w:val="52"/>
              </w:rPr>
              <w:sym w:font="Wingdings" w:char="F0FC"/>
            </w:r>
          </w:p>
          <w:p w14:paraId="7683BAB0" w14:textId="77777777" w:rsidR="00D67460" w:rsidRDefault="00D67460" w:rsidP="00462E23">
            <w:pPr>
              <w:pStyle w:val="Ttulo2"/>
              <w:rPr>
                <w:sz w:val="52"/>
                <w:szCs w:val="52"/>
              </w:rPr>
            </w:pPr>
          </w:p>
        </w:tc>
        <w:tc>
          <w:tcPr>
            <w:tcW w:w="1134" w:type="dxa"/>
          </w:tcPr>
          <w:p w14:paraId="369DDB5D" w14:textId="77777777" w:rsidR="00D67460" w:rsidRDefault="00D67460" w:rsidP="00B53613">
            <w:pPr>
              <w:jc w:val="center"/>
              <w:rPr>
                <w:sz w:val="52"/>
                <w:szCs w:val="52"/>
              </w:rPr>
            </w:pPr>
          </w:p>
          <w:p w14:paraId="60F54823" w14:textId="77777777" w:rsidR="00D67460" w:rsidRDefault="00D67460" w:rsidP="00B53613">
            <w:pPr>
              <w:jc w:val="center"/>
              <w:rPr>
                <w:sz w:val="52"/>
                <w:szCs w:val="52"/>
              </w:rPr>
            </w:pPr>
          </w:p>
          <w:p w14:paraId="3CDD6040" w14:textId="77777777" w:rsidR="00D67460" w:rsidRDefault="00D67460" w:rsidP="00B53613">
            <w:pPr>
              <w:jc w:val="center"/>
              <w:rPr>
                <w:sz w:val="52"/>
                <w:szCs w:val="52"/>
              </w:rPr>
            </w:pPr>
          </w:p>
          <w:p w14:paraId="13C2428E" w14:textId="77777777" w:rsidR="00D67460" w:rsidRDefault="00D67460" w:rsidP="00B53613">
            <w:pPr>
              <w:jc w:val="center"/>
              <w:rPr>
                <w:sz w:val="52"/>
                <w:szCs w:val="52"/>
              </w:rPr>
            </w:pPr>
            <w:r w:rsidRPr="009D1ADB">
              <w:rPr>
                <w:sz w:val="52"/>
                <w:szCs w:val="52"/>
              </w:rPr>
              <w:sym w:font="Wingdings" w:char="F0FC"/>
            </w:r>
          </w:p>
          <w:p w14:paraId="1E800A1E" w14:textId="77777777" w:rsidR="00D67460" w:rsidRDefault="00D67460" w:rsidP="00462E23">
            <w:pPr>
              <w:jc w:val="center"/>
              <w:rPr>
                <w:sz w:val="52"/>
                <w:szCs w:val="52"/>
              </w:rPr>
            </w:pPr>
          </w:p>
          <w:p w14:paraId="3110F425" w14:textId="77777777" w:rsidR="00D67460" w:rsidRDefault="00D67460" w:rsidP="00462E23">
            <w:pPr>
              <w:jc w:val="center"/>
              <w:rPr>
                <w:sz w:val="52"/>
                <w:szCs w:val="52"/>
              </w:rPr>
            </w:pPr>
          </w:p>
          <w:p w14:paraId="727301B6" w14:textId="77777777" w:rsidR="00D67460" w:rsidRDefault="00D67460" w:rsidP="00462E23">
            <w:pPr>
              <w:jc w:val="center"/>
              <w:rPr>
                <w:sz w:val="52"/>
                <w:szCs w:val="52"/>
              </w:rPr>
            </w:pPr>
          </w:p>
          <w:p w14:paraId="41158DE4" w14:textId="77777777" w:rsidR="00D67460" w:rsidRDefault="00D67460" w:rsidP="00462E23">
            <w:pPr>
              <w:jc w:val="center"/>
              <w:rPr>
                <w:sz w:val="52"/>
                <w:szCs w:val="52"/>
              </w:rPr>
            </w:pPr>
          </w:p>
          <w:p w14:paraId="72F13785" w14:textId="77777777" w:rsidR="00D67460" w:rsidRDefault="00D67460" w:rsidP="00462E23">
            <w:pPr>
              <w:jc w:val="center"/>
              <w:rPr>
                <w:sz w:val="52"/>
                <w:szCs w:val="52"/>
              </w:rPr>
            </w:pPr>
          </w:p>
          <w:p w14:paraId="2AEBE566" w14:textId="77777777" w:rsidR="00D67460" w:rsidRDefault="00D67460" w:rsidP="00462E23">
            <w:pPr>
              <w:jc w:val="center"/>
              <w:rPr>
                <w:sz w:val="52"/>
                <w:szCs w:val="52"/>
              </w:rPr>
            </w:pPr>
          </w:p>
          <w:p w14:paraId="36CC4C1A" w14:textId="77777777" w:rsidR="00D67460" w:rsidRDefault="00D67460" w:rsidP="00462E23">
            <w:pPr>
              <w:jc w:val="center"/>
              <w:rPr>
                <w:sz w:val="52"/>
                <w:szCs w:val="52"/>
              </w:rPr>
            </w:pPr>
          </w:p>
          <w:p w14:paraId="48AE7147" w14:textId="77777777" w:rsidR="00D67460" w:rsidRDefault="00D67460" w:rsidP="00F9648F">
            <w:pPr>
              <w:jc w:val="center"/>
              <w:rPr>
                <w:sz w:val="52"/>
                <w:szCs w:val="52"/>
              </w:rPr>
            </w:pPr>
            <w:r w:rsidRPr="009D1ADB">
              <w:rPr>
                <w:sz w:val="52"/>
                <w:szCs w:val="52"/>
              </w:rPr>
              <w:sym w:font="Wingdings" w:char="F0FC"/>
            </w:r>
          </w:p>
          <w:p w14:paraId="673C9DBD" w14:textId="77777777" w:rsidR="00D67460" w:rsidRDefault="00D67460" w:rsidP="00462E23">
            <w:pPr>
              <w:jc w:val="center"/>
              <w:rPr>
                <w:sz w:val="52"/>
                <w:szCs w:val="52"/>
              </w:rPr>
            </w:pPr>
          </w:p>
        </w:tc>
        <w:tc>
          <w:tcPr>
            <w:tcW w:w="1417" w:type="dxa"/>
          </w:tcPr>
          <w:p w14:paraId="1B7C398C" w14:textId="77777777" w:rsidR="00D67460" w:rsidRDefault="00D67460" w:rsidP="00462E23">
            <w:pPr>
              <w:jc w:val="center"/>
              <w:rPr>
                <w:sz w:val="52"/>
                <w:szCs w:val="52"/>
              </w:rPr>
            </w:pPr>
          </w:p>
        </w:tc>
        <w:tc>
          <w:tcPr>
            <w:tcW w:w="3969" w:type="dxa"/>
          </w:tcPr>
          <w:p w14:paraId="4B346478" w14:textId="77777777" w:rsidR="00D67460" w:rsidRDefault="00D67460" w:rsidP="009D718D">
            <w:pPr>
              <w:pStyle w:val="Prrafodelista"/>
              <w:ind w:left="0"/>
              <w:rPr>
                <w:sz w:val="20"/>
                <w:szCs w:val="20"/>
              </w:rPr>
            </w:pPr>
            <w:r>
              <w:rPr>
                <w:sz w:val="20"/>
                <w:szCs w:val="20"/>
              </w:rPr>
              <w:t xml:space="preserve">las tarjetas de responsabilidad de activos fijos. </w:t>
            </w:r>
          </w:p>
          <w:p w14:paraId="33FF320D" w14:textId="77777777" w:rsidR="00D67460" w:rsidRDefault="00D67460" w:rsidP="009D718D">
            <w:pPr>
              <w:pStyle w:val="Prrafodelista"/>
              <w:ind w:left="0"/>
              <w:rPr>
                <w:sz w:val="20"/>
                <w:szCs w:val="20"/>
              </w:rPr>
            </w:pPr>
          </w:p>
          <w:p w14:paraId="602FEA1F" w14:textId="77777777" w:rsidR="00D67460" w:rsidRDefault="00D67460" w:rsidP="009D718D">
            <w:pPr>
              <w:pStyle w:val="Prrafodelista"/>
              <w:ind w:left="0"/>
              <w:rPr>
                <w:sz w:val="20"/>
                <w:szCs w:val="20"/>
              </w:rPr>
            </w:pPr>
            <w:r>
              <w:rPr>
                <w:sz w:val="20"/>
                <w:szCs w:val="20"/>
              </w:rPr>
              <w:t>En virtud de lo anterior, la recomendación se da por realizada o cumplida.</w:t>
            </w:r>
          </w:p>
          <w:p w14:paraId="29359974" w14:textId="77777777" w:rsidR="00D67460" w:rsidRDefault="00D67460" w:rsidP="009D718D">
            <w:pPr>
              <w:pStyle w:val="Prrafodelista"/>
              <w:ind w:left="0"/>
              <w:rPr>
                <w:sz w:val="20"/>
                <w:szCs w:val="20"/>
              </w:rPr>
            </w:pPr>
          </w:p>
          <w:p w14:paraId="084CCA17" w14:textId="77777777" w:rsidR="00D67460" w:rsidRDefault="00D67460" w:rsidP="009D718D">
            <w:pPr>
              <w:pStyle w:val="Prrafodelista"/>
              <w:ind w:left="0"/>
              <w:rPr>
                <w:sz w:val="20"/>
                <w:szCs w:val="20"/>
              </w:rPr>
            </w:pPr>
            <w:r w:rsidRPr="00F56F78">
              <w:rPr>
                <w:b/>
                <w:sz w:val="20"/>
                <w:szCs w:val="20"/>
              </w:rPr>
              <w:t>b)</w:t>
            </w:r>
            <w:r>
              <w:rPr>
                <w:b/>
                <w:sz w:val="20"/>
                <w:szCs w:val="20"/>
              </w:rPr>
              <w:t xml:space="preserve"> </w:t>
            </w:r>
            <w:r w:rsidRPr="00F56F78">
              <w:rPr>
                <w:b/>
                <w:sz w:val="20"/>
                <w:szCs w:val="20"/>
              </w:rPr>
              <w:t xml:space="preserve"> </w:t>
            </w:r>
            <w:r w:rsidRPr="00B53613">
              <w:rPr>
                <w:sz w:val="20"/>
                <w:szCs w:val="20"/>
              </w:rPr>
              <w:t>L</w:t>
            </w:r>
            <w:r>
              <w:rPr>
                <w:sz w:val="20"/>
                <w:szCs w:val="20"/>
              </w:rPr>
              <w:t xml:space="preserve">a presente recomendación continua en proceso, de conformidad con lo informado por DIGEMOCA, lo cual se transcribe literalmente: “Se encuentra en proceso la revisión física del inventario 2022, misma que se proyecta finalizar en el mes de noviembre del presente año con el fin de realizar las actualizaciones de los registros”. </w:t>
            </w:r>
          </w:p>
          <w:p w14:paraId="04F18AC2" w14:textId="77777777" w:rsidR="00D67460" w:rsidRDefault="00D67460" w:rsidP="009D718D">
            <w:pPr>
              <w:pStyle w:val="Prrafodelista"/>
              <w:ind w:left="0"/>
              <w:rPr>
                <w:sz w:val="20"/>
                <w:szCs w:val="20"/>
              </w:rPr>
            </w:pPr>
          </w:p>
          <w:p w14:paraId="4164E302" w14:textId="77777777" w:rsidR="00D67460" w:rsidRDefault="00D67460" w:rsidP="009D718D">
            <w:pPr>
              <w:pStyle w:val="Prrafodelista"/>
              <w:ind w:left="0"/>
              <w:rPr>
                <w:sz w:val="20"/>
                <w:szCs w:val="20"/>
              </w:rPr>
            </w:pPr>
            <w:r w:rsidRPr="00B53613">
              <w:rPr>
                <w:b/>
                <w:sz w:val="20"/>
                <w:szCs w:val="20"/>
              </w:rPr>
              <w:t xml:space="preserve">c) </w:t>
            </w:r>
            <w:r w:rsidRPr="005738BF">
              <w:rPr>
                <w:sz w:val="20"/>
                <w:szCs w:val="20"/>
              </w:rPr>
              <w:t>S</w:t>
            </w:r>
            <w:r w:rsidRPr="00807780">
              <w:rPr>
                <w:sz w:val="20"/>
                <w:szCs w:val="20"/>
              </w:rPr>
              <w:t>e presentó evidenc</w:t>
            </w:r>
            <w:r>
              <w:rPr>
                <w:sz w:val="20"/>
                <w:szCs w:val="20"/>
              </w:rPr>
              <w:t>ia documental del traslado de bienes muebles con afectación en el Libro de Inventarios, en 18 Direcciones Departamentales de Educación, con un valor de Q35,821,171.00, que se encontraba en proceso, para el cumplimiento de la referida recomendación.</w:t>
            </w:r>
          </w:p>
          <w:p w14:paraId="566595D9" w14:textId="77777777" w:rsidR="00D67460" w:rsidRDefault="00D67460" w:rsidP="009D718D">
            <w:pPr>
              <w:pStyle w:val="Prrafodelista"/>
              <w:ind w:left="0"/>
              <w:rPr>
                <w:sz w:val="20"/>
                <w:szCs w:val="20"/>
              </w:rPr>
            </w:pPr>
          </w:p>
          <w:p w14:paraId="123282AC" w14:textId="77777777" w:rsidR="00D67460" w:rsidRDefault="00D67460" w:rsidP="009D718D">
            <w:pPr>
              <w:pStyle w:val="Prrafodelista"/>
              <w:ind w:left="0"/>
              <w:rPr>
                <w:sz w:val="20"/>
                <w:szCs w:val="20"/>
              </w:rPr>
            </w:pPr>
            <w:r>
              <w:rPr>
                <w:sz w:val="20"/>
                <w:szCs w:val="20"/>
              </w:rPr>
              <w:t xml:space="preserve">Derivado de lo indicado, la recomendación se considera realizada o cumplida.  </w:t>
            </w:r>
          </w:p>
          <w:p w14:paraId="36CBB5FC" w14:textId="77777777" w:rsidR="00D67460" w:rsidRDefault="00D67460" w:rsidP="009D718D">
            <w:pPr>
              <w:pStyle w:val="Prrafodelista"/>
              <w:ind w:left="0"/>
              <w:rPr>
                <w:sz w:val="20"/>
                <w:szCs w:val="20"/>
              </w:rPr>
            </w:pPr>
          </w:p>
          <w:p w14:paraId="4011528C" w14:textId="77777777" w:rsidR="00D67460" w:rsidRPr="00B53613" w:rsidRDefault="00D67460" w:rsidP="006A11BC">
            <w:pPr>
              <w:pStyle w:val="Prrafodelista"/>
              <w:ind w:left="0"/>
              <w:rPr>
                <w:sz w:val="20"/>
                <w:szCs w:val="20"/>
              </w:rPr>
            </w:pPr>
            <w:r w:rsidRPr="00E97B48">
              <w:rPr>
                <w:b/>
                <w:sz w:val="20"/>
                <w:szCs w:val="20"/>
              </w:rPr>
              <w:t>d)</w:t>
            </w:r>
            <w:r>
              <w:rPr>
                <w:sz w:val="20"/>
                <w:szCs w:val="20"/>
              </w:rPr>
              <w:t xml:space="preserve"> En relación al seguimiento de la recomendación, se presentó la siguiente evidencia: i) las gestiones realizadas para el proceso de baja de 25 sillas con un valor de Q15,060.00, en el Sistema de Gestión de Resoluciones de Bienes Muebles Dirección de Bienes del Estado -SIGERBIM-; y </w:t>
            </w:r>
            <w:proofErr w:type="spellStart"/>
            <w:r>
              <w:rPr>
                <w:sz w:val="20"/>
                <w:szCs w:val="20"/>
              </w:rPr>
              <w:t>ii</w:t>
            </w:r>
            <w:proofErr w:type="spellEnd"/>
            <w:r>
              <w:rPr>
                <w:sz w:val="20"/>
                <w:szCs w:val="20"/>
              </w:rPr>
              <w:t xml:space="preserve">) Solicitud realizada a la Dirección de Informática, de los dictámenes técnicos para 112 computadoras </w:t>
            </w:r>
          </w:p>
        </w:tc>
      </w:tr>
      <w:tr w:rsidR="00D67460" w:rsidRPr="00E40274" w14:paraId="36F1960C" w14:textId="77777777" w:rsidTr="00D67460">
        <w:trPr>
          <w:trHeight w:val="409"/>
          <w:jc w:val="center"/>
        </w:trPr>
        <w:tc>
          <w:tcPr>
            <w:tcW w:w="495" w:type="dxa"/>
            <w:vMerge w:val="restart"/>
            <w:vAlign w:val="center"/>
          </w:tcPr>
          <w:p w14:paraId="418E64E1" w14:textId="77777777" w:rsidR="00D67460" w:rsidRDefault="00D67460" w:rsidP="00F9243D">
            <w:pPr>
              <w:jc w:val="center"/>
              <w:rPr>
                <w:b/>
                <w:bCs/>
                <w:sz w:val="22"/>
              </w:rPr>
            </w:pPr>
            <w:r>
              <w:rPr>
                <w:b/>
                <w:bCs/>
                <w:sz w:val="22"/>
              </w:rPr>
              <w:lastRenderedPageBreak/>
              <w:t>No.</w:t>
            </w:r>
          </w:p>
        </w:tc>
        <w:tc>
          <w:tcPr>
            <w:tcW w:w="4462" w:type="dxa"/>
            <w:vMerge w:val="restart"/>
            <w:vAlign w:val="center"/>
          </w:tcPr>
          <w:p w14:paraId="0EC0EB93" w14:textId="77777777" w:rsidR="00D67460" w:rsidRDefault="00D67460" w:rsidP="00F9243D">
            <w:pPr>
              <w:jc w:val="center"/>
              <w:rPr>
                <w:b/>
                <w:bCs/>
                <w:sz w:val="22"/>
              </w:rPr>
            </w:pPr>
            <w:r>
              <w:rPr>
                <w:b/>
                <w:bCs/>
                <w:sz w:val="22"/>
              </w:rPr>
              <w:t>Condición y Recomendación</w:t>
            </w:r>
          </w:p>
        </w:tc>
        <w:tc>
          <w:tcPr>
            <w:tcW w:w="1559" w:type="dxa"/>
            <w:vMerge w:val="restart"/>
            <w:vAlign w:val="center"/>
          </w:tcPr>
          <w:p w14:paraId="1A1A2618" w14:textId="77777777" w:rsidR="00D67460" w:rsidRDefault="00D67460" w:rsidP="00F9243D">
            <w:pPr>
              <w:jc w:val="center"/>
              <w:rPr>
                <w:b/>
                <w:bCs/>
                <w:sz w:val="22"/>
              </w:rPr>
            </w:pPr>
            <w:r>
              <w:rPr>
                <w:b/>
                <w:bCs/>
                <w:sz w:val="22"/>
              </w:rPr>
              <w:t>Nombre del responsable</w:t>
            </w:r>
          </w:p>
        </w:tc>
        <w:tc>
          <w:tcPr>
            <w:tcW w:w="3827" w:type="dxa"/>
            <w:gridSpan w:val="3"/>
            <w:vAlign w:val="center"/>
          </w:tcPr>
          <w:p w14:paraId="78342954" w14:textId="77777777" w:rsidR="00D67460" w:rsidRDefault="00D67460" w:rsidP="00F9243D">
            <w:pPr>
              <w:jc w:val="center"/>
              <w:rPr>
                <w:sz w:val="52"/>
                <w:szCs w:val="52"/>
              </w:rPr>
            </w:pPr>
            <w:r>
              <w:rPr>
                <w:b/>
                <w:bCs/>
                <w:sz w:val="22"/>
              </w:rPr>
              <w:t>Situación</w:t>
            </w:r>
          </w:p>
        </w:tc>
        <w:tc>
          <w:tcPr>
            <w:tcW w:w="3969" w:type="dxa"/>
            <w:vMerge w:val="restart"/>
            <w:vAlign w:val="center"/>
          </w:tcPr>
          <w:p w14:paraId="042267B7" w14:textId="77777777" w:rsidR="00D67460" w:rsidRDefault="00D67460" w:rsidP="00F9243D">
            <w:pPr>
              <w:pStyle w:val="Prrafodelista"/>
              <w:rPr>
                <w:b/>
                <w:sz w:val="20"/>
                <w:szCs w:val="20"/>
              </w:rPr>
            </w:pPr>
            <w:r>
              <w:rPr>
                <w:b/>
                <w:bCs/>
                <w:sz w:val="22"/>
              </w:rPr>
              <w:t>Observaciones</w:t>
            </w:r>
          </w:p>
        </w:tc>
      </w:tr>
      <w:tr w:rsidR="00D67460" w:rsidRPr="00E40274" w14:paraId="2179FD7E" w14:textId="77777777" w:rsidTr="00D67460">
        <w:trPr>
          <w:trHeight w:val="429"/>
          <w:jc w:val="center"/>
        </w:trPr>
        <w:tc>
          <w:tcPr>
            <w:tcW w:w="495" w:type="dxa"/>
            <w:vMerge/>
            <w:vAlign w:val="center"/>
          </w:tcPr>
          <w:p w14:paraId="6D161788" w14:textId="77777777" w:rsidR="00D67460" w:rsidRDefault="00D67460" w:rsidP="00F9243D">
            <w:pPr>
              <w:jc w:val="center"/>
              <w:rPr>
                <w:b/>
                <w:bCs/>
                <w:sz w:val="22"/>
              </w:rPr>
            </w:pPr>
          </w:p>
        </w:tc>
        <w:tc>
          <w:tcPr>
            <w:tcW w:w="4462" w:type="dxa"/>
            <w:vMerge/>
            <w:vAlign w:val="center"/>
          </w:tcPr>
          <w:p w14:paraId="0391C00F" w14:textId="77777777" w:rsidR="00D67460" w:rsidRDefault="00D67460" w:rsidP="00F9243D">
            <w:pPr>
              <w:jc w:val="center"/>
              <w:rPr>
                <w:b/>
                <w:bCs/>
                <w:sz w:val="22"/>
              </w:rPr>
            </w:pPr>
          </w:p>
        </w:tc>
        <w:tc>
          <w:tcPr>
            <w:tcW w:w="1559" w:type="dxa"/>
            <w:vMerge/>
            <w:vAlign w:val="center"/>
          </w:tcPr>
          <w:p w14:paraId="0981B879" w14:textId="77777777" w:rsidR="00D67460" w:rsidRDefault="00D67460" w:rsidP="00F9243D">
            <w:pPr>
              <w:jc w:val="center"/>
              <w:rPr>
                <w:b/>
                <w:bCs/>
                <w:sz w:val="22"/>
              </w:rPr>
            </w:pPr>
          </w:p>
        </w:tc>
        <w:tc>
          <w:tcPr>
            <w:tcW w:w="1276" w:type="dxa"/>
            <w:vAlign w:val="center"/>
          </w:tcPr>
          <w:p w14:paraId="508EB633" w14:textId="77777777" w:rsidR="00D67460" w:rsidRDefault="00D67460" w:rsidP="00F9243D">
            <w:pPr>
              <w:jc w:val="center"/>
              <w:rPr>
                <w:b/>
                <w:bCs/>
                <w:sz w:val="22"/>
              </w:rPr>
            </w:pPr>
            <w:r>
              <w:rPr>
                <w:b/>
                <w:bCs/>
                <w:sz w:val="22"/>
              </w:rPr>
              <w:t>Realizada</w:t>
            </w:r>
          </w:p>
        </w:tc>
        <w:tc>
          <w:tcPr>
            <w:tcW w:w="1134" w:type="dxa"/>
            <w:vAlign w:val="center"/>
          </w:tcPr>
          <w:p w14:paraId="0DF09DDE" w14:textId="77777777" w:rsidR="00D67460" w:rsidRPr="00F9243D" w:rsidRDefault="00D67460" w:rsidP="00F9243D">
            <w:pPr>
              <w:jc w:val="center"/>
              <w:rPr>
                <w:b/>
                <w:bCs/>
                <w:sz w:val="22"/>
              </w:rPr>
            </w:pPr>
            <w:r w:rsidRPr="00F9243D">
              <w:rPr>
                <w:b/>
                <w:bCs/>
                <w:sz w:val="22"/>
              </w:rPr>
              <w:t>Proceso</w:t>
            </w:r>
          </w:p>
        </w:tc>
        <w:tc>
          <w:tcPr>
            <w:tcW w:w="1417" w:type="dxa"/>
            <w:vAlign w:val="center"/>
          </w:tcPr>
          <w:p w14:paraId="62E5113B" w14:textId="77777777" w:rsidR="00D67460" w:rsidRPr="00F9243D" w:rsidRDefault="00D67460" w:rsidP="00F9243D">
            <w:pPr>
              <w:jc w:val="center"/>
              <w:rPr>
                <w:b/>
                <w:bCs/>
                <w:sz w:val="22"/>
              </w:rPr>
            </w:pPr>
            <w:r w:rsidRPr="00F9243D">
              <w:rPr>
                <w:b/>
                <w:bCs/>
                <w:sz w:val="22"/>
              </w:rPr>
              <w:t>Pendiente</w:t>
            </w:r>
          </w:p>
        </w:tc>
        <w:tc>
          <w:tcPr>
            <w:tcW w:w="3969" w:type="dxa"/>
            <w:vMerge/>
          </w:tcPr>
          <w:p w14:paraId="08D2FE7F" w14:textId="77777777" w:rsidR="00D67460" w:rsidRDefault="00D67460" w:rsidP="00F9243D">
            <w:pPr>
              <w:pStyle w:val="Prrafodelista"/>
              <w:rPr>
                <w:b/>
                <w:bCs/>
                <w:sz w:val="22"/>
              </w:rPr>
            </w:pPr>
          </w:p>
        </w:tc>
      </w:tr>
      <w:tr w:rsidR="00D67460" w:rsidRPr="00E40274" w14:paraId="721539B8" w14:textId="77777777" w:rsidTr="00D67460">
        <w:trPr>
          <w:trHeight w:val="550"/>
          <w:jc w:val="center"/>
        </w:trPr>
        <w:tc>
          <w:tcPr>
            <w:tcW w:w="495" w:type="dxa"/>
            <w:vAlign w:val="center"/>
          </w:tcPr>
          <w:p w14:paraId="5FFE9CD1" w14:textId="77777777" w:rsidR="00D67460" w:rsidRPr="00D3761F" w:rsidRDefault="00D67460" w:rsidP="0007401F">
            <w:pPr>
              <w:jc w:val="center"/>
              <w:rPr>
                <w:b/>
                <w:bCs/>
              </w:rPr>
            </w:pPr>
          </w:p>
        </w:tc>
        <w:tc>
          <w:tcPr>
            <w:tcW w:w="4462" w:type="dxa"/>
            <w:vAlign w:val="center"/>
          </w:tcPr>
          <w:p w14:paraId="45D2FA28" w14:textId="77777777" w:rsidR="00D67460" w:rsidRDefault="00D67460" w:rsidP="00BB2A95">
            <w:pPr>
              <w:rPr>
                <w:b/>
                <w:sz w:val="20"/>
                <w:szCs w:val="20"/>
              </w:rPr>
            </w:pPr>
          </w:p>
          <w:p w14:paraId="49D3B084" w14:textId="77777777" w:rsidR="00D67460" w:rsidRDefault="00D67460" w:rsidP="00B533A5">
            <w:pPr>
              <w:rPr>
                <w:sz w:val="20"/>
                <w:szCs w:val="20"/>
              </w:rPr>
            </w:pPr>
            <w:r w:rsidRPr="00696AAC">
              <w:rPr>
                <w:sz w:val="20"/>
                <w:szCs w:val="20"/>
              </w:rPr>
              <w:t>Pick- Up, Marca Nissan, Placa O- 0189BBH; y Vehículo tipo Pick- Up, Marca Nissan Estilo Frontier B22 4X4 D/C, No. Chasis 3N6Pd23Y6Zk927555, No. Motor YD25 604037P, Color Verde Obscuro Metálico, del cual se desconoce el número de placa. Los tres vehículos no aparecen en el Certificado</w:t>
            </w:r>
            <w:r>
              <w:rPr>
                <w:sz w:val="20"/>
                <w:szCs w:val="20"/>
              </w:rPr>
              <w:t xml:space="preserve"> </w:t>
            </w:r>
            <w:r w:rsidRPr="00696AAC">
              <w:rPr>
                <w:sz w:val="20"/>
                <w:szCs w:val="20"/>
              </w:rPr>
              <w:t>de Vehículos emitido por la Encargada del Inventario.</w:t>
            </w:r>
          </w:p>
          <w:p w14:paraId="59278594" w14:textId="77777777" w:rsidR="00D67460" w:rsidRDefault="00D67460" w:rsidP="00BB2A95">
            <w:pPr>
              <w:rPr>
                <w:sz w:val="20"/>
                <w:szCs w:val="20"/>
              </w:rPr>
            </w:pPr>
          </w:p>
          <w:p w14:paraId="5C3C5F7F" w14:textId="77777777" w:rsidR="00D67460" w:rsidRPr="00F33DBC" w:rsidRDefault="00D67460" w:rsidP="00BB2A95">
            <w:pPr>
              <w:rPr>
                <w:b/>
                <w:sz w:val="20"/>
                <w:szCs w:val="20"/>
              </w:rPr>
            </w:pPr>
            <w:r w:rsidRPr="00F33DBC">
              <w:rPr>
                <w:b/>
                <w:sz w:val="20"/>
                <w:szCs w:val="20"/>
              </w:rPr>
              <w:t>RECOMENDACIONES</w:t>
            </w:r>
          </w:p>
          <w:p w14:paraId="13287816" w14:textId="77777777" w:rsidR="00D67460" w:rsidRDefault="00D67460" w:rsidP="00BB2A95">
            <w:pPr>
              <w:rPr>
                <w:sz w:val="20"/>
                <w:szCs w:val="20"/>
              </w:rPr>
            </w:pPr>
          </w:p>
          <w:p w14:paraId="12939B84" w14:textId="77777777" w:rsidR="00D67460" w:rsidRDefault="00D67460" w:rsidP="0052728F">
            <w:pPr>
              <w:rPr>
                <w:sz w:val="20"/>
                <w:szCs w:val="20"/>
              </w:rPr>
            </w:pPr>
            <w:r w:rsidRPr="003A0A0C">
              <w:rPr>
                <w:sz w:val="20"/>
                <w:szCs w:val="20"/>
              </w:rPr>
              <w:t xml:space="preserve">Que el </w:t>
            </w:r>
            <w:proofErr w:type="gramStart"/>
            <w:r w:rsidRPr="003A0A0C">
              <w:rPr>
                <w:sz w:val="20"/>
                <w:szCs w:val="20"/>
              </w:rPr>
              <w:t>Director</w:t>
            </w:r>
            <w:proofErr w:type="gramEnd"/>
            <w:r w:rsidRPr="003A0A0C">
              <w:rPr>
                <w:sz w:val="20"/>
                <w:szCs w:val="20"/>
              </w:rPr>
              <w:t xml:space="preserve"> de la Dirección General de Monitoreo y Verificación de la Calidad, gire instrucciones por escrito y de seguimiento a las mismas para que la Subdirectora Administrativa Financiera, en coordinación con el Coordinador Administrativo Financiero y la Encargada de Inventarios procedan a lo siguiente:</w:t>
            </w:r>
          </w:p>
          <w:p w14:paraId="43C1E148" w14:textId="77777777" w:rsidR="00D67460" w:rsidRPr="003A0A0C" w:rsidRDefault="00D67460" w:rsidP="0052728F">
            <w:pPr>
              <w:rPr>
                <w:sz w:val="20"/>
                <w:szCs w:val="20"/>
              </w:rPr>
            </w:pPr>
          </w:p>
          <w:p w14:paraId="7FEC682F" w14:textId="77777777" w:rsidR="00D67460" w:rsidRDefault="00D67460" w:rsidP="0052728F">
            <w:pPr>
              <w:rPr>
                <w:sz w:val="20"/>
                <w:szCs w:val="20"/>
              </w:rPr>
            </w:pPr>
            <w:r w:rsidRPr="003A0A0C">
              <w:rPr>
                <w:b/>
                <w:sz w:val="20"/>
                <w:szCs w:val="20"/>
              </w:rPr>
              <w:t>a)</w:t>
            </w:r>
            <w:r>
              <w:rPr>
                <w:sz w:val="20"/>
                <w:szCs w:val="20"/>
              </w:rPr>
              <w:t xml:space="preserve"> </w:t>
            </w:r>
            <w:r w:rsidRPr="003A0A0C">
              <w:rPr>
                <w:sz w:val="20"/>
                <w:szCs w:val="20"/>
              </w:rPr>
              <w:t>Se utilice el formulario que corresponda de acuerdo a lo establecido en el Sistema de Gestión de la Calidad, así mismo que en el espacio de "OBSERVACIONES" de la tarjeta de responsabilidad, se anote, como ejemplo, lo siguiente: "De acuerdo al formulario ADQ-FOR-33 o INV-FOR-03, se realiza la presente alza o baja, por lo que el bien se traslada a la tarjeta No. XXX del servidor público XXX, o bien se traslada a la bodega de bienes en resguardo".</w:t>
            </w:r>
          </w:p>
          <w:p w14:paraId="2B65DBE5" w14:textId="77777777" w:rsidR="00D67460" w:rsidRPr="003A0A0C" w:rsidRDefault="00D67460" w:rsidP="0052728F">
            <w:pPr>
              <w:rPr>
                <w:sz w:val="20"/>
                <w:szCs w:val="20"/>
              </w:rPr>
            </w:pPr>
          </w:p>
          <w:p w14:paraId="24632BCA" w14:textId="786097EE" w:rsidR="00D67460" w:rsidRPr="00722C05" w:rsidRDefault="00D67460" w:rsidP="00F60ADD">
            <w:pPr>
              <w:rPr>
                <w:sz w:val="20"/>
                <w:szCs w:val="20"/>
              </w:rPr>
            </w:pPr>
            <w:r w:rsidRPr="003A0A0C">
              <w:rPr>
                <w:sz w:val="20"/>
                <w:szCs w:val="20"/>
              </w:rPr>
              <w:t>Así mismo, aunque fueron agregados los bienes que no figuraban en la tarjeta de responsabilidad, correspondiente a un armario y una estantería, estos corresponden a la muestra revisada, por lo que se recomienda verificar las tarjetas del resto del personal, para constatar que no esté ocurriendo la misma situación.</w:t>
            </w:r>
          </w:p>
        </w:tc>
        <w:tc>
          <w:tcPr>
            <w:tcW w:w="1559" w:type="dxa"/>
          </w:tcPr>
          <w:p w14:paraId="0B93AF3D" w14:textId="77777777" w:rsidR="00D67460" w:rsidRDefault="00D67460" w:rsidP="0007401F">
            <w:pPr>
              <w:jc w:val="center"/>
              <w:rPr>
                <w:bCs/>
                <w:sz w:val="20"/>
                <w:szCs w:val="20"/>
              </w:rPr>
            </w:pPr>
          </w:p>
          <w:p w14:paraId="3BB67C3F" w14:textId="77777777" w:rsidR="00D67460" w:rsidRDefault="00D67460" w:rsidP="0007401F">
            <w:pPr>
              <w:jc w:val="center"/>
              <w:rPr>
                <w:bCs/>
                <w:sz w:val="20"/>
                <w:szCs w:val="20"/>
              </w:rPr>
            </w:pPr>
          </w:p>
          <w:p w14:paraId="62C9427E" w14:textId="77777777" w:rsidR="00D67460" w:rsidRDefault="00D67460" w:rsidP="0007401F">
            <w:pPr>
              <w:jc w:val="center"/>
              <w:rPr>
                <w:bCs/>
                <w:sz w:val="20"/>
                <w:szCs w:val="20"/>
              </w:rPr>
            </w:pPr>
          </w:p>
          <w:p w14:paraId="5E08D229" w14:textId="77777777" w:rsidR="00D67460" w:rsidRPr="009D1ADB" w:rsidRDefault="00D67460" w:rsidP="0007401F">
            <w:pPr>
              <w:jc w:val="center"/>
              <w:rPr>
                <w:bCs/>
                <w:sz w:val="20"/>
                <w:szCs w:val="20"/>
              </w:rPr>
            </w:pPr>
          </w:p>
        </w:tc>
        <w:tc>
          <w:tcPr>
            <w:tcW w:w="1276" w:type="dxa"/>
          </w:tcPr>
          <w:p w14:paraId="13734870" w14:textId="77777777" w:rsidR="00D67460" w:rsidRDefault="00D67460" w:rsidP="0007401F">
            <w:pPr>
              <w:pStyle w:val="Ttulo2"/>
              <w:rPr>
                <w:sz w:val="52"/>
                <w:szCs w:val="52"/>
              </w:rPr>
            </w:pPr>
          </w:p>
          <w:p w14:paraId="48AEA67C" w14:textId="77777777" w:rsidR="00D67460" w:rsidRPr="00E40274" w:rsidRDefault="00D67460" w:rsidP="00722C05">
            <w:pPr>
              <w:jc w:val="center"/>
              <w:rPr>
                <w:sz w:val="20"/>
                <w:szCs w:val="20"/>
              </w:rPr>
            </w:pPr>
          </w:p>
        </w:tc>
        <w:tc>
          <w:tcPr>
            <w:tcW w:w="1134" w:type="dxa"/>
          </w:tcPr>
          <w:p w14:paraId="6F35CCEB" w14:textId="77777777" w:rsidR="00D67460" w:rsidRDefault="00D67460" w:rsidP="0007401F">
            <w:pPr>
              <w:jc w:val="center"/>
              <w:rPr>
                <w:sz w:val="52"/>
                <w:szCs w:val="52"/>
              </w:rPr>
            </w:pPr>
          </w:p>
          <w:p w14:paraId="7E034675" w14:textId="77777777" w:rsidR="00D67460" w:rsidRDefault="00D67460" w:rsidP="0007401F">
            <w:pPr>
              <w:jc w:val="center"/>
              <w:rPr>
                <w:sz w:val="52"/>
                <w:szCs w:val="52"/>
              </w:rPr>
            </w:pPr>
          </w:p>
          <w:p w14:paraId="5EB2F6B4" w14:textId="77777777" w:rsidR="00D67460" w:rsidRDefault="00D67460" w:rsidP="0007401F">
            <w:pPr>
              <w:jc w:val="center"/>
              <w:rPr>
                <w:sz w:val="52"/>
                <w:szCs w:val="52"/>
              </w:rPr>
            </w:pPr>
          </w:p>
          <w:p w14:paraId="12AF4F81" w14:textId="77777777" w:rsidR="00D67460" w:rsidRDefault="00D67460" w:rsidP="0007401F">
            <w:pPr>
              <w:jc w:val="center"/>
              <w:rPr>
                <w:sz w:val="52"/>
                <w:szCs w:val="52"/>
              </w:rPr>
            </w:pPr>
          </w:p>
          <w:p w14:paraId="2852F7AB" w14:textId="77777777" w:rsidR="00F60ADD" w:rsidRDefault="00F60ADD" w:rsidP="00A45B18">
            <w:pPr>
              <w:jc w:val="center"/>
              <w:rPr>
                <w:sz w:val="52"/>
                <w:szCs w:val="52"/>
              </w:rPr>
            </w:pPr>
          </w:p>
          <w:p w14:paraId="41DEDF07" w14:textId="72FB28A3" w:rsidR="00D67460" w:rsidRDefault="00D67460" w:rsidP="00A45B18">
            <w:pPr>
              <w:jc w:val="center"/>
              <w:rPr>
                <w:sz w:val="52"/>
                <w:szCs w:val="52"/>
              </w:rPr>
            </w:pPr>
            <w:r w:rsidRPr="009D1ADB">
              <w:rPr>
                <w:sz w:val="52"/>
                <w:szCs w:val="52"/>
              </w:rPr>
              <w:sym w:font="Wingdings" w:char="F0FC"/>
            </w:r>
          </w:p>
          <w:p w14:paraId="1E1EDBAC" w14:textId="77777777" w:rsidR="00D67460" w:rsidRDefault="00D67460" w:rsidP="0007401F">
            <w:pPr>
              <w:jc w:val="center"/>
              <w:rPr>
                <w:b/>
                <w:bCs/>
                <w:sz w:val="20"/>
                <w:szCs w:val="20"/>
              </w:rPr>
            </w:pPr>
          </w:p>
          <w:p w14:paraId="20DE1DF1" w14:textId="77777777" w:rsidR="00D67460" w:rsidRDefault="00D67460" w:rsidP="0007401F">
            <w:pPr>
              <w:jc w:val="center"/>
              <w:rPr>
                <w:b/>
                <w:bCs/>
                <w:sz w:val="20"/>
                <w:szCs w:val="20"/>
              </w:rPr>
            </w:pPr>
          </w:p>
          <w:p w14:paraId="042F72D5" w14:textId="77777777" w:rsidR="00D67460" w:rsidRDefault="00D67460" w:rsidP="0007401F">
            <w:pPr>
              <w:jc w:val="center"/>
              <w:rPr>
                <w:b/>
                <w:bCs/>
                <w:sz w:val="20"/>
                <w:szCs w:val="20"/>
              </w:rPr>
            </w:pPr>
          </w:p>
          <w:p w14:paraId="2B550569" w14:textId="77777777" w:rsidR="00D67460" w:rsidRDefault="00D67460" w:rsidP="0007401F">
            <w:pPr>
              <w:jc w:val="center"/>
              <w:rPr>
                <w:b/>
                <w:bCs/>
                <w:sz w:val="20"/>
                <w:szCs w:val="20"/>
              </w:rPr>
            </w:pPr>
          </w:p>
          <w:p w14:paraId="77BD512D" w14:textId="77777777" w:rsidR="00D67460" w:rsidRDefault="00D67460" w:rsidP="0007401F">
            <w:pPr>
              <w:jc w:val="center"/>
              <w:rPr>
                <w:b/>
                <w:bCs/>
                <w:sz w:val="20"/>
                <w:szCs w:val="20"/>
              </w:rPr>
            </w:pPr>
          </w:p>
          <w:p w14:paraId="174CD364" w14:textId="77777777" w:rsidR="00D67460" w:rsidRDefault="00D67460" w:rsidP="0007401F">
            <w:pPr>
              <w:jc w:val="center"/>
              <w:rPr>
                <w:b/>
                <w:bCs/>
                <w:sz w:val="20"/>
                <w:szCs w:val="20"/>
              </w:rPr>
            </w:pPr>
          </w:p>
          <w:p w14:paraId="79565FF1" w14:textId="77777777" w:rsidR="00D67460" w:rsidRDefault="00D67460" w:rsidP="00A45B18">
            <w:pPr>
              <w:jc w:val="center"/>
              <w:rPr>
                <w:sz w:val="52"/>
                <w:szCs w:val="52"/>
              </w:rPr>
            </w:pPr>
            <w:r w:rsidRPr="009D1ADB">
              <w:rPr>
                <w:sz w:val="52"/>
                <w:szCs w:val="52"/>
              </w:rPr>
              <w:sym w:font="Wingdings" w:char="F0FC"/>
            </w:r>
          </w:p>
          <w:p w14:paraId="01AB9EBC" w14:textId="77777777" w:rsidR="00D67460" w:rsidRDefault="00D67460" w:rsidP="00A45B18">
            <w:pPr>
              <w:jc w:val="center"/>
              <w:rPr>
                <w:sz w:val="52"/>
                <w:szCs w:val="52"/>
              </w:rPr>
            </w:pPr>
          </w:p>
          <w:p w14:paraId="320B34F3" w14:textId="11F417BE" w:rsidR="00F60ADD" w:rsidRDefault="00F60ADD" w:rsidP="00A45B18">
            <w:pPr>
              <w:jc w:val="center"/>
              <w:rPr>
                <w:sz w:val="52"/>
                <w:szCs w:val="52"/>
              </w:rPr>
            </w:pPr>
          </w:p>
          <w:p w14:paraId="2624C8E6" w14:textId="2CB18A16" w:rsidR="00D67460" w:rsidRDefault="00D67460" w:rsidP="00A45B18">
            <w:pPr>
              <w:jc w:val="center"/>
              <w:rPr>
                <w:sz w:val="52"/>
                <w:szCs w:val="52"/>
              </w:rPr>
            </w:pPr>
            <w:r w:rsidRPr="009D1ADB">
              <w:rPr>
                <w:sz w:val="52"/>
                <w:szCs w:val="52"/>
              </w:rPr>
              <w:sym w:font="Wingdings" w:char="F0FC"/>
            </w:r>
          </w:p>
          <w:p w14:paraId="6C3BF499" w14:textId="77777777" w:rsidR="00D67460" w:rsidRPr="00E40274" w:rsidRDefault="00D67460" w:rsidP="0007401F">
            <w:pPr>
              <w:jc w:val="center"/>
              <w:rPr>
                <w:b/>
                <w:bCs/>
                <w:sz w:val="20"/>
                <w:szCs w:val="20"/>
              </w:rPr>
            </w:pPr>
          </w:p>
        </w:tc>
        <w:tc>
          <w:tcPr>
            <w:tcW w:w="1417" w:type="dxa"/>
          </w:tcPr>
          <w:p w14:paraId="532371A4" w14:textId="77777777" w:rsidR="00D67460" w:rsidRDefault="00D67460" w:rsidP="0007401F">
            <w:pPr>
              <w:jc w:val="center"/>
              <w:rPr>
                <w:sz w:val="52"/>
                <w:szCs w:val="52"/>
              </w:rPr>
            </w:pPr>
          </w:p>
          <w:p w14:paraId="11CB7553" w14:textId="77777777" w:rsidR="00D67460" w:rsidRDefault="00D67460" w:rsidP="0007401F">
            <w:pPr>
              <w:jc w:val="center"/>
              <w:rPr>
                <w:sz w:val="52"/>
                <w:szCs w:val="52"/>
              </w:rPr>
            </w:pPr>
          </w:p>
          <w:p w14:paraId="4560B556" w14:textId="77777777" w:rsidR="00D67460" w:rsidRDefault="00D67460" w:rsidP="0007401F">
            <w:pPr>
              <w:jc w:val="center"/>
              <w:rPr>
                <w:sz w:val="52"/>
                <w:szCs w:val="52"/>
              </w:rPr>
            </w:pPr>
          </w:p>
          <w:p w14:paraId="2A198952" w14:textId="77777777" w:rsidR="00D67460" w:rsidRDefault="00D67460" w:rsidP="0007401F">
            <w:pPr>
              <w:jc w:val="center"/>
              <w:rPr>
                <w:sz w:val="52"/>
                <w:szCs w:val="52"/>
              </w:rPr>
            </w:pPr>
          </w:p>
          <w:p w14:paraId="30B5E9E7" w14:textId="77777777" w:rsidR="00D67460" w:rsidRPr="00E40274" w:rsidRDefault="00D67460" w:rsidP="0045354B">
            <w:pPr>
              <w:jc w:val="center"/>
              <w:rPr>
                <w:b/>
                <w:bCs/>
                <w:sz w:val="20"/>
                <w:szCs w:val="20"/>
              </w:rPr>
            </w:pPr>
          </w:p>
        </w:tc>
        <w:tc>
          <w:tcPr>
            <w:tcW w:w="3969" w:type="dxa"/>
          </w:tcPr>
          <w:p w14:paraId="4DDB17F6" w14:textId="77777777" w:rsidR="00D67460" w:rsidRDefault="00D67460" w:rsidP="00A567B5">
            <w:pPr>
              <w:pStyle w:val="Prrafodelista"/>
              <w:ind w:left="0"/>
              <w:rPr>
                <w:sz w:val="20"/>
                <w:szCs w:val="20"/>
              </w:rPr>
            </w:pPr>
          </w:p>
          <w:p w14:paraId="6933186C" w14:textId="77777777" w:rsidR="00D67460" w:rsidRDefault="00D67460" w:rsidP="00A567B5">
            <w:pPr>
              <w:pStyle w:val="Prrafodelista"/>
              <w:ind w:left="0"/>
              <w:rPr>
                <w:sz w:val="20"/>
                <w:szCs w:val="20"/>
              </w:rPr>
            </w:pPr>
            <w:r>
              <w:rPr>
                <w:sz w:val="20"/>
                <w:szCs w:val="20"/>
              </w:rPr>
              <w:t>portátiles marca DELL.</w:t>
            </w:r>
          </w:p>
          <w:p w14:paraId="683CE231" w14:textId="77777777" w:rsidR="00D67460" w:rsidRDefault="00D67460" w:rsidP="00A567B5">
            <w:pPr>
              <w:pStyle w:val="Prrafodelista"/>
              <w:ind w:left="0"/>
              <w:rPr>
                <w:sz w:val="20"/>
                <w:szCs w:val="20"/>
              </w:rPr>
            </w:pPr>
            <w:r>
              <w:rPr>
                <w:sz w:val="20"/>
                <w:szCs w:val="20"/>
              </w:rPr>
              <w:t xml:space="preserve"> </w:t>
            </w:r>
          </w:p>
          <w:p w14:paraId="02BE4E6B" w14:textId="77777777" w:rsidR="00D67460" w:rsidRDefault="00D67460" w:rsidP="00A567B5">
            <w:pPr>
              <w:pStyle w:val="Prrafodelista"/>
              <w:ind w:left="0"/>
              <w:rPr>
                <w:sz w:val="20"/>
                <w:szCs w:val="20"/>
              </w:rPr>
            </w:pPr>
            <w:r>
              <w:rPr>
                <w:sz w:val="20"/>
                <w:szCs w:val="20"/>
              </w:rPr>
              <w:t>No se presentó argumentos o documentación relacionada a 99 c</w:t>
            </w:r>
            <w:r w:rsidRPr="00696AAC">
              <w:rPr>
                <w:sz w:val="20"/>
                <w:szCs w:val="20"/>
              </w:rPr>
              <w:t>ámaras fotográficas digitales marca BENQ</w:t>
            </w:r>
            <w:r>
              <w:rPr>
                <w:sz w:val="20"/>
                <w:szCs w:val="20"/>
              </w:rPr>
              <w:t xml:space="preserve"> que están en desuso.</w:t>
            </w:r>
          </w:p>
          <w:p w14:paraId="59D2FF77" w14:textId="77777777" w:rsidR="00D67460" w:rsidRDefault="00D67460" w:rsidP="00A567B5">
            <w:pPr>
              <w:pStyle w:val="Prrafodelista"/>
              <w:ind w:left="0"/>
              <w:rPr>
                <w:sz w:val="20"/>
                <w:szCs w:val="20"/>
              </w:rPr>
            </w:pPr>
          </w:p>
          <w:p w14:paraId="0E9F529A" w14:textId="77777777" w:rsidR="00D67460" w:rsidRDefault="00D67460" w:rsidP="00A567B5">
            <w:pPr>
              <w:pStyle w:val="Prrafodelista"/>
              <w:ind w:left="0"/>
              <w:rPr>
                <w:sz w:val="20"/>
                <w:szCs w:val="20"/>
              </w:rPr>
            </w:pPr>
            <w:r>
              <w:rPr>
                <w:sz w:val="20"/>
                <w:szCs w:val="20"/>
              </w:rPr>
              <w:t>Con base en lo anterior, la recomendación se considera en proceso.</w:t>
            </w:r>
          </w:p>
          <w:p w14:paraId="11308450" w14:textId="77777777" w:rsidR="00D67460" w:rsidRDefault="00D67460" w:rsidP="00A567B5">
            <w:pPr>
              <w:pStyle w:val="Prrafodelista"/>
              <w:ind w:left="0"/>
              <w:rPr>
                <w:sz w:val="20"/>
                <w:szCs w:val="20"/>
              </w:rPr>
            </w:pPr>
          </w:p>
          <w:p w14:paraId="0D50A48B" w14:textId="77777777" w:rsidR="00D67460" w:rsidRDefault="00D67460" w:rsidP="00A567B5">
            <w:pPr>
              <w:pStyle w:val="Prrafodelista"/>
              <w:ind w:left="0"/>
              <w:rPr>
                <w:sz w:val="20"/>
                <w:szCs w:val="20"/>
              </w:rPr>
            </w:pPr>
            <w:r w:rsidRPr="004C367C">
              <w:rPr>
                <w:b/>
                <w:sz w:val="20"/>
                <w:szCs w:val="20"/>
              </w:rPr>
              <w:t>f)</w:t>
            </w:r>
            <w:r>
              <w:rPr>
                <w:sz w:val="20"/>
                <w:szCs w:val="20"/>
              </w:rPr>
              <w:t xml:space="preserve"> </w:t>
            </w:r>
            <w:r w:rsidRPr="00B53613">
              <w:rPr>
                <w:sz w:val="20"/>
                <w:szCs w:val="20"/>
              </w:rPr>
              <w:t>L</w:t>
            </w:r>
            <w:r>
              <w:rPr>
                <w:sz w:val="20"/>
                <w:szCs w:val="20"/>
              </w:rPr>
              <w:t>a presente recomendación continua en proceso, de conformidad con lo informado por DIGEMOCA, lo cual se transcribe literalmente</w:t>
            </w:r>
            <w:proofErr w:type="gramStart"/>
            <w:r>
              <w:rPr>
                <w:sz w:val="20"/>
                <w:szCs w:val="20"/>
              </w:rPr>
              <w:t>: ”</w:t>
            </w:r>
            <w:proofErr w:type="gramEnd"/>
            <w:r>
              <w:rPr>
                <w:sz w:val="20"/>
                <w:szCs w:val="20"/>
              </w:rPr>
              <w:t xml:space="preserve">(…) la persona responsable del proceso (…) se encuentra suspendida por el Instituto Guatemalteco de Seguridad Social -IGSS-,a su retorno se dará seguimiento al proceso”, se adjunta copia de la referida suspensión.  </w:t>
            </w:r>
          </w:p>
          <w:p w14:paraId="69C513CD" w14:textId="77777777" w:rsidR="00D67460" w:rsidRDefault="00D67460" w:rsidP="00A567B5">
            <w:pPr>
              <w:pStyle w:val="Prrafodelista"/>
              <w:ind w:left="0"/>
              <w:rPr>
                <w:sz w:val="20"/>
                <w:szCs w:val="20"/>
              </w:rPr>
            </w:pPr>
          </w:p>
          <w:p w14:paraId="48959F3A" w14:textId="77777777" w:rsidR="00D67460" w:rsidRDefault="00D67460" w:rsidP="00A567B5">
            <w:pPr>
              <w:pStyle w:val="Prrafodelista"/>
              <w:ind w:left="0"/>
              <w:rPr>
                <w:sz w:val="20"/>
                <w:szCs w:val="20"/>
              </w:rPr>
            </w:pPr>
            <w:r w:rsidRPr="00A45B18">
              <w:rPr>
                <w:b/>
                <w:sz w:val="20"/>
                <w:szCs w:val="20"/>
              </w:rPr>
              <w:t>g)</w:t>
            </w:r>
            <w:r>
              <w:rPr>
                <w:b/>
                <w:sz w:val="20"/>
                <w:szCs w:val="20"/>
              </w:rPr>
              <w:t xml:space="preserve"> </w:t>
            </w:r>
            <w:r w:rsidRPr="00B53613">
              <w:rPr>
                <w:sz w:val="20"/>
                <w:szCs w:val="20"/>
              </w:rPr>
              <w:t>L</w:t>
            </w:r>
            <w:r>
              <w:rPr>
                <w:sz w:val="20"/>
                <w:szCs w:val="20"/>
              </w:rPr>
              <w:t>a presente recomendación continua en proceso, de conformidad con lo informado por DIGEMOCA, lo cual se transcribe literalmente: “El trámite se encuentra en el estado reportado por medio del oficio DIGEMOCA No. 496-2022 de fecha 11 de agosto de 2022, estando en proceso de cumplimiento.</w:t>
            </w:r>
          </w:p>
          <w:p w14:paraId="2F0A424C" w14:textId="77777777" w:rsidR="00D67460" w:rsidRDefault="00D67460" w:rsidP="00A567B5">
            <w:pPr>
              <w:pStyle w:val="Prrafodelista"/>
              <w:ind w:left="0"/>
              <w:rPr>
                <w:b/>
                <w:sz w:val="20"/>
                <w:szCs w:val="20"/>
              </w:rPr>
            </w:pPr>
          </w:p>
          <w:p w14:paraId="379E295D" w14:textId="77777777" w:rsidR="00D67460" w:rsidRDefault="00D67460" w:rsidP="00A45B18">
            <w:pPr>
              <w:pStyle w:val="Prrafodelista"/>
              <w:ind w:left="0"/>
              <w:rPr>
                <w:sz w:val="20"/>
                <w:szCs w:val="20"/>
              </w:rPr>
            </w:pPr>
            <w:r>
              <w:rPr>
                <w:b/>
                <w:sz w:val="20"/>
                <w:szCs w:val="20"/>
              </w:rPr>
              <w:t xml:space="preserve">j) </w:t>
            </w:r>
            <w:r>
              <w:rPr>
                <w:sz w:val="20"/>
                <w:szCs w:val="20"/>
              </w:rPr>
              <w:t xml:space="preserve">No se presentó argumentos o pruebas de respaldo con relación al seguimiento a la presente recomendación, por tal razón, en concordancia con el Informe </w:t>
            </w:r>
            <w:r w:rsidRPr="006A11BC">
              <w:rPr>
                <w:sz w:val="20"/>
                <w:szCs w:val="20"/>
              </w:rPr>
              <w:t>O-DIDAI/SUB-146-2022-B, esta se encuentra en proceso.</w:t>
            </w:r>
          </w:p>
          <w:p w14:paraId="49A5A0C3" w14:textId="77777777" w:rsidR="00D67460" w:rsidRPr="00950CF8" w:rsidRDefault="00D67460" w:rsidP="00A45B18">
            <w:pPr>
              <w:pStyle w:val="Prrafodelista"/>
              <w:ind w:left="0"/>
              <w:rPr>
                <w:sz w:val="20"/>
                <w:szCs w:val="20"/>
              </w:rPr>
            </w:pPr>
          </w:p>
        </w:tc>
      </w:tr>
      <w:tr w:rsidR="00D67460" w:rsidRPr="00E40274" w14:paraId="3716E9C2" w14:textId="77777777" w:rsidTr="00D67460">
        <w:trPr>
          <w:trHeight w:val="416"/>
          <w:jc w:val="center"/>
        </w:trPr>
        <w:tc>
          <w:tcPr>
            <w:tcW w:w="495" w:type="dxa"/>
            <w:vMerge w:val="restart"/>
            <w:vAlign w:val="center"/>
          </w:tcPr>
          <w:p w14:paraId="335442BA" w14:textId="77777777" w:rsidR="00D67460" w:rsidRDefault="00D67460" w:rsidP="0007401F">
            <w:pPr>
              <w:jc w:val="center"/>
              <w:rPr>
                <w:b/>
                <w:bCs/>
                <w:sz w:val="22"/>
              </w:rPr>
            </w:pPr>
            <w:r>
              <w:rPr>
                <w:b/>
                <w:bCs/>
                <w:sz w:val="22"/>
              </w:rPr>
              <w:lastRenderedPageBreak/>
              <w:t>No.</w:t>
            </w:r>
          </w:p>
        </w:tc>
        <w:tc>
          <w:tcPr>
            <w:tcW w:w="4462" w:type="dxa"/>
            <w:vMerge w:val="restart"/>
            <w:vAlign w:val="center"/>
          </w:tcPr>
          <w:p w14:paraId="4290AF37" w14:textId="77777777" w:rsidR="00D67460" w:rsidRDefault="00D67460" w:rsidP="0007401F">
            <w:pPr>
              <w:jc w:val="center"/>
              <w:rPr>
                <w:b/>
                <w:bCs/>
                <w:sz w:val="22"/>
              </w:rPr>
            </w:pPr>
            <w:r>
              <w:rPr>
                <w:b/>
                <w:bCs/>
                <w:sz w:val="22"/>
              </w:rPr>
              <w:t>Condición y Recomendación</w:t>
            </w:r>
          </w:p>
        </w:tc>
        <w:tc>
          <w:tcPr>
            <w:tcW w:w="1559" w:type="dxa"/>
            <w:vMerge w:val="restart"/>
            <w:vAlign w:val="center"/>
          </w:tcPr>
          <w:p w14:paraId="439E9C0F" w14:textId="77777777" w:rsidR="00D67460" w:rsidRDefault="00D67460" w:rsidP="0007401F">
            <w:pPr>
              <w:jc w:val="center"/>
              <w:rPr>
                <w:b/>
                <w:bCs/>
                <w:sz w:val="22"/>
              </w:rPr>
            </w:pPr>
            <w:r>
              <w:rPr>
                <w:b/>
                <w:bCs/>
                <w:sz w:val="22"/>
              </w:rPr>
              <w:t>Nombre del responsable</w:t>
            </w:r>
          </w:p>
        </w:tc>
        <w:tc>
          <w:tcPr>
            <w:tcW w:w="3827" w:type="dxa"/>
            <w:gridSpan w:val="3"/>
            <w:vAlign w:val="center"/>
          </w:tcPr>
          <w:p w14:paraId="36D5C570" w14:textId="77777777" w:rsidR="00D67460" w:rsidRDefault="00D67460" w:rsidP="0007401F">
            <w:pPr>
              <w:jc w:val="center"/>
              <w:rPr>
                <w:sz w:val="52"/>
                <w:szCs w:val="52"/>
              </w:rPr>
            </w:pPr>
            <w:r>
              <w:rPr>
                <w:b/>
                <w:bCs/>
                <w:sz w:val="22"/>
              </w:rPr>
              <w:t>Situación</w:t>
            </w:r>
          </w:p>
        </w:tc>
        <w:tc>
          <w:tcPr>
            <w:tcW w:w="3969" w:type="dxa"/>
            <w:vMerge w:val="restart"/>
            <w:vAlign w:val="center"/>
          </w:tcPr>
          <w:p w14:paraId="4204394C" w14:textId="77777777" w:rsidR="00D67460" w:rsidRDefault="00D67460" w:rsidP="0007401F">
            <w:pPr>
              <w:pStyle w:val="Prrafodelista"/>
              <w:rPr>
                <w:b/>
                <w:bCs/>
                <w:sz w:val="22"/>
              </w:rPr>
            </w:pPr>
            <w:r>
              <w:rPr>
                <w:b/>
                <w:bCs/>
                <w:sz w:val="22"/>
              </w:rPr>
              <w:t>Observaciones</w:t>
            </w:r>
          </w:p>
        </w:tc>
      </w:tr>
      <w:tr w:rsidR="00D67460" w:rsidRPr="00E40274" w14:paraId="1CED2634" w14:textId="77777777" w:rsidTr="00D67460">
        <w:trPr>
          <w:trHeight w:val="420"/>
          <w:jc w:val="center"/>
        </w:trPr>
        <w:tc>
          <w:tcPr>
            <w:tcW w:w="495" w:type="dxa"/>
            <w:vMerge/>
            <w:vAlign w:val="center"/>
          </w:tcPr>
          <w:p w14:paraId="05128674" w14:textId="77777777" w:rsidR="00D67460" w:rsidRDefault="00D67460" w:rsidP="0007401F">
            <w:pPr>
              <w:jc w:val="center"/>
              <w:rPr>
                <w:b/>
                <w:bCs/>
                <w:sz w:val="22"/>
              </w:rPr>
            </w:pPr>
          </w:p>
        </w:tc>
        <w:tc>
          <w:tcPr>
            <w:tcW w:w="4462" w:type="dxa"/>
            <w:vMerge/>
            <w:vAlign w:val="center"/>
          </w:tcPr>
          <w:p w14:paraId="32BCD4DA" w14:textId="77777777" w:rsidR="00D67460" w:rsidRDefault="00D67460" w:rsidP="0007401F">
            <w:pPr>
              <w:jc w:val="center"/>
              <w:rPr>
                <w:b/>
                <w:bCs/>
                <w:sz w:val="22"/>
              </w:rPr>
            </w:pPr>
          </w:p>
        </w:tc>
        <w:tc>
          <w:tcPr>
            <w:tcW w:w="1559" w:type="dxa"/>
            <w:vMerge/>
            <w:vAlign w:val="center"/>
          </w:tcPr>
          <w:p w14:paraId="113E7854" w14:textId="77777777" w:rsidR="00D67460" w:rsidRDefault="00D67460" w:rsidP="0007401F">
            <w:pPr>
              <w:jc w:val="center"/>
              <w:rPr>
                <w:b/>
                <w:bCs/>
                <w:sz w:val="22"/>
              </w:rPr>
            </w:pPr>
          </w:p>
        </w:tc>
        <w:tc>
          <w:tcPr>
            <w:tcW w:w="1276" w:type="dxa"/>
            <w:vAlign w:val="center"/>
          </w:tcPr>
          <w:p w14:paraId="249AECC8" w14:textId="77777777" w:rsidR="00D67460" w:rsidRDefault="00D67460" w:rsidP="0007401F">
            <w:pPr>
              <w:jc w:val="center"/>
              <w:rPr>
                <w:b/>
                <w:bCs/>
                <w:sz w:val="22"/>
              </w:rPr>
            </w:pPr>
            <w:r>
              <w:rPr>
                <w:b/>
                <w:bCs/>
                <w:sz w:val="22"/>
              </w:rPr>
              <w:t>Realizada</w:t>
            </w:r>
          </w:p>
        </w:tc>
        <w:tc>
          <w:tcPr>
            <w:tcW w:w="1134" w:type="dxa"/>
            <w:vAlign w:val="center"/>
          </w:tcPr>
          <w:p w14:paraId="667A8C52" w14:textId="77777777" w:rsidR="00D67460" w:rsidRPr="00F9243D" w:rsidRDefault="00D67460" w:rsidP="0007401F">
            <w:pPr>
              <w:jc w:val="center"/>
              <w:rPr>
                <w:b/>
                <w:bCs/>
                <w:sz w:val="22"/>
              </w:rPr>
            </w:pPr>
            <w:r w:rsidRPr="00F9243D">
              <w:rPr>
                <w:b/>
                <w:bCs/>
                <w:sz w:val="22"/>
              </w:rPr>
              <w:t>Proceso</w:t>
            </w:r>
          </w:p>
        </w:tc>
        <w:tc>
          <w:tcPr>
            <w:tcW w:w="1417" w:type="dxa"/>
            <w:vAlign w:val="center"/>
          </w:tcPr>
          <w:p w14:paraId="06661390" w14:textId="77777777" w:rsidR="00D67460" w:rsidRPr="00F9243D" w:rsidRDefault="00D67460" w:rsidP="0007401F">
            <w:pPr>
              <w:jc w:val="center"/>
              <w:rPr>
                <w:b/>
                <w:bCs/>
                <w:sz w:val="22"/>
              </w:rPr>
            </w:pPr>
            <w:r w:rsidRPr="00F9243D">
              <w:rPr>
                <w:b/>
                <w:bCs/>
                <w:sz w:val="22"/>
              </w:rPr>
              <w:t>Pendiente</w:t>
            </w:r>
          </w:p>
        </w:tc>
        <w:tc>
          <w:tcPr>
            <w:tcW w:w="3969" w:type="dxa"/>
            <w:vMerge/>
          </w:tcPr>
          <w:p w14:paraId="150932C3" w14:textId="77777777" w:rsidR="00D67460" w:rsidRDefault="00D67460" w:rsidP="0007401F">
            <w:pPr>
              <w:pStyle w:val="Prrafodelista"/>
              <w:rPr>
                <w:b/>
                <w:bCs/>
                <w:sz w:val="22"/>
              </w:rPr>
            </w:pPr>
          </w:p>
        </w:tc>
      </w:tr>
      <w:tr w:rsidR="00D67460" w:rsidRPr="00E40274" w14:paraId="064C2588" w14:textId="77777777" w:rsidTr="00D67460">
        <w:trPr>
          <w:trHeight w:val="550"/>
          <w:jc w:val="center"/>
        </w:trPr>
        <w:tc>
          <w:tcPr>
            <w:tcW w:w="495" w:type="dxa"/>
            <w:tcBorders>
              <w:bottom w:val="single" w:sz="4" w:space="0" w:color="auto"/>
            </w:tcBorders>
            <w:vAlign w:val="center"/>
          </w:tcPr>
          <w:p w14:paraId="50DF57AE" w14:textId="77777777" w:rsidR="00D67460" w:rsidRDefault="00D67460" w:rsidP="0007401F">
            <w:pPr>
              <w:jc w:val="center"/>
              <w:rPr>
                <w:b/>
                <w:bCs/>
                <w:sz w:val="22"/>
              </w:rPr>
            </w:pPr>
          </w:p>
        </w:tc>
        <w:tc>
          <w:tcPr>
            <w:tcW w:w="4462" w:type="dxa"/>
            <w:vAlign w:val="center"/>
          </w:tcPr>
          <w:p w14:paraId="2333904B" w14:textId="77777777" w:rsidR="00D67460" w:rsidRDefault="00D67460" w:rsidP="0052728F">
            <w:pPr>
              <w:rPr>
                <w:sz w:val="20"/>
                <w:szCs w:val="20"/>
              </w:rPr>
            </w:pPr>
            <w:r w:rsidRPr="003A0A0C">
              <w:rPr>
                <w:b/>
                <w:sz w:val="20"/>
                <w:szCs w:val="20"/>
              </w:rPr>
              <w:t>b)</w:t>
            </w:r>
            <w:r>
              <w:rPr>
                <w:sz w:val="20"/>
                <w:szCs w:val="20"/>
              </w:rPr>
              <w:t xml:space="preserve"> </w:t>
            </w:r>
            <w:r w:rsidRPr="003A0A0C">
              <w:rPr>
                <w:sz w:val="20"/>
                <w:szCs w:val="20"/>
              </w:rPr>
              <w:t>Revisar la totalidad de la información contenida en el reporte del inventario físico, y realizar las actualizaciones de registro en las tarjetas de responsabilidad.</w:t>
            </w:r>
          </w:p>
          <w:p w14:paraId="0C335E2C" w14:textId="77777777" w:rsidR="00D67460" w:rsidRPr="003A0A0C" w:rsidRDefault="00D67460" w:rsidP="0052728F">
            <w:pPr>
              <w:rPr>
                <w:sz w:val="20"/>
                <w:szCs w:val="20"/>
              </w:rPr>
            </w:pPr>
          </w:p>
          <w:p w14:paraId="29B0780E" w14:textId="77777777" w:rsidR="00D67460" w:rsidRDefault="00D67460" w:rsidP="0052728F">
            <w:pPr>
              <w:rPr>
                <w:sz w:val="20"/>
                <w:szCs w:val="20"/>
              </w:rPr>
            </w:pPr>
            <w:r w:rsidRPr="003A0A0C">
              <w:rPr>
                <w:b/>
                <w:sz w:val="20"/>
                <w:szCs w:val="20"/>
              </w:rPr>
              <w:t>c)</w:t>
            </w:r>
            <w:r>
              <w:rPr>
                <w:sz w:val="20"/>
                <w:szCs w:val="20"/>
              </w:rPr>
              <w:t xml:space="preserve"> </w:t>
            </w:r>
            <w:r w:rsidRPr="003A0A0C">
              <w:rPr>
                <w:sz w:val="20"/>
                <w:szCs w:val="20"/>
              </w:rPr>
              <w:t>Continuar con el proceso de traslado de bienes a las Direcciones Departamentales de Educación, con carácter de urgencia, así como proceder de forma inmediata con el registro de los bienes pendiente de asignar en tarjetas de responsabilidad.</w:t>
            </w:r>
          </w:p>
          <w:p w14:paraId="71FA8228" w14:textId="77777777" w:rsidR="00D67460" w:rsidRPr="003A0A0C" w:rsidRDefault="00D67460" w:rsidP="0052728F">
            <w:pPr>
              <w:rPr>
                <w:sz w:val="20"/>
                <w:szCs w:val="20"/>
              </w:rPr>
            </w:pPr>
          </w:p>
          <w:p w14:paraId="326026E7" w14:textId="77777777" w:rsidR="00D67460" w:rsidRDefault="00D67460" w:rsidP="0052728F">
            <w:pPr>
              <w:rPr>
                <w:sz w:val="20"/>
                <w:szCs w:val="20"/>
              </w:rPr>
            </w:pPr>
            <w:r w:rsidRPr="003A0A0C">
              <w:rPr>
                <w:b/>
                <w:sz w:val="20"/>
                <w:szCs w:val="20"/>
              </w:rPr>
              <w:t>d)</w:t>
            </w:r>
            <w:r>
              <w:rPr>
                <w:sz w:val="20"/>
                <w:szCs w:val="20"/>
              </w:rPr>
              <w:t xml:space="preserve"> </w:t>
            </w:r>
            <w:r w:rsidRPr="003A0A0C">
              <w:rPr>
                <w:sz w:val="20"/>
                <w:szCs w:val="20"/>
              </w:rPr>
              <w:t>Dar seguimiento a la respuesta de las dependencias correspondientes, para continuar y finalizar el trámite correspondiente de baja, según las condiciones de los bienes descritos en la deficiencia.</w:t>
            </w:r>
          </w:p>
          <w:p w14:paraId="2DC134D3" w14:textId="77777777" w:rsidR="00D67460" w:rsidRPr="003A0A0C" w:rsidRDefault="00D67460" w:rsidP="0052728F">
            <w:pPr>
              <w:rPr>
                <w:sz w:val="20"/>
                <w:szCs w:val="20"/>
              </w:rPr>
            </w:pPr>
          </w:p>
          <w:p w14:paraId="68145260" w14:textId="77777777" w:rsidR="00D67460" w:rsidRDefault="00D67460" w:rsidP="0052728F">
            <w:pPr>
              <w:rPr>
                <w:sz w:val="20"/>
                <w:szCs w:val="20"/>
              </w:rPr>
            </w:pPr>
            <w:r w:rsidRPr="003A0A0C">
              <w:rPr>
                <w:b/>
                <w:sz w:val="20"/>
                <w:szCs w:val="20"/>
              </w:rPr>
              <w:t>f)</w:t>
            </w:r>
            <w:r>
              <w:rPr>
                <w:sz w:val="20"/>
                <w:szCs w:val="20"/>
              </w:rPr>
              <w:t xml:space="preserve"> </w:t>
            </w:r>
            <w:r w:rsidRPr="003A0A0C">
              <w:rPr>
                <w:sz w:val="20"/>
                <w:szCs w:val="20"/>
              </w:rPr>
              <w:t>Continuar las gestiones dirigidas a culminar el establecimiento de la Reestructura de la Dirección General de Monitoreo y Verificación de la Calidad -DIGEMOCA-, lo que permitirá que elaboren el Manual de Puestos y Funciones respectivo.</w:t>
            </w:r>
          </w:p>
          <w:p w14:paraId="6EA910E7" w14:textId="77777777" w:rsidR="00D67460" w:rsidRPr="003A0A0C" w:rsidRDefault="00D67460" w:rsidP="0052728F">
            <w:pPr>
              <w:rPr>
                <w:sz w:val="20"/>
                <w:szCs w:val="20"/>
              </w:rPr>
            </w:pPr>
          </w:p>
          <w:p w14:paraId="66FA5A90" w14:textId="77777777" w:rsidR="00D67460" w:rsidRDefault="00D67460" w:rsidP="0052728F">
            <w:pPr>
              <w:rPr>
                <w:sz w:val="20"/>
                <w:szCs w:val="20"/>
              </w:rPr>
            </w:pPr>
            <w:r w:rsidRPr="003A0A0C">
              <w:rPr>
                <w:b/>
                <w:sz w:val="20"/>
                <w:szCs w:val="20"/>
              </w:rPr>
              <w:t>g)</w:t>
            </w:r>
            <w:r>
              <w:rPr>
                <w:sz w:val="20"/>
                <w:szCs w:val="20"/>
              </w:rPr>
              <w:t xml:space="preserve"> </w:t>
            </w:r>
            <w:r w:rsidRPr="003A0A0C">
              <w:rPr>
                <w:sz w:val="20"/>
                <w:szCs w:val="20"/>
              </w:rPr>
              <w:t>Dar seguimiento a las acciones correspondientes, para continuar y finalizar la regularización de los bienes no contabilizados.</w:t>
            </w:r>
          </w:p>
          <w:p w14:paraId="2D712ED7" w14:textId="77777777" w:rsidR="00D67460" w:rsidRPr="003A0A0C" w:rsidRDefault="00D67460" w:rsidP="0052728F">
            <w:pPr>
              <w:rPr>
                <w:sz w:val="20"/>
                <w:szCs w:val="20"/>
              </w:rPr>
            </w:pPr>
          </w:p>
          <w:p w14:paraId="6A1EB07D" w14:textId="77777777" w:rsidR="00D67460" w:rsidRDefault="00D67460" w:rsidP="00A45B18">
            <w:pPr>
              <w:rPr>
                <w:b/>
                <w:bCs/>
                <w:sz w:val="22"/>
              </w:rPr>
            </w:pPr>
            <w:r w:rsidRPr="003A0A0C">
              <w:rPr>
                <w:b/>
                <w:sz w:val="20"/>
                <w:szCs w:val="20"/>
              </w:rPr>
              <w:t>j)</w:t>
            </w:r>
            <w:r w:rsidRPr="003A0A0C">
              <w:rPr>
                <w:sz w:val="20"/>
                <w:szCs w:val="20"/>
              </w:rPr>
              <w:t xml:space="preserve"> Dar seguimiento a las gestiones legales y administrativas, así como realizar las acciones que se consideren necesarias, respecto a la reposición del vehículo placa</w:t>
            </w:r>
            <w:r>
              <w:rPr>
                <w:sz w:val="20"/>
                <w:szCs w:val="20"/>
              </w:rPr>
              <w:t xml:space="preserve"> </w:t>
            </w:r>
            <w:r w:rsidRPr="003A0A0C">
              <w:rPr>
                <w:sz w:val="20"/>
                <w:szCs w:val="20"/>
              </w:rPr>
              <w:t>O-180-BBH, por parte del piloto responsable. Así mismo, a los trámites para finalizar la reposición o traslado de los vehículos placas O-0189BBH; y, O-566BBS, para finalizar los registros correspondientes en el inventario de bienes de la entidad.</w:t>
            </w:r>
          </w:p>
        </w:tc>
        <w:tc>
          <w:tcPr>
            <w:tcW w:w="1559" w:type="dxa"/>
            <w:vAlign w:val="center"/>
          </w:tcPr>
          <w:p w14:paraId="3665A911" w14:textId="77777777" w:rsidR="00D67460" w:rsidRDefault="00D67460" w:rsidP="0007401F">
            <w:pPr>
              <w:jc w:val="center"/>
              <w:rPr>
                <w:b/>
                <w:bCs/>
                <w:sz w:val="22"/>
              </w:rPr>
            </w:pPr>
          </w:p>
        </w:tc>
        <w:tc>
          <w:tcPr>
            <w:tcW w:w="1276" w:type="dxa"/>
            <w:vAlign w:val="center"/>
          </w:tcPr>
          <w:p w14:paraId="7513BC1A" w14:textId="77777777" w:rsidR="00D67460" w:rsidRDefault="00D67460" w:rsidP="0007401F">
            <w:pPr>
              <w:jc w:val="center"/>
              <w:rPr>
                <w:b/>
                <w:bCs/>
                <w:sz w:val="22"/>
              </w:rPr>
            </w:pPr>
          </w:p>
        </w:tc>
        <w:tc>
          <w:tcPr>
            <w:tcW w:w="1134" w:type="dxa"/>
            <w:vAlign w:val="center"/>
          </w:tcPr>
          <w:p w14:paraId="112423DD" w14:textId="77777777" w:rsidR="00D67460" w:rsidRDefault="00D67460" w:rsidP="0007401F">
            <w:pPr>
              <w:pStyle w:val="Prrafodelista"/>
              <w:rPr>
                <w:b/>
                <w:sz w:val="20"/>
                <w:szCs w:val="20"/>
              </w:rPr>
            </w:pPr>
          </w:p>
        </w:tc>
        <w:tc>
          <w:tcPr>
            <w:tcW w:w="1417" w:type="dxa"/>
          </w:tcPr>
          <w:p w14:paraId="328096D9" w14:textId="77777777" w:rsidR="00D67460" w:rsidRDefault="00D67460" w:rsidP="0007401F">
            <w:pPr>
              <w:jc w:val="center"/>
              <w:rPr>
                <w:sz w:val="52"/>
                <w:szCs w:val="52"/>
              </w:rPr>
            </w:pPr>
          </w:p>
        </w:tc>
        <w:tc>
          <w:tcPr>
            <w:tcW w:w="3969" w:type="dxa"/>
            <w:tcBorders>
              <w:bottom w:val="single" w:sz="4" w:space="0" w:color="auto"/>
            </w:tcBorders>
          </w:tcPr>
          <w:p w14:paraId="0A27DA34" w14:textId="77777777" w:rsidR="00D67460" w:rsidRDefault="00D67460" w:rsidP="00A567B5">
            <w:pPr>
              <w:pStyle w:val="Prrafodelista"/>
              <w:ind w:left="0"/>
              <w:rPr>
                <w:b/>
                <w:bCs/>
                <w:sz w:val="22"/>
              </w:rPr>
            </w:pPr>
          </w:p>
          <w:p w14:paraId="35EAA86D" w14:textId="77777777" w:rsidR="00D67460" w:rsidRPr="00BE333E" w:rsidRDefault="00D67460" w:rsidP="00BE333E">
            <w:pPr>
              <w:pStyle w:val="Prrafodelista"/>
              <w:ind w:left="0"/>
              <w:rPr>
                <w:bCs/>
                <w:sz w:val="22"/>
              </w:rPr>
            </w:pPr>
          </w:p>
        </w:tc>
      </w:tr>
    </w:tbl>
    <w:p w14:paraId="1D7316AA" w14:textId="0BF06EAB" w:rsidR="00A7613A" w:rsidRDefault="00D67460" w:rsidP="00F60ADD">
      <w:pPr>
        <w:rPr>
          <w:szCs w:val="24"/>
        </w:rPr>
      </w:pPr>
      <w:r>
        <w:rPr>
          <w:b/>
          <w:bCs/>
          <w:sz w:val="22"/>
        </w:rPr>
        <w:t xml:space="preserve">      Fecha:   </w:t>
      </w:r>
      <w:r w:rsidRPr="00490DE2">
        <w:rPr>
          <w:b/>
          <w:bCs/>
          <w:sz w:val="22"/>
        </w:rPr>
        <w:t xml:space="preserve"> </w:t>
      </w:r>
      <w:r>
        <w:rPr>
          <w:b/>
          <w:bCs/>
          <w:sz w:val="22"/>
        </w:rPr>
        <w:t>26 de octubre</w:t>
      </w:r>
      <w:r w:rsidRPr="001B1F10">
        <w:rPr>
          <w:b/>
          <w:bCs/>
          <w:sz w:val="22"/>
        </w:rPr>
        <w:t xml:space="preserve"> de 2022</w:t>
      </w:r>
      <w:r w:rsidRPr="0020358B">
        <w:rPr>
          <w:bCs/>
          <w:sz w:val="22"/>
        </w:rPr>
        <w:t>.</w:t>
      </w:r>
    </w:p>
    <w:sectPr w:rsidR="00A7613A" w:rsidSect="00D67460">
      <w:headerReference w:type="default" r:id="rId18"/>
      <w:pgSz w:w="15840" w:h="12240" w:orient="landscape" w:code="1"/>
      <w:pgMar w:top="510" w:right="567" w:bottom="510" w:left="567" w:header="284"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2684" w14:textId="77777777" w:rsidR="003428CA" w:rsidRDefault="003428CA">
      <w:pPr>
        <w:spacing w:after="0" w:line="240" w:lineRule="auto"/>
      </w:pPr>
      <w:r>
        <w:separator/>
      </w:r>
    </w:p>
  </w:endnote>
  <w:endnote w:type="continuationSeparator" w:id="0">
    <w:p w14:paraId="5ED9E447" w14:textId="77777777" w:rsidR="003428CA" w:rsidRDefault="0034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18D0" w14:textId="77777777" w:rsidR="003428CA" w:rsidRDefault="003428CA">
      <w:pPr>
        <w:spacing w:after="0" w:line="240" w:lineRule="auto"/>
      </w:pPr>
      <w:r>
        <w:separator/>
      </w:r>
    </w:p>
  </w:footnote>
  <w:footnote w:type="continuationSeparator" w:id="0">
    <w:p w14:paraId="760FDEE5" w14:textId="77777777" w:rsidR="003428CA" w:rsidRDefault="00342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67C" w14:textId="3CEC3225" w:rsidR="00AB01AF" w:rsidRDefault="00AB01A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44B8F7D0"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8A4E41">
      <w:rPr>
        <w:color w:val="666666"/>
        <w:sz w:val="14"/>
      </w:rPr>
      <w:t>202</w:t>
    </w:r>
    <w:r w:rsidR="002A2F52">
      <w:rPr>
        <w:color w:val="666666"/>
        <w:sz w:val="14"/>
      </w:rPr>
      <w:t>-2022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D836" w14:textId="51294A5B" w:rsidR="00D67460" w:rsidRPr="00D67460" w:rsidRDefault="00D67460" w:rsidP="00D674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2"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221133909">
    <w:abstractNumId w:val="5"/>
  </w:num>
  <w:num w:numId="2" w16cid:durableId="1148017575">
    <w:abstractNumId w:val="1"/>
  </w:num>
  <w:num w:numId="3" w16cid:durableId="1637296262">
    <w:abstractNumId w:val="4"/>
  </w:num>
  <w:num w:numId="4" w16cid:durableId="1936748808">
    <w:abstractNumId w:val="3"/>
  </w:num>
  <w:num w:numId="5" w16cid:durableId="1839687598">
    <w:abstractNumId w:val="0"/>
  </w:num>
  <w:num w:numId="6" w16cid:durableId="1516113594">
    <w:abstractNumId w:val="6"/>
  </w:num>
  <w:num w:numId="7" w16cid:durableId="1555383618">
    <w:abstractNumId w:val="2"/>
  </w:num>
  <w:num w:numId="8" w16cid:durableId="1179734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1636D"/>
    <w:rsid w:val="00017205"/>
    <w:rsid w:val="000257D2"/>
    <w:rsid w:val="00030C19"/>
    <w:rsid w:val="000407A8"/>
    <w:rsid w:val="00064E6E"/>
    <w:rsid w:val="00083017"/>
    <w:rsid w:val="00083099"/>
    <w:rsid w:val="0009354B"/>
    <w:rsid w:val="000B2FCB"/>
    <w:rsid w:val="000E08F6"/>
    <w:rsid w:val="000F1735"/>
    <w:rsid w:val="00123375"/>
    <w:rsid w:val="001301D3"/>
    <w:rsid w:val="00143471"/>
    <w:rsid w:val="00161D98"/>
    <w:rsid w:val="00185226"/>
    <w:rsid w:val="001B1E11"/>
    <w:rsid w:val="001B5A36"/>
    <w:rsid w:val="001D568F"/>
    <w:rsid w:val="001E3C32"/>
    <w:rsid w:val="001F28BF"/>
    <w:rsid w:val="001F5EB5"/>
    <w:rsid w:val="002165C1"/>
    <w:rsid w:val="00217DD4"/>
    <w:rsid w:val="002247E0"/>
    <w:rsid w:val="00232C7C"/>
    <w:rsid w:val="00240528"/>
    <w:rsid w:val="00250056"/>
    <w:rsid w:val="00250762"/>
    <w:rsid w:val="00265D80"/>
    <w:rsid w:val="00290AAD"/>
    <w:rsid w:val="00290D5A"/>
    <w:rsid w:val="002A2F52"/>
    <w:rsid w:val="002B3FFA"/>
    <w:rsid w:val="002D2F4F"/>
    <w:rsid w:val="002D7143"/>
    <w:rsid w:val="002E1784"/>
    <w:rsid w:val="002F25DF"/>
    <w:rsid w:val="00315F58"/>
    <w:rsid w:val="0031791D"/>
    <w:rsid w:val="00320031"/>
    <w:rsid w:val="00331EB7"/>
    <w:rsid w:val="00333E1C"/>
    <w:rsid w:val="003428CA"/>
    <w:rsid w:val="00355812"/>
    <w:rsid w:val="003568A5"/>
    <w:rsid w:val="00367D0E"/>
    <w:rsid w:val="0038146A"/>
    <w:rsid w:val="00386A53"/>
    <w:rsid w:val="003B31A8"/>
    <w:rsid w:val="003B4CE1"/>
    <w:rsid w:val="003F4259"/>
    <w:rsid w:val="003F5ACE"/>
    <w:rsid w:val="0041208E"/>
    <w:rsid w:val="00413E59"/>
    <w:rsid w:val="004207B8"/>
    <w:rsid w:val="0044429C"/>
    <w:rsid w:val="00451598"/>
    <w:rsid w:val="00457A30"/>
    <w:rsid w:val="00466631"/>
    <w:rsid w:val="0047622D"/>
    <w:rsid w:val="00485D8B"/>
    <w:rsid w:val="004879E1"/>
    <w:rsid w:val="00490B91"/>
    <w:rsid w:val="004A0EA2"/>
    <w:rsid w:val="004B4A2A"/>
    <w:rsid w:val="004D7916"/>
    <w:rsid w:val="004F4C79"/>
    <w:rsid w:val="005060E9"/>
    <w:rsid w:val="00513490"/>
    <w:rsid w:val="005259DA"/>
    <w:rsid w:val="0053644A"/>
    <w:rsid w:val="005421A5"/>
    <w:rsid w:val="00543F94"/>
    <w:rsid w:val="005562CE"/>
    <w:rsid w:val="00564703"/>
    <w:rsid w:val="00571EA6"/>
    <w:rsid w:val="005949F3"/>
    <w:rsid w:val="005A0528"/>
    <w:rsid w:val="005A4EA3"/>
    <w:rsid w:val="005B4122"/>
    <w:rsid w:val="005E1249"/>
    <w:rsid w:val="00616F3D"/>
    <w:rsid w:val="00617507"/>
    <w:rsid w:val="00641FAE"/>
    <w:rsid w:val="00651036"/>
    <w:rsid w:val="00687397"/>
    <w:rsid w:val="006A527C"/>
    <w:rsid w:val="006A7935"/>
    <w:rsid w:val="006E6BF9"/>
    <w:rsid w:val="006F1CE6"/>
    <w:rsid w:val="006F576C"/>
    <w:rsid w:val="00716687"/>
    <w:rsid w:val="00746489"/>
    <w:rsid w:val="0074769A"/>
    <w:rsid w:val="00782FEE"/>
    <w:rsid w:val="007A78CC"/>
    <w:rsid w:val="007B5A81"/>
    <w:rsid w:val="007E35B8"/>
    <w:rsid w:val="007E3D3F"/>
    <w:rsid w:val="007E502D"/>
    <w:rsid w:val="00810EA0"/>
    <w:rsid w:val="008263C5"/>
    <w:rsid w:val="00833A76"/>
    <w:rsid w:val="008453CC"/>
    <w:rsid w:val="00860970"/>
    <w:rsid w:val="00873813"/>
    <w:rsid w:val="00874CDC"/>
    <w:rsid w:val="008766C5"/>
    <w:rsid w:val="00877829"/>
    <w:rsid w:val="00895D0E"/>
    <w:rsid w:val="008A4E41"/>
    <w:rsid w:val="008D5623"/>
    <w:rsid w:val="008D6298"/>
    <w:rsid w:val="008E39C6"/>
    <w:rsid w:val="00934BF4"/>
    <w:rsid w:val="00994034"/>
    <w:rsid w:val="009B48A7"/>
    <w:rsid w:val="00A22955"/>
    <w:rsid w:val="00A277E8"/>
    <w:rsid w:val="00A3168A"/>
    <w:rsid w:val="00A32825"/>
    <w:rsid w:val="00A358C9"/>
    <w:rsid w:val="00A54A05"/>
    <w:rsid w:val="00A56D5E"/>
    <w:rsid w:val="00A630FA"/>
    <w:rsid w:val="00A7613A"/>
    <w:rsid w:val="00A95DAF"/>
    <w:rsid w:val="00A961C0"/>
    <w:rsid w:val="00AA0B2B"/>
    <w:rsid w:val="00AB01AF"/>
    <w:rsid w:val="00AB1FFA"/>
    <w:rsid w:val="00AC564F"/>
    <w:rsid w:val="00AD6CFB"/>
    <w:rsid w:val="00AE0A02"/>
    <w:rsid w:val="00AE16C7"/>
    <w:rsid w:val="00AF0CD3"/>
    <w:rsid w:val="00AF1290"/>
    <w:rsid w:val="00B22813"/>
    <w:rsid w:val="00B310D7"/>
    <w:rsid w:val="00B35046"/>
    <w:rsid w:val="00B452E6"/>
    <w:rsid w:val="00B82017"/>
    <w:rsid w:val="00B82159"/>
    <w:rsid w:val="00B86A65"/>
    <w:rsid w:val="00BA389C"/>
    <w:rsid w:val="00BA4EC8"/>
    <w:rsid w:val="00BD2E73"/>
    <w:rsid w:val="00BE2F15"/>
    <w:rsid w:val="00BF274A"/>
    <w:rsid w:val="00C008B3"/>
    <w:rsid w:val="00C11758"/>
    <w:rsid w:val="00C356FB"/>
    <w:rsid w:val="00C55B44"/>
    <w:rsid w:val="00C950C3"/>
    <w:rsid w:val="00CA2279"/>
    <w:rsid w:val="00CB5360"/>
    <w:rsid w:val="00CD35A3"/>
    <w:rsid w:val="00CD73A4"/>
    <w:rsid w:val="00CE2373"/>
    <w:rsid w:val="00D00F0E"/>
    <w:rsid w:val="00D10393"/>
    <w:rsid w:val="00D1179B"/>
    <w:rsid w:val="00D169C8"/>
    <w:rsid w:val="00D362B6"/>
    <w:rsid w:val="00D437FE"/>
    <w:rsid w:val="00D64677"/>
    <w:rsid w:val="00D64C58"/>
    <w:rsid w:val="00D67460"/>
    <w:rsid w:val="00D8010F"/>
    <w:rsid w:val="00D84F3A"/>
    <w:rsid w:val="00DA2E4C"/>
    <w:rsid w:val="00DB7211"/>
    <w:rsid w:val="00DB777A"/>
    <w:rsid w:val="00DD0F66"/>
    <w:rsid w:val="00DD2DA2"/>
    <w:rsid w:val="00DD3FD1"/>
    <w:rsid w:val="00DE314C"/>
    <w:rsid w:val="00E1717D"/>
    <w:rsid w:val="00E21970"/>
    <w:rsid w:val="00E412B0"/>
    <w:rsid w:val="00E45370"/>
    <w:rsid w:val="00E75699"/>
    <w:rsid w:val="00E92D13"/>
    <w:rsid w:val="00EB43D6"/>
    <w:rsid w:val="00EE4C26"/>
    <w:rsid w:val="00EE6DE7"/>
    <w:rsid w:val="00F01DCA"/>
    <w:rsid w:val="00F10DAD"/>
    <w:rsid w:val="00F33913"/>
    <w:rsid w:val="00F42540"/>
    <w:rsid w:val="00F54A3E"/>
    <w:rsid w:val="00F564C4"/>
    <w:rsid w:val="00F60ADD"/>
    <w:rsid w:val="00F908E6"/>
    <w:rsid w:val="00FC73B5"/>
    <w:rsid w:val="00FC7B5A"/>
    <w:rsid w:val="00FD3299"/>
    <w:rsid w:val="00FD661D"/>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A05F0-8715-4342-8B86-C6821561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2377</Words>
  <Characters>13078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2022-11-02T16:41:00Z</cp:lastPrinted>
  <dcterms:created xsi:type="dcterms:W3CDTF">2022-11-03T22:37:00Z</dcterms:created>
  <dcterms:modified xsi:type="dcterms:W3CDTF">2022-11-03T22:37:00Z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