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5C9C0CD1" w14:textId="77777777" w:rsidR="002A2F52" w:rsidRPr="00FC73B5" w:rsidRDefault="002A2F52" w:rsidP="002A2F52">
      <w:pPr>
        <w:jc w:val="center"/>
        <w:rPr>
          <w:b/>
          <w:szCs w:val="24"/>
        </w:rPr>
      </w:pPr>
      <w:r w:rsidRPr="00FC73B5">
        <w:rPr>
          <w:b/>
          <w:szCs w:val="24"/>
        </w:rPr>
        <w:t>MINISTERIO DE EDUCACIÓN</w:t>
      </w:r>
    </w:p>
    <w:p w14:paraId="69A48ECE" w14:textId="77777777" w:rsidR="002A2F52" w:rsidRPr="00FC73B5" w:rsidRDefault="002A2F52" w:rsidP="002A2F52">
      <w:pPr>
        <w:jc w:val="center"/>
        <w:rPr>
          <w:b/>
          <w:szCs w:val="24"/>
        </w:rPr>
      </w:pPr>
      <w:r w:rsidRPr="00FC73B5">
        <w:rPr>
          <w:b/>
          <w:szCs w:val="24"/>
        </w:rPr>
        <w:t>AUDITORÍA INTERNA</w:t>
      </w:r>
    </w:p>
    <w:p w14:paraId="69076FB7" w14:textId="70367523" w:rsidR="002A2F52" w:rsidRPr="00FC73B5" w:rsidRDefault="002A2F52" w:rsidP="002A2F52">
      <w:pPr>
        <w:jc w:val="center"/>
        <w:rPr>
          <w:b/>
          <w:szCs w:val="24"/>
        </w:rPr>
      </w:pPr>
      <w:r w:rsidRPr="00FC73B5">
        <w:rPr>
          <w:b/>
          <w:szCs w:val="24"/>
        </w:rPr>
        <w:t>INFORME O-DIDAI/SUB-</w:t>
      </w:r>
      <w:r w:rsidR="00FA51AA">
        <w:rPr>
          <w:b/>
          <w:szCs w:val="24"/>
        </w:rPr>
        <w:t>041</w:t>
      </w:r>
      <w:r w:rsidRPr="00FC73B5">
        <w:rPr>
          <w:b/>
          <w:szCs w:val="24"/>
        </w:rPr>
        <w:t>-202</w:t>
      </w:r>
      <w:r w:rsidR="00FA51AA">
        <w:rPr>
          <w:b/>
          <w:szCs w:val="24"/>
        </w:rPr>
        <w:t>3</w:t>
      </w:r>
    </w:p>
    <w:p w14:paraId="5D55BB7C" w14:textId="37CCB3F3" w:rsidR="002A2F52" w:rsidRPr="00FC73B5" w:rsidRDefault="002A2F52" w:rsidP="002A2F52">
      <w:pPr>
        <w:jc w:val="center"/>
        <w:rPr>
          <w:b/>
          <w:szCs w:val="24"/>
        </w:rPr>
      </w:pPr>
      <w:r w:rsidRPr="00FC73B5">
        <w:rPr>
          <w:b/>
          <w:szCs w:val="24"/>
        </w:rPr>
        <w:t xml:space="preserve">SIAD </w:t>
      </w:r>
      <w:r w:rsidR="00FA51AA">
        <w:rPr>
          <w:b/>
          <w:szCs w:val="24"/>
        </w:rPr>
        <w:t>610055</w:t>
      </w:r>
    </w:p>
    <w:p w14:paraId="3D06757D" w14:textId="77777777" w:rsidR="002A2F52" w:rsidRPr="00FC73B5" w:rsidRDefault="002A2F52" w:rsidP="002A2F52">
      <w:pPr>
        <w:rPr>
          <w:szCs w:val="24"/>
        </w:rPr>
      </w:pPr>
    </w:p>
    <w:p w14:paraId="3BD61666" w14:textId="77777777" w:rsidR="002A2F52" w:rsidRPr="00FC73B5" w:rsidRDefault="002A2F52" w:rsidP="002A2F52">
      <w:pPr>
        <w:rPr>
          <w:szCs w:val="24"/>
        </w:rPr>
      </w:pPr>
    </w:p>
    <w:p w14:paraId="1F2626AA" w14:textId="77777777" w:rsidR="002A2F52" w:rsidRPr="00FC73B5" w:rsidRDefault="002A2F52" w:rsidP="002A2F52">
      <w:pPr>
        <w:rPr>
          <w:szCs w:val="24"/>
        </w:rPr>
      </w:pPr>
    </w:p>
    <w:p w14:paraId="15A618E8" w14:textId="77777777" w:rsidR="002A2F52" w:rsidRPr="00FC73B5" w:rsidRDefault="002A2F52" w:rsidP="002A2F52">
      <w:pPr>
        <w:rPr>
          <w:szCs w:val="24"/>
        </w:rPr>
      </w:pPr>
    </w:p>
    <w:p w14:paraId="4D77F0E5" w14:textId="77777777" w:rsidR="00D1179B" w:rsidRPr="00FC73B5" w:rsidRDefault="00D1179B" w:rsidP="002A2F52">
      <w:pPr>
        <w:rPr>
          <w:szCs w:val="24"/>
        </w:rPr>
      </w:pPr>
    </w:p>
    <w:p w14:paraId="20164B42" w14:textId="77777777" w:rsidR="002A2F52" w:rsidRPr="00FC73B5" w:rsidRDefault="002A2F52" w:rsidP="002A2F52">
      <w:pPr>
        <w:rPr>
          <w:szCs w:val="24"/>
        </w:rPr>
      </w:pPr>
    </w:p>
    <w:p w14:paraId="1251E7B0" w14:textId="77777777" w:rsidR="002A2F52" w:rsidRPr="00FC73B5" w:rsidRDefault="002A2F52" w:rsidP="002A2F52">
      <w:pPr>
        <w:rPr>
          <w:szCs w:val="24"/>
        </w:rPr>
      </w:pPr>
    </w:p>
    <w:p w14:paraId="6B321411" w14:textId="77777777" w:rsidR="002A2F52" w:rsidRPr="00FC73B5" w:rsidRDefault="002A2F52" w:rsidP="002A2F52">
      <w:pPr>
        <w:rPr>
          <w:szCs w:val="24"/>
        </w:rPr>
      </w:pPr>
    </w:p>
    <w:p w14:paraId="7B38B4CD" w14:textId="77777777" w:rsidR="002A2F52" w:rsidRPr="00FC73B5" w:rsidRDefault="002A2F52" w:rsidP="002A2F52">
      <w:pPr>
        <w:rPr>
          <w:szCs w:val="24"/>
        </w:rPr>
      </w:pPr>
    </w:p>
    <w:p w14:paraId="6E04377A" w14:textId="77777777" w:rsidR="00D1179B" w:rsidRPr="00FC73B5" w:rsidRDefault="00D1179B" w:rsidP="002A2F52">
      <w:pPr>
        <w:rPr>
          <w:szCs w:val="24"/>
        </w:rPr>
      </w:pPr>
    </w:p>
    <w:p w14:paraId="497D1A94" w14:textId="77777777" w:rsidR="002A2F52" w:rsidRPr="00FC73B5" w:rsidRDefault="002A2F52" w:rsidP="002A2F52">
      <w:pPr>
        <w:rPr>
          <w:szCs w:val="24"/>
        </w:rPr>
      </w:pPr>
    </w:p>
    <w:p w14:paraId="5F716E37" w14:textId="77777777" w:rsidR="002A2F52" w:rsidRPr="00FC73B5" w:rsidRDefault="002A2F52" w:rsidP="002A2F52">
      <w:pPr>
        <w:rPr>
          <w:szCs w:val="24"/>
        </w:rPr>
      </w:pPr>
    </w:p>
    <w:p w14:paraId="1D9E14A4" w14:textId="77777777" w:rsidR="002A2F52" w:rsidRPr="00FC73B5" w:rsidRDefault="002A2F52" w:rsidP="002A2F52">
      <w:pPr>
        <w:rPr>
          <w:szCs w:val="24"/>
        </w:rPr>
      </w:pPr>
    </w:p>
    <w:p w14:paraId="548A9731" w14:textId="77777777" w:rsidR="002A2F52" w:rsidRPr="00FC73B5" w:rsidRDefault="002A2F52" w:rsidP="002A2F52">
      <w:pPr>
        <w:rPr>
          <w:szCs w:val="24"/>
        </w:rPr>
      </w:pPr>
    </w:p>
    <w:p w14:paraId="63D714CE" w14:textId="77777777" w:rsidR="002A2F52" w:rsidRPr="00FC73B5" w:rsidRDefault="002A2F52" w:rsidP="002A2F52">
      <w:pPr>
        <w:rPr>
          <w:szCs w:val="24"/>
        </w:rPr>
      </w:pPr>
    </w:p>
    <w:p w14:paraId="6C42F092" w14:textId="0A0908F0" w:rsidR="002A2F52" w:rsidRPr="00FC73B5" w:rsidRDefault="002A2F52" w:rsidP="00FA51AA">
      <w:pPr>
        <w:jc w:val="center"/>
        <w:rPr>
          <w:szCs w:val="24"/>
        </w:rPr>
      </w:pPr>
      <w:r w:rsidRPr="00FC73B5">
        <w:rPr>
          <w:b/>
          <w:szCs w:val="24"/>
        </w:rPr>
        <w:t xml:space="preserve">Consejo o </w:t>
      </w:r>
      <w:r w:rsidR="00D1179B" w:rsidRPr="00FC73B5">
        <w:rPr>
          <w:b/>
          <w:szCs w:val="24"/>
        </w:rPr>
        <w:t>c</w:t>
      </w:r>
      <w:r w:rsidRPr="00FC73B5">
        <w:rPr>
          <w:b/>
          <w:szCs w:val="24"/>
        </w:rPr>
        <w:t xml:space="preserve">onsultoría de </w:t>
      </w:r>
      <w:r w:rsidR="00D1179B" w:rsidRPr="00FC73B5">
        <w:rPr>
          <w:b/>
          <w:szCs w:val="24"/>
        </w:rPr>
        <w:t>segundo</w:t>
      </w:r>
      <w:r w:rsidRPr="00FC73B5">
        <w:rPr>
          <w:b/>
          <w:szCs w:val="24"/>
        </w:rPr>
        <w:t xml:space="preserve"> </w:t>
      </w:r>
      <w:r w:rsidR="00D1179B" w:rsidRPr="00FC73B5">
        <w:rPr>
          <w:b/>
          <w:szCs w:val="24"/>
        </w:rPr>
        <w:t>s</w:t>
      </w:r>
      <w:r w:rsidRPr="00FC73B5">
        <w:rPr>
          <w:b/>
          <w:szCs w:val="24"/>
        </w:rPr>
        <w:t xml:space="preserve">eguimiento </w:t>
      </w:r>
      <w:r w:rsidR="00D362B6" w:rsidRPr="00FC73B5">
        <w:rPr>
          <w:b/>
          <w:szCs w:val="24"/>
          <w:lang w:val="es-ES_tradnl"/>
        </w:rPr>
        <w:t xml:space="preserve">a las recomendaciones emitidas </w:t>
      </w:r>
      <w:r w:rsidR="00FA51AA" w:rsidRPr="00FA51AA">
        <w:rPr>
          <w:b/>
          <w:szCs w:val="24"/>
          <w:lang w:val="es-ES_tradnl"/>
        </w:rPr>
        <w:t>por la Dirección de Auditoría Interna, en el informe de auditoría CAI: 00049, respecto a la Auditoría de cumplimiento por el periodo del 01 de enero al 31 de julio de 2022, verificación de la normativa aplicable a los movimientos administrativos y bloqueo de salarios, practicada en la Dirección Departamental de Educación Guatemala Occidente</w:t>
      </w:r>
    </w:p>
    <w:p w14:paraId="5F140BC5" w14:textId="77777777" w:rsidR="002A2F52" w:rsidRPr="00FC73B5" w:rsidRDefault="002A2F52" w:rsidP="002A2F52">
      <w:pPr>
        <w:rPr>
          <w:szCs w:val="24"/>
        </w:rPr>
      </w:pPr>
    </w:p>
    <w:p w14:paraId="1F1472CA" w14:textId="77777777" w:rsidR="002A2F52" w:rsidRPr="00FC73B5" w:rsidRDefault="002A2F52" w:rsidP="002A2F52">
      <w:pPr>
        <w:rPr>
          <w:szCs w:val="24"/>
        </w:rPr>
      </w:pPr>
    </w:p>
    <w:p w14:paraId="6E846A46" w14:textId="77777777" w:rsidR="002A2F52" w:rsidRPr="00FC73B5" w:rsidRDefault="002A2F52" w:rsidP="002A2F52">
      <w:pPr>
        <w:rPr>
          <w:szCs w:val="24"/>
        </w:rPr>
      </w:pPr>
    </w:p>
    <w:p w14:paraId="68EDF6CA" w14:textId="77777777" w:rsidR="002A2F52" w:rsidRPr="00FC73B5" w:rsidRDefault="002A2F52" w:rsidP="002A2F52">
      <w:pPr>
        <w:rPr>
          <w:szCs w:val="24"/>
        </w:rPr>
      </w:pPr>
    </w:p>
    <w:p w14:paraId="0C218ADD" w14:textId="77777777" w:rsidR="002A2F52" w:rsidRPr="00FC73B5" w:rsidRDefault="002A2F52" w:rsidP="002A2F52">
      <w:pPr>
        <w:rPr>
          <w:szCs w:val="24"/>
        </w:rPr>
      </w:pPr>
    </w:p>
    <w:p w14:paraId="7DD8EDD7" w14:textId="77777777" w:rsidR="002A2F52" w:rsidRPr="00FC73B5" w:rsidRDefault="002A2F52" w:rsidP="002A2F52">
      <w:pPr>
        <w:rPr>
          <w:szCs w:val="24"/>
        </w:rPr>
      </w:pPr>
    </w:p>
    <w:p w14:paraId="06293BBB" w14:textId="77777777" w:rsidR="002A2F52" w:rsidRPr="00FC73B5" w:rsidRDefault="002A2F52" w:rsidP="002A2F52">
      <w:pPr>
        <w:rPr>
          <w:szCs w:val="24"/>
        </w:rPr>
      </w:pPr>
    </w:p>
    <w:p w14:paraId="2D0AB9CA" w14:textId="77777777" w:rsidR="002A2F52" w:rsidRPr="00FC73B5" w:rsidRDefault="002A2F52" w:rsidP="002A2F52">
      <w:pPr>
        <w:rPr>
          <w:szCs w:val="24"/>
        </w:rPr>
      </w:pPr>
    </w:p>
    <w:p w14:paraId="0F863EDF" w14:textId="77777777" w:rsidR="002A2F52" w:rsidRPr="00FC73B5" w:rsidRDefault="002A2F52" w:rsidP="002A2F52">
      <w:pPr>
        <w:rPr>
          <w:szCs w:val="24"/>
        </w:rPr>
      </w:pPr>
    </w:p>
    <w:p w14:paraId="2C26A53D" w14:textId="77777777" w:rsidR="002A2F52" w:rsidRPr="00FC73B5" w:rsidRDefault="002A2F52" w:rsidP="002A2F52">
      <w:pPr>
        <w:rPr>
          <w:szCs w:val="24"/>
        </w:rPr>
      </w:pPr>
    </w:p>
    <w:p w14:paraId="6A2D7C3E" w14:textId="77777777" w:rsidR="00D1179B" w:rsidRPr="00FC73B5" w:rsidRDefault="00D1179B" w:rsidP="002A2F52">
      <w:pPr>
        <w:rPr>
          <w:szCs w:val="24"/>
        </w:rPr>
      </w:pPr>
    </w:p>
    <w:p w14:paraId="7BE2B167" w14:textId="77777777" w:rsidR="002A2F52" w:rsidRPr="00FC73B5" w:rsidRDefault="002A2F52" w:rsidP="002A2F52">
      <w:pPr>
        <w:rPr>
          <w:szCs w:val="24"/>
        </w:rPr>
      </w:pPr>
    </w:p>
    <w:p w14:paraId="4593AD9B" w14:textId="77777777" w:rsidR="00D1179B" w:rsidRPr="00FC73B5" w:rsidRDefault="00D1179B" w:rsidP="002A2F52">
      <w:pPr>
        <w:rPr>
          <w:szCs w:val="24"/>
        </w:rPr>
      </w:pPr>
    </w:p>
    <w:p w14:paraId="42BCB5F4" w14:textId="736F408F" w:rsidR="002A2F52" w:rsidRPr="00FC73B5" w:rsidRDefault="002A2F52" w:rsidP="002A2F52">
      <w:pPr>
        <w:jc w:val="center"/>
        <w:rPr>
          <w:b/>
          <w:szCs w:val="24"/>
        </w:rPr>
      </w:pPr>
      <w:r w:rsidRPr="00FC73B5">
        <w:rPr>
          <w:b/>
          <w:szCs w:val="24"/>
        </w:rPr>
        <w:t xml:space="preserve">GUATEMALA, </w:t>
      </w:r>
      <w:r w:rsidR="00FA51AA">
        <w:rPr>
          <w:b/>
          <w:szCs w:val="24"/>
        </w:rPr>
        <w:t>MARZO</w:t>
      </w:r>
      <w:r w:rsidRPr="00FC73B5">
        <w:rPr>
          <w:b/>
          <w:szCs w:val="24"/>
        </w:rPr>
        <w:t xml:space="preserve"> DE 202</w:t>
      </w:r>
      <w:r w:rsidR="00FA51AA">
        <w:rPr>
          <w:b/>
          <w:szCs w:val="24"/>
        </w:rPr>
        <w:t>3</w:t>
      </w:r>
    </w:p>
    <w:p w14:paraId="43431D6B" w14:textId="76763442" w:rsidR="00DB777A" w:rsidRDefault="00DB777A">
      <w:pPr>
        <w:spacing w:after="33" w:line="259" w:lineRule="auto"/>
        <w:ind w:left="722" w:right="1"/>
        <w:jc w:val="center"/>
        <w:rPr>
          <w:b/>
        </w:rPr>
      </w:pPr>
    </w:p>
    <w:p w14:paraId="0C3F22B6" w14:textId="77777777" w:rsidR="00AB01AF" w:rsidRDefault="00AB01AF">
      <w:pPr>
        <w:spacing w:after="33" w:line="259" w:lineRule="auto"/>
        <w:ind w:left="722" w:right="1"/>
        <w:jc w:val="center"/>
        <w:rPr>
          <w:b/>
        </w:rPr>
      </w:pPr>
    </w:p>
    <w:p w14:paraId="6D23461B" w14:textId="77777777" w:rsidR="00AB01AF" w:rsidRDefault="00AB01AF">
      <w:pPr>
        <w:spacing w:after="33" w:line="259" w:lineRule="auto"/>
        <w:ind w:left="722" w:right="1"/>
        <w:jc w:val="center"/>
        <w:rPr>
          <w:b/>
        </w:rPr>
      </w:pPr>
    </w:p>
    <w:p w14:paraId="7D456E29" w14:textId="77777777" w:rsidR="00AB01AF" w:rsidRDefault="00AB01AF">
      <w:pPr>
        <w:spacing w:after="33" w:line="259" w:lineRule="auto"/>
        <w:ind w:left="722" w:right="1"/>
        <w:jc w:val="center"/>
      </w:pPr>
    </w:p>
    <w:p w14:paraId="43431D6C" w14:textId="77777777" w:rsidR="00DB777A" w:rsidRDefault="00B35046">
      <w:pPr>
        <w:spacing w:after="33" w:line="259" w:lineRule="auto"/>
        <w:ind w:left="722" w:right="709"/>
        <w:jc w:val="center"/>
      </w:pPr>
      <w:r>
        <w:rPr>
          <w:b/>
        </w:rPr>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p w14:paraId="4E1734F0" w14:textId="15B08D05" w:rsidR="0041208E" w:rsidRDefault="0041208E" w:rsidP="00AF0CD3">
      <w:pPr>
        <w:pStyle w:val="TDC1"/>
        <w:tabs>
          <w:tab w:val="right" w:pos="8117"/>
        </w:tabs>
      </w:pPr>
    </w:p>
    <w:p w14:paraId="43431D75" w14:textId="7BAA59D6" w:rsidR="00DB777A" w:rsidRDefault="0041208E" w:rsidP="00AF0CD3">
      <w:pPr>
        <w:pStyle w:val="TDC1"/>
        <w:tabs>
          <w:tab w:val="right" w:pos="8117"/>
        </w:tabs>
      </w:pPr>
      <w:r>
        <w:t xml:space="preserve">INTRODUCCION </w:t>
      </w:r>
      <w:r>
        <w:tab/>
        <w:t>1</w:t>
      </w:r>
    </w:p>
    <w:p w14:paraId="514564D9" w14:textId="77777777" w:rsidR="0041208E" w:rsidRDefault="0041208E" w:rsidP="00AF0CD3">
      <w:pPr>
        <w:pStyle w:val="TDC1"/>
        <w:tabs>
          <w:tab w:val="right" w:pos="8117"/>
        </w:tabs>
      </w:pPr>
    </w:p>
    <w:p w14:paraId="5B3055D0" w14:textId="6361C304" w:rsidR="0041208E" w:rsidRDefault="0041208E" w:rsidP="00AF0CD3">
      <w:pPr>
        <w:pStyle w:val="TDC1"/>
        <w:tabs>
          <w:tab w:val="right" w:pos="8117"/>
        </w:tabs>
      </w:pPr>
      <w:r>
        <w:t>OBJETIVOS</w:t>
      </w:r>
      <w:r>
        <w:tab/>
        <w:t>1</w:t>
      </w:r>
    </w:p>
    <w:p w14:paraId="7D05D24D" w14:textId="77777777" w:rsidR="0041208E" w:rsidRDefault="0041208E" w:rsidP="00AF0CD3">
      <w:pPr>
        <w:pStyle w:val="TDC1"/>
        <w:tabs>
          <w:tab w:val="right" w:pos="8117"/>
        </w:tabs>
      </w:pPr>
    </w:p>
    <w:p w14:paraId="388351C9" w14:textId="20E563FD" w:rsidR="0041208E" w:rsidRDefault="0041208E" w:rsidP="00AF0CD3">
      <w:pPr>
        <w:pStyle w:val="TDC1"/>
        <w:tabs>
          <w:tab w:val="right" w:pos="8117"/>
        </w:tabs>
      </w:pPr>
      <w:r>
        <w:t>ALCANCE DE LA ACTIVIDAD</w:t>
      </w:r>
      <w:r>
        <w:tab/>
        <w:t>1</w:t>
      </w:r>
    </w:p>
    <w:p w14:paraId="1B399DD4" w14:textId="77777777" w:rsidR="0041208E" w:rsidRDefault="0041208E" w:rsidP="00AF0CD3">
      <w:pPr>
        <w:pStyle w:val="TDC1"/>
        <w:tabs>
          <w:tab w:val="right" w:pos="8117"/>
        </w:tabs>
      </w:pPr>
    </w:p>
    <w:p w14:paraId="19C5B8BE" w14:textId="44341715" w:rsidR="0041208E" w:rsidRDefault="0041208E" w:rsidP="00AF0CD3">
      <w:pPr>
        <w:pStyle w:val="TDC1"/>
        <w:tabs>
          <w:tab w:val="right" w:pos="8117"/>
        </w:tabs>
      </w:pPr>
      <w:r>
        <w:t xml:space="preserve">RESULTADOS </w:t>
      </w:r>
      <w:r w:rsidR="00FB7BA7">
        <w:t>DE LA</w:t>
      </w:r>
      <w:r>
        <w:t xml:space="preserve"> ACTIVIDAD</w:t>
      </w:r>
      <w:r>
        <w:tab/>
      </w:r>
      <w:r w:rsidR="00B47F80">
        <w:t>1</w:t>
      </w:r>
    </w:p>
    <w:p w14:paraId="718B163C" w14:textId="77777777" w:rsidR="0041208E" w:rsidRDefault="0041208E" w:rsidP="00AF0CD3">
      <w:pPr>
        <w:pStyle w:val="TDC1"/>
        <w:tabs>
          <w:tab w:val="right" w:pos="8117"/>
        </w:tabs>
      </w:pPr>
    </w:p>
    <w:p w14:paraId="7378919B" w14:textId="5758C78E" w:rsidR="0041208E" w:rsidRDefault="0041208E" w:rsidP="00AF0CD3">
      <w:pPr>
        <w:pStyle w:val="TDC1"/>
        <w:tabs>
          <w:tab w:val="right" w:pos="8117"/>
        </w:tabs>
        <w:sectPr w:rsidR="0041208E" w:rsidSect="004A0EA2">
          <w:headerReference w:type="default" r:id="rId11"/>
          <w:pgSz w:w="12240" w:h="15840"/>
          <w:pgMar w:top="1159" w:right="2412" w:bottom="665" w:left="1701" w:header="720" w:footer="519" w:gutter="0"/>
          <w:cols w:space="720"/>
        </w:sectPr>
      </w:pPr>
      <w:r>
        <w:t>ANEXOS</w:t>
      </w:r>
      <w:r>
        <w:tab/>
      </w:r>
      <w:r w:rsidR="00B47F80">
        <w:t>4</w:t>
      </w:r>
    </w:p>
    <w:p w14:paraId="3A6543D0" w14:textId="2E64D043" w:rsidR="002A2F52" w:rsidRDefault="002A2F52" w:rsidP="002A2F52">
      <w:pPr>
        <w:spacing w:line="276" w:lineRule="auto"/>
        <w:rPr>
          <w:b/>
          <w:szCs w:val="24"/>
        </w:rPr>
      </w:pPr>
    </w:p>
    <w:p w14:paraId="6C9665B8" w14:textId="77777777" w:rsidR="006F576C" w:rsidRDefault="006F576C" w:rsidP="002A2F52">
      <w:pPr>
        <w:spacing w:line="276" w:lineRule="auto"/>
        <w:rPr>
          <w:b/>
          <w:szCs w:val="24"/>
        </w:rPr>
      </w:pPr>
    </w:p>
    <w:p w14:paraId="0EF7FABC" w14:textId="77777777" w:rsidR="002A2F52" w:rsidRPr="00FC73B5" w:rsidRDefault="002A2F52" w:rsidP="002A2F52">
      <w:pPr>
        <w:spacing w:line="276" w:lineRule="auto"/>
        <w:rPr>
          <w:b/>
          <w:szCs w:val="24"/>
        </w:rPr>
      </w:pPr>
      <w:r w:rsidRPr="00FC73B5">
        <w:rPr>
          <w:b/>
          <w:szCs w:val="24"/>
        </w:rPr>
        <w:t>INTRODUCCIÓN</w:t>
      </w:r>
    </w:p>
    <w:p w14:paraId="5A5AA7E1" w14:textId="77777777" w:rsidR="002A2F52" w:rsidRPr="00FC73B5" w:rsidRDefault="002A2F52" w:rsidP="002A2F52">
      <w:pPr>
        <w:spacing w:line="276" w:lineRule="auto"/>
        <w:rPr>
          <w:b/>
          <w:szCs w:val="24"/>
        </w:rPr>
      </w:pPr>
    </w:p>
    <w:p w14:paraId="62E75BAC" w14:textId="2A50453A" w:rsidR="002A2F52" w:rsidRPr="00FC73B5" w:rsidRDefault="002A2F52" w:rsidP="002A2F52">
      <w:pPr>
        <w:spacing w:line="276" w:lineRule="auto"/>
        <w:rPr>
          <w:szCs w:val="24"/>
        </w:rPr>
      </w:pPr>
      <w:r w:rsidRPr="00FC73B5">
        <w:rPr>
          <w:szCs w:val="24"/>
        </w:rPr>
        <w:t xml:space="preserve">De conformidad con el Nombramiento </w:t>
      </w:r>
      <w:r w:rsidR="00D362B6" w:rsidRPr="00FC73B5">
        <w:rPr>
          <w:szCs w:val="24"/>
        </w:rPr>
        <w:t>O-DIDAI/SUB-</w:t>
      </w:r>
      <w:r w:rsidR="00F5644C">
        <w:rPr>
          <w:szCs w:val="24"/>
        </w:rPr>
        <w:t>041</w:t>
      </w:r>
      <w:r w:rsidR="00D362B6" w:rsidRPr="00FC73B5">
        <w:rPr>
          <w:szCs w:val="24"/>
        </w:rPr>
        <w:t>-202</w:t>
      </w:r>
      <w:r w:rsidR="00F5644C">
        <w:rPr>
          <w:szCs w:val="24"/>
        </w:rPr>
        <w:t>3</w:t>
      </w:r>
      <w:r w:rsidR="00D362B6" w:rsidRPr="00FC73B5">
        <w:rPr>
          <w:szCs w:val="24"/>
        </w:rPr>
        <w:t xml:space="preserve"> </w:t>
      </w:r>
      <w:r w:rsidRPr="00FC73B5">
        <w:rPr>
          <w:szCs w:val="24"/>
        </w:rPr>
        <w:t xml:space="preserve">de fecha </w:t>
      </w:r>
      <w:r w:rsidR="00F5644C">
        <w:rPr>
          <w:szCs w:val="24"/>
        </w:rPr>
        <w:t>13</w:t>
      </w:r>
      <w:r w:rsidRPr="00FC73B5">
        <w:rPr>
          <w:szCs w:val="24"/>
        </w:rPr>
        <w:t xml:space="preserve"> de</w:t>
      </w:r>
      <w:r w:rsidR="00F5644C">
        <w:rPr>
          <w:szCs w:val="24"/>
        </w:rPr>
        <w:t xml:space="preserve"> marzo</w:t>
      </w:r>
      <w:r w:rsidRPr="00FC73B5">
        <w:rPr>
          <w:szCs w:val="24"/>
        </w:rPr>
        <w:t xml:space="preserve"> </w:t>
      </w:r>
      <w:r w:rsidR="00D362B6" w:rsidRPr="00FC73B5">
        <w:rPr>
          <w:szCs w:val="24"/>
        </w:rPr>
        <w:t>de</w:t>
      </w:r>
      <w:r w:rsidRPr="00FC73B5">
        <w:rPr>
          <w:szCs w:val="24"/>
        </w:rPr>
        <w:t xml:space="preserve"> 202</w:t>
      </w:r>
      <w:r w:rsidR="00F5644C">
        <w:rPr>
          <w:szCs w:val="24"/>
        </w:rPr>
        <w:t>3</w:t>
      </w:r>
      <w:r w:rsidRPr="00FC73B5">
        <w:rPr>
          <w:szCs w:val="24"/>
        </w:rPr>
        <w:t xml:space="preserve">, emitido por la Directora de </w:t>
      </w:r>
      <w:r w:rsidR="009624B5" w:rsidRPr="00FC73B5">
        <w:rPr>
          <w:szCs w:val="24"/>
        </w:rPr>
        <w:t>Auditoría</w:t>
      </w:r>
      <w:r w:rsidRPr="00FC73B5">
        <w:rPr>
          <w:szCs w:val="24"/>
        </w:rPr>
        <w:t xml:space="preserve"> Interna del Ministerio de Educación, fui designado </w:t>
      </w:r>
      <w:r w:rsidR="008D6298" w:rsidRPr="00FC73B5">
        <w:rPr>
          <w:szCs w:val="24"/>
        </w:rPr>
        <w:t xml:space="preserve">para que en representación de la Dirección de Auditoría Interna -DIDAI-, realice consejo o consultoría de segundo seguimiento a las recomendaciones emitidas </w:t>
      </w:r>
      <w:bookmarkStart w:id="0" w:name="_Hlk130904665"/>
      <w:r w:rsidR="00F5644C" w:rsidRPr="00F5644C">
        <w:rPr>
          <w:szCs w:val="24"/>
        </w:rPr>
        <w:t>por la Dirección de Auditoría Interna, en el informe de auditoría CAI: 00049</w:t>
      </w:r>
      <w:bookmarkEnd w:id="0"/>
      <w:r w:rsidR="00F5644C" w:rsidRPr="00F5644C">
        <w:rPr>
          <w:szCs w:val="24"/>
        </w:rPr>
        <w:t>, respecto a la Auditoría de cumplimiento por el periodo del 01 de enero al 31 de julio de 2022, verificación de la normativa aplicable a los movimientos administrativos y bloqueo de salarios, practicada en la Dirección Departamental de Educación Guatemala Occidente</w:t>
      </w:r>
      <w:r w:rsidRPr="00FC73B5">
        <w:rPr>
          <w:szCs w:val="24"/>
        </w:rPr>
        <w:t>.</w:t>
      </w:r>
    </w:p>
    <w:p w14:paraId="60B4B5C4" w14:textId="77777777" w:rsidR="002A2F52" w:rsidRPr="00FC73B5" w:rsidRDefault="002A2F52" w:rsidP="002A2F52">
      <w:pPr>
        <w:spacing w:line="276" w:lineRule="auto"/>
        <w:rPr>
          <w:szCs w:val="24"/>
        </w:rPr>
      </w:pPr>
      <w:r w:rsidRPr="00FC73B5">
        <w:rPr>
          <w:szCs w:val="24"/>
        </w:rPr>
        <w:t xml:space="preserve"> </w:t>
      </w:r>
    </w:p>
    <w:p w14:paraId="0FAE09B5" w14:textId="77777777" w:rsidR="002A2F52" w:rsidRPr="00FC73B5" w:rsidRDefault="002A2F52" w:rsidP="002A2F52">
      <w:pPr>
        <w:spacing w:line="276" w:lineRule="auto"/>
        <w:rPr>
          <w:b/>
          <w:szCs w:val="24"/>
        </w:rPr>
      </w:pPr>
      <w:r w:rsidRPr="00FC73B5">
        <w:rPr>
          <w:b/>
          <w:szCs w:val="24"/>
        </w:rPr>
        <w:t>OBJETIVOS</w:t>
      </w:r>
    </w:p>
    <w:p w14:paraId="22B70EA4" w14:textId="77777777" w:rsidR="002A2F52" w:rsidRPr="00FC73B5" w:rsidRDefault="002A2F52" w:rsidP="002A2F52">
      <w:pPr>
        <w:spacing w:line="276" w:lineRule="auto"/>
        <w:rPr>
          <w:b/>
          <w:szCs w:val="24"/>
        </w:rPr>
      </w:pPr>
    </w:p>
    <w:p w14:paraId="63B971A8" w14:textId="77777777" w:rsidR="002A2F52" w:rsidRPr="00FC73B5" w:rsidRDefault="002A2F52" w:rsidP="002A2F52">
      <w:pPr>
        <w:spacing w:line="276" w:lineRule="auto"/>
        <w:rPr>
          <w:b/>
          <w:szCs w:val="24"/>
        </w:rPr>
      </w:pPr>
      <w:r w:rsidRPr="00FC73B5">
        <w:rPr>
          <w:b/>
          <w:szCs w:val="24"/>
        </w:rPr>
        <w:t>GENERAL</w:t>
      </w:r>
    </w:p>
    <w:p w14:paraId="5C4A3031" w14:textId="77777777" w:rsidR="002A2F52" w:rsidRPr="00FC73B5" w:rsidRDefault="002A2F52" w:rsidP="002A2F52">
      <w:pPr>
        <w:spacing w:line="276" w:lineRule="auto"/>
        <w:rPr>
          <w:szCs w:val="24"/>
        </w:rPr>
      </w:pPr>
    </w:p>
    <w:p w14:paraId="2527B2CD" w14:textId="44B6A81A" w:rsidR="002A2F52" w:rsidRPr="00FC73B5" w:rsidRDefault="002A2F52" w:rsidP="002A2F52">
      <w:pPr>
        <w:spacing w:line="276" w:lineRule="auto"/>
        <w:rPr>
          <w:szCs w:val="24"/>
        </w:rPr>
      </w:pPr>
      <w:r w:rsidRPr="00FC73B5">
        <w:rPr>
          <w:szCs w:val="24"/>
        </w:rPr>
        <w:t xml:space="preserve">Realizar </w:t>
      </w:r>
      <w:r w:rsidR="00D1179B" w:rsidRPr="00FC73B5">
        <w:rPr>
          <w:szCs w:val="24"/>
        </w:rPr>
        <w:t>segundo</w:t>
      </w:r>
      <w:r w:rsidRPr="00FC73B5">
        <w:rPr>
          <w:szCs w:val="24"/>
        </w:rPr>
        <w:t xml:space="preserve"> seguimiento a las recomendaciones emitidas por la </w:t>
      </w:r>
      <w:r w:rsidR="00F5644C">
        <w:rPr>
          <w:szCs w:val="24"/>
        </w:rPr>
        <w:t>Dirección de Auditoría Interna</w:t>
      </w:r>
      <w:r w:rsidRPr="00FC73B5">
        <w:rPr>
          <w:szCs w:val="24"/>
        </w:rPr>
        <w:t>.</w:t>
      </w:r>
    </w:p>
    <w:p w14:paraId="7F0324A1" w14:textId="77777777" w:rsidR="002A2F52" w:rsidRPr="00FC73B5" w:rsidRDefault="002A2F52" w:rsidP="002A2F52">
      <w:pPr>
        <w:spacing w:line="276" w:lineRule="auto"/>
        <w:rPr>
          <w:szCs w:val="24"/>
        </w:rPr>
      </w:pPr>
    </w:p>
    <w:p w14:paraId="36A1439A" w14:textId="77777777" w:rsidR="002A2F52" w:rsidRPr="00FC73B5" w:rsidRDefault="002A2F52" w:rsidP="002A2F52">
      <w:pPr>
        <w:spacing w:line="276" w:lineRule="auto"/>
        <w:rPr>
          <w:b/>
          <w:szCs w:val="24"/>
        </w:rPr>
      </w:pPr>
      <w:r w:rsidRPr="00FC73B5">
        <w:rPr>
          <w:b/>
          <w:szCs w:val="24"/>
        </w:rPr>
        <w:t>ESPECIFICOS</w:t>
      </w:r>
    </w:p>
    <w:p w14:paraId="63AB4263" w14:textId="77777777" w:rsidR="002A2F52" w:rsidRPr="00FC73B5" w:rsidRDefault="002A2F52" w:rsidP="002A2F52">
      <w:pPr>
        <w:spacing w:line="276" w:lineRule="auto"/>
        <w:rPr>
          <w:szCs w:val="24"/>
        </w:rPr>
      </w:pPr>
    </w:p>
    <w:p w14:paraId="3C1EA8D5" w14:textId="77777777" w:rsidR="002A2F52" w:rsidRPr="00FC73B5" w:rsidRDefault="002A2F52" w:rsidP="002A2F52">
      <w:pPr>
        <w:spacing w:line="276" w:lineRule="auto"/>
        <w:rPr>
          <w:szCs w:val="24"/>
        </w:rPr>
      </w:pPr>
      <w:r w:rsidRPr="00FC73B5">
        <w:rPr>
          <w:szCs w:val="24"/>
        </w:rPr>
        <w:t>Verificar si existen recomendaciones implementadas, en proceso e incumplidas.</w:t>
      </w:r>
    </w:p>
    <w:p w14:paraId="7F3FB72F" w14:textId="77777777" w:rsidR="002A2F52" w:rsidRPr="00FC73B5" w:rsidRDefault="002A2F52" w:rsidP="002A2F52">
      <w:pPr>
        <w:spacing w:line="276" w:lineRule="auto"/>
        <w:rPr>
          <w:szCs w:val="24"/>
        </w:rPr>
      </w:pPr>
    </w:p>
    <w:p w14:paraId="4A639509" w14:textId="77777777" w:rsidR="002A2F52" w:rsidRPr="00FC73B5" w:rsidRDefault="002A2F52" w:rsidP="002A2F52">
      <w:pPr>
        <w:spacing w:line="276" w:lineRule="auto"/>
        <w:rPr>
          <w:b/>
          <w:szCs w:val="24"/>
        </w:rPr>
      </w:pPr>
      <w:r w:rsidRPr="00FC73B5">
        <w:rPr>
          <w:b/>
          <w:szCs w:val="24"/>
        </w:rPr>
        <w:t>ALCANCE DE LA ACTIVIDAD</w:t>
      </w:r>
    </w:p>
    <w:p w14:paraId="695969FC" w14:textId="77777777" w:rsidR="002A2F52" w:rsidRPr="00FC73B5" w:rsidRDefault="002A2F52" w:rsidP="002A2F52">
      <w:pPr>
        <w:spacing w:line="276" w:lineRule="auto"/>
        <w:rPr>
          <w:szCs w:val="24"/>
        </w:rPr>
      </w:pPr>
    </w:p>
    <w:p w14:paraId="2643E215" w14:textId="115DF29B" w:rsidR="002A2F52" w:rsidRPr="00FC73B5" w:rsidRDefault="002A2F52" w:rsidP="006F576C">
      <w:pPr>
        <w:spacing w:line="276" w:lineRule="auto"/>
        <w:rPr>
          <w:szCs w:val="24"/>
          <w:lang w:bidi="es-ES"/>
        </w:rPr>
      </w:pPr>
      <w:r w:rsidRPr="00FC73B5">
        <w:rPr>
          <w:szCs w:val="24"/>
          <w:lang w:bidi="es-ES"/>
        </w:rPr>
        <w:t xml:space="preserve">Se efectuó </w:t>
      </w:r>
      <w:r w:rsidR="00D1179B" w:rsidRPr="00FC73B5">
        <w:rPr>
          <w:szCs w:val="24"/>
          <w:lang w:bidi="es-ES"/>
        </w:rPr>
        <w:t>segundo</w:t>
      </w:r>
      <w:r w:rsidRPr="00FC73B5">
        <w:rPr>
          <w:szCs w:val="24"/>
          <w:lang w:bidi="es-ES"/>
        </w:rPr>
        <w:t xml:space="preserve"> seguimiento a </w:t>
      </w:r>
      <w:r w:rsidR="00F5644C">
        <w:rPr>
          <w:szCs w:val="24"/>
          <w:lang w:bidi="es-ES"/>
        </w:rPr>
        <w:t>4</w:t>
      </w:r>
      <w:r w:rsidRPr="00FC73B5">
        <w:rPr>
          <w:szCs w:val="24"/>
          <w:lang w:bidi="es-ES"/>
        </w:rPr>
        <w:t xml:space="preserve"> recomendaci</w:t>
      </w:r>
      <w:r w:rsidR="006F576C" w:rsidRPr="00FC73B5">
        <w:rPr>
          <w:szCs w:val="24"/>
          <w:lang w:bidi="es-ES"/>
        </w:rPr>
        <w:t>ones</w:t>
      </w:r>
      <w:r w:rsidRPr="00FC73B5">
        <w:rPr>
          <w:szCs w:val="24"/>
          <w:lang w:bidi="es-ES"/>
        </w:rPr>
        <w:t xml:space="preserve"> emitidas </w:t>
      </w:r>
      <w:r w:rsidR="00F5644C" w:rsidRPr="00F5644C">
        <w:rPr>
          <w:szCs w:val="24"/>
          <w:lang w:bidi="es-ES"/>
        </w:rPr>
        <w:t>por la Dirección de Auditoría Interna, en el informe de auditoría CAI: 00049</w:t>
      </w:r>
      <w:r w:rsidR="006F576C" w:rsidRPr="00FC73B5">
        <w:rPr>
          <w:szCs w:val="24"/>
        </w:rPr>
        <w:t xml:space="preserve">, </w:t>
      </w:r>
      <w:r w:rsidR="00F5644C" w:rsidRPr="00F5644C">
        <w:rPr>
          <w:szCs w:val="24"/>
        </w:rPr>
        <w:t>respecto a la Auditoría de cumplimiento por el periodo del 01 de enero al 31 de julio de 2022, verificación de la normativa aplicable a los movimientos administrativos y bloqueo de salarios</w:t>
      </w:r>
      <w:r w:rsidR="00F5644C">
        <w:rPr>
          <w:szCs w:val="24"/>
        </w:rPr>
        <w:t>;</w:t>
      </w:r>
      <w:r w:rsidR="00F5644C" w:rsidRPr="00F5644C">
        <w:rPr>
          <w:szCs w:val="24"/>
        </w:rPr>
        <w:t xml:space="preserve"> </w:t>
      </w:r>
      <w:r w:rsidR="006F576C" w:rsidRPr="00FC73B5">
        <w:rPr>
          <w:szCs w:val="24"/>
        </w:rPr>
        <w:t>que quedaron en proceso en el</w:t>
      </w:r>
      <w:r w:rsidR="00EA6D1D">
        <w:rPr>
          <w:szCs w:val="24"/>
        </w:rPr>
        <w:t xml:space="preserve"> primer seguimiento según</w:t>
      </w:r>
      <w:r w:rsidR="006F576C" w:rsidRPr="00FC73B5">
        <w:rPr>
          <w:szCs w:val="24"/>
        </w:rPr>
        <w:t xml:space="preserve"> Informe O-DIDAI/SUB-</w:t>
      </w:r>
      <w:r w:rsidR="00F5644C">
        <w:rPr>
          <w:szCs w:val="24"/>
        </w:rPr>
        <w:t>253</w:t>
      </w:r>
      <w:r w:rsidR="006F576C" w:rsidRPr="00FC73B5">
        <w:rPr>
          <w:szCs w:val="24"/>
        </w:rPr>
        <w:t xml:space="preserve">-2022 en la Dirección Departamental de Educación </w:t>
      </w:r>
      <w:r w:rsidR="00F5644C">
        <w:rPr>
          <w:szCs w:val="24"/>
        </w:rPr>
        <w:t>Guatemala Occidente.</w:t>
      </w:r>
    </w:p>
    <w:p w14:paraId="15450AEF" w14:textId="3622225C" w:rsidR="002A2F52" w:rsidRPr="00FC73B5" w:rsidRDefault="002A2F52" w:rsidP="002A2F52">
      <w:pPr>
        <w:spacing w:line="276" w:lineRule="auto"/>
        <w:rPr>
          <w:szCs w:val="24"/>
        </w:rPr>
      </w:pPr>
    </w:p>
    <w:p w14:paraId="14C13B5C" w14:textId="77777777" w:rsidR="002A2F52" w:rsidRPr="00FC73B5" w:rsidRDefault="002A2F52" w:rsidP="002A2F52">
      <w:pPr>
        <w:widowControl w:val="0"/>
        <w:tabs>
          <w:tab w:val="left" w:pos="5241"/>
        </w:tabs>
        <w:autoSpaceDE w:val="0"/>
        <w:autoSpaceDN w:val="0"/>
        <w:adjustRightInd w:val="0"/>
        <w:spacing w:line="276" w:lineRule="auto"/>
        <w:rPr>
          <w:b/>
          <w:bCs/>
          <w:spacing w:val="-2"/>
          <w:szCs w:val="24"/>
        </w:rPr>
      </w:pPr>
      <w:r w:rsidRPr="00FC73B5">
        <w:rPr>
          <w:b/>
          <w:bCs/>
          <w:spacing w:val="-2"/>
          <w:szCs w:val="24"/>
        </w:rPr>
        <w:t>RESULTADOS DE LA ACTIVIDAD</w:t>
      </w:r>
    </w:p>
    <w:p w14:paraId="540EE54E" w14:textId="77777777" w:rsidR="002A2F52" w:rsidRPr="00FC73B5" w:rsidRDefault="002A2F52" w:rsidP="002A2F52">
      <w:pPr>
        <w:widowControl w:val="0"/>
        <w:tabs>
          <w:tab w:val="left" w:pos="5241"/>
        </w:tabs>
        <w:autoSpaceDE w:val="0"/>
        <w:autoSpaceDN w:val="0"/>
        <w:adjustRightInd w:val="0"/>
        <w:spacing w:line="276" w:lineRule="auto"/>
        <w:rPr>
          <w:b/>
          <w:bCs/>
          <w:spacing w:val="-2"/>
          <w:szCs w:val="24"/>
        </w:rPr>
      </w:pPr>
    </w:p>
    <w:p w14:paraId="5A7FB39B" w14:textId="650520ED" w:rsidR="002A2F52" w:rsidRPr="00FC73B5" w:rsidRDefault="006F576C" w:rsidP="002A2F52">
      <w:pPr>
        <w:spacing w:line="276" w:lineRule="auto"/>
        <w:rPr>
          <w:szCs w:val="24"/>
          <w:lang w:val="es-ES"/>
        </w:rPr>
      </w:pPr>
      <w:r w:rsidRPr="00FC73B5">
        <w:rPr>
          <w:szCs w:val="24"/>
          <w:lang w:val="es-ES"/>
        </w:rPr>
        <w:t>Los resultados del trabajo se resumen a continuación</w:t>
      </w:r>
      <w:r w:rsidR="002A2F52" w:rsidRPr="00FC73B5">
        <w:rPr>
          <w:szCs w:val="24"/>
          <w:lang w:val="es-ES"/>
        </w:rPr>
        <w:t>:</w:t>
      </w:r>
    </w:p>
    <w:p w14:paraId="701A2C14" w14:textId="064F552F" w:rsidR="002A2F52" w:rsidRDefault="002A2F52" w:rsidP="002A2F52">
      <w:pPr>
        <w:spacing w:line="276" w:lineRule="auto"/>
        <w:rPr>
          <w:szCs w:val="24"/>
          <w:lang w:val="es-ES"/>
        </w:rPr>
      </w:pPr>
    </w:p>
    <w:p w14:paraId="2C83B26F" w14:textId="65BB7473" w:rsidR="001C6F3F" w:rsidRDefault="001C6F3F" w:rsidP="002A2F52">
      <w:pPr>
        <w:spacing w:line="276" w:lineRule="auto"/>
        <w:rPr>
          <w:szCs w:val="24"/>
          <w:lang w:val="es-ES"/>
        </w:rPr>
      </w:pPr>
    </w:p>
    <w:p w14:paraId="636F4CCC" w14:textId="77777777" w:rsidR="001C6F3F" w:rsidRDefault="001C6F3F" w:rsidP="002A2F52">
      <w:pPr>
        <w:spacing w:line="276" w:lineRule="auto"/>
        <w:rPr>
          <w:szCs w:val="24"/>
          <w:lang w:val="es-ES"/>
        </w:rPr>
      </w:pPr>
    </w:p>
    <w:p w14:paraId="5597CFDB" w14:textId="28EA0AD3" w:rsidR="002A2F52" w:rsidRPr="00FC73B5" w:rsidRDefault="002A2F52" w:rsidP="002A2F52">
      <w:pPr>
        <w:spacing w:line="276" w:lineRule="auto"/>
        <w:rPr>
          <w:b/>
          <w:szCs w:val="24"/>
          <w:lang w:val="es-ES"/>
        </w:rPr>
      </w:pPr>
      <w:r w:rsidRPr="00FC73B5">
        <w:rPr>
          <w:b/>
          <w:szCs w:val="24"/>
          <w:lang w:val="es-ES"/>
        </w:rPr>
        <w:lastRenderedPageBreak/>
        <w:t xml:space="preserve">RECOMENDACIONES </w:t>
      </w:r>
      <w:r w:rsidR="006F576C" w:rsidRPr="00FC73B5">
        <w:rPr>
          <w:b/>
          <w:szCs w:val="24"/>
          <w:lang w:val="es-ES"/>
        </w:rPr>
        <w:t>IMPLEMENTADAS</w:t>
      </w:r>
    </w:p>
    <w:p w14:paraId="3C0DE584" w14:textId="77777777" w:rsidR="002A2F52" w:rsidRPr="00FC73B5" w:rsidRDefault="002A2F52" w:rsidP="002A2F52">
      <w:pPr>
        <w:spacing w:line="276" w:lineRule="auto"/>
        <w:rPr>
          <w:szCs w:val="24"/>
          <w:lang w:val="es-ES"/>
        </w:rPr>
      </w:pPr>
    </w:p>
    <w:p w14:paraId="7C2AD470" w14:textId="2987E9D3" w:rsidR="002A2F52" w:rsidRPr="00FC73B5" w:rsidRDefault="002A2F52" w:rsidP="002A2F52">
      <w:pPr>
        <w:spacing w:line="276" w:lineRule="auto"/>
        <w:rPr>
          <w:szCs w:val="24"/>
          <w:lang w:val="es-ES"/>
        </w:rPr>
      </w:pPr>
      <w:r w:rsidRPr="00FC73B5">
        <w:rPr>
          <w:szCs w:val="24"/>
          <w:lang w:val="es-ES"/>
        </w:rPr>
        <w:t xml:space="preserve">De conformidad con el formulario SR1 “Implementación de Recomendaciones” y la evaluación realizada a los argumentos y documentos presentados, se estableció que </w:t>
      </w:r>
      <w:r w:rsidR="00DA77C2" w:rsidRPr="00FC73B5">
        <w:rPr>
          <w:szCs w:val="24"/>
          <w:lang w:val="es-ES"/>
        </w:rPr>
        <w:t>las recomendaciones</w:t>
      </w:r>
      <w:r w:rsidRPr="00FC73B5">
        <w:rPr>
          <w:szCs w:val="24"/>
          <w:lang w:val="es-ES"/>
        </w:rPr>
        <w:t xml:space="preserve"> de</w:t>
      </w:r>
      <w:r w:rsidR="00A435BE">
        <w:rPr>
          <w:szCs w:val="24"/>
          <w:lang w:val="es-ES"/>
        </w:rPr>
        <w:t xml:space="preserve"> </w:t>
      </w:r>
      <w:r w:rsidRPr="00FC73B5">
        <w:rPr>
          <w:szCs w:val="24"/>
          <w:lang w:val="es-ES"/>
        </w:rPr>
        <w:t>l</w:t>
      </w:r>
      <w:r w:rsidR="00A435BE">
        <w:rPr>
          <w:szCs w:val="24"/>
          <w:lang w:val="es-ES"/>
        </w:rPr>
        <w:t>as</w:t>
      </w:r>
      <w:r w:rsidRPr="00FC73B5">
        <w:rPr>
          <w:szCs w:val="24"/>
          <w:lang w:val="es-ES"/>
        </w:rPr>
        <w:t xml:space="preserve"> </w:t>
      </w:r>
      <w:r w:rsidR="00A435BE">
        <w:rPr>
          <w:szCs w:val="24"/>
          <w:lang w:val="es-ES"/>
        </w:rPr>
        <w:t>deficiencias</w:t>
      </w:r>
      <w:r w:rsidRPr="00FC73B5">
        <w:rPr>
          <w:szCs w:val="24"/>
          <w:lang w:val="es-ES"/>
        </w:rPr>
        <w:t xml:space="preserve"> </w:t>
      </w:r>
      <w:r w:rsidR="001C6F3F">
        <w:rPr>
          <w:szCs w:val="24"/>
          <w:lang w:val="es-ES"/>
        </w:rPr>
        <w:t>1</w:t>
      </w:r>
      <w:r w:rsidR="00DA77C2">
        <w:rPr>
          <w:szCs w:val="24"/>
          <w:lang w:val="es-ES"/>
        </w:rPr>
        <w:t xml:space="preserve"> y 2</w:t>
      </w:r>
      <w:r w:rsidR="0076487B">
        <w:rPr>
          <w:szCs w:val="24"/>
          <w:lang w:val="es-ES"/>
        </w:rPr>
        <w:t xml:space="preserve"> </w:t>
      </w:r>
      <w:r w:rsidR="006F576C" w:rsidRPr="00FC73B5">
        <w:rPr>
          <w:szCs w:val="24"/>
          <w:lang w:val="es-ES"/>
        </w:rPr>
        <w:t>fue</w:t>
      </w:r>
      <w:r w:rsidR="00DA77C2">
        <w:rPr>
          <w:szCs w:val="24"/>
          <w:lang w:val="es-ES"/>
        </w:rPr>
        <w:t>ron</w:t>
      </w:r>
      <w:r w:rsidR="006F576C" w:rsidRPr="00FC73B5">
        <w:rPr>
          <w:szCs w:val="24"/>
          <w:lang w:val="es-ES"/>
        </w:rPr>
        <w:t xml:space="preserve"> implementada</w:t>
      </w:r>
      <w:r w:rsidR="00DA77C2">
        <w:rPr>
          <w:szCs w:val="24"/>
          <w:lang w:val="es-ES"/>
        </w:rPr>
        <w:t>s</w:t>
      </w:r>
      <w:r w:rsidRPr="00FC73B5">
        <w:rPr>
          <w:szCs w:val="24"/>
          <w:lang w:val="es-ES"/>
        </w:rPr>
        <w:t>, por las razones siguientes:</w:t>
      </w:r>
    </w:p>
    <w:p w14:paraId="309FFBBB" w14:textId="77777777" w:rsidR="0001636D" w:rsidRPr="00FC73B5" w:rsidRDefault="0001636D" w:rsidP="0001636D">
      <w:pPr>
        <w:pStyle w:val="Prrafodelista"/>
        <w:tabs>
          <w:tab w:val="left" w:pos="0"/>
        </w:tabs>
        <w:ind w:firstLine="0"/>
        <w:rPr>
          <w:szCs w:val="24"/>
        </w:rPr>
      </w:pPr>
    </w:p>
    <w:p w14:paraId="6E0BE9A6" w14:textId="0E57E194" w:rsidR="0001636D" w:rsidRDefault="00A435BE" w:rsidP="001C6F3F">
      <w:pPr>
        <w:ind w:firstLine="406"/>
        <w:rPr>
          <w:b/>
          <w:szCs w:val="24"/>
          <w:lang w:val="es-ES"/>
        </w:rPr>
      </w:pPr>
      <w:r>
        <w:rPr>
          <w:b/>
          <w:szCs w:val="24"/>
        </w:rPr>
        <w:t>Deficiencia</w:t>
      </w:r>
      <w:r w:rsidR="002A2F52" w:rsidRPr="00FC73B5">
        <w:rPr>
          <w:b/>
          <w:szCs w:val="24"/>
        </w:rPr>
        <w:t xml:space="preserve"> No.</w:t>
      </w:r>
      <w:r w:rsidR="006F576C" w:rsidRPr="00FC73B5">
        <w:rPr>
          <w:b/>
          <w:szCs w:val="24"/>
        </w:rPr>
        <w:t>1</w:t>
      </w:r>
      <w:r w:rsidR="002A2F52" w:rsidRPr="00FC73B5">
        <w:rPr>
          <w:b/>
          <w:szCs w:val="24"/>
        </w:rPr>
        <w:t xml:space="preserve"> “</w:t>
      </w:r>
      <w:r w:rsidR="001C6F3F" w:rsidRPr="00240F77">
        <w:rPr>
          <w:b/>
        </w:rPr>
        <w:t>Prestaciones pagadas de más</w:t>
      </w:r>
      <w:r w:rsidR="0001636D" w:rsidRPr="001C6F3F">
        <w:rPr>
          <w:b/>
          <w:szCs w:val="24"/>
          <w:lang w:val="es-ES"/>
        </w:rPr>
        <w:t>”</w:t>
      </w:r>
    </w:p>
    <w:p w14:paraId="278B0066" w14:textId="77777777" w:rsidR="009C3C12" w:rsidRPr="001C6F3F" w:rsidRDefault="009C3C12" w:rsidP="001C6F3F">
      <w:pPr>
        <w:ind w:firstLine="406"/>
        <w:rPr>
          <w:bCs/>
        </w:rPr>
      </w:pPr>
    </w:p>
    <w:p w14:paraId="5A1DF37C" w14:textId="29ECCC54" w:rsidR="003F5ACE" w:rsidRDefault="001C6F3F" w:rsidP="0001636D">
      <w:pPr>
        <w:spacing w:line="276" w:lineRule="auto"/>
        <w:ind w:left="426"/>
        <w:rPr>
          <w:szCs w:val="24"/>
          <w:lang w:val="es-ES"/>
        </w:rPr>
      </w:pPr>
      <w:r>
        <w:rPr>
          <w:szCs w:val="24"/>
          <w:lang w:val="es-ES"/>
        </w:rPr>
        <w:t>Se present</w:t>
      </w:r>
      <w:r w:rsidR="00BA4AD3">
        <w:rPr>
          <w:szCs w:val="24"/>
          <w:lang w:val="es-ES"/>
        </w:rPr>
        <w:t>ó</w:t>
      </w:r>
      <w:r>
        <w:rPr>
          <w:szCs w:val="24"/>
          <w:lang w:val="es-ES"/>
        </w:rPr>
        <w:t xml:space="preserve"> evidencia del</w:t>
      </w:r>
      <w:r w:rsidR="001B5A36" w:rsidRPr="001B5A36">
        <w:rPr>
          <w:szCs w:val="24"/>
          <w:lang w:val="es-ES"/>
        </w:rPr>
        <w:t xml:space="preserve"> </w:t>
      </w:r>
      <w:r w:rsidRPr="001C6F3F">
        <w:rPr>
          <w:szCs w:val="24"/>
          <w:lang w:val="es-ES"/>
        </w:rPr>
        <w:t>reintegro del aguinaldo pagado de más a la exservidora publica, difunta Ana Graciela Mejía Herrera</w:t>
      </w:r>
      <w:r w:rsidR="00A425CC">
        <w:rPr>
          <w:szCs w:val="24"/>
          <w:lang w:val="es-ES"/>
        </w:rPr>
        <w:t>, por la cantidad de Q3,847.74 con las boletas número 871181 y 871182, ambas con fecha de generación 6 de febrero de 2023, según el sistema de GUATENOMINAS.</w:t>
      </w:r>
    </w:p>
    <w:p w14:paraId="0CA2BAE0" w14:textId="59E7E8AF" w:rsidR="00DA77C2" w:rsidRDefault="00DA77C2" w:rsidP="0001636D">
      <w:pPr>
        <w:spacing w:line="276" w:lineRule="auto"/>
        <w:ind w:left="426"/>
        <w:rPr>
          <w:szCs w:val="24"/>
          <w:lang w:val="es-ES"/>
        </w:rPr>
      </w:pPr>
    </w:p>
    <w:p w14:paraId="2A97A204" w14:textId="4D23B381" w:rsidR="00DA77C2" w:rsidRDefault="00A435BE" w:rsidP="00DA77C2">
      <w:pPr>
        <w:ind w:left="416" w:firstLine="0"/>
        <w:rPr>
          <w:b/>
          <w:szCs w:val="24"/>
          <w:lang w:val="es-ES"/>
        </w:rPr>
      </w:pPr>
      <w:r>
        <w:rPr>
          <w:b/>
          <w:szCs w:val="24"/>
        </w:rPr>
        <w:t>Deficiencia</w:t>
      </w:r>
      <w:r w:rsidR="00DA77C2" w:rsidRPr="00FC73B5">
        <w:rPr>
          <w:b/>
          <w:szCs w:val="24"/>
        </w:rPr>
        <w:t xml:space="preserve"> No.2 “</w:t>
      </w:r>
      <w:r w:rsidR="00DA77C2" w:rsidRPr="00240F77">
        <w:rPr>
          <w:b/>
        </w:rPr>
        <w:t>Sueldos y prestaciones pendientes de pago a ex servidores públicos</w:t>
      </w:r>
      <w:r w:rsidR="00DA77C2" w:rsidRPr="001C6F3F">
        <w:rPr>
          <w:b/>
          <w:szCs w:val="24"/>
          <w:lang w:val="es-ES"/>
        </w:rPr>
        <w:t>”</w:t>
      </w:r>
    </w:p>
    <w:p w14:paraId="162F4E1F" w14:textId="77777777" w:rsidR="00DA77C2" w:rsidRPr="001C6F3F" w:rsidRDefault="00DA77C2" w:rsidP="00DA77C2">
      <w:pPr>
        <w:ind w:left="416" w:firstLine="0"/>
        <w:rPr>
          <w:b/>
        </w:rPr>
      </w:pPr>
    </w:p>
    <w:p w14:paraId="2FD4A67F" w14:textId="310AF2AA" w:rsidR="00DA77C2" w:rsidRDefault="00DA77C2" w:rsidP="00DA77C2">
      <w:pPr>
        <w:spacing w:line="276" w:lineRule="auto"/>
        <w:ind w:left="426"/>
        <w:rPr>
          <w:szCs w:val="24"/>
          <w:lang w:val="es-ES"/>
        </w:rPr>
      </w:pPr>
      <w:r w:rsidRPr="001B5A36">
        <w:rPr>
          <w:szCs w:val="24"/>
          <w:lang w:val="es-ES"/>
        </w:rPr>
        <w:t xml:space="preserve">Los argumentos y documentos de respaldo presentados </w:t>
      </w:r>
      <w:r>
        <w:rPr>
          <w:szCs w:val="24"/>
          <w:lang w:val="es-ES"/>
        </w:rPr>
        <w:t>evidencian</w:t>
      </w:r>
      <w:r w:rsidRPr="001B5A36">
        <w:rPr>
          <w:szCs w:val="24"/>
          <w:lang w:val="es-ES"/>
        </w:rPr>
        <w:t xml:space="preserve"> que se giraron instrucciones para el cumplimiento de las recomendaciones de</w:t>
      </w:r>
      <w:r w:rsidR="00A435BE">
        <w:rPr>
          <w:szCs w:val="24"/>
          <w:lang w:val="es-ES"/>
        </w:rPr>
        <w:t xml:space="preserve"> </w:t>
      </w:r>
      <w:r w:rsidRPr="001B5A36">
        <w:rPr>
          <w:szCs w:val="24"/>
          <w:lang w:val="es-ES"/>
        </w:rPr>
        <w:t>l</w:t>
      </w:r>
      <w:r w:rsidR="00A435BE">
        <w:rPr>
          <w:szCs w:val="24"/>
          <w:lang w:val="es-ES"/>
        </w:rPr>
        <w:t>a</w:t>
      </w:r>
      <w:r w:rsidRPr="001B5A36">
        <w:rPr>
          <w:szCs w:val="24"/>
          <w:lang w:val="es-ES"/>
        </w:rPr>
        <w:t xml:space="preserve"> presente </w:t>
      </w:r>
      <w:r w:rsidR="00A435BE">
        <w:rPr>
          <w:szCs w:val="24"/>
          <w:lang w:val="es-ES"/>
        </w:rPr>
        <w:t>deficiencia</w:t>
      </w:r>
      <w:r>
        <w:rPr>
          <w:szCs w:val="24"/>
          <w:lang w:val="es-ES"/>
        </w:rPr>
        <w:t>; que, de los 7 casos, se</w:t>
      </w:r>
      <w:r w:rsidRPr="001C6F3F">
        <w:rPr>
          <w:szCs w:val="24"/>
          <w:lang w:val="es-ES"/>
        </w:rPr>
        <w:t xml:space="preserve"> pag</w:t>
      </w:r>
      <w:r>
        <w:rPr>
          <w:szCs w:val="24"/>
          <w:lang w:val="es-ES"/>
        </w:rPr>
        <w:t>aron</w:t>
      </w:r>
      <w:r w:rsidRPr="001C6F3F">
        <w:rPr>
          <w:szCs w:val="24"/>
          <w:lang w:val="es-ES"/>
        </w:rPr>
        <w:t xml:space="preserve"> sueldos pendientes</w:t>
      </w:r>
      <w:r>
        <w:rPr>
          <w:szCs w:val="24"/>
          <w:lang w:val="es-ES"/>
        </w:rPr>
        <w:t xml:space="preserve"> a 3 exservidores públicos, funciones que corresponden a Recursos Humanos, y</w:t>
      </w:r>
      <w:r w:rsidRPr="001C6F3F">
        <w:rPr>
          <w:szCs w:val="24"/>
          <w:lang w:val="es-ES"/>
        </w:rPr>
        <w:t xml:space="preserve"> </w:t>
      </w:r>
      <w:r>
        <w:rPr>
          <w:szCs w:val="24"/>
          <w:lang w:val="es-ES"/>
        </w:rPr>
        <w:t xml:space="preserve">4 casos de baja por defunción, están pendientes </w:t>
      </w:r>
      <w:r w:rsidRPr="002A498D">
        <w:rPr>
          <w:szCs w:val="24"/>
          <w:lang w:val="es-ES"/>
        </w:rPr>
        <w:t xml:space="preserve">acciones ante la ONSEC </w:t>
      </w:r>
      <w:r>
        <w:rPr>
          <w:szCs w:val="24"/>
          <w:lang w:val="es-ES"/>
        </w:rPr>
        <w:t xml:space="preserve">por parte de los familiares, </w:t>
      </w:r>
      <w:r w:rsidRPr="002A498D">
        <w:rPr>
          <w:szCs w:val="24"/>
          <w:lang w:val="es-ES"/>
        </w:rPr>
        <w:t>para el nombramiento de beneficiarios</w:t>
      </w:r>
      <w:r>
        <w:rPr>
          <w:szCs w:val="24"/>
          <w:lang w:val="es-ES"/>
        </w:rPr>
        <w:t xml:space="preserve"> para el pago post mortem</w:t>
      </w:r>
      <w:r w:rsidRPr="001B5A36">
        <w:rPr>
          <w:szCs w:val="24"/>
          <w:lang w:val="es-ES"/>
        </w:rPr>
        <w:t>.</w:t>
      </w:r>
    </w:p>
    <w:p w14:paraId="3E84BD6F" w14:textId="77777777" w:rsidR="001B5A36" w:rsidRPr="00FC73B5" w:rsidRDefault="001B5A36" w:rsidP="0001636D">
      <w:pPr>
        <w:spacing w:line="276" w:lineRule="auto"/>
        <w:ind w:left="426"/>
        <w:rPr>
          <w:szCs w:val="24"/>
          <w:lang w:val="es-ES"/>
        </w:rPr>
      </w:pPr>
    </w:p>
    <w:p w14:paraId="66ECC913" w14:textId="2CC92F2C" w:rsidR="002A2F52" w:rsidRPr="00FC73B5" w:rsidRDefault="002A2F52" w:rsidP="002A2F52">
      <w:pPr>
        <w:spacing w:line="276" w:lineRule="auto"/>
        <w:rPr>
          <w:szCs w:val="24"/>
        </w:rPr>
      </w:pPr>
      <w:r w:rsidRPr="00FC73B5">
        <w:rPr>
          <w:szCs w:val="24"/>
        </w:rPr>
        <w:t xml:space="preserve">El resultado que las recomendaciones estén </w:t>
      </w:r>
      <w:r w:rsidR="00AA0B2B" w:rsidRPr="00FC73B5">
        <w:rPr>
          <w:szCs w:val="24"/>
        </w:rPr>
        <w:t>implementadas</w:t>
      </w:r>
      <w:r w:rsidRPr="00FC73B5">
        <w:rPr>
          <w:szCs w:val="24"/>
        </w:rPr>
        <w:t xml:space="preserve">, </w:t>
      </w:r>
      <w:r w:rsidR="00F10DAD" w:rsidRPr="00FC73B5">
        <w:rPr>
          <w:szCs w:val="24"/>
        </w:rPr>
        <w:t>fortalece el control interno y mejora el desempeño de las unidades administrativas</w:t>
      </w:r>
      <w:r w:rsidRPr="00FC73B5">
        <w:rPr>
          <w:szCs w:val="24"/>
        </w:rPr>
        <w:t xml:space="preserve">, </w:t>
      </w:r>
      <w:r w:rsidR="00F10DAD" w:rsidRPr="00FC73B5">
        <w:rPr>
          <w:szCs w:val="24"/>
        </w:rPr>
        <w:t xml:space="preserve">lo cual coadyuva al logro de </w:t>
      </w:r>
      <w:r w:rsidR="00543F94" w:rsidRPr="00FC73B5">
        <w:rPr>
          <w:szCs w:val="24"/>
        </w:rPr>
        <w:t xml:space="preserve">sus metas y </w:t>
      </w:r>
      <w:r w:rsidR="00F10DAD" w:rsidRPr="00FC73B5">
        <w:rPr>
          <w:szCs w:val="24"/>
        </w:rPr>
        <w:t>objetivos</w:t>
      </w:r>
      <w:r w:rsidRPr="00FC73B5">
        <w:rPr>
          <w:szCs w:val="24"/>
        </w:rPr>
        <w:t>.</w:t>
      </w:r>
    </w:p>
    <w:p w14:paraId="12934723" w14:textId="77777777" w:rsidR="000B08D5" w:rsidRDefault="000B08D5" w:rsidP="000B08D5">
      <w:pPr>
        <w:spacing w:line="276" w:lineRule="auto"/>
        <w:ind w:left="0" w:firstLine="0"/>
        <w:rPr>
          <w:szCs w:val="24"/>
        </w:rPr>
      </w:pPr>
    </w:p>
    <w:p w14:paraId="1D0A8E8B" w14:textId="77777777" w:rsidR="000B08D5" w:rsidRPr="000B08D5" w:rsidRDefault="000B08D5" w:rsidP="000B08D5">
      <w:pPr>
        <w:spacing w:line="276" w:lineRule="auto"/>
        <w:ind w:left="0" w:firstLine="0"/>
        <w:rPr>
          <w:b/>
          <w:bCs/>
          <w:szCs w:val="24"/>
        </w:rPr>
      </w:pPr>
      <w:r w:rsidRPr="000B08D5">
        <w:rPr>
          <w:b/>
          <w:bCs/>
          <w:szCs w:val="24"/>
        </w:rPr>
        <w:t>RECOMENDACIONES EN PROCESO</w:t>
      </w:r>
    </w:p>
    <w:p w14:paraId="390B2F81" w14:textId="77777777" w:rsidR="000B08D5" w:rsidRPr="000B08D5" w:rsidRDefault="000B08D5" w:rsidP="000B08D5">
      <w:pPr>
        <w:spacing w:line="276" w:lineRule="auto"/>
        <w:ind w:left="0" w:firstLine="0"/>
        <w:rPr>
          <w:szCs w:val="24"/>
        </w:rPr>
      </w:pPr>
    </w:p>
    <w:p w14:paraId="023B19FB" w14:textId="586589E5" w:rsidR="000B08D5" w:rsidRDefault="000B08D5" w:rsidP="000B08D5">
      <w:pPr>
        <w:spacing w:line="276" w:lineRule="auto"/>
        <w:ind w:left="0" w:firstLine="0"/>
        <w:rPr>
          <w:szCs w:val="24"/>
        </w:rPr>
      </w:pPr>
      <w:r w:rsidRPr="000B08D5">
        <w:rPr>
          <w:szCs w:val="24"/>
        </w:rPr>
        <w:t>De conformidad con el formulario SR1 “Implementación de Recomendaciones” y la evaluación realizada a los argumentos y documentos presentados, se estableció que la</w:t>
      </w:r>
      <w:r w:rsidR="0076487B">
        <w:rPr>
          <w:szCs w:val="24"/>
        </w:rPr>
        <w:t>s</w:t>
      </w:r>
      <w:r w:rsidRPr="000B08D5">
        <w:rPr>
          <w:szCs w:val="24"/>
        </w:rPr>
        <w:t xml:space="preserve"> recomendaci</w:t>
      </w:r>
      <w:r w:rsidR="0076487B">
        <w:rPr>
          <w:szCs w:val="24"/>
        </w:rPr>
        <w:t>ones</w:t>
      </w:r>
      <w:r w:rsidRPr="000B08D5">
        <w:rPr>
          <w:szCs w:val="24"/>
        </w:rPr>
        <w:t xml:space="preserve"> de</w:t>
      </w:r>
      <w:r w:rsidR="0076487B">
        <w:rPr>
          <w:szCs w:val="24"/>
        </w:rPr>
        <w:t xml:space="preserve"> </w:t>
      </w:r>
      <w:r>
        <w:rPr>
          <w:szCs w:val="24"/>
        </w:rPr>
        <w:t>l</w:t>
      </w:r>
      <w:r w:rsidR="00A435BE">
        <w:rPr>
          <w:szCs w:val="24"/>
        </w:rPr>
        <w:t>a</w:t>
      </w:r>
      <w:r w:rsidR="0076487B">
        <w:rPr>
          <w:szCs w:val="24"/>
        </w:rPr>
        <w:t>s</w:t>
      </w:r>
      <w:r>
        <w:rPr>
          <w:szCs w:val="24"/>
        </w:rPr>
        <w:t xml:space="preserve"> </w:t>
      </w:r>
      <w:r w:rsidR="00A435BE">
        <w:rPr>
          <w:szCs w:val="24"/>
        </w:rPr>
        <w:t>deficiencias</w:t>
      </w:r>
      <w:r w:rsidR="0076487B">
        <w:rPr>
          <w:szCs w:val="24"/>
        </w:rPr>
        <w:t xml:space="preserve"> 3 y</w:t>
      </w:r>
      <w:r>
        <w:rPr>
          <w:szCs w:val="24"/>
        </w:rPr>
        <w:t xml:space="preserve"> 4 </w:t>
      </w:r>
      <w:r w:rsidR="0076487B" w:rsidRPr="000B08D5">
        <w:rPr>
          <w:szCs w:val="24"/>
        </w:rPr>
        <w:t>est</w:t>
      </w:r>
      <w:r w:rsidR="0076487B">
        <w:rPr>
          <w:szCs w:val="24"/>
        </w:rPr>
        <w:t>án</w:t>
      </w:r>
      <w:r w:rsidRPr="000B08D5">
        <w:rPr>
          <w:szCs w:val="24"/>
        </w:rPr>
        <w:t xml:space="preserve"> en proceso, por las razones siguientes:</w:t>
      </w:r>
    </w:p>
    <w:p w14:paraId="7C73BE36" w14:textId="77777777" w:rsidR="000B08D5" w:rsidRDefault="000B08D5" w:rsidP="000B08D5">
      <w:pPr>
        <w:spacing w:line="276" w:lineRule="auto"/>
        <w:ind w:left="0" w:firstLine="0"/>
        <w:rPr>
          <w:szCs w:val="24"/>
        </w:rPr>
      </w:pPr>
    </w:p>
    <w:p w14:paraId="253B443D" w14:textId="0C227E65" w:rsidR="002A498D" w:rsidRDefault="00A435BE" w:rsidP="002A498D">
      <w:pPr>
        <w:ind w:left="416" w:firstLine="0"/>
        <w:rPr>
          <w:b/>
          <w:szCs w:val="24"/>
          <w:lang w:val="es-ES"/>
        </w:rPr>
      </w:pPr>
      <w:r>
        <w:rPr>
          <w:b/>
          <w:szCs w:val="24"/>
        </w:rPr>
        <w:t>Deficiencia</w:t>
      </w:r>
      <w:r w:rsidR="002A498D" w:rsidRPr="00FC73B5">
        <w:rPr>
          <w:b/>
          <w:szCs w:val="24"/>
        </w:rPr>
        <w:t xml:space="preserve"> No.</w:t>
      </w:r>
      <w:r w:rsidR="002A498D">
        <w:rPr>
          <w:b/>
          <w:szCs w:val="24"/>
        </w:rPr>
        <w:t>3</w:t>
      </w:r>
      <w:r w:rsidR="002A498D" w:rsidRPr="00FC73B5">
        <w:rPr>
          <w:b/>
          <w:szCs w:val="24"/>
        </w:rPr>
        <w:t xml:space="preserve"> “</w:t>
      </w:r>
      <w:r w:rsidR="002A498D" w:rsidRPr="00053941">
        <w:rPr>
          <w:b/>
        </w:rPr>
        <w:t>Sueldos pagados no devengados e incumplimiento en el plazo del bloqueo</w:t>
      </w:r>
      <w:r w:rsidR="002A498D" w:rsidRPr="001C6F3F">
        <w:rPr>
          <w:b/>
          <w:szCs w:val="24"/>
          <w:lang w:val="es-ES"/>
        </w:rPr>
        <w:t>”</w:t>
      </w:r>
    </w:p>
    <w:p w14:paraId="6DB5A7BB" w14:textId="77777777" w:rsidR="002A498D" w:rsidRPr="001C6F3F" w:rsidRDefault="002A498D" w:rsidP="002A498D">
      <w:pPr>
        <w:ind w:left="416" w:firstLine="0"/>
        <w:rPr>
          <w:b/>
        </w:rPr>
      </w:pPr>
    </w:p>
    <w:p w14:paraId="6CF0AD63" w14:textId="49C87459" w:rsidR="002A498D" w:rsidRDefault="002A498D" w:rsidP="002A498D">
      <w:pPr>
        <w:spacing w:line="276" w:lineRule="auto"/>
        <w:ind w:left="426"/>
        <w:rPr>
          <w:szCs w:val="24"/>
          <w:lang w:val="es-ES"/>
        </w:rPr>
      </w:pPr>
      <w:r w:rsidRPr="001B5A36">
        <w:rPr>
          <w:szCs w:val="24"/>
          <w:lang w:val="es-ES"/>
        </w:rPr>
        <w:t xml:space="preserve">Los argumentos y documentos de respaldo presentados </w:t>
      </w:r>
      <w:r>
        <w:rPr>
          <w:szCs w:val="24"/>
          <w:lang w:val="es-ES"/>
        </w:rPr>
        <w:t>evidencian</w:t>
      </w:r>
      <w:r w:rsidRPr="001B5A36">
        <w:rPr>
          <w:szCs w:val="24"/>
          <w:lang w:val="es-ES"/>
        </w:rPr>
        <w:t xml:space="preserve"> que se giraron instrucciones para el cumplimiento de las recomendaciones de</w:t>
      </w:r>
      <w:r w:rsidR="00A435BE">
        <w:rPr>
          <w:szCs w:val="24"/>
          <w:lang w:val="es-ES"/>
        </w:rPr>
        <w:t xml:space="preserve"> </w:t>
      </w:r>
      <w:r w:rsidRPr="001B5A36">
        <w:rPr>
          <w:szCs w:val="24"/>
          <w:lang w:val="es-ES"/>
        </w:rPr>
        <w:t>l</w:t>
      </w:r>
      <w:r w:rsidR="00A435BE">
        <w:rPr>
          <w:szCs w:val="24"/>
          <w:lang w:val="es-ES"/>
        </w:rPr>
        <w:t>a</w:t>
      </w:r>
      <w:r w:rsidRPr="001B5A36">
        <w:rPr>
          <w:szCs w:val="24"/>
          <w:lang w:val="es-ES"/>
        </w:rPr>
        <w:t xml:space="preserve"> </w:t>
      </w:r>
      <w:r w:rsidRPr="001B5A36">
        <w:rPr>
          <w:szCs w:val="24"/>
          <w:lang w:val="es-ES"/>
        </w:rPr>
        <w:lastRenderedPageBreak/>
        <w:t>present</w:t>
      </w:r>
      <w:r w:rsidR="00A435BE">
        <w:rPr>
          <w:szCs w:val="24"/>
          <w:lang w:val="es-ES"/>
        </w:rPr>
        <w:t>e</w:t>
      </w:r>
      <w:r w:rsidRPr="001B5A36">
        <w:rPr>
          <w:szCs w:val="24"/>
          <w:lang w:val="es-ES"/>
        </w:rPr>
        <w:t xml:space="preserve"> </w:t>
      </w:r>
      <w:r w:rsidR="00A435BE">
        <w:rPr>
          <w:szCs w:val="24"/>
          <w:lang w:val="es-ES"/>
        </w:rPr>
        <w:t>deficiencia</w:t>
      </w:r>
      <w:r w:rsidR="000F4A94">
        <w:rPr>
          <w:szCs w:val="24"/>
          <w:lang w:val="es-ES"/>
        </w:rPr>
        <w:t xml:space="preserve"> y </w:t>
      </w:r>
      <w:r>
        <w:rPr>
          <w:szCs w:val="24"/>
          <w:lang w:val="es-ES"/>
        </w:rPr>
        <w:t xml:space="preserve">se realizó </w:t>
      </w:r>
      <w:r w:rsidR="000F4A94">
        <w:rPr>
          <w:szCs w:val="24"/>
          <w:lang w:val="es-ES"/>
        </w:rPr>
        <w:t>un</w:t>
      </w:r>
      <w:r>
        <w:rPr>
          <w:szCs w:val="24"/>
          <w:lang w:val="es-ES"/>
        </w:rPr>
        <w:t xml:space="preserve"> </w:t>
      </w:r>
      <w:r w:rsidRPr="00053941">
        <w:rPr>
          <w:szCs w:val="24"/>
          <w:lang w:val="es-ES"/>
        </w:rPr>
        <w:t>reintegro de salarios pagados no devengados</w:t>
      </w:r>
      <w:r>
        <w:rPr>
          <w:szCs w:val="24"/>
          <w:lang w:val="es-ES"/>
        </w:rPr>
        <w:t>,</w:t>
      </w:r>
      <w:r w:rsidRPr="00053941">
        <w:rPr>
          <w:szCs w:val="24"/>
          <w:lang w:val="es-ES"/>
        </w:rPr>
        <w:t xml:space="preserve"> </w:t>
      </w:r>
      <w:r w:rsidR="000F4A94">
        <w:rPr>
          <w:szCs w:val="24"/>
          <w:lang w:val="es-ES"/>
        </w:rPr>
        <w:t>quedando pendientes</w:t>
      </w:r>
      <w:r>
        <w:rPr>
          <w:szCs w:val="24"/>
          <w:lang w:val="es-ES"/>
        </w:rPr>
        <w:t xml:space="preserve"> 2</w:t>
      </w:r>
      <w:r w:rsidR="000F4A94">
        <w:rPr>
          <w:szCs w:val="24"/>
          <w:lang w:val="es-ES"/>
        </w:rPr>
        <w:t xml:space="preserve"> casos</w:t>
      </w:r>
      <w:r>
        <w:rPr>
          <w:szCs w:val="24"/>
          <w:lang w:val="es-ES"/>
        </w:rPr>
        <w:t xml:space="preserve"> </w:t>
      </w:r>
      <w:r w:rsidR="000F4A94">
        <w:rPr>
          <w:szCs w:val="24"/>
          <w:lang w:val="es-ES"/>
        </w:rPr>
        <w:t>por estar</w:t>
      </w:r>
      <w:r>
        <w:rPr>
          <w:szCs w:val="24"/>
          <w:lang w:val="es-ES"/>
        </w:rPr>
        <w:t xml:space="preserve"> realizando las</w:t>
      </w:r>
      <w:r w:rsidRPr="00053941">
        <w:rPr>
          <w:szCs w:val="24"/>
          <w:lang w:val="es-ES"/>
        </w:rPr>
        <w:t xml:space="preserve"> gestiones </w:t>
      </w:r>
      <w:r>
        <w:rPr>
          <w:szCs w:val="24"/>
          <w:lang w:val="es-ES"/>
        </w:rPr>
        <w:t xml:space="preserve">de notificación de cobro, </w:t>
      </w:r>
      <w:r w:rsidRPr="00053941">
        <w:rPr>
          <w:szCs w:val="24"/>
          <w:lang w:val="es-ES"/>
        </w:rPr>
        <w:t>previ</w:t>
      </w:r>
      <w:r>
        <w:rPr>
          <w:szCs w:val="24"/>
          <w:lang w:val="es-ES"/>
        </w:rPr>
        <w:t xml:space="preserve">o a continuar en </w:t>
      </w:r>
      <w:r w:rsidRPr="00053941">
        <w:rPr>
          <w:szCs w:val="24"/>
          <w:lang w:val="es-ES"/>
        </w:rPr>
        <w:t>la vía económico coactivo</w:t>
      </w:r>
      <w:r>
        <w:rPr>
          <w:szCs w:val="24"/>
          <w:lang w:val="es-ES"/>
        </w:rPr>
        <w:t xml:space="preserve"> si fuera necesario</w:t>
      </w:r>
      <w:r w:rsidRPr="00053941">
        <w:rPr>
          <w:szCs w:val="24"/>
          <w:lang w:val="es-ES"/>
        </w:rPr>
        <w:t>.</w:t>
      </w:r>
    </w:p>
    <w:p w14:paraId="3A1EBA89" w14:textId="77777777" w:rsidR="0076487B" w:rsidRPr="00FC73B5" w:rsidRDefault="0076487B" w:rsidP="002A498D">
      <w:pPr>
        <w:spacing w:line="276" w:lineRule="auto"/>
        <w:ind w:left="426"/>
        <w:rPr>
          <w:szCs w:val="24"/>
          <w:lang w:val="es-ES"/>
        </w:rPr>
      </w:pPr>
    </w:p>
    <w:p w14:paraId="666D28CD" w14:textId="44D4DA12" w:rsidR="000B08D5" w:rsidRDefault="00A435BE" w:rsidP="000B08D5">
      <w:pPr>
        <w:ind w:left="416" w:firstLine="0"/>
        <w:rPr>
          <w:b/>
          <w:szCs w:val="24"/>
          <w:lang w:val="es-ES"/>
        </w:rPr>
      </w:pPr>
      <w:r>
        <w:rPr>
          <w:b/>
          <w:szCs w:val="24"/>
        </w:rPr>
        <w:t>Deficiencia</w:t>
      </w:r>
      <w:r w:rsidR="000B08D5" w:rsidRPr="00FC73B5">
        <w:rPr>
          <w:b/>
          <w:szCs w:val="24"/>
        </w:rPr>
        <w:t xml:space="preserve"> No.</w:t>
      </w:r>
      <w:r w:rsidR="000B08D5">
        <w:rPr>
          <w:b/>
          <w:szCs w:val="24"/>
        </w:rPr>
        <w:t>4</w:t>
      </w:r>
      <w:r w:rsidR="000B08D5" w:rsidRPr="00FC73B5">
        <w:rPr>
          <w:b/>
          <w:szCs w:val="24"/>
        </w:rPr>
        <w:t xml:space="preserve"> “</w:t>
      </w:r>
      <w:r w:rsidR="009C3C12" w:rsidRPr="009C3C12">
        <w:rPr>
          <w:b/>
        </w:rPr>
        <w:t>Incumplimiento de los instructivos RHU-INS-14 y</w:t>
      </w:r>
      <w:r w:rsidR="009C3C12">
        <w:rPr>
          <w:b/>
        </w:rPr>
        <w:t xml:space="preserve">             </w:t>
      </w:r>
      <w:r w:rsidR="009C3C12" w:rsidRPr="009C3C12">
        <w:rPr>
          <w:b/>
        </w:rPr>
        <w:t xml:space="preserve"> RHU-INS-15</w:t>
      </w:r>
      <w:r w:rsidR="000B08D5" w:rsidRPr="001C6F3F">
        <w:rPr>
          <w:b/>
          <w:szCs w:val="24"/>
          <w:lang w:val="es-ES"/>
        </w:rPr>
        <w:t>”</w:t>
      </w:r>
    </w:p>
    <w:p w14:paraId="57DA4D10" w14:textId="77777777" w:rsidR="009C3C12" w:rsidRDefault="009C3C12" w:rsidP="000B08D5">
      <w:pPr>
        <w:ind w:left="416" w:firstLine="0"/>
        <w:rPr>
          <w:b/>
          <w:szCs w:val="24"/>
          <w:lang w:val="es-ES"/>
        </w:rPr>
      </w:pPr>
    </w:p>
    <w:p w14:paraId="703F1CE9" w14:textId="058FC839" w:rsidR="000B08D5" w:rsidRDefault="009C3C12" w:rsidP="009C3C12">
      <w:pPr>
        <w:spacing w:line="276" w:lineRule="auto"/>
        <w:ind w:left="416" w:firstLine="0"/>
        <w:rPr>
          <w:szCs w:val="24"/>
          <w:lang w:val="es-ES"/>
        </w:rPr>
      </w:pPr>
      <w:r>
        <w:rPr>
          <w:szCs w:val="24"/>
          <w:lang w:val="es-ES"/>
        </w:rPr>
        <w:t>L</w:t>
      </w:r>
      <w:r w:rsidR="000B08D5" w:rsidRPr="001B5A36">
        <w:rPr>
          <w:szCs w:val="24"/>
          <w:lang w:val="es-ES"/>
        </w:rPr>
        <w:t xml:space="preserve">os argumentos y documentos de respaldo presentados </w:t>
      </w:r>
      <w:r w:rsidR="00AE328C">
        <w:rPr>
          <w:szCs w:val="24"/>
          <w:lang w:val="es-ES"/>
        </w:rPr>
        <w:t>corresponden</w:t>
      </w:r>
      <w:r w:rsidR="000B08D5" w:rsidRPr="001B5A36">
        <w:rPr>
          <w:szCs w:val="24"/>
          <w:lang w:val="es-ES"/>
        </w:rPr>
        <w:t xml:space="preserve"> </w:t>
      </w:r>
      <w:r w:rsidR="00AE328C">
        <w:rPr>
          <w:szCs w:val="24"/>
          <w:lang w:val="es-ES"/>
        </w:rPr>
        <w:t xml:space="preserve">a las </w:t>
      </w:r>
      <w:r w:rsidR="000B08D5" w:rsidRPr="001B5A36">
        <w:rPr>
          <w:szCs w:val="24"/>
          <w:lang w:val="es-ES"/>
        </w:rPr>
        <w:t>instrucciones</w:t>
      </w:r>
      <w:r w:rsidR="00AE328C">
        <w:rPr>
          <w:szCs w:val="24"/>
          <w:lang w:val="es-ES"/>
        </w:rPr>
        <w:t xml:space="preserve"> giradas</w:t>
      </w:r>
      <w:r w:rsidR="000B08D5" w:rsidRPr="001B5A36">
        <w:rPr>
          <w:szCs w:val="24"/>
          <w:lang w:val="es-ES"/>
        </w:rPr>
        <w:t xml:space="preserve"> para el cumplimiento de las recomendaciones de</w:t>
      </w:r>
      <w:r w:rsidR="00A435BE">
        <w:rPr>
          <w:szCs w:val="24"/>
          <w:lang w:val="es-ES"/>
        </w:rPr>
        <w:t xml:space="preserve"> </w:t>
      </w:r>
      <w:r w:rsidR="000B08D5" w:rsidRPr="001B5A36">
        <w:rPr>
          <w:szCs w:val="24"/>
          <w:lang w:val="es-ES"/>
        </w:rPr>
        <w:t>l</w:t>
      </w:r>
      <w:r w:rsidR="00A435BE">
        <w:rPr>
          <w:szCs w:val="24"/>
          <w:lang w:val="es-ES"/>
        </w:rPr>
        <w:t>a</w:t>
      </w:r>
      <w:r w:rsidR="000B08D5" w:rsidRPr="001B5A36">
        <w:rPr>
          <w:szCs w:val="24"/>
          <w:lang w:val="es-ES"/>
        </w:rPr>
        <w:t xml:space="preserve"> presente </w:t>
      </w:r>
      <w:r w:rsidR="00A435BE">
        <w:rPr>
          <w:szCs w:val="24"/>
          <w:lang w:val="es-ES"/>
        </w:rPr>
        <w:t>deficiencia</w:t>
      </w:r>
      <w:r w:rsidR="000B08D5" w:rsidRPr="001B5A36">
        <w:rPr>
          <w:szCs w:val="24"/>
          <w:lang w:val="es-ES"/>
        </w:rPr>
        <w:t>;</w:t>
      </w:r>
      <w:r>
        <w:rPr>
          <w:szCs w:val="24"/>
          <w:lang w:val="es-ES"/>
        </w:rPr>
        <w:t xml:space="preserve"> sin embargo</w:t>
      </w:r>
      <w:r w:rsidRPr="009C3C12">
        <w:rPr>
          <w:szCs w:val="24"/>
          <w:lang w:val="es-ES"/>
        </w:rPr>
        <w:t>, no presentaron evidencia que se están llevando a cabo las acciones instruidas, como el uso de formularios y las sanciones disciplinarias correspondientes a los funcionarios o empleados que incumplieron con reportar oportunamente los bloqueos de salarios y generación de reintegros de salarios cobrados no devengados</w:t>
      </w:r>
      <w:r>
        <w:rPr>
          <w:szCs w:val="24"/>
          <w:lang w:val="es-ES"/>
        </w:rPr>
        <w:t>.</w:t>
      </w:r>
    </w:p>
    <w:p w14:paraId="611D5ED8" w14:textId="77777777" w:rsidR="009C3C12" w:rsidRDefault="009C3C12" w:rsidP="009C3C12">
      <w:pPr>
        <w:spacing w:line="276" w:lineRule="auto"/>
        <w:ind w:left="0" w:firstLine="0"/>
        <w:rPr>
          <w:szCs w:val="24"/>
          <w:lang w:val="es-ES"/>
        </w:rPr>
      </w:pPr>
    </w:p>
    <w:p w14:paraId="71B728DF" w14:textId="77777777" w:rsidR="009C3C12" w:rsidRDefault="009C3C12" w:rsidP="009C3C12">
      <w:pPr>
        <w:spacing w:line="276" w:lineRule="auto"/>
        <w:ind w:left="0" w:firstLine="0"/>
        <w:rPr>
          <w:szCs w:val="24"/>
        </w:rPr>
      </w:pPr>
      <w:r w:rsidRPr="009C3C12">
        <w:rPr>
          <w:szCs w:val="24"/>
        </w:rPr>
        <w:t>El resultado que las recomendaciones estén en proceso, propicia que se mantenga firme la acción correctiva y atraso en el proceso administrativo, así mismo, riesgo de sanción económica por incumplimiento de recomendaciones, por parte de la Contraloría General de Cuentas.</w:t>
      </w:r>
    </w:p>
    <w:p w14:paraId="141509A7" w14:textId="77777777" w:rsidR="002A498D" w:rsidRDefault="002A498D" w:rsidP="009C3C12">
      <w:pPr>
        <w:spacing w:line="276" w:lineRule="auto"/>
        <w:ind w:left="0" w:firstLine="0"/>
        <w:rPr>
          <w:szCs w:val="24"/>
        </w:rPr>
      </w:pPr>
    </w:p>
    <w:p w14:paraId="746C4853" w14:textId="77777777" w:rsidR="001C0D8A" w:rsidRPr="001C0D8A" w:rsidRDefault="001C0D8A" w:rsidP="001C0D8A">
      <w:pPr>
        <w:spacing w:line="276" w:lineRule="auto"/>
        <w:ind w:left="0" w:firstLine="0"/>
        <w:rPr>
          <w:b/>
          <w:bCs/>
          <w:szCs w:val="24"/>
        </w:rPr>
      </w:pPr>
      <w:r w:rsidRPr="001C0D8A">
        <w:rPr>
          <w:b/>
          <w:bCs/>
          <w:szCs w:val="24"/>
        </w:rPr>
        <w:t>COMENTARIO DE AUDITORIA</w:t>
      </w:r>
    </w:p>
    <w:p w14:paraId="791F9056" w14:textId="77777777" w:rsidR="001C0D8A" w:rsidRPr="001C0D8A" w:rsidRDefault="001C0D8A" w:rsidP="001C0D8A">
      <w:pPr>
        <w:spacing w:line="276" w:lineRule="auto"/>
        <w:ind w:left="0" w:firstLine="0"/>
        <w:rPr>
          <w:szCs w:val="24"/>
        </w:rPr>
      </w:pPr>
    </w:p>
    <w:p w14:paraId="75C26F5C" w14:textId="2574F6BA" w:rsidR="001C0D8A" w:rsidRDefault="001C0D8A" w:rsidP="001C0D8A">
      <w:pPr>
        <w:spacing w:line="276" w:lineRule="auto"/>
        <w:ind w:left="0" w:firstLine="0"/>
        <w:rPr>
          <w:szCs w:val="24"/>
        </w:rPr>
        <w:sectPr w:rsidR="001C0D8A"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r w:rsidRPr="001C0D8A">
        <w:rPr>
          <w:szCs w:val="24"/>
        </w:rPr>
        <w:t xml:space="preserve">Derivado a que la Dirección de Auditoría Interna ya realizó dos seguimientos, queda bajo estricta responsabilidad de la Dirección Departamental de Educación </w:t>
      </w:r>
      <w:r>
        <w:rPr>
          <w:szCs w:val="24"/>
        </w:rPr>
        <w:t>Guatemala Occidente</w:t>
      </w:r>
      <w:r w:rsidRPr="001C0D8A">
        <w:rPr>
          <w:szCs w:val="24"/>
        </w:rPr>
        <w:t>, el seguimiento y la implementación de la</w:t>
      </w:r>
      <w:r w:rsidR="00A435BE">
        <w:rPr>
          <w:szCs w:val="24"/>
        </w:rPr>
        <w:t>s</w:t>
      </w:r>
      <w:r w:rsidRPr="001C0D8A">
        <w:rPr>
          <w:szCs w:val="24"/>
        </w:rPr>
        <w:t xml:space="preserve"> recomendaci</w:t>
      </w:r>
      <w:r w:rsidR="00A435BE">
        <w:rPr>
          <w:szCs w:val="24"/>
        </w:rPr>
        <w:t>ones</w:t>
      </w:r>
      <w:r w:rsidRPr="001C0D8A">
        <w:rPr>
          <w:szCs w:val="24"/>
        </w:rPr>
        <w:t xml:space="preserve"> que qued</w:t>
      </w:r>
      <w:r w:rsidR="00A435BE">
        <w:rPr>
          <w:szCs w:val="24"/>
        </w:rPr>
        <w:t>aron</w:t>
      </w:r>
      <w:r w:rsidRPr="001C0D8A">
        <w:rPr>
          <w:szCs w:val="24"/>
        </w:rPr>
        <w:t xml:space="preserve"> en proceso, evitando con ello ser sancionados por parte de la Contraloría General de Cuentas.</w:t>
      </w:r>
    </w:p>
    <w:p w14:paraId="635D3DD1" w14:textId="77777777" w:rsidR="007B1288" w:rsidRPr="00582B60" w:rsidRDefault="007B1288" w:rsidP="007B1288">
      <w:pPr>
        <w:pStyle w:val="Encabezado"/>
        <w:tabs>
          <w:tab w:val="left" w:pos="3915"/>
        </w:tabs>
        <w:ind w:right="360"/>
        <w:jc w:val="right"/>
        <w:rPr>
          <w:b/>
          <w:sz w:val="19"/>
          <w:szCs w:val="19"/>
        </w:rPr>
      </w:pPr>
      <w:r w:rsidRPr="00582B60">
        <w:rPr>
          <w:b/>
          <w:sz w:val="19"/>
          <w:szCs w:val="19"/>
        </w:rPr>
        <w:lastRenderedPageBreak/>
        <w:t>Formulario SR-1</w:t>
      </w:r>
    </w:p>
    <w:p w14:paraId="0B19616E" w14:textId="77777777" w:rsidR="007B1288" w:rsidRPr="007B1288" w:rsidRDefault="007B1288" w:rsidP="007B1288">
      <w:pPr>
        <w:pStyle w:val="Encabezado"/>
        <w:tabs>
          <w:tab w:val="left" w:pos="3915"/>
        </w:tabs>
        <w:ind w:right="360"/>
        <w:jc w:val="center"/>
        <w:rPr>
          <w:b/>
          <w:sz w:val="20"/>
          <w:szCs w:val="20"/>
        </w:rPr>
      </w:pPr>
      <w:r w:rsidRPr="007B1288">
        <w:rPr>
          <w:b/>
          <w:sz w:val="20"/>
          <w:szCs w:val="20"/>
        </w:rPr>
        <w:t xml:space="preserve">      </w:t>
      </w:r>
    </w:p>
    <w:p w14:paraId="67BB7F04" w14:textId="77777777" w:rsidR="007B1288" w:rsidRPr="007B1288" w:rsidRDefault="007B1288" w:rsidP="007B1288">
      <w:pPr>
        <w:pStyle w:val="Encabezado"/>
        <w:tabs>
          <w:tab w:val="left" w:pos="3915"/>
        </w:tabs>
        <w:ind w:right="360"/>
        <w:jc w:val="center"/>
        <w:rPr>
          <w:b/>
          <w:sz w:val="20"/>
          <w:szCs w:val="20"/>
        </w:rPr>
      </w:pPr>
      <w:r w:rsidRPr="007B1288">
        <w:rPr>
          <w:b/>
          <w:sz w:val="20"/>
          <w:szCs w:val="20"/>
        </w:rPr>
        <w:t>SEGUIMIENTO DE RECOMENDACIONES</w:t>
      </w:r>
    </w:p>
    <w:p w14:paraId="1F04B64A" w14:textId="77777777" w:rsidR="007B1288" w:rsidRPr="007B1288" w:rsidRDefault="007B1288" w:rsidP="007B1288">
      <w:pPr>
        <w:jc w:val="center"/>
        <w:rPr>
          <w:b/>
          <w:bCs/>
          <w:sz w:val="20"/>
          <w:szCs w:val="20"/>
        </w:rPr>
      </w:pPr>
      <w:r w:rsidRPr="007B1288">
        <w:rPr>
          <w:b/>
          <w:bCs/>
          <w:sz w:val="20"/>
          <w:szCs w:val="20"/>
        </w:rPr>
        <w:t>EMITIDAS POR LA DIRECCIÓN DE AUDITORÍA INTERNA -DIDAI-</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428"/>
        <w:gridCol w:w="1701"/>
        <w:gridCol w:w="5178"/>
      </w:tblGrid>
      <w:tr w:rsidR="007B1288" w:rsidRPr="007B1288" w14:paraId="6AC989A5" w14:textId="77777777" w:rsidTr="00CB73BB">
        <w:trPr>
          <w:trHeight w:val="384"/>
        </w:trPr>
        <w:tc>
          <w:tcPr>
            <w:tcW w:w="2230" w:type="dxa"/>
            <w:vAlign w:val="center"/>
          </w:tcPr>
          <w:p w14:paraId="12D1F5B3" w14:textId="77777777" w:rsidR="007B1288" w:rsidRPr="007B1288" w:rsidRDefault="007B1288" w:rsidP="00CB73BB">
            <w:pPr>
              <w:jc w:val="center"/>
              <w:rPr>
                <w:b/>
                <w:bCs/>
                <w:sz w:val="20"/>
                <w:szCs w:val="20"/>
              </w:rPr>
            </w:pPr>
            <w:r w:rsidRPr="007B1288">
              <w:rPr>
                <w:b/>
                <w:bCs/>
                <w:sz w:val="20"/>
                <w:szCs w:val="20"/>
              </w:rPr>
              <w:t>Unidad ejecutora</w:t>
            </w:r>
          </w:p>
        </w:tc>
        <w:tc>
          <w:tcPr>
            <w:tcW w:w="11307" w:type="dxa"/>
            <w:gridSpan w:val="3"/>
            <w:vAlign w:val="center"/>
          </w:tcPr>
          <w:p w14:paraId="1BCB8C14" w14:textId="77777777" w:rsidR="007B1288" w:rsidRPr="007B1288" w:rsidRDefault="007B1288" w:rsidP="00CB73BB">
            <w:pPr>
              <w:rPr>
                <w:b/>
                <w:sz w:val="20"/>
                <w:szCs w:val="20"/>
              </w:rPr>
            </w:pPr>
            <w:r w:rsidRPr="007B1288">
              <w:rPr>
                <w:b/>
                <w:sz w:val="20"/>
                <w:szCs w:val="20"/>
              </w:rPr>
              <w:t>Dirección Departamental de Educación Guatemala Occidente</w:t>
            </w:r>
          </w:p>
        </w:tc>
      </w:tr>
      <w:tr w:rsidR="007B1288" w:rsidRPr="00582B60" w14:paraId="11FBE744" w14:textId="77777777" w:rsidTr="00CB73BB">
        <w:trPr>
          <w:trHeight w:val="360"/>
        </w:trPr>
        <w:tc>
          <w:tcPr>
            <w:tcW w:w="2230" w:type="dxa"/>
            <w:vAlign w:val="center"/>
          </w:tcPr>
          <w:p w14:paraId="50B2697D" w14:textId="77777777" w:rsidR="007B1288" w:rsidRPr="007B1288" w:rsidRDefault="007B1288" w:rsidP="00CB73BB">
            <w:pPr>
              <w:jc w:val="center"/>
              <w:rPr>
                <w:b/>
                <w:bCs/>
                <w:sz w:val="20"/>
                <w:szCs w:val="20"/>
              </w:rPr>
            </w:pPr>
            <w:r w:rsidRPr="007B1288">
              <w:rPr>
                <w:b/>
                <w:bCs/>
                <w:sz w:val="20"/>
                <w:szCs w:val="20"/>
              </w:rPr>
              <w:t>Tipo de auditoria:</w:t>
            </w:r>
          </w:p>
        </w:tc>
        <w:tc>
          <w:tcPr>
            <w:tcW w:w="11307" w:type="dxa"/>
            <w:gridSpan w:val="3"/>
            <w:vAlign w:val="center"/>
          </w:tcPr>
          <w:p w14:paraId="6785C5A3" w14:textId="77777777" w:rsidR="007B1288" w:rsidRPr="007B1288" w:rsidRDefault="007B1288" w:rsidP="00CB73BB">
            <w:pPr>
              <w:autoSpaceDE w:val="0"/>
              <w:autoSpaceDN w:val="0"/>
              <w:adjustRightInd w:val="0"/>
              <w:rPr>
                <w:b/>
                <w:sz w:val="20"/>
                <w:szCs w:val="20"/>
              </w:rPr>
            </w:pPr>
            <w:r w:rsidRPr="007B1288">
              <w:rPr>
                <w:b/>
                <w:sz w:val="20"/>
                <w:szCs w:val="20"/>
              </w:rPr>
              <w:t>Consejo o consultoría de segundo seguimiento a las recomendaciones emitidas por la Dirección de Auditoría Interna, en el informe de auditoría CAI: 00049, respecto a la Auditoría de cumplimiento por el periodo del 01 de enero al 31 de julio de 2022, verificación de la normativa aplicable a los movimientos administrativos y bloqueo de salarios, practicada en la Dirección Departamental de Educación Guatemala Occidente.</w:t>
            </w:r>
          </w:p>
        </w:tc>
      </w:tr>
      <w:tr w:rsidR="007B1288" w:rsidRPr="00582B60" w14:paraId="46C84FF9" w14:textId="77777777" w:rsidTr="00CB73BB">
        <w:trPr>
          <w:trHeight w:val="314"/>
        </w:trPr>
        <w:tc>
          <w:tcPr>
            <w:tcW w:w="2230" w:type="dxa"/>
            <w:vAlign w:val="center"/>
          </w:tcPr>
          <w:p w14:paraId="07E3E882" w14:textId="77777777" w:rsidR="007B1288" w:rsidRPr="007B1288" w:rsidRDefault="007B1288" w:rsidP="00CB73BB">
            <w:pPr>
              <w:jc w:val="center"/>
              <w:rPr>
                <w:b/>
                <w:bCs/>
                <w:sz w:val="20"/>
                <w:szCs w:val="20"/>
              </w:rPr>
            </w:pPr>
            <w:r w:rsidRPr="007B1288">
              <w:rPr>
                <w:b/>
                <w:bCs/>
                <w:sz w:val="20"/>
                <w:szCs w:val="20"/>
              </w:rPr>
              <w:t>Nombramiento:</w:t>
            </w:r>
          </w:p>
        </w:tc>
        <w:tc>
          <w:tcPr>
            <w:tcW w:w="4428" w:type="dxa"/>
            <w:vAlign w:val="center"/>
          </w:tcPr>
          <w:p w14:paraId="4D5B7DAC" w14:textId="77777777" w:rsidR="007B1288" w:rsidRPr="007B1288" w:rsidRDefault="007B1288" w:rsidP="00CB73BB">
            <w:pPr>
              <w:rPr>
                <w:b/>
                <w:bCs/>
                <w:sz w:val="20"/>
                <w:szCs w:val="20"/>
              </w:rPr>
            </w:pPr>
            <w:r w:rsidRPr="007B1288">
              <w:rPr>
                <w:b/>
                <w:bCs/>
                <w:sz w:val="20"/>
                <w:szCs w:val="20"/>
              </w:rPr>
              <w:t>O-DIDAI/SUB-041-2023</w:t>
            </w:r>
          </w:p>
        </w:tc>
        <w:tc>
          <w:tcPr>
            <w:tcW w:w="1701" w:type="dxa"/>
            <w:vAlign w:val="center"/>
          </w:tcPr>
          <w:p w14:paraId="49F0FD09" w14:textId="77777777" w:rsidR="007B1288" w:rsidRPr="007B1288" w:rsidRDefault="007B1288" w:rsidP="00CB73BB">
            <w:pPr>
              <w:rPr>
                <w:b/>
                <w:bCs/>
                <w:sz w:val="20"/>
                <w:szCs w:val="20"/>
              </w:rPr>
            </w:pPr>
            <w:r w:rsidRPr="007B1288">
              <w:rPr>
                <w:b/>
                <w:bCs/>
                <w:sz w:val="20"/>
                <w:szCs w:val="20"/>
              </w:rPr>
              <w:t>No. Informe:</w:t>
            </w:r>
          </w:p>
        </w:tc>
        <w:tc>
          <w:tcPr>
            <w:tcW w:w="5178" w:type="dxa"/>
            <w:vAlign w:val="center"/>
          </w:tcPr>
          <w:p w14:paraId="3D281C09" w14:textId="77777777" w:rsidR="007B1288" w:rsidRPr="007B1288" w:rsidRDefault="007B1288" w:rsidP="00CB73BB">
            <w:pPr>
              <w:rPr>
                <w:b/>
                <w:bCs/>
                <w:sz w:val="20"/>
                <w:szCs w:val="20"/>
              </w:rPr>
            </w:pPr>
            <w:r w:rsidRPr="007B1288">
              <w:rPr>
                <w:b/>
                <w:bCs/>
                <w:sz w:val="20"/>
                <w:szCs w:val="20"/>
              </w:rPr>
              <w:t>O-DIDAI/SUB-041-2023</w:t>
            </w:r>
          </w:p>
        </w:tc>
      </w:tr>
      <w:tr w:rsidR="007B1288" w:rsidRPr="00B3508D" w14:paraId="2B0BC6D4" w14:textId="77777777" w:rsidTr="00CB73BB">
        <w:trPr>
          <w:trHeight w:val="159"/>
        </w:trPr>
        <w:tc>
          <w:tcPr>
            <w:tcW w:w="2230" w:type="dxa"/>
            <w:vAlign w:val="center"/>
          </w:tcPr>
          <w:p w14:paraId="0DB0E0F9" w14:textId="77777777" w:rsidR="007B1288" w:rsidRPr="007B1288" w:rsidRDefault="007B1288" w:rsidP="00CB73BB">
            <w:pPr>
              <w:rPr>
                <w:b/>
                <w:bCs/>
                <w:sz w:val="20"/>
                <w:szCs w:val="20"/>
              </w:rPr>
            </w:pPr>
            <w:r w:rsidRPr="007B1288">
              <w:rPr>
                <w:b/>
                <w:bCs/>
                <w:sz w:val="20"/>
                <w:szCs w:val="20"/>
              </w:rPr>
              <w:t>Auditor encargado:</w:t>
            </w:r>
          </w:p>
        </w:tc>
        <w:tc>
          <w:tcPr>
            <w:tcW w:w="4428" w:type="dxa"/>
            <w:vAlign w:val="center"/>
          </w:tcPr>
          <w:p w14:paraId="55B357F1" w14:textId="77777777" w:rsidR="007B1288" w:rsidRPr="007B1288" w:rsidRDefault="007B1288" w:rsidP="007B1288">
            <w:pPr>
              <w:jc w:val="center"/>
              <w:rPr>
                <w:b/>
                <w:sz w:val="20"/>
                <w:szCs w:val="20"/>
                <w:lang w:eastAsia="es-ES"/>
              </w:rPr>
            </w:pPr>
            <w:r w:rsidRPr="007B1288">
              <w:rPr>
                <w:b/>
                <w:sz w:val="20"/>
                <w:szCs w:val="20"/>
                <w:lang w:eastAsia="es-ES"/>
              </w:rPr>
              <w:t xml:space="preserve">José Alejandro </w:t>
            </w:r>
            <w:proofErr w:type="spellStart"/>
            <w:r w:rsidRPr="007B1288">
              <w:rPr>
                <w:b/>
                <w:sz w:val="20"/>
                <w:szCs w:val="20"/>
                <w:lang w:eastAsia="es-ES"/>
              </w:rPr>
              <w:t>Davila</w:t>
            </w:r>
            <w:proofErr w:type="spellEnd"/>
            <w:r w:rsidRPr="007B1288">
              <w:rPr>
                <w:b/>
                <w:sz w:val="20"/>
                <w:szCs w:val="20"/>
                <w:lang w:eastAsia="es-ES"/>
              </w:rPr>
              <w:t xml:space="preserve"> </w:t>
            </w:r>
            <w:proofErr w:type="spellStart"/>
            <w:r w:rsidRPr="007B1288">
              <w:rPr>
                <w:b/>
                <w:sz w:val="20"/>
                <w:szCs w:val="20"/>
                <w:lang w:eastAsia="es-ES"/>
              </w:rPr>
              <w:t>Alvarez</w:t>
            </w:r>
            <w:proofErr w:type="spellEnd"/>
            <w:r w:rsidRPr="007B1288">
              <w:rPr>
                <w:b/>
                <w:sz w:val="20"/>
                <w:szCs w:val="20"/>
                <w:lang w:eastAsia="es-ES"/>
              </w:rPr>
              <w:t xml:space="preserve"> (Consultor)</w:t>
            </w:r>
          </w:p>
        </w:tc>
        <w:tc>
          <w:tcPr>
            <w:tcW w:w="1701" w:type="dxa"/>
            <w:vAlign w:val="center"/>
          </w:tcPr>
          <w:p w14:paraId="5C41AE30" w14:textId="77777777" w:rsidR="007B1288" w:rsidRPr="007B1288" w:rsidRDefault="007B1288" w:rsidP="00CB73BB">
            <w:pPr>
              <w:rPr>
                <w:b/>
                <w:bCs/>
                <w:sz w:val="20"/>
                <w:szCs w:val="20"/>
              </w:rPr>
            </w:pPr>
            <w:r w:rsidRPr="007B1288">
              <w:rPr>
                <w:b/>
                <w:bCs/>
                <w:sz w:val="20"/>
                <w:szCs w:val="20"/>
              </w:rPr>
              <w:t>Supervisor:</w:t>
            </w:r>
          </w:p>
        </w:tc>
        <w:tc>
          <w:tcPr>
            <w:tcW w:w="5178" w:type="dxa"/>
            <w:vAlign w:val="center"/>
          </w:tcPr>
          <w:p w14:paraId="5EC44805" w14:textId="77777777" w:rsidR="007B1288" w:rsidRPr="007B1288" w:rsidRDefault="007B1288" w:rsidP="007B1288">
            <w:pPr>
              <w:jc w:val="center"/>
              <w:rPr>
                <w:b/>
                <w:sz w:val="20"/>
                <w:szCs w:val="20"/>
                <w:lang w:eastAsia="es-ES"/>
              </w:rPr>
            </w:pPr>
            <w:r w:rsidRPr="007B1288">
              <w:rPr>
                <w:b/>
                <w:sz w:val="20"/>
                <w:szCs w:val="20"/>
                <w:lang w:eastAsia="es-ES"/>
              </w:rPr>
              <w:t>Byron Roberto Ramírez Velarde (Acompañamiento consultor)</w:t>
            </w:r>
          </w:p>
        </w:tc>
      </w:tr>
    </w:tbl>
    <w:p w14:paraId="7DD772C7" w14:textId="77777777" w:rsidR="007B1288" w:rsidRPr="00B3508D" w:rsidRDefault="007B1288" w:rsidP="007B1288">
      <w:pPr>
        <w:pStyle w:val="Encabezado"/>
        <w:tabs>
          <w:tab w:val="left" w:pos="3915"/>
        </w:tabs>
        <w:ind w:right="360"/>
        <w:rPr>
          <w:sz w:val="19"/>
          <w:szCs w:val="19"/>
        </w:rPr>
      </w:pPr>
    </w:p>
    <w:tbl>
      <w:tblPr>
        <w:tblW w:w="1360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47"/>
        <w:gridCol w:w="4314"/>
        <w:gridCol w:w="1613"/>
        <w:gridCol w:w="1200"/>
        <w:gridCol w:w="851"/>
        <w:gridCol w:w="954"/>
        <w:gridCol w:w="4224"/>
      </w:tblGrid>
      <w:tr w:rsidR="007B1288" w:rsidRPr="007B1288" w14:paraId="072532A0" w14:textId="77777777" w:rsidTr="00CB73BB">
        <w:trPr>
          <w:trHeight w:val="508"/>
          <w:tblHeader/>
        </w:trPr>
        <w:tc>
          <w:tcPr>
            <w:tcW w:w="447"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4D5B2C3C" w14:textId="77777777" w:rsidR="007B1288" w:rsidRPr="007B1288" w:rsidRDefault="007B1288" w:rsidP="00CB73BB">
            <w:pPr>
              <w:jc w:val="center"/>
              <w:rPr>
                <w:b/>
                <w:sz w:val="20"/>
                <w:szCs w:val="20"/>
              </w:rPr>
            </w:pPr>
            <w:r w:rsidRPr="007B1288">
              <w:rPr>
                <w:b/>
                <w:bCs/>
                <w:sz w:val="20"/>
                <w:szCs w:val="20"/>
              </w:rPr>
              <w:t>No.</w:t>
            </w:r>
          </w:p>
        </w:tc>
        <w:tc>
          <w:tcPr>
            <w:tcW w:w="4314"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3DBCE206" w14:textId="77777777" w:rsidR="007B1288" w:rsidRPr="007B1288" w:rsidRDefault="007B1288" w:rsidP="00CB73BB">
            <w:pPr>
              <w:ind w:right="123"/>
              <w:jc w:val="center"/>
              <w:rPr>
                <w:b/>
                <w:sz w:val="20"/>
                <w:szCs w:val="20"/>
              </w:rPr>
            </w:pPr>
            <w:r w:rsidRPr="007B1288">
              <w:rPr>
                <w:b/>
                <w:bCs/>
                <w:sz w:val="20"/>
                <w:szCs w:val="20"/>
              </w:rPr>
              <w:t>Condición y recomendación</w:t>
            </w:r>
          </w:p>
        </w:tc>
        <w:tc>
          <w:tcPr>
            <w:tcW w:w="1613"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1237CD0F" w14:textId="77777777" w:rsidR="007B1288" w:rsidRPr="007B1288" w:rsidRDefault="007B1288" w:rsidP="00CB73BB">
            <w:pPr>
              <w:jc w:val="center"/>
              <w:rPr>
                <w:bCs/>
                <w:sz w:val="20"/>
                <w:szCs w:val="20"/>
              </w:rPr>
            </w:pPr>
            <w:r w:rsidRPr="007B1288">
              <w:rPr>
                <w:b/>
                <w:bCs/>
                <w:sz w:val="20"/>
                <w:szCs w:val="20"/>
              </w:rPr>
              <w:t>Personal Responsable</w:t>
            </w:r>
          </w:p>
        </w:tc>
        <w:tc>
          <w:tcPr>
            <w:tcW w:w="300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C279DE" w14:textId="77777777" w:rsidR="007B1288" w:rsidRPr="007B1288" w:rsidRDefault="007B1288" w:rsidP="00CB73BB">
            <w:pPr>
              <w:jc w:val="center"/>
              <w:rPr>
                <w:b/>
                <w:bCs/>
                <w:sz w:val="20"/>
                <w:szCs w:val="20"/>
              </w:rPr>
            </w:pPr>
            <w:r w:rsidRPr="007B1288">
              <w:rPr>
                <w:b/>
                <w:bCs/>
                <w:sz w:val="20"/>
                <w:szCs w:val="20"/>
              </w:rPr>
              <w:t>Situación de la recomendación</w:t>
            </w:r>
          </w:p>
        </w:tc>
        <w:tc>
          <w:tcPr>
            <w:tcW w:w="4224"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1CC9DCB8" w14:textId="77777777" w:rsidR="007B1288" w:rsidRPr="007B1288" w:rsidRDefault="007B1288" w:rsidP="00CB73BB">
            <w:pPr>
              <w:jc w:val="center"/>
              <w:rPr>
                <w:b/>
                <w:sz w:val="20"/>
                <w:szCs w:val="20"/>
              </w:rPr>
            </w:pPr>
            <w:r w:rsidRPr="007B1288">
              <w:rPr>
                <w:b/>
                <w:bCs/>
                <w:sz w:val="20"/>
                <w:szCs w:val="20"/>
              </w:rPr>
              <w:t>Acciones realizadas</w:t>
            </w:r>
          </w:p>
        </w:tc>
      </w:tr>
      <w:tr w:rsidR="007B1288" w:rsidRPr="007B1288" w14:paraId="20A69095" w14:textId="77777777" w:rsidTr="00CB73BB">
        <w:trPr>
          <w:trHeight w:val="64"/>
          <w:tblHeader/>
        </w:trPr>
        <w:tc>
          <w:tcPr>
            <w:tcW w:w="447" w:type="dxa"/>
            <w:vMerge/>
            <w:tcBorders>
              <w:top w:val="nil"/>
              <w:left w:val="single" w:sz="4" w:space="0" w:color="auto"/>
              <w:bottom w:val="nil"/>
              <w:right w:val="single" w:sz="4" w:space="0" w:color="auto"/>
            </w:tcBorders>
            <w:shd w:val="clear" w:color="auto" w:fill="BFBFBF" w:themeFill="background1" w:themeFillShade="BF"/>
            <w:vAlign w:val="center"/>
          </w:tcPr>
          <w:p w14:paraId="3913DBF3" w14:textId="77777777" w:rsidR="007B1288" w:rsidRPr="007B1288" w:rsidRDefault="007B1288" w:rsidP="00CB73BB">
            <w:pPr>
              <w:jc w:val="center"/>
              <w:rPr>
                <w:b/>
                <w:sz w:val="20"/>
                <w:szCs w:val="20"/>
              </w:rPr>
            </w:pPr>
          </w:p>
        </w:tc>
        <w:tc>
          <w:tcPr>
            <w:tcW w:w="4314" w:type="dxa"/>
            <w:vMerge/>
            <w:tcBorders>
              <w:top w:val="nil"/>
              <w:left w:val="single" w:sz="4" w:space="0" w:color="auto"/>
              <w:bottom w:val="nil"/>
              <w:right w:val="single" w:sz="4" w:space="0" w:color="auto"/>
            </w:tcBorders>
            <w:shd w:val="clear" w:color="auto" w:fill="BFBFBF" w:themeFill="background1" w:themeFillShade="BF"/>
            <w:vAlign w:val="center"/>
          </w:tcPr>
          <w:p w14:paraId="49E9B91E" w14:textId="77777777" w:rsidR="007B1288" w:rsidRPr="007B1288" w:rsidRDefault="007B1288" w:rsidP="00CB73BB">
            <w:pPr>
              <w:ind w:right="123"/>
              <w:jc w:val="center"/>
              <w:rPr>
                <w:b/>
                <w:sz w:val="20"/>
                <w:szCs w:val="20"/>
              </w:rPr>
            </w:pPr>
          </w:p>
        </w:tc>
        <w:tc>
          <w:tcPr>
            <w:tcW w:w="1613" w:type="dxa"/>
            <w:vMerge/>
            <w:tcBorders>
              <w:top w:val="nil"/>
              <w:left w:val="single" w:sz="4" w:space="0" w:color="auto"/>
              <w:bottom w:val="nil"/>
              <w:right w:val="single" w:sz="4" w:space="0" w:color="auto"/>
            </w:tcBorders>
            <w:shd w:val="clear" w:color="auto" w:fill="BFBFBF" w:themeFill="background1" w:themeFillShade="BF"/>
            <w:vAlign w:val="center"/>
          </w:tcPr>
          <w:p w14:paraId="266F8473" w14:textId="77777777" w:rsidR="007B1288" w:rsidRPr="007B1288" w:rsidRDefault="007B1288" w:rsidP="00CB73BB">
            <w:pPr>
              <w:jc w:val="center"/>
              <w:rPr>
                <w:bCs/>
                <w:sz w:val="20"/>
                <w:szCs w:val="20"/>
              </w:rPr>
            </w:pPr>
          </w:p>
        </w:tc>
        <w:tc>
          <w:tcPr>
            <w:tcW w:w="1200"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1F38ED5F" w14:textId="77777777" w:rsidR="007B1288" w:rsidRPr="007B1288" w:rsidRDefault="007B1288" w:rsidP="00CB73BB">
            <w:pPr>
              <w:jc w:val="center"/>
              <w:rPr>
                <w:b/>
                <w:bCs/>
                <w:sz w:val="20"/>
                <w:szCs w:val="20"/>
              </w:rPr>
            </w:pPr>
            <w:r w:rsidRPr="007B1288">
              <w:rPr>
                <w:b/>
                <w:bCs/>
                <w:sz w:val="20"/>
                <w:szCs w:val="20"/>
              </w:rPr>
              <w:t>Cumplida</w:t>
            </w:r>
          </w:p>
        </w:tc>
        <w:tc>
          <w:tcPr>
            <w:tcW w:w="851"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65F714D3" w14:textId="77777777" w:rsidR="007B1288" w:rsidRPr="007B1288" w:rsidRDefault="007B1288" w:rsidP="00CB73BB">
            <w:pPr>
              <w:jc w:val="center"/>
              <w:rPr>
                <w:b/>
                <w:bCs/>
                <w:sz w:val="20"/>
                <w:szCs w:val="20"/>
              </w:rPr>
            </w:pPr>
            <w:r w:rsidRPr="007B1288">
              <w:rPr>
                <w:b/>
                <w:bCs/>
                <w:sz w:val="20"/>
                <w:szCs w:val="20"/>
              </w:rPr>
              <w:t>En Proceso</w:t>
            </w:r>
          </w:p>
        </w:tc>
        <w:tc>
          <w:tcPr>
            <w:tcW w:w="954" w:type="dxa"/>
            <w:tcBorders>
              <w:top w:val="single" w:sz="4" w:space="0" w:color="auto"/>
              <w:left w:val="single" w:sz="4" w:space="0" w:color="auto"/>
              <w:bottom w:val="nil"/>
              <w:right w:val="single" w:sz="4" w:space="0" w:color="auto"/>
            </w:tcBorders>
            <w:shd w:val="clear" w:color="auto" w:fill="BFBFBF" w:themeFill="background1" w:themeFillShade="BF"/>
          </w:tcPr>
          <w:p w14:paraId="52E6CF26" w14:textId="77777777" w:rsidR="007B1288" w:rsidRPr="007B1288" w:rsidRDefault="007B1288" w:rsidP="00CB73BB">
            <w:pPr>
              <w:jc w:val="center"/>
              <w:rPr>
                <w:b/>
                <w:bCs/>
                <w:sz w:val="20"/>
                <w:szCs w:val="20"/>
              </w:rPr>
            </w:pPr>
            <w:r w:rsidRPr="007B1288">
              <w:rPr>
                <w:b/>
                <w:bCs/>
                <w:sz w:val="20"/>
                <w:szCs w:val="20"/>
              </w:rPr>
              <w:t>No cumplida</w:t>
            </w:r>
          </w:p>
        </w:tc>
        <w:tc>
          <w:tcPr>
            <w:tcW w:w="4224" w:type="dxa"/>
            <w:vMerge/>
            <w:tcBorders>
              <w:top w:val="nil"/>
              <w:left w:val="single" w:sz="4" w:space="0" w:color="auto"/>
              <w:bottom w:val="nil"/>
              <w:right w:val="single" w:sz="4" w:space="0" w:color="auto"/>
            </w:tcBorders>
            <w:shd w:val="clear" w:color="auto" w:fill="BFBFBF" w:themeFill="background1" w:themeFillShade="BF"/>
          </w:tcPr>
          <w:p w14:paraId="7BA5BF3D" w14:textId="77777777" w:rsidR="007B1288" w:rsidRPr="007B1288" w:rsidRDefault="007B1288" w:rsidP="00CB73BB">
            <w:pPr>
              <w:rPr>
                <w:sz w:val="20"/>
                <w:szCs w:val="20"/>
              </w:rPr>
            </w:pPr>
          </w:p>
        </w:tc>
      </w:tr>
      <w:tr w:rsidR="007B1288" w:rsidRPr="007B1288" w14:paraId="161320E5" w14:textId="77777777" w:rsidTr="00CB73BB">
        <w:trPr>
          <w:trHeight w:val="80"/>
          <w:tblHeader/>
        </w:trPr>
        <w:tc>
          <w:tcPr>
            <w:tcW w:w="44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1055CB3" w14:textId="77777777" w:rsidR="007B1288" w:rsidRPr="007B1288" w:rsidRDefault="007B1288" w:rsidP="00CB73BB">
            <w:pPr>
              <w:rPr>
                <w:b/>
                <w:sz w:val="20"/>
                <w:szCs w:val="20"/>
              </w:rPr>
            </w:pPr>
          </w:p>
        </w:tc>
        <w:tc>
          <w:tcPr>
            <w:tcW w:w="431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5C21E30" w14:textId="77777777" w:rsidR="007B1288" w:rsidRPr="007B1288" w:rsidRDefault="007B1288" w:rsidP="00CB73BB">
            <w:pPr>
              <w:ind w:right="123"/>
              <w:rPr>
                <w:b/>
                <w:sz w:val="20"/>
                <w:szCs w:val="20"/>
              </w:rPr>
            </w:pPr>
          </w:p>
        </w:tc>
        <w:tc>
          <w:tcPr>
            <w:tcW w:w="161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30CE523" w14:textId="77777777" w:rsidR="007B1288" w:rsidRPr="007B1288" w:rsidRDefault="007B1288" w:rsidP="00CB73BB">
            <w:pPr>
              <w:rPr>
                <w:bCs/>
                <w:sz w:val="20"/>
                <w:szCs w:val="20"/>
              </w:rPr>
            </w:pPr>
          </w:p>
        </w:tc>
        <w:tc>
          <w:tcPr>
            <w:tcW w:w="120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0BF576A" w14:textId="77777777" w:rsidR="007B1288" w:rsidRPr="007B1288" w:rsidRDefault="007B1288" w:rsidP="00CB73BB">
            <w:pPr>
              <w:rPr>
                <w:b/>
                <w:bCs/>
                <w:sz w:val="20"/>
                <w:szCs w:val="20"/>
              </w:rPr>
            </w:pPr>
          </w:p>
        </w:tc>
        <w:tc>
          <w:tcPr>
            <w:tcW w:w="85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7896655" w14:textId="77777777" w:rsidR="007B1288" w:rsidRPr="007B1288" w:rsidRDefault="007B1288" w:rsidP="00CB73BB">
            <w:pPr>
              <w:rPr>
                <w:b/>
                <w:bCs/>
                <w:sz w:val="20"/>
                <w:szCs w:val="20"/>
              </w:rPr>
            </w:pPr>
          </w:p>
        </w:tc>
        <w:tc>
          <w:tcPr>
            <w:tcW w:w="95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D27A923" w14:textId="77777777" w:rsidR="007B1288" w:rsidRPr="007B1288" w:rsidRDefault="007B1288" w:rsidP="00CB73BB">
            <w:pPr>
              <w:rPr>
                <w:b/>
                <w:bCs/>
                <w:sz w:val="20"/>
                <w:szCs w:val="20"/>
              </w:rPr>
            </w:pPr>
          </w:p>
        </w:tc>
        <w:tc>
          <w:tcPr>
            <w:tcW w:w="4224" w:type="dxa"/>
            <w:tcBorders>
              <w:top w:val="nil"/>
              <w:left w:val="single" w:sz="4" w:space="0" w:color="auto"/>
              <w:bottom w:val="single" w:sz="4" w:space="0" w:color="auto"/>
              <w:right w:val="single" w:sz="4" w:space="0" w:color="auto"/>
            </w:tcBorders>
            <w:shd w:val="clear" w:color="auto" w:fill="BFBFBF" w:themeFill="background1" w:themeFillShade="BF"/>
          </w:tcPr>
          <w:p w14:paraId="059090E4" w14:textId="77777777" w:rsidR="007B1288" w:rsidRPr="007B1288" w:rsidRDefault="007B1288" w:rsidP="00CB73BB">
            <w:pPr>
              <w:rPr>
                <w:sz w:val="20"/>
                <w:szCs w:val="20"/>
              </w:rPr>
            </w:pPr>
          </w:p>
        </w:tc>
      </w:tr>
      <w:tr w:rsidR="007B1288" w:rsidRPr="007B1288" w14:paraId="23A3E445" w14:textId="77777777" w:rsidTr="00CB73BB">
        <w:trPr>
          <w:trHeight w:val="1173"/>
        </w:trPr>
        <w:tc>
          <w:tcPr>
            <w:tcW w:w="447" w:type="dxa"/>
            <w:tcBorders>
              <w:top w:val="single" w:sz="4" w:space="0" w:color="auto"/>
              <w:left w:val="single" w:sz="4" w:space="0" w:color="auto"/>
              <w:bottom w:val="nil"/>
              <w:right w:val="single" w:sz="4" w:space="0" w:color="auto"/>
            </w:tcBorders>
            <w:shd w:val="clear" w:color="auto" w:fill="FFFFFF"/>
            <w:vAlign w:val="center"/>
          </w:tcPr>
          <w:p w14:paraId="76E1AF27" w14:textId="77777777" w:rsidR="007B1288" w:rsidRPr="007B1288" w:rsidRDefault="007B1288" w:rsidP="00CB73BB">
            <w:pPr>
              <w:rPr>
                <w:b/>
                <w:sz w:val="20"/>
                <w:szCs w:val="20"/>
              </w:rPr>
            </w:pPr>
            <w:r w:rsidRPr="007B1288">
              <w:rPr>
                <w:b/>
                <w:sz w:val="20"/>
                <w:szCs w:val="20"/>
              </w:rPr>
              <w:t>1</w:t>
            </w:r>
          </w:p>
        </w:tc>
        <w:tc>
          <w:tcPr>
            <w:tcW w:w="4314" w:type="dxa"/>
            <w:tcBorders>
              <w:top w:val="single" w:sz="4" w:space="0" w:color="auto"/>
              <w:left w:val="single" w:sz="4" w:space="0" w:color="auto"/>
              <w:bottom w:val="nil"/>
              <w:right w:val="single" w:sz="4" w:space="0" w:color="auto"/>
            </w:tcBorders>
            <w:shd w:val="clear" w:color="auto" w:fill="FFFFFF"/>
            <w:vAlign w:val="center"/>
          </w:tcPr>
          <w:p w14:paraId="44A7FEFA" w14:textId="77777777" w:rsidR="007B1288" w:rsidRPr="007B1288" w:rsidRDefault="007B1288" w:rsidP="00CB73BB">
            <w:pPr>
              <w:rPr>
                <w:bCs/>
                <w:sz w:val="20"/>
                <w:szCs w:val="20"/>
              </w:rPr>
            </w:pPr>
            <w:r w:rsidRPr="007B1288">
              <w:rPr>
                <w:b/>
                <w:sz w:val="20"/>
                <w:szCs w:val="20"/>
              </w:rPr>
              <w:t>Prestaciones pagadas de más</w:t>
            </w:r>
          </w:p>
          <w:p w14:paraId="7BEDA711" w14:textId="77777777" w:rsidR="007B1288" w:rsidRPr="007B1288" w:rsidRDefault="007B1288" w:rsidP="00CB73BB">
            <w:pPr>
              <w:rPr>
                <w:b/>
                <w:bCs/>
                <w:sz w:val="20"/>
                <w:szCs w:val="20"/>
              </w:rPr>
            </w:pPr>
          </w:p>
          <w:p w14:paraId="672F26BE" w14:textId="77777777" w:rsidR="007B1288" w:rsidRPr="007B1288" w:rsidRDefault="007B1288" w:rsidP="00CB73BB">
            <w:pPr>
              <w:rPr>
                <w:b/>
                <w:bCs/>
                <w:sz w:val="20"/>
                <w:szCs w:val="20"/>
              </w:rPr>
            </w:pPr>
            <w:r w:rsidRPr="007B1288">
              <w:rPr>
                <w:b/>
                <w:bCs/>
                <w:sz w:val="20"/>
                <w:szCs w:val="20"/>
              </w:rPr>
              <w:t>Condición</w:t>
            </w:r>
          </w:p>
          <w:p w14:paraId="16EE32B3" w14:textId="77777777" w:rsidR="007B1288" w:rsidRPr="007B1288" w:rsidRDefault="007B1288" w:rsidP="00CB73BB">
            <w:pPr>
              <w:rPr>
                <w:bCs/>
                <w:sz w:val="20"/>
                <w:szCs w:val="20"/>
              </w:rPr>
            </w:pPr>
            <w:r w:rsidRPr="007B1288">
              <w:rPr>
                <w:bCs/>
                <w:sz w:val="20"/>
                <w:szCs w:val="20"/>
              </w:rPr>
              <w:t>De la muestra de 103 casos revisados, en el Sistema de Nómina, Registro de Servicios Personales, Estudios y/o Servicios Individuales y Otros Relacionados con el Recurso Humano GUATENOMINAS, correspondientes a la unidad ejecutora No. 326, se determinó un caso de una persona que falleció con fecha 16/08/2021. Sin embargo, se le pagó su aguinaldo correspondiente al periodo del 1 de enero al 31 de diciembre de 2021, la cantidad pagada de más asciende a             Q 2,968.29, pendiente de revalidar por el Departamento de Recursos Humanos.</w:t>
            </w:r>
          </w:p>
          <w:p w14:paraId="0068F560" w14:textId="77777777" w:rsidR="007B1288" w:rsidRPr="007B1288" w:rsidRDefault="007B1288" w:rsidP="00CB73BB">
            <w:pPr>
              <w:rPr>
                <w:b/>
                <w:sz w:val="20"/>
                <w:szCs w:val="20"/>
              </w:rPr>
            </w:pPr>
            <w:r w:rsidRPr="007B1288">
              <w:rPr>
                <w:b/>
                <w:sz w:val="20"/>
                <w:szCs w:val="20"/>
              </w:rPr>
              <w:lastRenderedPageBreak/>
              <w:t>Recomendación</w:t>
            </w:r>
          </w:p>
          <w:p w14:paraId="559A182D" w14:textId="77777777" w:rsidR="007B1288" w:rsidRPr="007B1288" w:rsidRDefault="007B1288" w:rsidP="00CB73BB">
            <w:pPr>
              <w:rPr>
                <w:sz w:val="20"/>
                <w:szCs w:val="20"/>
              </w:rPr>
            </w:pPr>
            <w:r w:rsidRPr="007B1288">
              <w:rPr>
                <w:sz w:val="20"/>
                <w:szCs w:val="20"/>
              </w:rPr>
              <w:t>Que el director Departamental de Educación Guatemala Occidente, giren instrucciones por escrito y realice lo siguiente:</w:t>
            </w:r>
          </w:p>
          <w:p w14:paraId="139E47F3" w14:textId="77777777" w:rsidR="007B1288" w:rsidRPr="007B1288" w:rsidRDefault="007B1288" w:rsidP="00CB73BB">
            <w:pPr>
              <w:rPr>
                <w:sz w:val="20"/>
                <w:szCs w:val="20"/>
              </w:rPr>
            </w:pPr>
          </w:p>
          <w:p w14:paraId="3A3AEFB9" w14:textId="77777777" w:rsidR="007B1288" w:rsidRPr="007B1288" w:rsidRDefault="007B1288" w:rsidP="007B1288">
            <w:pPr>
              <w:pStyle w:val="Prrafodelista"/>
              <w:numPr>
                <w:ilvl w:val="0"/>
                <w:numId w:val="9"/>
              </w:numPr>
              <w:spacing w:after="0" w:line="240" w:lineRule="auto"/>
              <w:contextualSpacing w:val="0"/>
              <w:rPr>
                <w:sz w:val="20"/>
                <w:szCs w:val="20"/>
              </w:rPr>
            </w:pPr>
            <w:r w:rsidRPr="007B1288">
              <w:rPr>
                <w:sz w:val="20"/>
                <w:szCs w:val="20"/>
              </w:rPr>
              <w:t>A la jefa del departamento de Recursos Humanos, para que realice las acciones correspondientes ante la Subdirección de Administración de Nómina, de la Dirección de Recursos Humanos -DIREH-, para que revalide la cantidad de Q 2,968.29, reportado en la deficiencia.</w:t>
            </w:r>
          </w:p>
          <w:p w14:paraId="020B59C3" w14:textId="77777777" w:rsidR="007B1288" w:rsidRPr="007B1288" w:rsidRDefault="007B1288" w:rsidP="00CB73BB">
            <w:pPr>
              <w:pStyle w:val="Prrafodelista"/>
              <w:ind w:left="360"/>
              <w:rPr>
                <w:sz w:val="20"/>
                <w:szCs w:val="20"/>
              </w:rPr>
            </w:pPr>
          </w:p>
          <w:p w14:paraId="087F413F" w14:textId="77777777" w:rsidR="007B1288" w:rsidRPr="007B1288" w:rsidRDefault="007B1288" w:rsidP="007B1288">
            <w:pPr>
              <w:pStyle w:val="Prrafodelista"/>
              <w:numPr>
                <w:ilvl w:val="0"/>
                <w:numId w:val="9"/>
              </w:numPr>
              <w:spacing w:after="0" w:line="240" w:lineRule="auto"/>
              <w:contextualSpacing w:val="0"/>
              <w:rPr>
                <w:sz w:val="20"/>
                <w:szCs w:val="20"/>
              </w:rPr>
            </w:pPr>
            <w:r w:rsidRPr="007B1288">
              <w:rPr>
                <w:sz w:val="20"/>
                <w:szCs w:val="20"/>
              </w:rPr>
              <w:t>Al personal responsable del departamento de Recursos Humanos, que intervienen dentro del proceso, indiquen al beneficiario o beneficiarios que al verificar en el sistema se determinó que la exempleada recibió aguinaldo mayor a lo establecido y solicite el reintegro correspondiente.</w:t>
            </w:r>
          </w:p>
          <w:p w14:paraId="14F6B23B" w14:textId="77777777" w:rsidR="007B1288" w:rsidRPr="007B1288" w:rsidRDefault="007B1288" w:rsidP="00CB73BB">
            <w:pPr>
              <w:rPr>
                <w:bCs/>
                <w:sz w:val="20"/>
                <w:szCs w:val="20"/>
              </w:rPr>
            </w:pPr>
          </w:p>
          <w:p w14:paraId="57204F93" w14:textId="77777777" w:rsidR="007B1288" w:rsidRPr="007B1288" w:rsidRDefault="007B1288" w:rsidP="00CB73BB">
            <w:pPr>
              <w:rPr>
                <w:bCs/>
                <w:sz w:val="20"/>
                <w:szCs w:val="20"/>
              </w:rPr>
            </w:pPr>
          </w:p>
        </w:tc>
        <w:tc>
          <w:tcPr>
            <w:tcW w:w="1613" w:type="dxa"/>
            <w:tcBorders>
              <w:top w:val="single" w:sz="4" w:space="0" w:color="auto"/>
              <w:left w:val="single" w:sz="4" w:space="0" w:color="auto"/>
              <w:bottom w:val="nil"/>
              <w:right w:val="single" w:sz="4" w:space="0" w:color="auto"/>
            </w:tcBorders>
            <w:shd w:val="clear" w:color="auto" w:fill="FFFFFF"/>
            <w:vAlign w:val="center"/>
          </w:tcPr>
          <w:p w14:paraId="0D99964E" w14:textId="77777777" w:rsidR="007B1288" w:rsidRPr="007B1288" w:rsidRDefault="007B1288" w:rsidP="00CB73BB">
            <w:pPr>
              <w:autoSpaceDE w:val="0"/>
              <w:autoSpaceDN w:val="0"/>
              <w:adjustRightInd w:val="0"/>
              <w:jc w:val="center"/>
              <w:rPr>
                <w:bCs/>
                <w:sz w:val="20"/>
                <w:szCs w:val="20"/>
              </w:rPr>
            </w:pPr>
            <w:r w:rsidRPr="007B1288">
              <w:rPr>
                <w:bCs/>
                <w:sz w:val="20"/>
                <w:szCs w:val="20"/>
              </w:rPr>
              <w:lastRenderedPageBreak/>
              <w:t>DIRECTOR DEPARTAMENTAL</w:t>
            </w:r>
          </w:p>
          <w:p w14:paraId="5827ECAD" w14:textId="77777777" w:rsidR="007B1288" w:rsidRPr="007B1288" w:rsidRDefault="007B1288" w:rsidP="00CB73BB">
            <w:pPr>
              <w:autoSpaceDE w:val="0"/>
              <w:autoSpaceDN w:val="0"/>
              <w:adjustRightInd w:val="0"/>
              <w:jc w:val="center"/>
              <w:rPr>
                <w:bCs/>
                <w:sz w:val="20"/>
                <w:szCs w:val="20"/>
              </w:rPr>
            </w:pPr>
          </w:p>
          <w:p w14:paraId="0EAF877C" w14:textId="77777777" w:rsidR="007B1288" w:rsidRPr="007B1288" w:rsidRDefault="007B1288" w:rsidP="00CB73BB">
            <w:pPr>
              <w:autoSpaceDE w:val="0"/>
              <w:autoSpaceDN w:val="0"/>
              <w:adjustRightInd w:val="0"/>
              <w:jc w:val="center"/>
              <w:rPr>
                <w:spacing w:val="-3"/>
                <w:sz w:val="20"/>
                <w:szCs w:val="20"/>
              </w:rPr>
            </w:pPr>
            <w:r w:rsidRPr="007B1288">
              <w:rPr>
                <w:spacing w:val="-3"/>
                <w:sz w:val="20"/>
                <w:szCs w:val="20"/>
              </w:rPr>
              <w:t>JEFE DEPARTAMENTO DE RECURSOS HUMANOS</w:t>
            </w:r>
          </w:p>
          <w:p w14:paraId="7EED6354" w14:textId="77777777" w:rsidR="007B1288" w:rsidRPr="007B1288" w:rsidRDefault="007B1288" w:rsidP="00CB73BB">
            <w:pPr>
              <w:autoSpaceDE w:val="0"/>
              <w:autoSpaceDN w:val="0"/>
              <w:adjustRightInd w:val="0"/>
              <w:rPr>
                <w:rStyle w:val="Refdecomentario"/>
                <w:sz w:val="20"/>
                <w:szCs w:val="20"/>
              </w:rPr>
            </w:pPr>
          </w:p>
        </w:tc>
        <w:tc>
          <w:tcPr>
            <w:tcW w:w="1200" w:type="dxa"/>
            <w:tcBorders>
              <w:top w:val="single" w:sz="4" w:space="0" w:color="auto"/>
              <w:left w:val="single" w:sz="4" w:space="0" w:color="auto"/>
              <w:bottom w:val="nil"/>
              <w:right w:val="single" w:sz="4" w:space="0" w:color="auto"/>
            </w:tcBorders>
            <w:shd w:val="clear" w:color="auto" w:fill="FFFFFF"/>
            <w:vAlign w:val="center"/>
          </w:tcPr>
          <w:p w14:paraId="74089210" w14:textId="77777777" w:rsidR="007B1288" w:rsidRPr="007B1288" w:rsidRDefault="007B1288" w:rsidP="00CB73BB">
            <w:pPr>
              <w:jc w:val="center"/>
              <w:rPr>
                <w:b/>
                <w:bCs/>
                <w:sz w:val="20"/>
                <w:szCs w:val="20"/>
              </w:rPr>
            </w:pPr>
            <w:r w:rsidRPr="007B1288">
              <w:rPr>
                <w:b/>
                <w:bCs/>
                <w:sz w:val="20"/>
                <w:szCs w:val="20"/>
              </w:rPr>
              <w:t>X</w:t>
            </w:r>
          </w:p>
        </w:tc>
        <w:tc>
          <w:tcPr>
            <w:tcW w:w="851" w:type="dxa"/>
            <w:tcBorders>
              <w:top w:val="single" w:sz="4" w:space="0" w:color="auto"/>
              <w:left w:val="single" w:sz="4" w:space="0" w:color="auto"/>
              <w:bottom w:val="nil"/>
              <w:right w:val="single" w:sz="4" w:space="0" w:color="auto"/>
            </w:tcBorders>
            <w:shd w:val="clear" w:color="auto" w:fill="FFFFFF"/>
            <w:vAlign w:val="center"/>
          </w:tcPr>
          <w:p w14:paraId="07D85618" w14:textId="77777777" w:rsidR="007B1288" w:rsidRPr="007B1288" w:rsidRDefault="007B1288" w:rsidP="00CB73BB">
            <w:pPr>
              <w:jc w:val="center"/>
              <w:rPr>
                <w:b/>
                <w:bCs/>
                <w:sz w:val="20"/>
                <w:szCs w:val="20"/>
              </w:rPr>
            </w:pPr>
          </w:p>
        </w:tc>
        <w:tc>
          <w:tcPr>
            <w:tcW w:w="954" w:type="dxa"/>
            <w:tcBorders>
              <w:top w:val="single" w:sz="4" w:space="0" w:color="auto"/>
              <w:left w:val="single" w:sz="4" w:space="0" w:color="auto"/>
              <w:bottom w:val="nil"/>
              <w:right w:val="single" w:sz="4" w:space="0" w:color="auto"/>
            </w:tcBorders>
            <w:shd w:val="clear" w:color="auto" w:fill="FFFFFF"/>
            <w:vAlign w:val="center"/>
          </w:tcPr>
          <w:p w14:paraId="116B87F3" w14:textId="77777777" w:rsidR="007B1288" w:rsidRPr="007B1288" w:rsidRDefault="007B1288" w:rsidP="00CB73BB">
            <w:pPr>
              <w:jc w:val="center"/>
              <w:rPr>
                <w:b/>
                <w:bCs/>
                <w:sz w:val="20"/>
                <w:szCs w:val="20"/>
              </w:rPr>
            </w:pPr>
          </w:p>
        </w:tc>
        <w:tc>
          <w:tcPr>
            <w:tcW w:w="4224" w:type="dxa"/>
            <w:tcBorders>
              <w:top w:val="single" w:sz="4" w:space="0" w:color="auto"/>
              <w:left w:val="single" w:sz="4" w:space="0" w:color="auto"/>
              <w:bottom w:val="nil"/>
              <w:right w:val="single" w:sz="4" w:space="0" w:color="auto"/>
            </w:tcBorders>
            <w:shd w:val="clear" w:color="auto" w:fill="FFFFFF"/>
            <w:vAlign w:val="center"/>
          </w:tcPr>
          <w:p w14:paraId="654B35B7" w14:textId="77777777" w:rsidR="007B1288" w:rsidRPr="007B1288" w:rsidRDefault="007B1288" w:rsidP="00CB73BB">
            <w:pPr>
              <w:ind w:right="11"/>
              <w:rPr>
                <w:rStyle w:val="Refdecomentario"/>
                <w:sz w:val="20"/>
                <w:szCs w:val="20"/>
              </w:rPr>
            </w:pPr>
          </w:p>
          <w:p w14:paraId="11588F6A" w14:textId="77777777" w:rsidR="007B1288" w:rsidRPr="007B1288" w:rsidRDefault="007B1288" w:rsidP="00CB73BB">
            <w:pPr>
              <w:ind w:right="11"/>
              <w:rPr>
                <w:rStyle w:val="Refdecomentario"/>
                <w:sz w:val="20"/>
                <w:szCs w:val="20"/>
              </w:rPr>
            </w:pPr>
            <w:r w:rsidRPr="007B1288">
              <w:rPr>
                <w:rStyle w:val="Refdecomentario"/>
                <w:sz w:val="20"/>
                <w:szCs w:val="20"/>
              </w:rPr>
              <w:t>Mediante Oficio RRHH-021-02-2023 con fecha 27 de febrero de 2023, la Dirección Departamental de Educación Guatemala Occidente presentó sus argumentos y pruebas de respaldo relacionadas al seguimiento de las recomendaciones de la Auditoría Interna del Ministerio de Educación, contenidas en el Informe CAI 00049 de octubre de 2022; en relación al presente hallazgo, adjuntan impresión de pantalla del sistema GUATENOMINAS donde se observa el reintegro de aguinaldo que se había pagado de más, manifestando que están solvente y finalizado.</w:t>
            </w:r>
          </w:p>
          <w:p w14:paraId="0D82987F" w14:textId="77777777" w:rsidR="007B1288" w:rsidRPr="007B1288" w:rsidRDefault="007B1288" w:rsidP="00CB73BB">
            <w:pPr>
              <w:ind w:right="11"/>
              <w:rPr>
                <w:rStyle w:val="Refdecomentario"/>
                <w:sz w:val="20"/>
                <w:szCs w:val="20"/>
              </w:rPr>
            </w:pPr>
          </w:p>
          <w:p w14:paraId="66210272" w14:textId="77777777" w:rsidR="007B1288" w:rsidRPr="007B1288" w:rsidRDefault="007B1288" w:rsidP="00CB73BB">
            <w:pPr>
              <w:ind w:right="11"/>
              <w:rPr>
                <w:rStyle w:val="Refdecomentario"/>
                <w:sz w:val="20"/>
                <w:szCs w:val="20"/>
              </w:rPr>
            </w:pPr>
          </w:p>
          <w:p w14:paraId="1B67C61A" w14:textId="77777777" w:rsidR="007B1288" w:rsidRPr="007B1288" w:rsidRDefault="007B1288" w:rsidP="00CB73BB">
            <w:pPr>
              <w:ind w:right="11"/>
              <w:rPr>
                <w:rStyle w:val="Refdecomentario"/>
                <w:sz w:val="20"/>
                <w:szCs w:val="20"/>
              </w:rPr>
            </w:pPr>
            <w:r w:rsidRPr="007B1288">
              <w:rPr>
                <w:rStyle w:val="Refdecomentario"/>
                <w:b/>
                <w:sz w:val="20"/>
                <w:szCs w:val="20"/>
              </w:rPr>
              <w:t xml:space="preserve">Comentario de auditoría: </w:t>
            </w:r>
          </w:p>
          <w:p w14:paraId="7727A27E" w14:textId="77777777" w:rsidR="007B1288" w:rsidRPr="007B1288" w:rsidRDefault="007B1288" w:rsidP="00CB73BB">
            <w:pPr>
              <w:ind w:right="11"/>
              <w:rPr>
                <w:rStyle w:val="Refdecomentario"/>
                <w:sz w:val="20"/>
                <w:szCs w:val="20"/>
              </w:rPr>
            </w:pPr>
            <w:r w:rsidRPr="007B1288">
              <w:rPr>
                <w:rStyle w:val="Refdecomentario"/>
                <w:sz w:val="20"/>
                <w:szCs w:val="20"/>
              </w:rPr>
              <w:t xml:space="preserve">De conformidad con las pruebas presentadas </w:t>
            </w:r>
          </w:p>
          <w:p w14:paraId="4691ADD0" w14:textId="77777777" w:rsidR="007B1288" w:rsidRPr="007B1288" w:rsidRDefault="007B1288" w:rsidP="00CB73BB">
            <w:pPr>
              <w:ind w:right="11"/>
              <w:rPr>
                <w:rStyle w:val="Refdecomentario"/>
                <w:sz w:val="20"/>
                <w:szCs w:val="20"/>
              </w:rPr>
            </w:pPr>
            <w:r w:rsidRPr="007B1288">
              <w:rPr>
                <w:rStyle w:val="Refdecomentario"/>
                <w:sz w:val="20"/>
                <w:szCs w:val="20"/>
              </w:rPr>
              <w:t xml:space="preserve">que corresponden a las gestiones realizadas ante la Dirección de Recursos Humanos             -DIREH- del Ministerio de Educación y al </w:t>
            </w:r>
            <w:bookmarkStart w:id="1" w:name="_Hlk130905104"/>
            <w:r w:rsidRPr="007B1288">
              <w:rPr>
                <w:rStyle w:val="Refdecomentario"/>
                <w:sz w:val="20"/>
                <w:szCs w:val="20"/>
              </w:rPr>
              <w:t>reintegro del aguinaldo pagado de más a la exservidora publica, difunta Ana Graciela Mejía Herrera</w:t>
            </w:r>
            <w:bookmarkEnd w:id="1"/>
            <w:r w:rsidRPr="007B1288">
              <w:rPr>
                <w:rStyle w:val="Refdecomentario"/>
                <w:sz w:val="20"/>
                <w:szCs w:val="20"/>
              </w:rPr>
              <w:t>; la recomendación se da por cumplida.</w:t>
            </w:r>
          </w:p>
          <w:p w14:paraId="5DC5F015" w14:textId="77777777" w:rsidR="007B1288" w:rsidRPr="007B1288" w:rsidRDefault="007B1288" w:rsidP="00CB73BB">
            <w:pPr>
              <w:ind w:right="11"/>
              <w:rPr>
                <w:rStyle w:val="Refdecomentario"/>
                <w:sz w:val="20"/>
                <w:szCs w:val="20"/>
              </w:rPr>
            </w:pPr>
          </w:p>
          <w:p w14:paraId="0D984893" w14:textId="77777777" w:rsidR="007B1288" w:rsidRPr="007B1288" w:rsidRDefault="007B1288" w:rsidP="00CB73BB">
            <w:pPr>
              <w:ind w:right="11"/>
              <w:rPr>
                <w:rStyle w:val="Refdecomentario"/>
                <w:sz w:val="20"/>
                <w:szCs w:val="20"/>
              </w:rPr>
            </w:pPr>
          </w:p>
          <w:p w14:paraId="2624D4F1" w14:textId="77777777" w:rsidR="007B1288" w:rsidRPr="007B1288" w:rsidRDefault="007B1288" w:rsidP="00CB73BB">
            <w:pPr>
              <w:ind w:right="11"/>
              <w:rPr>
                <w:rStyle w:val="Refdecomentario"/>
                <w:sz w:val="20"/>
                <w:szCs w:val="20"/>
              </w:rPr>
            </w:pPr>
          </w:p>
          <w:p w14:paraId="6E09FB76" w14:textId="77777777" w:rsidR="007B1288" w:rsidRPr="007B1288" w:rsidRDefault="007B1288" w:rsidP="00CB73BB">
            <w:pPr>
              <w:ind w:right="11"/>
              <w:rPr>
                <w:rStyle w:val="Refdecomentario"/>
                <w:sz w:val="20"/>
                <w:szCs w:val="20"/>
              </w:rPr>
            </w:pPr>
          </w:p>
          <w:p w14:paraId="1000DCE0" w14:textId="77777777" w:rsidR="007B1288" w:rsidRPr="007B1288" w:rsidRDefault="007B1288" w:rsidP="00CB73BB">
            <w:pPr>
              <w:ind w:right="11"/>
              <w:rPr>
                <w:rStyle w:val="Refdecomentario"/>
                <w:sz w:val="20"/>
                <w:szCs w:val="20"/>
              </w:rPr>
            </w:pPr>
          </w:p>
          <w:p w14:paraId="0C262C5C" w14:textId="77777777" w:rsidR="007B1288" w:rsidRPr="007B1288" w:rsidRDefault="007B1288" w:rsidP="00CB73BB">
            <w:pPr>
              <w:ind w:right="11"/>
              <w:rPr>
                <w:rStyle w:val="Refdecomentario"/>
                <w:sz w:val="20"/>
                <w:szCs w:val="20"/>
              </w:rPr>
            </w:pPr>
          </w:p>
          <w:p w14:paraId="2F8074A1" w14:textId="77777777" w:rsidR="007B1288" w:rsidRPr="007B1288" w:rsidRDefault="007B1288" w:rsidP="00CB73BB">
            <w:pPr>
              <w:ind w:right="11"/>
              <w:rPr>
                <w:rStyle w:val="Refdecomentario"/>
                <w:sz w:val="20"/>
                <w:szCs w:val="20"/>
              </w:rPr>
            </w:pPr>
          </w:p>
          <w:p w14:paraId="6E070898" w14:textId="77777777" w:rsidR="007B1288" w:rsidRPr="007B1288" w:rsidRDefault="007B1288" w:rsidP="00CB73BB">
            <w:pPr>
              <w:ind w:right="11"/>
              <w:rPr>
                <w:rStyle w:val="Refdecomentario"/>
                <w:sz w:val="20"/>
                <w:szCs w:val="20"/>
              </w:rPr>
            </w:pPr>
          </w:p>
          <w:p w14:paraId="1EE1B3B2" w14:textId="77777777" w:rsidR="007B1288" w:rsidRPr="007B1288" w:rsidRDefault="007B1288" w:rsidP="00CB73BB">
            <w:pPr>
              <w:ind w:right="11"/>
              <w:rPr>
                <w:rStyle w:val="Refdecomentario"/>
                <w:sz w:val="20"/>
                <w:szCs w:val="20"/>
              </w:rPr>
            </w:pPr>
          </w:p>
          <w:p w14:paraId="53B76C89" w14:textId="77777777" w:rsidR="007B1288" w:rsidRPr="007B1288" w:rsidRDefault="007B1288" w:rsidP="00CB73BB">
            <w:pPr>
              <w:ind w:right="11"/>
              <w:rPr>
                <w:rStyle w:val="Refdecomentario"/>
                <w:sz w:val="20"/>
                <w:szCs w:val="20"/>
              </w:rPr>
            </w:pPr>
          </w:p>
          <w:p w14:paraId="3ECB9870" w14:textId="77777777" w:rsidR="007B1288" w:rsidRPr="007B1288" w:rsidRDefault="007B1288" w:rsidP="00CB73BB">
            <w:pPr>
              <w:ind w:right="11"/>
              <w:rPr>
                <w:rStyle w:val="Refdecomentario"/>
                <w:sz w:val="20"/>
                <w:szCs w:val="20"/>
              </w:rPr>
            </w:pPr>
          </w:p>
        </w:tc>
      </w:tr>
      <w:tr w:rsidR="007B1288" w:rsidRPr="00B3508D" w14:paraId="395678D9" w14:textId="77777777" w:rsidTr="00CB73BB">
        <w:trPr>
          <w:trHeight w:val="2320"/>
        </w:trPr>
        <w:tc>
          <w:tcPr>
            <w:tcW w:w="447" w:type="dxa"/>
            <w:tcBorders>
              <w:top w:val="single" w:sz="4" w:space="0" w:color="auto"/>
              <w:left w:val="single" w:sz="4" w:space="0" w:color="auto"/>
              <w:bottom w:val="nil"/>
              <w:right w:val="single" w:sz="4" w:space="0" w:color="auto"/>
            </w:tcBorders>
            <w:shd w:val="clear" w:color="auto" w:fill="FFFFFF"/>
            <w:vAlign w:val="center"/>
          </w:tcPr>
          <w:p w14:paraId="6178EDE7" w14:textId="77777777" w:rsidR="007B1288" w:rsidRDefault="007B1288" w:rsidP="00CB73BB">
            <w:pPr>
              <w:rPr>
                <w:b/>
                <w:sz w:val="22"/>
              </w:rPr>
            </w:pPr>
            <w:r>
              <w:rPr>
                <w:b/>
                <w:sz w:val="22"/>
              </w:rPr>
              <w:lastRenderedPageBreak/>
              <w:t>2</w:t>
            </w:r>
          </w:p>
        </w:tc>
        <w:tc>
          <w:tcPr>
            <w:tcW w:w="4314" w:type="dxa"/>
            <w:tcBorders>
              <w:top w:val="single" w:sz="4" w:space="0" w:color="auto"/>
              <w:left w:val="single" w:sz="4" w:space="0" w:color="auto"/>
              <w:bottom w:val="nil"/>
              <w:right w:val="single" w:sz="4" w:space="0" w:color="auto"/>
            </w:tcBorders>
            <w:shd w:val="clear" w:color="auto" w:fill="FFFFFF"/>
            <w:vAlign w:val="center"/>
          </w:tcPr>
          <w:p w14:paraId="291FB299" w14:textId="77777777" w:rsidR="007B1288" w:rsidRPr="007B1288" w:rsidRDefault="007B1288" w:rsidP="00CB73BB">
            <w:pPr>
              <w:rPr>
                <w:b/>
                <w:sz w:val="20"/>
                <w:szCs w:val="20"/>
              </w:rPr>
            </w:pPr>
            <w:bookmarkStart w:id="2" w:name="_Hlk130905170"/>
            <w:r w:rsidRPr="007B1288">
              <w:rPr>
                <w:b/>
                <w:sz w:val="20"/>
                <w:szCs w:val="20"/>
              </w:rPr>
              <w:t>Sueldos y prestaciones pendientes de pago a ex servidores públicos</w:t>
            </w:r>
          </w:p>
          <w:bookmarkEnd w:id="2"/>
          <w:p w14:paraId="40136608" w14:textId="77777777" w:rsidR="007B1288" w:rsidRPr="007B1288" w:rsidRDefault="007B1288" w:rsidP="00CB73BB">
            <w:pPr>
              <w:rPr>
                <w:b/>
                <w:bCs/>
                <w:sz w:val="20"/>
                <w:szCs w:val="20"/>
              </w:rPr>
            </w:pPr>
          </w:p>
          <w:p w14:paraId="433E2190" w14:textId="77777777" w:rsidR="007B1288" w:rsidRPr="007B1288" w:rsidRDefault="007B1288" w:rsidP="00CB73BB">
            <w:pPr>
              <w:rPr>
                <w:b/>
                <w:bCs/>
                <w:sz w:val="20"/>
                <w:szCs w:val="20"/>
              </w:rPr>
            </w:pPr>
            <w:r w:rsidRPr="007B1288">
              <w:rPr>
                <w:b/>
                <w:bCs/>
                <w:sz w:val="20"/>
                <w:szCs w:val="20"/>
              </w:rPr>
              <w:t>Condición</w:t>
            </w:r>
          </w:p>
          <w:p w14:paraId="419A774A" w14:textId="77777777" w:rsidR="007B1288" w:rsidRPr="007B1288" w:rsidRDefault="007B1288" w:rsidP="00CB73BB">
            <w:pPr>
              <w:rPr>
                <w:bCs/>
                <w:sz w:val="20"/>
                <w:szCs w:val="20"/>
              </w:rPr>
            </w:pPr>
            <w:r w:rsidRPr="007B1288">
              <w:rPr>
                <w:bCs/>
                <w:sz w:val="20"/>
                <w:szCs w:val="20"/>
              </w:rPr>
              <w:t>De la muestra de 103 casos revisados, correspondientes a la unidad ejecutora No. 326, se determinó en el Sistema de Nómina, Registro de Servicios Personales, Estudios y/ o Servicios Individuales y Otros Relacionados con el Recurso Humano GUATENOMINAS, que no existen registros del pago de algunos días laborados que corresponden a sueldos devengados no pagados y prestaciones laborales de forma proporcional (bono 14 y aguinaldo) de los cuales existen 07 casos.</w:t>
            </w:r>
          </w:p>
          <w:p w14:paraId="5DDF33E3" w14:textId="77777777" w:rsidR="007B1288" w:rsidRPr="007B1288" w:rsidRDefault="007B1288" w:rsidP="00CB73BB">
            <w:pPr>
              <w:rPr>
                <w:bCs/>
                <w:sz w:val="20"/>
                <w:szCs w:val="20"/>
              </w:rPr>
            </w:pPr>
          </w:p>
          <w:p w14:paraId="2D5EA7F3" w14:textId="77777777" w:rsidR="007B1288" w:rsidRPr="007B1288" w:rsidRDefault="007B1288" w:rsidP="00CB73BB">
            <w:pPr>
              <w:rPr>
                <w:bCs/>
                <w:sz w:val="20"/>
                <w:szCs w:val="20"/>
              </w:rPr>
            </w:pPr>
            <w:r w:rsidRPr="007B1288">
              <w:rPr>
                <w:b/>
                <w:sz w:val="20"/>
                <w:szCs w:val="20"/>
              </w:rPr>
              <w:t>Recomendación</w:t>
            </w:r>
          </w:p>
          <w:p w14:paraId="235DD80A" w14:textId="77777777" w:rsidR="007B1288" w:rsidRPr="007B1288" w:rsidRDefault="007B1288" w:rsidP="00CB73BB">
            <w:pPr>
              <w:rPr>
                <w:bCs/>
                <w:sz w:val="20"/>
                <w:szCs w:val="20"/>
              </w:rPr>
            </w:pPr>
            <w:r w:rsidRPr="007B1288">
              <w:rPr>
                <w:bCs/>
                <w:sz w:val="20"/>
                <w:szCs w:val="20"/>
              </w:rPr>
              <w:t>Que el director Departamental de Educación Guatemala Occidente giren instrucciones por escrito y de seguimiento para que la jefa del departamento de recursos humanos gestione las acciones correspondientes ante la Subdirección de Administración de Nómina, de la Dirección de Recursos Humanos -DIREH-, para que se pueda realizar los pagos pendientes a los ex servidores públicos y deje evidencia por escrito de los casos reportados en la deficiencia.</w:t>
            </w:r>
          </w:p>
          <w:p w14:paraId="6235CB67" w14:textId="77777777" w:rsidR="007B1288" w:rsidRPr="007B1288" w:rsidRDefault="007B1288" w:rsidP="00CB73BB">
            <w:pPr>
              <w:rPr>
                <w:bCs/>
                <w:sz w:val="20"/>
                <w:szCs w:val="20"/>
              </w:rPr>
            </w:pPr>
          </w:p>
        </w:tc>
        <w:tc>
          <w:tcPr>
            <w:tcW w:w="1613" w:type="dxa"/>
            <w:tcBorders>
              <w:top w:val="single" w:sz="4" w:space="0" w:color="auto"/>
              <w:left w:val="single" w:sz="4" w:space="0" w:color="auto"/>
              <w:bottom w:val="nil"/>
              <w:right w:val="single" w:sz="4" w:space="0" w:color="auto"/>
            </w:tcBorders>
            <w:shd w:val="clear" w:color="auto" w:fill="FFFFFF"/>
            <w:vAlign w:val="center"/>
          </w:tcPr>
          <w:p w14:paraId="44C90B1B" w14:textId="77777777" w:rsidR="007B1288" w:rsidRPr="007B1288" w:rsidRDefault="007B1288" w:rsidP="00CB73BB">
            <w:pPr>
              <w:autoSpaceDE w:val="0"/>
              <w:autoSpaceDN w:val="0"/>
              <w:adjustRightInd w:val="0"/>
              <w:jc w:val="center"/>
              <w:rPr>
                <w:bCs/>
                <w:sz w:val="20"/>
                <w:szCs w:val="20"/>
              </w:rPr>
            </w:pPr>
            <w:r w:rsidRPr="007B1288">
              <w:rPr>
                <w:bCs/>
                <w:sz w:val="20"/>
                <w:szCs w:val="20"/>
              </w:rPr>
              <w:t>DIRECTOR DEPARTAMENTAL</w:t>
            </w:r>
          </w:p>
          <w:p w14:paraId="6FBBD8BB" w14:textId="77777777" w:rsidR="007B1288" w:rsidRPr="007B1288" w:rsidRDefault="007B1288" w:rsidP="00CB73BB">
            <w:pPr>
              <w:autoSpaceDE w:val="0"/>
              <w:autoSpaceDN w:val="0"/>
              <w:adjustRightInd w:val="0"/>
              <w:jc w:val="center"/>
              <w:rPr>
                <w:bCs/>
                <w:sz w:val="20"/>
                <w:szCs w:val="20"/>
              </w:rPr>
            </w:pPr>
          </w:p>
          <w:p w14:paraId="14767A8B" w14:textId="77777777" w:rsidR="007B1288" w:rsidRPr="007B1288" w:rsidRDefault="007B1288" w:rsidP="00CB73BB">
            <w:pPr>
              <w:autoSpaceDE w:val="0"/>
              <w:autoSpaceDN w:val="0"/>
              <w:adjustRightInd w:val="0"/>
              <w:jc w:val="center"/>
              <w:rPr>
                <w:spacing w:val="-3"/>
                <w:sz w:val="20"/>
                <w:szCs w:val="20"/>
              </w:rPr>
            </w:pPr>
            <w:r w:rsidRPr="007B1288">
              <w:rPr>
                <w:spacing w:val="-3"/>
                <w:sz w:val="20"/>
                <w:szCs w:val="20"/>
              </w:rPr>
              <w:t>JEFE DEPARTAMENTO DE RECURSOS HUMANOS</w:t>
            </w:r>
          </w:p>
          <w:p w14:paraId="2047DCAC" w14:textId="77777777" w:rsidR="007B1288" w:rsidRPr="007B1288" w:rsidRDefault="007B1288" w:rsidP="00CB73BB">
            <w:pPr>
              <w:autoSpaceDE w:val="0"/>
              <w:autoSpaceDN w:val="0"/>
              <w:adjustRightInd w:val="0"/>
              <w:rPr>
                <w:rStyle w:val="Refdecomentario"/>
                <w:sz w:val="20"/>
                <w:szCs w:val="20"/>
              </w:rPr>
            </w:pPr>
          </w:p>
        </w:tc>
        <w:tc>
          <w:tcPr>
            <w:tcW w:w="1200" w:type="dxa"/>
            <w:tcBorders>
              <w:top w:val="single" w:sz="4" w:space="0" w:color="auto"/>
              <w:left w:val="single" w:sz="4" w:space="0" w:color="auto"/>
              <w:bottom w:val="nil"/>
              <w:right w:val="single" w:sz="4" w:space="0" w:color="auto"/>
            </w:tcBorders>
            <w:shd w:val="clear" w:color="auto" w:fill="FFFFFF"/>
            <w:vAlign w:val="center"/>
          </w:tcPr>
          <w:p w14:paraId="7FE97278" w14:textId="77777777" w:rsidR="007B1288" w:rsidRPr="007B1288" w:rsidRDefault="007B1288" w:rsidP="00CB73BB">
            <w:pPr>
              <w:jc w:val="center"/>
              <w:rPr>
                <w:b/>
                <w:bCs/>
                <w:sz w:val="20"/>
                <w:szCs w:val="20"/>
              </w:rPr>
            </w:pPr>
            <w:r w:rsidRPr="007B1288">
              <w:rPr>
                <w:b/>
                <w:bCs/>
                <w:sz w:val="20"/>
                <w:szCs w:val="20"/>
              </w:rPr>
              <w:t>X</w:t>
            </w:r>
          </w:p>
        </w:tc>
        <w:tc>
          <w:tcPr>
            <w:tcW w:w="851" w:type="dxa"/>
            <w:tcBorders>
              <w:top w:val="single" w:sz="4" w:space="0" w:color="auto"/>
              <w:left w:val="single" w:sz="4" w:space="0" w:color="auto"/>
              <w:bottom w:val="nil"/>
              <w:right w:val="single" w:sz="4" w:space="0" w:color="auto"/>
            </w:tcBorders>
            <w:shd w:val="clear" w:color="auto" w:fill="FFFFFF"/>
            <w:vAlign w:val="center"/>
          </w:tcPr>
          <w:p w14:paraId="39D96A71" w14:textId="77777777" w:rsidR="007B1288" w:rsidRPr="007B1288" w:rsidRDefault="007B1288" w:rsidP="00CB73BB">
            <w:pPr>
              <w:jc w:val="center"/>
              <w:rPr>
                <w:b/>
                <w:bCs/>
                <w:sz w:val="20"/>
                <w:szCs w:val="20"/>
              </w:rPr>
            </w:pPr>
          </w:p>
        </w:tc>
        <w:tc>
          <w:tcPr>
            <w:tcW w:w="954" w:type="dxa"/>
            <w:tcBorders>
              <w:top w:val="single" w:sz="4" w:space="0" w:color="auto"/>
              <w:left w:val="single" w:sz="4" w:space="0" w:color="auto"/>
              <w:bottom w:val="nil"/>
              <w:right w:val="single" w:sz="4" w:space="0" w:color="auto"/>
            </w:tcBorders>
            <w:shd w:val="clear" w:color="auto" w:fill="FFFFFF"/>
            <w:vAlign w:val="center"/>
          </w:tcPr>
          <w:p w14:paraId="64D54CD6" w14:textId="77777777" w:rsidR="007B1288" w:rsidRPr="007B1288" w:rsidRDefault="007B1288" w:rsidP="00CB73BB">
            <w:pPr>
              <w:jc w:val="center"/>
              <w:rPr>
                <w:b/>
                <w:bCs/>
                <w:sz w:val="20"/>
                <w:szCs w:val="20"/>
              </w:rPr>
            </w:pPr>
          </w:p>
        </w:tc>
        <w:tc>
          <w:tcPr>
            <w:tcW w:w="4224" w:type="dxa"/>
            <w:tcBorders>
              <w:top w:val="single" w:sz="4" w:space="0" w:color="auto"/>
              <w:left w:val="single" w:sz="4" w:space="0" w:color="auto"/>
              <w:bottom w:val="nil"/>
              <w:right w:val="single" w:sz="4" w:space="0" w:color="auto"/>
            </w:tcBorders>
            <w:shd w:val="clear" w:color="auto" w:fill="FFFFFF"/>
            <w:vAlign w:val="center"/>
          </w:tcPr>
          <w:p w14:paraId="00D96F0D" w14:textId="77777777" w:rsidR="007B1288" w:rsidRPr="007B1288" w:rsidRDefault="007B1288" w:rsidP="00CB73BB">
            <w:pPr>
              <w:ind w:right="11"/>
              <w:rPr>
                <w:rStyle w:val="Refdecomentario"/>
                <w:sz w:val="20"/>
                <w:szCs w:val="20"/>
              </w:rPr>
            </w:pPr>
            <w:r w:rsidRPr="007B1288">
              <w:rPr>
                <w:rStyle w:val="Refdecomentario"/>
                <w:sz w:val="20"/>
                <w:szCs w:val="20"/>
              </w:rPr>
              <w:t xml:space="preserve">Mediante Oficio RRHH-021-02-2023 con fecha 27 de febrero de 2023, la Dirección Departamental de Educación Guatemala Occidente presentó sus argumentos y pruebas de respaldo relacionadas al seguimiento de las recomendaciones de la Auditoría Interna del Ministerio de Educación, contenidas en el Informe CAI 00049 de octubre de 2022; de los 7 casos del presente hallazgo, 3 están solventes y finalizados, para lo cual adjuntan impresión de pantalla del sistema GUATENOMINAS </w:t>
            </w:r>
            <w:bookmarkStart w:id="3" w:name="_Hlk130905242"/>
            <w:r w:rsidRPr="007B1288">
              <w:rPr>
                <w:rStyle w:val="Refdecomentario"/>
                <w:sz w:val="20"/>
                <w:szCs w:val="20"/>
              </w:rPr>
              <w:t>donde se observa el pago de sueldos pendientes y reportes de la Dirección de Recursos Humanos; y 4 casos de baja por defunción, en los que familiares deben realizar acciones ante la ONSEC, para el nombramiento de beneficiarios</w:t>
            </w:r>
            <w:bookmarkEnd w:id="3"/>
            <w:r w:rsidRPr="007B1288">
              <w:rPr>
                <w:rStyle w:val="Refdecomentario"/>
                <w:sz w:val="20"/>
                <w:szCs w:val="20"/>
              </w:rPr>
              <w:t>.</w:t>
            </w:r>
          </w:p>
          <w:p w14:paraId="3085F754" w14:textId="77777777" w:rsidR="007B1288" w:rsidRPr="007B1288" w:rsidRDefault="007B1288" w:rsidP="00CB73BB">
            <w:pPr>
              <w:ind w:right="11"/>
              <w:rPr>
                <w:rStyle w:val="Refdecomentario"/>
                <w:sz w:val="20"/>
                <w:szCs w:val="20"/>
              </w:rPr>
            </w:pPr>
          </w:p>
          <w:p w14:paraId="7F2C9126" w14:textId="77777777" w:rsidR="007B1288" w:rsidRPr="007B1288" w:rsidRDefault="007B1288" w:rsidP="00CB73BB">
            <w:pPr>
              <w:ind w:right="11"/>
              <w:rPr>
                <w:rStyle w:val="Refdecomentario"/>
                <w:sz w:val="20"/>
                <w:szCs w:val="20"/>
              </w:rPr>
            </w:pPr>
            <w:r w:rsidRPr="007B1288">
              <w:rPr>
                <w:rStyle w:val="Refdecomentario"/>
                <w:b/>
                <w:sz w:val="20"/>
                <w:szCs w:val="20"/>
              </w:rPr>
              <w:t xml:space="preserve">Comentario de auditoría: </w:t>
            </w:r>
          </w:p>
          <w:p w14:paraId="6BC958AC" w14:textId="77777777" w:rsidR="007B1288" w:rsidRPr="007B1288" w:rsidRDefault="007B1288" w:rsidP="00CB73BB">
            <w:pPr>
              <w:ind w:right="11"/>
              <w:rPr>
                <w:rStyle w:val="Refdecomentario"/>
                <w:sz w:val="20"/>
                <w:szCs w:val="20"/>
              </w:rPr>
            </w:pPr>
          </w:p>
          <w:p w14:paraId="265BBC71" w14:textId="77777777" w:rsidR="007B1288" w:rsidRPr="007B1288" w:rsidRDefault="007B1288" w:rsidP="00CB73BB">
            <w:pPr>
              <w:ind w:right="11"/>
              <w:rPr>
                <w:rStyle w:val="Refdecomentario"/>
                <w:sz w:val="20"/>
                <w:szCs w:val="20"/>
              </w:rPr>
            </w:pPr>
            <w:r w:rsidRPr="007B1288">
              <w:rPr>
                <w:rStyle w:val="Refdecomentario"/>
                <w:sz w:val="20"/>
                <w:szCs w:val="20"/>
              </w:rPr>
              <w:t xml:space="preserve">De conformidad con las pruebas presentadas </w:t>
            </w:r>
          </w:p>
          <w:p w14:paraId="78B7AC35" w14:textId="7474C4C3" w:rsidR="007B1288" w:rsidRPr="007B1288" w:rsidRDefault="007B1288" w:rsidP="002F1366">
            <w:pPr>
              <w:ind w:right="11"/>
              <w:rPr>
                <w:rStyle w:val="Refdecomentario"/>
                <w:sz w:val="20"/>
                <w:szCs w:val="20"/>
              </w:rPr>
            </w:pPr>
            <w:r w:rsidRPr="007B1288">
              <w:rPr>
                <w:rStyle w:val="Refdecomentario"/>
                <w:sz w:val="20"/>
                <w:szCs w:val="20"/>
              </w:rPr>
              <w:t>que corresponden a las gestiones realizadas ante la Dirección de Recursos Humanos            -DIREH- del Ministerio de Educación y del pago de sueldos pendientes a ex servidores públicos; así como, las gestiones pendientes por parte de los familiares, en los casos de baja por defunción. Por tal motivo la recomendación se considera cumplida.</w:t>
            </w:r>
          </w:p>
        </w:tc>
      </w:tr>
      <w:tr w:rsidR="007B1288" w:rsidRPr="00B3508D" w14:paraId="132F8417" w14:textId="77777777" w:rsidTr="00CB73BB">
        <w:trPr>
          <w:trHeight w:val="1173"/>
        </w:trPr>
        <w:tc>
          <w:tcPr>
            <w:tcW w:w="447" w:type="dxa"/>
            <w:tcBorders>
              <w:top w:val="single" w:sz="4" w:space="0" w:color="auto"/>
              <w:left w:val="single" w:sz="4" w:space="0" w:color="auto"/>
              <w:bottom w:val="nil"/>
              <w:right w:val="single" w:sz="4" w:space="0" w:color="auto"/>
            </w:tcBorders>
            <w:shd w:val="clear" w:color="auto" w:fill="FFFFFF"/>
            <w:vAlign w:val="center"/>
          </w:tcPr>
          <w:p w14:paraId="4566DF98" w14:textId="77777777" w:rsidR="007B1288" w:rsidRDefault="007B1288" w:rsidP="00CB73BB">
            <w:pPr>
              <w:rPr>
                <w:b/>
                <w:sz w:val="22"/>
              </w:rPr>
            </w:pPr>
            <w:r>
              <w:rPr>
                <w:b/>
                <w:sz w:val="22"/>
              </w:rPr>
              <w:lastRenderedPageBreak/>
              <w:t>3</w:t>
            </w:r>
          </w:p>
        </w:tc>
        <w:tc>
          <w:tcPr>
            <w:tcW w:w="4314" w:type="dxa"/>
            <w:tcBorders>
              <w:top w:val="single" w:sz="4" w:space="0" w:color="auto"/>
              <w:left w:val="single" w:sz="4" w:space="0" w:color="auto"/>
              <w:bottom w:val="nil"/>
              <w:right w:val="single" w:sz="4" w:space="0" w:color="auto"/>
            </w:tcBorders>
            <w:shd w:val="clear" w:color="auto" w:fill="FFFFFF"/>
            <w:vAlign w:val="center"/>
          </w:tcPr>
          <w:p w14:paraId="1165CF9A" w14:textId="77777777" w:rsidR="007B1288" w:rsidRPr="007B1288" w:rsidRDefault="007B1288" w:rsidP="00CB73BB">
            <w:pPr>
              <w:rPr>
                <w:b/>
                <w:sz w:val="20"/>
                <w:szCs w:val="20"/>
                <w:lang w:val="es-ES"/>
              </w:rPr>
            </w:pPr>
            <w:bookmarkStart w:id="4" w:name="_Hlk130905414"/>
            <w:r w:rsidRPr="007B1288">
              <w:rPr>
                <w:b/>
                <w:sz w:val="20"/>
                <w:szCs w:val="20"/>
                <w:lang w:val="es-ES"/>
              </w:rPr>
              <w:t>Sueldos pagados no devengados e incumplimiento en el plazo del bloqueo</w:t>
            </w:r>
          </w:p>
          <w:bookmarkEnd w:id="4"/>
          <w:p w14:paraId="09D9EE83" w14:textId="77777777" w:rsidR="007B1288" w:rsidRPr="007B1288" w:rsidRDefault="007B1288" w:rsidP="00CB73BB">
            <w:pPr>
              <w:rPr>
                <w:b/>
                <w:sz w:val="20"/>
                <w:szCs w:val="20"/>
                <w:lang w:val="es-ES"/>
              </w:rPr>
            </w:pPr>
          </w:p>
          <w:p w14:paraId="089FC779" w14:textId="77777777" w:rsidR="007B1288" w:rsidRPr="007B1288" w:rsidRDefault="007B1288" w:rsidP="00CB73BB">
            <w:pPr>
              <w:rPr>
                <w:b/>
                <w:bCs/>
                <w:sz w:val="20"/>
                <w:szCs w:val="20"/>
              </w:rPr>
            </w:pPr>
            <w:r w:rsidRPr="007B1288">
              <w:rPr>
                <w:b/>
                <w:bCs/>
                <w:sz w:val="20"/>
                <w:szCs w:val="20"/>
              </w:rPr>
              <w:t>Condición</w:t>
            </w:r>
          </w:p>
          <w:p w14:paraId="74B4230D" w14:textId="77777777" w:rsidR="007B1288" w:rsidRPr="007B1288" w:rsidRDefault="007B1288" w:rsidP="00CB73BB">
            <w:pPr>
              <w:rPr>
                <w:bCs/>
                <w:sz w:val="20"/>
                <w:szCs w:val="20"/>
              </w:rPr>
            </w:pPr>
            <w:r w:rsidRPr="007B1288">
              <w:rPr>
                <w:bCs/>
                <w:sz w:val="20"/>
                <w:szCs w:val="20"/>
              </w:rPr>
              <w:t>De la muestra de 103 casos revisados, en la unidad ejecutora No. 326, se identificó que en 3 casos no se cumplió con el bloqueo en el plazo establecido, provocando sueldos pagados no devengados por un total de               Q 27,136.02, cantidad pendiente de revalidar por el Departamento de Recursos Humanos, en el Sistema de Nómina, Registro de Servicios Personales, Estudios y/o Servicios Individuales y Otros Relacionados con el Recurso Humano GUATENOMINAS.</w:t>
            </w:r>
          </w:p>
          <w:p w14:paraId="3DB1AF78" w14:textId="77777777" w:rsidR="007B1288" w:rsidRPr="007B1288" w:rsidRDefault="007B1288" w:rsidP="00CB73BB">
            <w:pPr>
              <w:rPr>
                <w:b/>
                <w:sz w:val="20"/>
                <w:szCs w:val="20"/>
              </w:rPr>
            </w:pPr>
          </w:p>
        </w:tc>
        <w:tc>
          <w:tcPr>
            <w:tcW w:w="1613" w:type="dxa"/>
            <w:tcBorders>
              <w:top w:val="single" w:sz="4" w:space="0" w:color="auto"/>
              <w:left w:val="single" w:sz="4" w:space="0" w:color="auto"/>
              <w:bottom w:val="nil"/>
              <w:right w:val="single" w:sz="4" w:space="0" w:color="auto"/>
            </w:tcBorders>
            <w:shd w:val="clear" w:color="auto" w:fill="FFFFFF"/>
            <w:vAlign w:val="center"/>
          </w:tcPr>
          <w:p w14:paraId="64A57146" w14:textId="77777777" w:rsidR="007B1288" w:rsidRPr="007B1288" w:rsidRDefault="007B1288" w:rsidP="00CB73BB">
            <w:pPr>
              <w:autoSpaceDE w:val="0"/>
              <w:autoSpaceDN w:val="0"/>
              <w:adjustRightInd w:val="0"/>
              <w:jc w:val="center"/>
              <w:rPr>
                <w:bCs/>
                <w:sz w:val="20"/>
                <w:szCs w:val="20"/>
              </w:rPr>
            </w:pPr>
            <w:r w:rsidRPr="007B1288">
              <w:rPr>
                <w:bCs/>
                <w:sz w:val="20"/>
                <w:szCs w:val="20"/>
              </w:rPr>
              <w:t>DIRECTOR DEPARTAMENTAL</w:t>
            </w:r>
          </w:p>
          <w:p w14:paraId="39F76CBC" w14:textId="77777777" w:rsidR="007B1288" w:rsidRPr="007B1288" w:rsidRDefault="007B1288" w:rsidP="00CB73BB">
            <w:pPr>
              <w:autoSpaceDE w:val="0"/>
              <w:autoSpaceDN w:val="0"/>
              <w:adjustRightInd w:val="0"/>
              <w:jc w:val="center"/>
              <w:rPr>
                <w:bCs/>
                <w:sz w:val="20"/>
                <w:szCs w:val="20"/>
              </w:rPr>
            </w:pPr>
          </w:p>
          <w:p w14:paraId="64134E1F" w14:textId="77777777" w:rsidR="007B1288" w:rsidRPr="007B1288" w:rsidRDefault="007B1288" w:rsidP="00CB73BB">
            <w:pPr>
              <w:autoSpaceDE w:val="0"/>
              <w:autoSpaceDN w:val="0"/>
              <w:adjustRightInd w:val="0"/>
              <w:jc w:val="center"/>
              <w:rPr>
                <w:spacing w:val="-3"/>
                <w:sz w:val="20"/>
                <w:szCs w:val="20"/>
              </w:rPr>
            </w:pPr>
            <w:r w:rsidRPr="007B1288">
              <w:rPr>
                <w:spacing w:val="-3"/>
                <w:sz w:val="20"/>
                <w:szCs w:val="20"/>
              </w:rPr>
              <w:t>JEFE DEPARTAMENTO DE RECURSOS HUMANOS</w:t>
            </w:r>
          </w:p>
          <w:p w14:paraId="53A8F5B2" w14:textId="77777777" w:rsidR="007B1288" w:rsidRPr="007B1288" w:rsidRDefault="007B1288" w:rsidP="00CB73BB">
            <w:pPr>
              <w:autoSpaceDE w:val="0"/>
              <w:autoSpaceDN w:val="0"/>
              <w:adjustRightInd w:val="0"/>
              <w:rPr>
                <w:rStyle w:val="Refdecomentario"/>
                <w:sz w:val="20"/>
                <w:szCs w:val="20"/>
              </w:rPr>
            </w:pPr>
          </w:p>
        </w:tc>
        <w:tc>
          <w:tcPr>
            <w:tcW w:w="1200" w:type="dxa"/>
            <w:tcBorders>
              <w:top w:val="single" w:sz="4" w:space="0" w:color="auto"/>
              <w:left w:val="single" w:sz="4" w:space="0" w:color="auto"/>
              <w:bottom w:val="nil"/>
              <w:right w:val="single" w:sz="4" w:space="0" w:color="auto"/>
            </w:tcBorders>
            <w:shd w:val="clear" w:color="auto" w:fill="FFFFFF"/>
            <w:vAlign w:val="center"/>
          </w:tcPr>
          <w:p w14:paraId="13E67FDD" w14:textId="77777777" w:rsidR="007B1288" w:rsidRPr="007B1288" w:rsidRDefault="007B1288" w:rsidP="00CB73BB">
            <w:pPr>
              <w:jc w:val="center"/>
              <w:rPr>
                <w:b/>
                <w:bCs/>
                <w:sz w:val="20"/>
                <w:szCs w:val="20"/>
              </w:rPr>
            </w:pPr>
          </w:p>
        </w:tc>
        <w:tc>
          <w:tcPr>
            <w:tcW w:w="851" w:type="dxa"/>
            <w:tcBorders>
              <w:top w:val="single" w:sz="4" w:space="0" w:color="auto"/>
              <w:left w:val="single" w:sz="4" w:space="0" w:color="auto"/>
              <w:bottom w:val="nil"/>
              <w:right w:val="single" w:sz="4" w:space="0" w:color="auto"/>
            </w:tcBorders>
            <w:shd w:val="clear" w:color="auto" w:fill="FFFFFF"/>
            <w:vAlign w:val="center"/>
          </w:tcPr>
          <w:p w14:paraId="0CC3FEBB" w14:textId="77777777" w:rsidR="007B1288" w:rsidRPr="007B1288" w:rsidRDefault="007B1288" w:rsidP="00CB73BB">
            <w:pPr>
              <w:jc w:val="center"/>
              <w:rPr>
                <w:b/>
                <w:bCs/>
                <w:sz w:val="20"/>
                <w:szCs w:val="20"/>
              </w:rPr>
            </w:pPr>
            <w:r w:rsidRPr="007B1288">
              <w:rPr>
                <w:b/>
                <w:bCs/>
                <w:sz w:val="20"/>
                <w:szCs w:val="20"/>
              </w:rPr>
              <w:t>X</w:t>
            </w:r>
          </w:p>
        </w:tc>
        <w:tc>
          <w:tcPr>
            <w:tcW w:w="954" w:type="dxa"/>
            <w:tcBorders>
              <w:top w:val="single" w:sz="4" w:space="0" w:color="auto"/>
              <w:left w:val="single" w:sz="4" w:space="0" w:color="auto"/>
              <w:bottom w:val="nil"/>
              <w:right w:val="single" w:sz="4" w:space="0" w:color="auto"/>
            </w:tcBorders>
            <w:shd w:val="clear" w:color="auto" w:fill="FFFFFF"/>
            <w:vAlign w:val="center"/>
          </w:tcPr>
          <w:p w14:paraId="560FFD4F" w14:textId="77777777" w:rsidR="007B1288" w:rsidRPr="007B1288" w:rsidRDefault="007B1288" w:rsidP="00CB73BB">
            <w:pPr>
              <w:jc w:val="center"/>
              <w:rPr>
                <w:b/>
                <w:bCs/>
                <w:sz w:val="20"/>
                <w:szCs w:val="20"/>
              </w:rPr>
            </w:pPr>
          </w:p>
        </w:tc>
        <w:tc>
          <w:tcPr>
            <w:tcW w:w="4224" w:type="dxa"/>
            <w:tcBorders>
              <w:top w:val="single" w:sz="4" w:space="0" w:color="auto"/>
              <w:left w:val="single" w:sz="4" w:space="0" w:color="auto"/>
              <w:bottom w:val="nil"/>
              <w:right w:val="single" w:sz="4" w:space="0" w:color="auto"/>
            </w:tcBorders>
            <w:shd w:val="clear" w:color="auto" w:fill="FFFFFF"/>
            <w:vAlign w:val="center"/>
          </w:tcPr>
          <w:p w14:paraId="3E75B470" w14:textId="77777777" w:rsidR="007B1288" w:rsidRPr="007B1288" w:rsidRDefault="007B1288" w:rsidP="00CB73BB">
            <w:pPr>
              <w:ind w:right="11"/>
              <w:rPr>
                <w:rStyle w:val="Refdecomentario"/>
                <w:sz w:val="20"/>
                <w:szCs w:val="20"/>
              </w:rPr>
            </w:pPr>
          </w:p>
          <w:p w14:paraId="44980660" w14:textId="77777777" w:rsidR="007B1288" w:rsidRPr="007B1288" w:rsidRDefault="007B1288" w:rsidP="00CB73BB">
            <w:pPr>
              <w:ind w:right="11"/>
              <w:rPr>
                <w:rStyle w:val="Refdecomentario"/>
                <w:sz w:val="20"/>
                <w:szCs w:val="20"/>
              </w:rPr>
            </w:pPr>
            <w:r w:rsidRPr="007B1288">
              <w:rPr>
                <w:rStyle w:val="Refdecomentario"/>
                <w:sz w:val="20"/>
                <w:szCs w:val="20"/>
              </w:rPr>
              <w:t xml:space="preserve">Mediante Oficio RRHH-021-02-2023 con fecha 27 de febrero de 2023, la Dirección Departamental de Educación Guatemala Occidente presentó sus argumentos y pruebas de respaldo relacionadas al seguimiento de las recomendaciones de la Auditoría Interna del Ministerio de Educación, contenidas en el Informe CAI 00049 de octubre de 2022; de los 3 casos del presente hallazgo manifiestan que 1 caso esta solvente y finalizado, adjuntando impresión de pantalla del sistema GUATENOMINAS donde se </w:t>
            </w:r>
            <w:bookmarkStart w:id="5" w:name="_Hlk130905469"/>
            <w:r w:rsidRPr="007B1288">
              <w:rPr>
                <w:rStyle w:val="Refdecomentario"/>
                <w:sz w:val="20"/>
                <w:szCs w:val="20"/>
              </w:rPr>
              <w:t>observa el reintegro de salarios pagados no devengados; y de los otros 2 casos, se están realizando las gestiones para las notificaciones normadas, previo a pasar a la vía económico coactivo si fuera necesario.</w:t>
            </w:r>
            <w:bookmarkEnd w:id="5"/>
          </w:p>
          <w:p w14:paraId="17397AFA" w14:textId="77777777" w:rsidR="007B1288" w:rsidRPr="007B1288" w:rsidRDefault="007B1288" w:rsidP="00CB73BB">
            <w:pPr>
              <w:ind w:right="11"/>
              <w:rPr>
                <w:rStyle w:val="Refdecomentario"/>
                <w:sz w:val="20"/>
                <w:szCs w:val="20"/>
              </w:rPr>
            </w:pPr>
          </w:p>
        </w:tc>
      </w:tr>
      <w:tr w:rsidR="007B1288" w:rsidRPr="00B3508D" w14:paraId="6050B9F6" w14:textId="77777777" w:rsidTr="00CB73BB">
        <w:trPr>
          <w:trHeight w:val="1173"/>
        </w:trPr>
        <w:tc>
          <w:tcPr>
            <w:tcW w:w="447" w:type="dxa"/>
            <w:tcBorders>
              <w:top w:val="single" w:sz="4" w:space="0" w:color="auto"/>
              <w:left w:val="single" w:sz="4" w:space="0" w:color="auto"/>
              <w:bottom w:val="nil"/>
              <w:right w:val="single" w:sz="4" w:space="0" w:color="auto"/>
            </w:tcBorders>
            <w:shd w:val="clear" w:color="auto" w:fill="FFFFFF"/>
            <w:vAlign w:val="center"/>
          </w:tcPr>
          <w:p w14:paraId="20EB33D5" w14:textId="77777777" w:rsidR="007B1288" w:rsidRDefault="007B1288" w:rsidP="00CB73BB">
            <w:pPr>
              <w:rPr>
                <w:b/>
                <w:sz w:val="22"/>
              </w:rPr>
            </w:pPr>
          </w:p>
        </w:tc>
        <w:tc>
          <w:tcPr>
            <w:tcW w:w="4314" w:type="dxa"/>
            <w:tcBorders>
              <w:top w:val="single" w:sz="4" w:space="0" w:color="auto"/>
              <w:left w:val="single" w:sz="4" w:space="0" w:color="auto"/>
              <w:bottom w:val="nil"/>
              <w:right w:val="single" w:sz="4" w:space="0" w:color="auto"/>
            </w:tcBorders>
            <w:shd w:val="clear" w:color="auto" w:fill="FFFFFF"/>
            <w:vAlign w:val="center"/>
          </w:tcPr>
          <w:p w14:paraId="7A30452C" w14:textId="77777777" w:rsidR="007B1288" w:rsidRPr="007B1288" w:rsidRDefault="007B1288" w:rsidP="00CB73BB">
            <w:pPr>
              <w:rPr>
                <w:b/>
                <w:sz w:val="20"/>
                <w:szCs w:val="20"/>
              </w:rPr>
            </w:pPr>
          </w:p>
          <w:p w14:paraId="28DA9E2D" w14:textId="77777777" w:rsidR="007B1288" w:rsidRPr="007B1288" w:rsidRDefault="007B1288" w:rsidP="00CB73BB">
            <w:pPr>
              <w:rPr>
                <w:b/>
                <w:sz w:val="20"/>
                <w:szCs w:val="20"/>
              </w:rPr>
            </w:pPr>
            <w:r w:rsidRPr="007B1288">
              <w:rPr>
                <w:b/>
                <w:sz w:val="20"/>
                <w:szCs w:val="20"/>
              </w:rPr>
              <w:t>Recomendación</w:t>
            </w:r>
          </w:p>
          <w:p w14:paraId="65F2DB1E" w14:textId="77777777" w:rsidR="007B1288" w:rsidRPr="007B1288" w:rsidRDefault="007B1288" w:rsidP="00CB73BB">
            <w:pPr>
              <w:rPr>
                <w:b/>
                <w:sz w:val="20"/>
                <w:szCs w:val="20"/>
              </w:rPr>
            </w:pPr>
          </w:p>
          <w:p w14:paraId="30CD05A3" w14:textId="77777777" w:rsidR="007B1288" w:rsidRPr="007B1288" w:rsidRDefault="007B1288" w:rsidP="00CB73BB">
            <w:pPr>
              <w:rPr>
                <w:b/>
                <w:sz w:val="20"/>
                <w:szCs w:val="20"/>
              </w:rPr>
            </w:pPr>
            <w:r w:rsidRPr="007B1288">
              <w:rPr>
                <w:b/>
                <w:sz w:val="20"/>
                <w:szCs w:val="20"/>
              </w:rPr>
              <w:t>Que el director Departamental de Educación Guatemala Occidente, realice lo siguiente:</w:t>
            </w:r>
          </w:p>
          <w:p w14:paraId="445DFBBB" w14:textId="77777777" w:rsidR="007B1288" w:rsidRPr="007B1288" w:rsidRDefault="007B1288" w:rsidP="00CB73BB">
            <w:pPr>
              <w:rPr>
                <w:b/>
                <w:sz w:val="20"/>
                <w:szCs w:val="20"/>
              </w:rPr>
            </w:pPr>
          </w:p>
          <w:p w14:paraId="648F13A4" w14:textId="77777777" w:rsidR="007B1288" w:rsidRPr="007B1288" w:rsidRDefault="007B1288" w:rsidP="00CB73BB">
            <w:pPr>
              <w:rPr>
                <w:bCs/>
                <w:sz w:val="20"/>
                <w:szCs w:val="20"/>
              </w:rPr>
            </w:pPr>
            <w:r w:rsidRPr="007B1288">
              <w:rPr>
                <w:bCs/>
                <w:sz w:val="20"/>
                <w:szCs w:val="20"/>
              </w:rPr>
              <w:t xml:space="preserve">Gire instrucciones por escrito y den seguimiento para que el personal responsable del departamento de Recursos Humanos, Franja de Supervisión, </w:t>
            </w:r>
            <w:proofErr w:type="gramStart"/>
            <w:r w:rsidRPr="007B1288">
              <w:rPr>
                <w:bCs/>
                <w:sz w:val="20"/>
                <w:szCs w:val="20"/>
              </w:rPr>
              <w:t>Director</w:t>
            </w:r>
            <w:proofErr w:type="gramEnd"/>
            <w:r w:rsidRPr="007B1288">
              <w:rPr>
                <w:bCs/>
                <w:sz w:val="20"/>
                <w:szCs w:val="20"/>
              </w:rPr>
              <w:t xml:space="preserve"> (a) del Centro </w:t>
            </w:r>
            <w:r w:rsidRPr="007B1288">
              <w:rPr>
                <w:bCs/>
                <w:sz w:val="20"/>
                <w:szCs w:val="20"/>
              </w:rPr>
              <w:lastRenderedPageBreak/>
              <w:t xml:space="preserve">Educativo Público y Asesoría Jurídica, que intervienen dentro del proceso, evalúen y establezcan los controles internos necesarios, para el reintegro de sueldos pagados no devengados. </w:t>
            </w:r>
          </w:p>
          <w:p w14:paraId="5FF16B32" w14:textId="77777777" w:rsidR="007B1288" w:rsidRPr="007B1288" w:rsidRDefault="007B1288" w:rsidP="00CB73BB">
            <w:pPr>
              <w:rPr>
                <w:bCs/>
                <w:sz w:val="20"/>
                <w:szCs w:val="20"/>
              </w:rPr>
            </w:pPr>
          </w:p>
          <w:p w14:paraId="4BAA373A" w14:textId="77777777" w:rsidR="007B1288" w:rsidRPr="007B1288" w:rsidRDefault="007B1288" w:rsidP="00CB73BB">
            <w:pPr>
              <w:rPr>
                <w:bCs/>
                <w:sz w:val="20"/>
                <w:szCs w:val="20"/>
              </w:rPr>
            </w:pPr>
            <w:r w:rsidRPr="007B1288">
              <w:rPr>
                <w:bCs/>
                <w:sz w:val="20"/>
                <w:szCs w:val="20"/>
              </w:rPr>
              <w:t xml:space="preserve">Giren instrucciones por escrito y den seguimiento para que la jefa del departamento de Recursos Humanos gestione y deje evidencia por escrito de los casos reportados en la deficiencia, de conformidad con los instructivos RHU-INS-14 y RHU-INS-15. </w:t>
            </w:r>
          </w:p>
          <w:p w14:paraId="5C1592A5" w14:textId="77777777" w:rsidR="007B1288" w:rsidRPr="007B1288" w:rsidRDefault="007B1288" w:rsidP="00CB73BB">
            <w:pPr>
              <w:rPr>
                <w:bCs/>
                <w:sz w:val="20"/>
                <w:szCs w:val="20"/>
              </w:rPr>
            </w:pPr>
          </w:p>
          <w:p w14:paraId="42A7B755" w14:textId="77777777" w:rsidR="007B1288" w:rsidRPr="007B1288" w:rsidRDefault="007B1288" w:rsidP="00CB73BB">
            <w:pPr>
              <w:rPr>
                <w:bCs/>
                <w:sz w:val="20"/>
                <w:szCs w:val="20"/>
              </w:rPr>
            </w:pPr>
            <w:r w:rsidRPr="007B1288">
              <w:rPr>
                <w:bCs/>
                <w:sz w:val="20"/>
                <w:szCs w:val="20"/>
              </w:rPr>
              <w:t>Giren instrucciones por escrito y den seguimiento para que la jefa del departamento de Recursos Humanos realice las acciones correspondientes ante la Subdirección de Administración de Nómina, de la Dirección de Recursos Humanos -DIREH-, para que revalide la cantidad de Q 27,136.02, de los 3 casos reportados en la deficiencia.</w:t>
            </w:r>
          </w:p>
          <w:p w14:paraId="3731073B" w14:textId="77777777" w:rsidR="007B1288" w:rsidRPr="007B1288" w:rsidRDefault="007B1288" w:rsidP="00CB73BB">
            <w:pPr>
              <w:rPr>
                <w:bCs/>
                <w:sz w:val="20"/>
                <w:szCs w:val="20"/>
              </w:rPr>
            </w:pPr>
          </w:p>
          <w:p w14:paraId="6EEF239E" w14:textId="3EAD603B" w:rsidR="007B1288" w:rsidRDefault="007B1288" w:rsidP="00CB73BB">
            <w:pPr>
              <w:rPr>
                <w:bCs/>
                <w:sz w:val="20"/>
                <w:szCs w:val="20"/>
              </w:rPr>
            </w:pPr>
          </w:p>
          <w:p w14:paraId="1C5186C9" w14:textId="5439E5A7" w:rsidR="002F1366" w:rsidRDefault="002F1366" w:rsidP="00CB73BB">
            <w:pPr>
              <w:rPr>
                <w:bCs/>
                <w:sz w:val="20"/>
                <w:szCs w:val="20"/>
              </w:rPr>
            </w:pPr>
          </w:p>
          <w:p w14:paraId="4C2C2B0F" w14:textId="77777777" w:rsidR="002F1366" w:rsidRPr="007B1288" w:rsidRDefault="002F1366" w:rsidP="00CB73BB">
            <w:pPr>
              <w:rPr>
                <w:bCs/>
                <w:sz w:val="20"/>
                <w:szCs w:val="20"/>
              </w:rPr>
            </w:pPr>
          </w:p>
          <w:p w14:paraId="673665A6" w14:textId="77777777" w:rsidR="007B1288" w:rsidRPr="007B1288" w:rsidRDefault="007B1288" w:rsidP="00CB73BB">
            <w:pPr>
              <w:rPr>
                <w:b/>
                <w:sz w:val="20"/>
                <w:szCs w:val="20"/>
              </w:rPr>
            </w:pPr>
          </w:p>
        </w:tc>
        <w:tc>
          <w:tcPr>
            <w:tcW w:w="1613" w:type="dxa"/>
            <w:tcBorders>
              <w:top w:val="single" w:sz="4" w:space="0" w:color="auto"/>
              <w:left w:val="single" w:sz="4" w:space="0" w:color="auto"/>
              <w:bottom w:val="nil"/>
              <w:right w:val="single" w:sz="4" w:space="0" w:color="auto"/>
            </w:tcBorders>
            <w:shd w:val="clear" w:color="auto" w:fill="FFFFFF"/>
            <w:vAlign w:val="center"/>
          </w:tcPr>
          <w:p w14:paraId="2CE677E2" w14:textId="77777777" w:rsidR="007B1288" w:rsidRPr="007B1288" w:rsidRDefault="007B1288" w:rsidP="00CB73BB">
            <w:pPr>
              <w:autoSpaceDE w:val="0"/>
              <w:autoSpaceDN w:val="0"/>
              <w:adjustRightInd w:val="0"/>
              <w:rPr>
                <w:rStyle w:val="Refdecomentario"/>
                <w:sz w:val="20"/>
                <w:szCs w:val="20"/>
              </w:rPr>
            </w:pPr>
          </w:p>
        </w:tc>
        <w:tc>
          <w:tcPr>
            <w:tcW w:w="1200" w:type="dxa"/>
            <w:tcBorders>
              <w:top w:val="single" w:sz="4" w:space="0" w:color="auto"/>
              <w:left w:val="single" w:sz="4" w:space="0" w:color="auto"/>
              <w:bottom w:val="nil"/>
              <w:right w:val="single" w:sz="4" w:space="0" w:color="auto"/>
            </w:tcBorders>
            <w:shd w:val="clear" w:color="auto" w:fill="FFFFFF"/>
            <w:vAlign w:val="center"/>
          </w:tcPr>
          <w:p w14:paraId="2091E621" w14:textId="77777777" w:rsidR="007B1288" w:rsidRPr="007B1288" w:rsidRDefault="007B1288" w:rsidP="00CB73BB">
            <w:pPr>
              <w:jc w:val="center"/>
              <w:rPr>
                <w:b/>
                <w:bCs/>
                <w:sz w:val="20"/>
                <w:szCs w:val="20"/>
              </w:rPr>
            </w:pPr>
          </w:p>
        </w:tc>
        <w:tc>
          <w:tcPr>
            <w:tcW w:w="851" w:type="dxa"/>
            <w:tcBorders>
              <w:top w:val="single" w:sz="4" w:space="0" w:color="auto"/>
              <w:left w:val="single" w:sz="4" w:space="0" w:color="auto"/>
              <w:bottom w:val="nil"/>
              <w:right w:val="single" w:sz="4" w:space="0" w:color="auto"/>
            </w:tcBorders>
            <w:shd w:val="clear" w:color="auto" w:fill="FFFFFF"/>
            <w:vAlign w:val="center"/>
          </w:tcPr>
          <w:p w14:paraId="18364F57" w14:textId="77777777" w:rsidR="007B1288" w:rsidRPr="007B1288" w:rsidRDefault="007B1288" w:rsidP="00CB73BB">
            <w:pPr>
              <w:jc w:val="center"/>
              <w:rPr>
                <w:b/>
                <w:bCs/>
                <w:sz w:val="20"/>
                <w:szCs w:val="20"/>
              </w:rPr>
            </w:pPr>
          </w:p>
        </w:tc>
        <w:tc>
          <w:tcPr>
            <w:tcW w:w="954" w:type="dxa"/>
            <w:tcBorders>
              <w:top w:val="single" w:sz="4" w:space="0" w:color="auto"/>
              <w:left w:val="single" w:sz="4" w:space="0" w:color="auto"/>
              <w:bottom w:val="nil"/>
              <w:right w:val="single" w:sz="4" w:space="0" w:color="auto"/>
            </w:tcBorders>
            <w:shd w:val="clear" w:color="auto" w:fill="FFFFFF"/>
            <w:vAlign w:val="center"/>
          </w:tcPr>
          <w:p w14:paraId="768E7DCA" w14:textId="77777777" w:rsidR="007B1288" w:rsidRPr="007B1288" w:rsidRDefault="007B1288" w:rsidP="00CB73BB">
            <w:pPr>
              <w:jc w:val="center"/>
              <w:rPr>
                <w:b/>
                <w:bCs/>
                <w:sz w:val="20"/>
                <w:szCs w:val="20"/>
              </w:rPr>
            </w:pPr>
          </w:p>
        </w:tc>
        <w:tc>
          <w:tcPr>
            <w:tcW w:w="4224" w:type="dxa"/>
            <w:tcBorders>
              <w:top w:val="single" w:sz="4" w:space="0" w:color="auto"/>
              <w:left w:val="single" w:sz="4" w:space="0" w:color="auto"/>
              <w:bottom w:val="nil"/>
              <w:right w:val="single" w:sz="4" w:space="0" w:color="auto"/>
            </w:tcBorders>
            <w:shd w:val="clear" w:color="auto" w:fill="FFFFFF"/>
          </w:tcPr>
          <w:p w14:paraId="537CAFA2" w14:textId="77777777" w:rsidR="007B1288" w:rsidRPr="007B1288" w:rsidRDefault="007B1288" w:rsidP="00CB73BB">
            <w:pPr>
              <w:ind w:right="11"/>
              <w:rPr>
                <w:rStyle w:val="Refdecomentario"/>
                <w:b/>
                <w:sz w:val="20"/>
                <w:szCs w:val="20"/>
              </w:rPr>
            </w:pPr>
          </w:p>
          <w:p w14:paraId="716AC06D" w14:textId="77777777" w:rsidR="007B1288" w:rsidRPr="007B1288" w:rsidRDefault="007B1288" w:rsidP="00CB73BB">
            <w:pPr>
              <w:ind w:right="11"/>
              <w:rPr>
                <w:rStyle w:val="Refdecomentario"/>
                <w:sz w:val="20"/>
                <w:szCs w:val="20"/>
              </w:rPr>
            </w:pPr>
            <w:r w:rsidRPr="007B1288">
              <w:rPr>
                <w:rStyle w:val="Refdecomentario"/>
                <w:b/>
                <w:sz w:val="20"/>
                <w:szCs w:val="20"/>
              </w:rPr>
              <w:t xml:space="preserve">Comentario de auditoría: </w:t>
            </w:r>
          </w:p>
          <w:p w14:paraId="276508FD" w14:textId="77777777" w:rsidR="007B1288" w:rsidRPr="007B1288" w:rsidRDefault="007B1288" w:rsidP="00CB73BB">
            <w:pPr>
              <w:ind w:right="11"/>
              <w:rPr>
                <w:rStyle w:val="Refdecomentario"/>
                <w:sz w:val="20"/>
                <w:szCs w:val="20"/>
              </w:rPr>
            </w:pPr>
          </w:p>
          <w:p w14:paraId="6A16A142" w14:textId="77777777" w:rsidR="007B1288" w:rsidRPr="007B1288" w:rsidRDefault="007B1288" w:rsidP="00CB73BB">
            <w:pPr>
              <w:ind w:right="11"/>
              <w:rPr>
                <w:rStyle w:val="Refdecomentario"/>
                <w:sz w:val="20"/>
                <w:szCs w:val="20"/>
              </w:rPr>
            </w:pPr>
            <w:r w:rsidRPr="007B1288">
              <w:rPr>
                <w:rStyle w:val="Refdecomentario"/>
                <w:sz w:val="20"/>
                <w:szCs w:val="20"/>
              </w:rPr>
              <w:t xml:space="preserve">De conformidad con las pruebas presentadas </w:t>
            </w:r>
          </w:p>
          <w:p w14:paraId="01354888" w14:textId="77777777" w:rsidR="007B1288" w:rsidRPr="007B1288" w:rsidRDefault="007B1288" w:rsidP="00CB73BB">
            <w:pPr>
              <w:ind w:right="11"/>
              <w:rPr>
                <w:rStyle w:val="Refdecomentario"/>
                <w:sz w:val="20"/>
                <w:szCs w:val="20"/>
              </w:rPr>
            </w:pPr>
            <w:r w:rsidRPr="007B1288">
              <w:rPr>
                <w:rStyle w:val="Refdecomentario"/>
                <w:sz w:val="20"/>
                <w:szCs w:val="20"/>
              </w:rPr>
              <w:t xml:space="preserve">que corresponden a las gestiones realizadas, entre otras, ante la Dirección de Recursos Humanos -DIREH- del Ministerio de Educación; 1 caso se encuentra solvente y finalizado y los otros 2 casos se encuentran en proceso de cobro de los sueldos pagados no </w:t>
            </w:r>
            <w:r w:rsidRPr="007B1288">
              <w:rPr>
                <w:rStyle w:val="Refdecomentario"/>
                <w:sz w:val="20"/>
                <w:szCs w:val="20"/>
              </w:rPr>
              <w:lastRenderedPageBreak/>
              <w:t>devengados. Por tal razón la recomendación se considera en proceso.</w:t>
            </w:r>
          </w:p>
          <w:p w14:paraId="742C3DEE" w14:textId="77777777" w:rsidR="007B1288" w:rsidRPr="007B1288" w:rsidRDefault="007B1288" w:rsidP="00CB73BB">
            <w:pPr>
              <w:ind w:right="11"/>
              <w:rPr>
                <w:rStyle w:val="Refdecomentario"/>
                <w:sz w:val="20"/>
                <w:szCs w:val="20"/>
              </w:rPr>
            </w:pPr>
          </w:p>
        </w:tc>
      </w:tr>
      <w:tr w:rsidR="007B1288" w:rsidRPr="00B3508D" w14:paraId="767AFCB6" w14:textId="77777777" w:rsidTr="00CB73BB">
        <w:trPr>
          <w:trHeight w:val="1173"/>
        </w:trPr>
        <w:tc>
          <w:tcPr>
            <w:tcW w:w="447" w:type="dxa"/>
            <w:tcBorders>
              <w:top w:val="single" w:sz="4" w:space="0" w:color="auto"/>
              <w:left w:val="single" w:sz="4" w:space="0" w:color="auto"/>
              <w:bottom w:val="nil"/>
              <w:right w:val="single" w:sz="4" w:space="0" w:color="auto"/>
            </w:tcBorders>
            <w:shd w:val="clear" w:color="auto" w:fill="FFFFFF"/>
            <w:vAlign w:val="center"/>
          </w:tcPr>
          <w:p w14:paraId="13FB0A55" w14:textId="77777777" w:rsidR="007B1288" w:rsidRDefault="007B1288" w:rsidP="00CB73BB">
            <w:pPr>
              <w:rPr>
                <w:b/>
                <w:sz w:val="22"/>
              </w:rPr>
            </w:pPr>
            <w:r>
              <w:rPr>
                <w:b/>
                <w:sz w:val="22"/>
              </w:rPr>
              <w:lastRenderedPageBreak/>
              <w:t>4</w:t>
            </w:r>
          </w:p>
        </w:tc>
        <w:tc>
          <w:tcPr>
            <w:tcW w:w="4314" w:type="dxa"/>
            <w:tcBorders>
              <w:top w:val="single" w:sz="4" w:space="0" w:color="auto"/>
              <w:left w:val="single" w:sz="4" w:space="0" w:color="auto"/>
              <w:bottom w:val="nil"/>
              <w:right w:val="single" w:sz="4" w:space="0" w:color="auto"/>
            </w:tcBorders>
            <w:shd w:val="clear" w:color="auto" w:fill="FFFFFF"/>
            <w:vAlign w:val="center"/>
          </w:tcPr>
          <w:p w14:paraId="20C80AF0" w14:textId="77777777" w:rsidR="007B1288" w:rsidRPr="007B1288" w:rsidRDefault="007B1288" w:rsidP="00CB73BB">
            <w:pPr>
              <w:rPr>
                <w:b/>
                <w:sz w:val="20"/>
                <w:szCs w:val="20"/>
              </w:rPr>
            </w:pPr>
          </w:p>
          <w:p w14:paraId="35586B89" w14:textId="77777777" w:rsidR="007B1288" w:rsidRPr="007B1288" w:rsidRDefault="007B1288" w:rsidP="00CB73BB">
            <w:pPr>
              <w:rPr>
                <w:b/>
                <w:sz w:val="20"/>
                <w:szCs w:val="20"/>
              </w:rPr>
            </w:pPr>
            <w:bookmarkStart w:id="6" w:name="_Hlk130906034"/>
            <w:r w:rsidRPr="007B1288">
              <w:rPr>
                <w:b/>
                <w:sz w:val="20"/>
                <w:szCs w:val="20"/>
              </w:rPr>
              <w:t>Incumplimiento de los instructivos RHU-INS-14 y RHU-INS-15</w:t>
            </w:r>
          </w:p>
          <w:bookmarkEnd w:id="6"/>
          <w:p w14:paraId="1C223226" w14:textId="77777777" w:rsidR="007B1288" w:rsidRPr="007B1288" w:rsidRDefault="007B1288" w:rsidP="00CB73BB">
            <w:pPr>
              <w:rPr>
                <w:b/>
                <w:sz w:val="20"/>
                <w:szCs w:val="20"/>
              </w:rPr>
            </w:pPr>
          </w:p>
          <w:p w14:paraId="66EAAB4D" w14:textId="77777777" w:rsidR="007B1288" w:rsidRPr="007B1288" w:rsidRDefault="007B1288" w:rsidP="00CB73BB">
            <w:pPr>
              <w:rPr>
                <w:b/>
                <w:sz w:val="20"/>
                <w:szCs w:val="20"/>
              </w:rPr>
            </w:pPr>
            <w:r w:rsidRPr="007B1288">
              <w:rPr>
                <w:b/>
                <w:sz w:val="20"/>
                <w:szCs w:val="20"/>
              </w:rPr>
              <w:t>Condición</w:t>
            </w:r>
          </w:p>
          <w:p w14:paraId="53BA9E76" w14:textId="77777777" w:rsidR="007B1288" w:rsidRPr="007B1288" w:rsidRDefault="007B1288" w:rsidP="00CB73BB">
            <w:pPr>
              <w:rPr>
                <w:bCs/>
                <w:sz w:val="20"/>
                <w:szCs w:val="20"/>
              </w:rPr>
            </w:pPr>
            <w:r w:rsidRPr="007B1288">
              <w:rPr>
                <w:bCs/>
                <w:sz w:val="20"/>
                <w:szCs w:val="20"/>
              </w:rPr>
              <w:t>En la realización de la auditoría de cumplimiento en el departamento de recursos humanos, de la unidad ejecutora No. 326, por el período del 01 de enero al 31 de julio de 2022, se determinaron los siguientes incumplimientos a los instructivos RHU-INS-14 denominado: Reintegro de salarios cobrados no devengados y RHU-INS-15 denominado: Bloqueo de salarios y conformación de expedientes de acciones o movimientos de personal para los renglones 011 "personal permanente" y 022 "personal por contrato".</w:t>
            </w:r>
          </w:p>
          <w:p w14:paraId="395DE784" w14:textId="77777777" w:rsidR="007B1288" w:rsidRPr="007B1288" w:rsidRDefault="007B1288" w:rsidP="00CB73BB">
            <w:pPr>
              <w:rPr>
                <w:bCs/>
                <w:sz w:val="20"/>
                <w:szCs w:val="20"/>
              </w:rPr>
            </w:pPr>
          </w:p>
          <w:p w14:paraId="628773D7" w14:textId="77777777" w:rsidR="007B1288" w:rsidRPr="007B1288" w:rsidRDefault="007B1288" w:rsidP="00CB73BB">
            <w:pPr>
              <w:tabs>
                <w:tab w:val="left" w:pos="190"/>
              </w:tabs>
              <w:rPr>
                <w:bCs/>
                <w:sz w:val="20"/>
                <w:szCs w:val="20"/>
              </w:rPr>
            </w:pPr>
            <w:r w:rsidRPr="007B1288">
              <w:rPr>
                <w:bCs/>
                <w:sz w:val="20"/>
                <w:szCs w:val="20"/>
              </w:rPr>
              <w:t>a. No se registra mensualmente en el formulario RHU-FOR-46 Control de Monitoreo de Reintegros</w:t>
            </w:r>
          </w:p>
          <w:p w14:paraId="0173E47D" w14:textId="77777777" w:rsidR="007B1288" w:rsidRPr="007B1288" w:rsidRDefault="007B1288" w:rsidP="00CB73BB">
            <w:pPr>
              <w:tabs>
                <w:tab w:val="left" w:pos="332"/>
              </w:tabs>
              <w:rPr>
                <w:bCs/>
                <w:sz w:val="20"/>
                <w:szCs w:val="20"/>
              </w:rPr>
            </w:pPr>
            <w:r w:rsidRPr="007B1288">
              <w:rPr>
                <w:bCs/>
                <w:sz w:val="20"/>
                <w:szCs w:val="20"/>
              </w:rPr>
              <w:t>b. No se elabora el formulario RHU-FOR-13 Cedula de Notificación de las boletas de liquidación del reintegro.</w:t>
            </w:r>
          </w:p>
          <w:p w14:paraId="561139AB" w14:textId="77777777" w:rsidR="007B1288" w:rsidRPr="007B1288" w:rsidRDefault="007B1288" w:rsidP="00CB73BB">
            <w:pPr>
              <w:tabs>
                <w:tab w:val="left" w:pos="332"/>
              </w:tabs>
              <w:rPr>
                <w:bCs/>
                <w:sz w:val="20"/>
                <w:szCs w:val="20"/>
              </w:rPr>
            </w:pPr>
            <w:r w:rsidRPr="007B1288">
              <w:rPr>
                <w:bCs/>
                <w:sz w:val="20"/>
                <w:szCs w:val="20"/>
              </w:rPr>
              <w:t>c. No existe seguimiento y monitoreo al reintegro de salarios cobrados no devengados.</w:t>
            </w:r>
          </w:p>
          <w:p w14:paraId="6DDE400B" w14:textId="77777777" w:rsidR="007B1288" w:rsidRPr="007B1288" w:rsidRDefault="007B1288" w:rsidP="00CB73BB">
            <w:pPr>
              <w:tabs>
                <w:tab w:val="left" w:pos="332"/>
              </w:tabs>
              <w:rPr>
                <w:bCs/>
                <w:sz w:val="20"/>
                <w:szCs w:val="20"/>
              </w:rPr>
            </w:pPr>
            <w:r w:rsidRPr="007B1288">
              <w:rPr>
                <w:bCs/>
                <w:sz w:val="20"/>
                <w:szCs w:val="20"/>
              </w:rPr>
              <w:t xml:space="preserve">d. No se informa al director departamental de los casos de los ex servidores públicos que han </w:t>
            </w:r>
            <w:r w:rsidRPr="007B1288">
              <w:rPr>
                <w:bCs/>
                <w:sz w:val="20"/>
                <w:szCs w:val="20"/>
              </w:rPr>
              <w:lastRenderedPageBreak/>
              <w:t xml:space="preserve">incumplido con realizar los reintegros, de los casos determinados. </w:t>
            </w:r>
          </w:p>
          <w:p w14:paraId="024BD305" w14:textId="77777777" w:rsidR="007B1288" w:rsidRPr="007B1288" w:rsidRDefault="007B1288" w:rsidP="00CB73BB">
            <w:pPr>
              <w:rPr>
                <w:bCs/>
                <w:sz w:val="20"/>
                <w:szCs w:val="20"/>
              </w:rPr>
            </w:pPr>
            <w:r w:rsidRPr="007B1288">
              <w:rPr>
                <w:bCs/>
                <w:sz w:val="20"/>
                <w:szCs w:val="20"/>
              </w:rPr>
              <w:t xml:space="preserve">e. No se realiza el proceso de cobro por la vía económica-coactiva.  </w:t>
            </w:r>
          </w:p>
          <w:p w14:paraId="31EB2562" w14:textId="77777777" w:rsidR="007B1288" w:rsidRPr="007B1288" w:rsidRDefault="007B1288" w:rsidP="00CB73BB">
            <w:pPr>
              <w:rPr>
                <w:bCs/>
                <w:sz w:val="20"/>
                <w:szCs w:val="20"/>
              </w:rPr>
            </w:pPr>
            <w:r w:rsidRPr="007B1288">
              <w:rPr>
                <w:bCs/>
                <w:sz w:val="20"/>
                <w:szCs w:val="20"/>
              </w:rPr>
              <w:t>f. Falta de conformación de expedientes según los documentos indicados en el instructivo emitido para el efecto.</w:t>
            </w:r>
          </w:p>
          <w:p w14:paraId="2505EDC8" w14:textId="77777777" w:rsidR="007B1288" w:rsidRPr="007B1288" w:rsidRDefault="007B1288" w:rsidP="00CB73BB">
            <w:pPr>
              <w:tabs>
                <w:tab w:val="left" w:pos="190"/>
              </w:tabs>
              <w:rPr>
                <w:bCs/>
                <w:sz w:val="20"/>
                <w:szCs w:val="20"/>
              </w:rPr>
            </w:pPr>
            <w:r w:rsidRPr="007B1288">
              <w:rPr>
                <w:bCs/>
                <w:sz w:val="20"/>
                <w:szCs w:val="20"/>
              </w:rPr>
              <w:t>g. Falta de acciones procedentes de conformidad con lo establecido en el artículo 457 del Código Penal, para el caso de falta de reintegro de años anteriores indicados en los oficios No. DDP-RRHH-358-09-2018, 380-2020 y GDP-RRHH-No. 543-12-2020.</w:t>
            </w:r>
          </w:p>
          <w:p w14:paraId="6F7FDF94" w14:textId="77777777" w:rsidR="007B1288" w:rsidRPr="007B1288" w:rsidRDefault="007B1288" w:rsidP="00CB73BB">
            <w:pPr>
              <w:tabs>
                <w:tab w:val="left" w:pos="190"/>
              </w:tabs>
              <w:rPr>
                <w:bCs/>
                <w:sz w:val="20"/>
                <w:szCs w:val="20"/>
              </w:rPr>
            </w:pPr>
            <w:r w:rsidRPr="007B1288">
              <w:rPr>
                <w:bCs/>
                <w:sz w:val="20"/>
                <w:szCs w:val="20"/>
              </w:rPr>
              <w:t>h. Falta de sanciones disciplinarias correspondientes a los funcionarios o empleados que incumplieron con reportar oportunamente los bloqueos de salarios y generación de reintegros de salarios cobrados no devengados de los casos indicados.</w:t>
            </w:r>
          </w:p>
        </w:tc>
        <w:tc>
          <w:tcPr>
            <w:tcW w:w="1613" w:type="dxa"/>
            <w:tcBorders>
              <w:top w:val="single" w:sz="4" w:space="0" w:color="auto"/>
              <w:left w:val="single" w:sz="4" w:space="0" w:color="auto"/>
              <w:bottom w:val="nil"/>
              <w:right w:val="single" w:sz="4" w:space="0" w:color="auto"/>
            </w:tcBorders>
            <w:shd w:val="clear" w:color="auto" w:fill="FFFFFF"/>
            <w:vAlign w:val="center"/>
          </w:tcPr>
          <w:p w14:paraId="17B12D60" w14:textId="77777777" w:rsidR="007B1288" w:rsidRPr="007B1288" w:rsidRDefault="007B1288" w:rsidP="00CB73BB">
            <w:pPr>
              <w:autoSpaceDE w:val="0"/>
              <w:autoSpaceDN w:val="0"/>
              <w:adjustRightInd w:val="0"/>
              <w:jc w:val="center"/>
              <w:rPr>
                <w:bCs/>
                <w:sz w:val="20"/>
                <w:szCs w:val="20"/>
              </w:rPr>
            </w:pPr>
            <w:r w:rsidRPr="007B1288">
              <w:rPr>
                <w:bCs/>
                <w:sz w:val="20"/>
                <w:szCs w:val="20"/>
              </w:rPr>
              <w:lastRenderedPageBreak/>
              <w:t>DIRECTOR DEPARTAMENTAL</w:t>
            </w:r>
          </w:p>
          <w:p w14:paraId="0326720D" w14:textId="77777777" w:rsidR="007B1288" w:rsidRPr="007B1288" w:rsidRDefault="007B1288" w:rsidP="00CB73BB">
            <w:pPr>
              <w:autoSpaceDE w:val="0"/>
              <w:autoSpaceDN w:val="0"/>
              <w:adjustRightInd w:val="0"/>
              <w:jc w:val="center"/>
              <w:rPr>
                <w:bCs/>
                <w:sz w:val="20"/>
                <w:szCs w:val="20"/>
              </w:rPr>
            </w:pPr>
          </w:p>
          <w:p w14:paraId="74F21CB5" w14:textId="77777777" w:rsidR="007B1288" w:rsidRPr="007B1288" w:rsidRDefault="007B1288" w:rsidP="00CB73BB">
            <w:pPr>
              <w:autoSpaceDE w:val="0"/>
              <w:autoSpaceDN w:val="0"/>
              <w:adjustRightInd w:val="0"/>
              <w:jc w:val="center"/>
              <w:rPr>
                <w:spacing w:val="-3"/>
                <w:sz w:val="20"/>
                <w:szCs w:val="20"/>
              </w:rPr>
            </w:pPr>
            <w:r w:rsidRPr="007B1288">
              <w:rPr>
                <w:spacing w:val="-3"/>
                <w:sz w:val="20"/>
                <w:szCs w:val="20"/>
              </w:rPr>
              <w:t>JEFE DEPARTAMENTO DE RECURSOS HUMANOS</w:t>
            </w:r>
          </w:p>
          <w:p w14:paraId="0744509C" w14:textId="77777777" w:rsidR="007B1288" w:rsidRPr="007B1288" w:rsidRDefault="007B1288" w:rsidP="00CB73BB">
            <w:pPr>
              <w:autoSpaceDE w:val="0"/>
              <w:autoSpaceDN w:val="0"/>
              <w:adjustRightInd w:val="0"/>
              <w:rPr>
                <w:rStyle w:val="Refdecomentario"/>
                <w:sz w:val="20"/>
                <w:szCs w:val="20"/>
              </w:rPr>
            </w:pPr>
          </w:p>
        </w:tc>
        <w:tc>
          <w:tcPr>
            <w:tcW w:w="1200" w:type="dxa"/>
            <w:tcBorders>
              <w:top w:val="single" w:sz="4" w:space="0" w:color="auto"/>
              <w:left w:val="single" w:sz="4" w:space="0" w:color="auto"/>
              <w:bottom w:val="nil"/>
              <w:right w:val="single" w:sz="4" w:space="0" w:color="auto"/>
            </w:tcBorders>
            <w:shd w:val="clear" w:color="auto" w:fill="FFFFFF"/>
            <w:vAlign w:val="center"/>
          </w:tcPr>
          <w:p w14:paraId="62D516A9" w14:textId="77777777" w:rsidR="007B1288" w:rsidRPr="007B1288" w:rsidRDefault="007B1288" w:rsidP="00CB73BB">
            <w:pPr>
              <w:jc w:val="center"/>
              <w:rPr>
                <w:b/>
                <w:bCs/>
                <w:sz w:val="20"/>
                <w:szCs w:val="20"/>
              </w:rPr>
            </w:pPr>
          </w:p>
        </w:tc>
        <w:tc>
          <w:tcPr>
            <w:tcW w:w="851" w:type="dxa"/>
            <w:tcBorders>
              <w:top w:val="single" w:sz="4" w:space="0" w:color="auto"/>
              <w:left w:val="single" w:sz="4" w:space="0" w:color="auto"/>
              <w:bottom w:val="nil"/>
              <w:right w:val="single" w:sz="4" w:space="0" w:color="auto"/>
            </w:tcBorders>
            <w:shd w:val="clear" w:color="auto" w:fill="FFFFFF"/>
            <w:vAlign w:val="center"/>
          </w:tcPr>
          <w:p w14:paraId="23D32EC2" w14:textId="77777777" w:rsidR="007B1288" w:rsidRPr="007B1288" w:rsidRDefault="007B1288" w:rsidP="00CB73BB">
            <w:pPr>
              <w:jc w:val="center"/>
              <w:rPr>
                <w:b/>
                <w:bCs/>
                <w:sz w:val="20"/>
                <w:szCs w:val="20"/>
              </w:rPr>
            </w:pPr>
            <w:r w:rsidRPr="007B1288">
              <w:rPr>
                <w:b/>
                <w:bCs/>
                <w:sz w:val="20"/>
                <w:szCs w:val="20"/>
              </w:rPr>
              <w:t>X</w:t>
            </w:r>
          </w:p>
        </w:tc>
        <w:tc>
          <w:tcPr>
            <w:tcW w:w="954" w:type="dxa"/>
            <w:tcBorders>
              <w:top w:val="single" w:sz="4" w:space="0" w:color="auto"/>
              <w:left w:val="single" w:sz="4" w:space="0" w:color="auto"/>
              <w:bottom w:val="nil"/>
              <w:right w:val="single" w:sz="4" w:space="0" w:color="auto"/>
            </w:tcBorders>
            <w:shd w:val="clear" w:color="auto" w:fill="FFFFFF"/>
            <w:vAlign w:val="center"/>
          </w:tcPr>
          <w:p w14:paraId="77B58863" w14:textId="77777777" w:rsidR="007B1288" w:rsidRPr="007B1288" w:rsidRDefault="007B1288" w:rsidP="00CB73BB">
            <w:pPr>
              <w:jc w:val="center"/>
              <w:rPr>
                <w:b/>
                <w:bCs/>
                <w:sz w:val="20"/>
                <w:szCs w:val="20"/>
              </w:rPr>
            </w:pPr>
          </w:p>
        </w:tc>
        <w:tc>
          <w:tcPr>
            <w:tcW w:w="4224" w:type="dxa"/>
            <w:tcBorders>
              <w:top w:val="single" w:sz="4" w:space="0" w:color="auto"/>
              <w:left w:val="single" w:sz="4" w:space="0" w:color="auto"/>
              <w:bottom w:val="nil"/>
              <w:right w:val="single" w:sz="4" w:space="0" w:color="auto"/>
            </w:tcBorders>
            <w:shd w:val="clear" w:color="auto" w:fill="FFFFFF"/>
          </w:tcPr>
          <w:p w14:paraId="0A3E3BD9" w14:textId="77777777" w:rsidR="007B1288" w:rsidRPr="007B1288" w:rsidRDefault="007B1288" w:rsidP="00CB73BB">
            <w:pPr>
              <w:ind w:right="11"/>
              <w:rPr>
                <w:rStyle w:val="Refdecomentario"/>
                <w:sz w:val="20"/>
                <w:szCs w:val="20"/>
              </w:rPr>
            </w:pPr>
          </w:p>
          <w:p w14:paraId="108AAD4E" w14:textId="77777777" w:rsidR="007B1288" w:rsidRPr="007B1288" w:rsidRDefault="007B1288" w:rsidP="00CB73BB">
            <w:pPr>
              <w:ind w:right="11"/>
              <w:rPr>
                <w:rStyle w:val="Refdecomentario"/>
                <w:sz w:val="20"/>
                <w:szCs w:val="20"/>
              </w:rPr>
            </w:pPr>
            <w:r w:rsidRPr="007B1288">
              <w:rPr>
                <w:rStyle w:val="Refdecomentario"/>
                <w:sz w:val="20"/>
                <w:szCs w:val="20"/>
              </w:rPr>
              <w:t xml:space="preserve">Mediante Oficio RRHH-021-02-2023 con fecha 27 de febrero de 2023, la Dirección Departamental de Educación Guatemala Occidente presentó sus argumentos y pruebas de respaldo relacionadas al seguimiento de las recomendaciones de la Auditoría Interna del Ministerio de Educación, contenidas en el Informe CAI 00049 de octubre de 2022; en relación al presente hallazgo, se adjunta el Oficio RRHH No. 003-01-2023 con fecha 11 de enero de 2023 y la CIRCULAR RRHH No. 06-2023 con fecha 12 de enero de 2023, mediante las cuales se giran las instrucciones recomendadas. </w:t>
            </w:r>
          </w:p>
          <w:p w14:paraId="33274907" w14:textId="77777777" w:rsidR="007B1288" w:rsidRPr="007B1288" w:rsidRDefault="007B1288" w:rsidP="00CB73BB">
            <w:pPr>
              <w:ind w:right="11"/>
              <w:rPr>
                <w:rStyle w:val="Refdecomentario"/>
                <w:sz w:val="20"/>
                <w:szCs w:val="20"/>
              </w:rPr>
            </w:pPr>
          </w:p>
          <w:p w14:paraId="05295428" w14:textId="77777777" w:rsidR="007B1288" w:rsidRPr="007B1288" w:rsidRDefault="007B1288" w:rsidP="00CB73BB">
            <w:pPr>
              <w:ind w:right="11"/>
              <w:rPr>
                <w:rStyle w:val="Refdecomentario"/>
                <w:sz w:val="20"/>
                <w:szCs w:val="20"/>
              </w:rPr>
            </w:pPr>
            <w:r w:rsidRPr="007B1288">
              <w:rPr>
                <w:rStyle w:val="Refdecomentario"/>
                <w:b/>
                <w:sz w:val="20"/>
                <w:szCs w:val="20"/>
              </w:rPr>
              <w:t xml:space="preserve">Comentario de auditoría: </w:t>
            </w:r>
          </w:p>
          <w:p w14:paraId="1D8E485E" w14:textId="77777777" w:rsidR="007B1288" w:rsidRPr="007B1288" w:rsidRDefault="007B1288" w:rsidP="00CB73BB">
            <w:pPr>
              <w:ind w:right="11"/>
              <w:rPr>
                <w:rStyle w:val="Refdecomentario"/>
                <w:sz w:val="20"/>
                <w:szCs w:val="20"/>
              </w:rPr>
            </w:pPr>
            <w:r w:rsidRPr="007B1288">
              <w:rPr>
                <w:rStyle w:val="Refdecomentario"/>
                <w:sz w:val="20"/>
                <w:szCs w:val="20"/>
              </w:rPr>
              <w:t xml:space="preserve">Las pruebas presentadas corresponden a las instrucciones giradas requeridas en la recomendación del presente hallazgo; </w:t>
            </w:r>
            <w:bookmarkStart w:id="7" w:name="_Hlk130906169"/>
            <w:r w:rsidRPr="007B1288">
              <w:rPr>
                <w:rStyle w:val="Refdecomentario"/>
                <w:sz w:val="20"/>
                <w:szCs w:val="20"/>
              </w:rPr>
              <w:t xml:space="preserve">sin embargo, no presentaron evidencia que se están llevando a cabo las acciones instruidas, como el uso de formularios y las </w:t>
            </w:r>
            <w:r w:rsidRPr="007B1288">
              <w:rPr>
                <w:bCs/>
                <w:sz w:val="20"/>
                <w:szCs w:val="20"/>
              </w:rPr>
              <w:t xml:space="preserve">sanciones disciplinarias correspondientes a los funcionarios o empleados que incumplieron con reportar oportunamente los bloqueos de salarios y generación de reintegros de salarios cobrados no devengados de los casos del informe </w:t>
            </w:r>
            <w:r w:rsidRPr="007B1288">
              <w:rPr>
                <w:rStyle w:val="Refdecomentario"/>
                <w:sz w:val="20"/>
                <w:szCs w:val="20"/>
              </w:rPr>
              <w:t>CAI 00049 de octubre de 2022</w:t>
            </w:r>
            <w:bookmarkEnd w:id="7"/>
            <w:r w:rsidRPr="007B1288">
              <w:rPr>
                <w:rStyle w:val="Refdecomentario"/>
                <w:sz w:val="20"/>
                <w:szCs w:val="20"/>
              </w:rPr>
              <w:t xml:space="preserve">. Por tal </w:t>
            </w:r>
            <w:r w:rsidRPr="007B1288">
              <w:rPr>
                <w:rStyle w:val="Refdecomentario"/>
                <w:sz w:val="20"/>
                <w:szCs w:val="20"/>
              </w:rPr>
              <w:lastRenderedPageBreak/>
              <w:t>motivo la recomendación se considera en proceso.</w:t>
            </w:r>
          </w:p>
        </w:tc>
      </w:tr>
      <w:tr w:rsidR="007B1288" w:rsidRPr="007B1288" w14:paraId="2F4C6304" w14:textId="77777777" w:rsidTr="00CB73BB">
        <w:trPr>
          <w:trHeight w:val="1173"/>
        </w:trPr>
        <w:tc>
          <w:tcPr>
            <w:tcW w:w="447" w:type="dxa"/>
            <w:tcBorders>
              <w:top w:val="nil"/>
              <w:left w:val="single" w:sz="4" w:space="0" w:color="auto"/>
              <w:bottom w:val="nil"/>
              <w:right w:val="single" w:sz="4" w:space="0" w:color="auto"/>
            </w:tcBorders>
            <w:shd w:val="clear" w:color="auto" w:fill="FFFFFF"/>
            <w:vAlign w:val="center"/>
          </w:tcPr>
          <w:p w14:paraId="673DC5A8" w14:textId="77777777" w:rsidR="007B1288" w:rsidRPr="007B1288" w:rsidRDefault="007B1288" w:rsidP="00CB73BB">
            <w:pPr>
              <w:rPr>
                <w:b/>
                <w:sz w:val="20"/>
                <w:szCs w:val="20"/>
              </w:rPr>
            </w:pPr>
          </w:p>
        </w:tc>
        <w:tc>
          <w:tcPr>
            <w:tcW w:w="4314" w:type="dxa"/>
            <w:tcBorders>
              <w:top w:val="nil"/>
              <w:left w:val="single" w:sz="4" w:space="0" w:color="auto"/>
              <w:bottom w:val="nil"/>
              <w:right w:val="single" w:sz="4" w:space="0" w:color="auto"/>
            </w:tcBorders>
            <w:shd w:val="clear" w:color="auto" w:fill="FFFFFF"/>
          </w:tcPr>
          <w:p w14:paraId="47D49B77" w14:textId="77777777" w:rsidR="007B1288" w:rsidRPr="007B1288" w:rsidRDefault="007B1288" w:rsidP="00CB73BB">
            <w:pPr>
              <w:rPr>
                <w:b/>
                <w:sz w:val="20"/>
                <w:szCs w:val="20"/>
              </w:rPr>
            </w:pPr>
          </w:p>
          <w:p w14:paraId="425D117A" w14:textId="77777777" w:rsidR="007B1288" w:rsidRPr="007B1288" w:rsidRDefault="007B1288" w:rsidP="00CB73BB">
            <w:pPr>
              <w:rPr>
                <w:b/>
                <w:sz w:val="20"/>
                <w:szCs w:val="20"/>
              </w:rPr>
            </w:pPr>
            <w:r w:rsidRPr="007B1288">
              <w:rPr>
                <w:b/>
                <w:sz w:val="20"/>
                <w:szCs w:val="20"/>
              </w:rPr>
              <w:t>Recomendación</w:t>
            </w:r>
          </w:p>
          <w:p w14:paraId="077448B8" w14:textId="77777777" w:rsidR="007B1288" w:rsidRPr="007B1288" w:rsidRDefault="007B1288" w:rsidP="00CB73BB">
            <w:pPr>
              <w:rPr>
                <w:bCs/>
                <w:sz w:val="20"/>
                <w:szCs w:val="20"/>
              </w:rPr>
            </w:pPr>
            <w:r w:rsidRPr="007B1288">
              <w:rPr>
                <w:bCs/>
                <w:sz w:val="20"/>
                <w:szCs w:val="20"/>
              </w:rPr>
              <w:t xml:space="preserve">Que el director Departamental de Educación Guatemala Occidente, gire instrucciones por escrito y den seguimiento para que el personal responsable del departamento de Recursos Humanos y Asesoría Jurídica, que intervienen dentro del proceso, </w:t>
            </w:r>
            <w:proofErr w:type="gramStart"/>
            <w:r w:rsidRPr="007B1288">
              <w:rPr>
                <w:bCs/>
                <w:sz w:val="20"/>
                <w:szCs w:val="20"/>
              </w:rPr>
              <w:t>cumplan</w:t>
            </w:r>
            <w:proofErr w:type="gramEnd"/>
            <w:r w:rsidRPr="007B1288">
              <w:rPr>
                <w:bCs/>
                <w:sz w:val="20"/>
                <w:szCs w:val="20"/>
              </w:rPr>
              <w:t xml:space="preserve"> con los controles internos establecidos en los instructivos RHU-INS-14 y RHU-INS-15 siguientes: </w:t>
            </w:r>
          </w:p>
          <w:p w14:paraId="131674B1" w14:textId="77777777" w:rsidR="007B1288" w:rsidRPr="007B1288" w:rsidRDefault="007B1288" w:rsidP="00CB73BB">
            <w:pPr>
              <w:rPr>
                <w:bCs/>
                <w:sz w:val="20"/>
                <w:szCs w:val="20"/>
              </w:rPr>
            </w:pPr>
            <w:r w:rsidRPr="007B1288">
              <w:rPr>
                <w:bCs/>
                <w:sz w:val="20"/>
                <w:szCs w:val="20"/>
              </w:rPr>
              <w:lastRenderedPageBreak/>
              <w:t>a. Registren mensualmente en el formulario RHU-FOR-46 el Control de Monitoreo de Reintegros realizados.</w:t>
            </w:r>
          </w:p>
          <w:p w14:paraId="5F876677" w14:textId="77777777" w:rsidR="007B1288" w:rsidRPr="007B1288" w:rsidRDefault="007B1288" w:rsidP="00CB73BB">
            <w:pPr>
              <w:rPr>
                <w:bCs/>
                <w:sz w:val="20"/>
                <w:szCs w:val="20"/>
              </w:rPr>
            </w:pPr>
            <w:r w:rsidRPr="007B1288">
              <w:rPr>
                <w:bCs/>
                <w:sz w:val="20"/>
                <w:szCs w:val="20"/>
              </w:rPr>
              <w:t xml:space="preserve">b. Se elabore el formulario RHU-FOR-13, cuando corresponda reintegro de salarios cobrados no devengados. </w:t>
            </w:r>
          </w:p>
          <w:p w14:paraId="6872DDF6" w14:textId="77777777" w:rsidR="007B1288" w:rsidRPr="007B1288" w:rsidRDefault="007B1288" w:rsidP="00CB73BB">
            <w:pPr>
              <w:rPr>
                <w:bCs/>
                <w:sz w:val="20"/>
                <w:szCs w:val="20"/>
              </w:rPr>
            </w:pPr>
            <w:r w:rsidRPr="007B1288">
              <w:rPr>
                <w:bCs/>
                <w:sz w:val="20"/>
                <w:szCs w:val="20"/>
              </w:rPr>
              <w:t>c. Adjunten a los expedientes del empleado por cualquiera de las acciones o movimientos que se originen, los 3 formularios RHU-FOR-13 cedulas de notificaciones de las boletas de liquidación de reintegros, o en su defecto las que apliquen.</w:t>
            </w:r>
          </w:p>
          <w:p w14:paraId="19BA1471" w14:textId="77777777" w:rsidR="007B1288" w:rsidRPr="007B1288" w:rsidRDefault="007B1288" w:rsidP="00CB73BB">
            <w:pPr>
              <w:rPr>
                <w:bCs/>
                <w:sz w:val="20"/>
                <w:szCs w:val="20"/>
              </w:rPr>
            </w:pPr>
            <w:r w:rsidRPr="007B1288">
              <w:rPr>
                <w:bCs/>
                <w:sz w:val="20"/>
                <w:szCs w:val="20"/>
              </w:rPr>
              <w:t>d. Emitan los oficios dirigidos al director departamental, en el que informan los casos de los servidores o ex servidores públicos que no han cumplido con realizar el reintegro de salarios cobrados no devengados de los casos determinados.</w:t>
            </w:r>
          </w:p>
          <w:p w14:paraId="12AEE003" w14:textId="77777777" w:rsidR="007B1288" w:rsidRPr="007B1288" w:rsidRDefault="007B1288" w:rsidP="00CB73BB">
            <w:pPr>
              <w:rPr>
                <w:bCs/>
                <w:sz w:val="20"/>
                <w:szCs w:val="20"/>
              </w:rPr>
            </w:pPr>
            <w:r w:rsidRPr="007B1288">
              <w:rPr>
                <w:bCs/>
                <w:sz w:val="20"/>
                <w:szCs w:val="20"/>
              </w:rPr>
              <w:t>e. Se realice el proceso de cobro por la vía económica coactiva de los casos determinados.</w:t>
            </w:r>
          </w:p>
          <w:p w14:paraId="59D485F7" w14:textId="77777777" w:rsidR="007B1288" w:rsidRPr="007B1288" w:rsidRDefault="007B1288" w:rsidP="00CB73BB">
            <w:pPr>
              <w:rPr>
                <w:bCs/>
                <w:sz w:val="20"/>
                <w:szCs w:val="20"/>
              </w:rPr>
            </w:pPr>
            <w:r w:rsidRPr="007B1288">
              <w:rPr>
                <w:bCs/>
                <w:sz w:val="20"/>
                <w:szCs w:val="20"/>
              </w:rPr>
              <w:t>f. Se proceda a conformar los expedientes, según los documentos indicados en el instructivo emitido para el efecto.</w:t>
            </w:r>
          </w:p>
          <w:p w14:paraId="49243B62" w14:textId="77777777" w:rsidR="007B1288" w:rsidRPr="007B1288" w:rsidRDefault="007B1288" w:rsidP="00CB73BB">
            <w:pPr>
              <w:rPr>
                <w:bCs/>
                <w:sz w:val="20"/>
                <w:szCs w:val="20"/>
              </w:rPr>
            </w:pPr>
            <w:r w:rsidRPr="007B1288">
              <w:rPr>
                <w:bCs/>
                <w:sz w:val="20"/>
                <w:szCs w:val="20"/>
              </w:rPr>
              <w:t>g. Seguimiento y monitoreo para el caso de falta de reintegro de años anteriores indicados en oficios No. DDP-RRHH-358-09-2018, 380-2020 y GDP-RRHH-No. 543-12-2020.</w:t>
            </w:r>
          </w:p>
          <w:p w14:paraId="0E06F299" w14:textId="77777777" w:rsidR="007B1288" w:rsidRPr="007B1288" w:rsidRDefault="007B1288" w:rsidP="00CB73BB">
            <w:pPr>
              <w:rPr>
                <w:bCs/>
                <w:sz w:val="20"/>
                <w:szCs w:val="20"/>
              </w:rPr>
            </w:pPr>
            <w:r w:rsidRPr="007B1288">
              <w:rPr>
                <w:bCs/>
                <w:sz w:val="20"/>
                <w:szCs w:val="20"/>
              </w:rPr>
              <w:lastRenderedPageBreak/>
              <w:t>h. Se emitan las sanciones disciplinarias a los funcionarios o empleados que incumplieron con reportar oportunamente los bloqueos de salarios y generación de reintegros de salarios cobrados no devengados de los casos determinados.</w:t>
            </w:r>
          </w:p>
        </w:tc>
        <w:tc>
          <w:tcPr>
            <w:tcW w:w="1613" w:type="dxa"/>
            <w:tcBorders>
              <w:top w:val="nil"/>
              <w:left w:val="single" w:sz="4" w:space="0" w:color="auto"/>
              <w:bottom w:val="nil"/>
              <w:right w:val="single" w:sz="4" w:space="0" w:color="auto"/>
            </w:tcBorders>
            <w:shd w:val="clear" w:color="auto" w:fill="FFFFFF"/>
            <w:vAlign w:val="center"/>
          </w:tcPr>
          <w:p w14:paraId="3B95A2D0" w14:textId="77777777" w:rsidR="007B1288" w:rsidRPr="007B1288" w:rsidRDefault="007B1288" w:rsidP="00CB73BB">
            <w:pPr>
              <w:autoSpaceDE w:val="0"/>
              <w:autoSpaceDN w:val="0"/>
              <w:adjustRightInd w:val="0"/>
              <w:rPr>
                <w:rStyle w:val="Refdecomentario"/>
                <w:sz w:val="20"/>
                <w:szCs w:val="20"/>
              </w:rPr>
            </w:pPr>
          </w:p>
        </w:tc>
        <w:tc>
          <w:tcPr>
            <w:tcW w:w="1200" w:type="dxa"/>
            <w:tcBorders>
              <w:top w:val="nil"/>
              <w:left w:val="single" w:sz="4" w:space="0" w:color="auto"/>
              <w:bottom w:val="nil"/>
              <w:right w:val="single" w:sz="4" w:space="0" w:color="auto"/>
            </w:tcBorders>
            <w:shd w:val="clear" w:color="auto" w:fill="FFFFFF"/>
            <w:vAlign w:val="center"/>
          </w:tcPr>
          <w:p w14:paraId="7693C71F" w14:textId="77777777" w:rsidR="007B1288" w:rsidRPr="007B1288" w:rsidRDefault="007B1288" w:rsidP="00CB73BB">
            <w:pPr>
              <w:jc w:val="center"/>
              <w:rPr>
                <w:b/>
                <w:bCs/>
                <w:sz w:val="20"/>
                <w:szCs w:val="20"/>
              </w:rPr>
            </w:pPr>
          </w:p>
        </w:tc>
        <w:tc>
          <w:tcPr>
            <w:tcW w:w="851" w:type="dxa"/>
            <w:tcBorders>
              <w:top w:val="nil"/>
              <w:left w:val="single" w:sz="4" w:space="0" w:color="auto"/>
              <w:bottom w:val="nil"/>
              <w:right w:val="single" w:sz="4" w:space="0" w:color="auto"/>
            </w:tcBorders>
            <w:shd w:val="clear" w:color="auto" w:fill="FFFFFF"/>
            <w:vAlign w:val="center"/>
          </w:tcPr>
          <w:p w14:paraId="1E4AEDFE" w14:textId="77777777" w:rsidR="007B1288" w:rsidRPr="007B1288" w:rsidRDefault="007B1288" w:rsidP="00CB73BB">
            <w:pPr>
              <w:jc w:val="center"/>
              <w:rPr>
                <w:b/>
                <w:bCs/>
                <w:sz w:val="20"/>
                <w:szCs w:val="20"/>
              </w:rPr>
            </w:pPr>
          </w:p>
        </w:tc>
        <w:tc>
          <w:tcPr>
            <w:tcW w:w="954" w:type="dxa"/>
            <w:tcBorders>
              <w:top w:val="nil"/>
              <w:left w:val="single" w:sz="4" w:space="0" w:color="auto"/>
              <w:bottom w:val="nil"/>
              <w:right w:val="single" w:sz="4" w:space="0" w:color="auto"/>
            </w:tcBorders>
            <w:shd w:val="clear" w:color="auto" w:fill="FFFFFF"/>
            <w:vAlign w:val="center"/>
          </w:tcPr>
          <w:p w14:paraId="3B98FB52" w14:textId="77777777" w:rsidR="007B1288" w:rsidRPr="007B1288" w:rsidRDefault="007B1288" w:rsidP="00CB73BB">
            <w:pPr>
              <w:jc w:val="center"/>
              <w:rPr>
                <w:b/>
                <w:bCs/>
                <w:sz w:val="20"/>
                <w:szCs w:val="20"/>
              </w:rPr>
            </w:pPr>
          </w:p>
        </w:tc>
        <w:tc>
          <w:tcPr>
            <w:tcW w:w="4224" w:type="dxa"/>
            <w:tcBorders>
              <w:top w:val="nil"/>
              <w:left w:val="single" w:sz="4" w:space="0" w:color="auto"/>
              <w:bottom w:val="nil"/>
              <w:right w:val="single" w:sz="4" w:space="0" w:color="auto"/>
            </w:tcBorders>
            <w:shd w:val="clear" w:color="auto" w:fill="FFFFFF"/>
            <w:vAlign w:val="center"/>
          </w:tcPr>
          <w:p w14:paraId="76EE4EA7" w14:textId="77777777" w:rsidR="007B1288" w:rsidRPr="007B1288" w:rsidRDefault="007B1288" w:rsidP="00CB73BB">
            <w:pPr>
              <w:ind w:right="11"/>
              <w:rPr>
                <w:rStyle w:val="Refdecomentario"/>
                <w:sz w:val="20"/>
                <w:szCs w:val="20"/>
              </w:rPr>
            </w:pPr>
          </w:p>
        </w:tc>
      </w:tr>
    </w:tbl>
    <w:p w14:paraId="207F5E28" w14:textId="77777777" w:rsidR="007B1288" w:rsidRPr="007B1288" w:rsidRDefault="007B1288" w:rsidP="007B1288">
      <w:pPr>
        <w:jc w:val="center"/>
        <w:rPr>
          <w:sz w:val="20"/>
          <w:szCs w:val="20"/>
        </w:rPr>
      </w:pPr>
    </w:p>
    <w:p w14:paraId="514BE5DE" w14:textId="77777777" w:rsidR="007B1288" w:rsidRPr="007B1288" w:rsidRDefault="007B1288" w:rsidP="007B1288">
      <w:pPr>
        <w:jc w:val="center"/>
        <w:rPr>
          <w:sz w:val="20"/>
          <w:szCs w:val="20"/>
        </w:rPr>
      </w:pPr>
    </w:p>
    <w:p w14:paraId="67BE5E79" w14:textId="77777777" w:rsidR="007B1288" w:rsidRPr="007B1288" w:rsidRDefault="007B1288" w:rsidP="007B1288">
      <w:pPr>
        <w:jc w:val="center"/>
        <w:rPr>
          <w:sz w:val="20"/>
          <w:szCs w:val="20"/>
        </w:rPr>
      </w:pPr>
      <w:r w:rsidRPr="007B1288">
        <w:rPr>
          <w:sz w:val="20"/>
          <w:szCs w:val="20"/>
        </w:rPr>
        <w:t>Guatemala, 28 de marzo de 2023</w:t>
      </w:r>
    </w:p>
    <w:p w14:paraId="0D3B2638" w14:textId="77777777" w:rsidR="007B1288" w:rsidRPr="007B1288" w:rsidRDefault="007B1288" w:rsidP="007B1288">
      <w:pPr>
        <w:jc w:val="center"/>
        <w:rPr>
          <w:sz w:val="20"/>
          <w:szCs w:val="20"/>
        </w:rPr>
      </w:pPr>
    </w:p>
    <w:p w14:paraId="3135F927" w14:textId="77777777" w:rsidR="007B1288" w:rsidRPr="007B1288" w:rsidRDefault="007B1288" w:rsidP="007B1288">
      <w:pPr>
        <w:tabs>
          <w:tab w:val="left" w:pos="11007"/>
        </w:tabs>
        <w:rPr>
          <w:sz w:val="20"/>
          <w:szCs w:val="20"/>
        </w:rPr>
      </w:pPr>
      <w:r w:rsidRPr="007B1288">
        <w:rPr>
          <w:sz w:val="20"/>
          <w:szCs w:val="20"/>
        </w:rPr>
        <w:tab/>
      </w:r>
    </w:p>
    <w:p w14:paraId="7EA41997" w14:textId="77777777" w:rsidR="007B1288" w:rsidRPr="007B1288" w:rsidRDefault="007B1288" w:rsidP="007B1288">
      <w:pPr>
        <w:rPr>
          <w:sz w:val="20"/>
          <w:szCs w:val="20"/>
        </w:rPr>
      </w:pPr>
    </w:p>
    <w:p w14:paraId="7876C08B" w14:textId="77777777" w:rsidR="007B1288" w:rsidRPr="007B1288" w:rsidRDefault="007B1288" w:rsidP="007B1288">
      <w:pPr>
        <w:rPr>
          <w:sz w:val="20"/>
          <w:szCs w:val="20"/>
        </w:rPr>
      </w:pPr>
    </w:p>
    <w:p w14:paraId="7EC59D16" w14:textId="77777777" w:rsidR="007B1288" w:rsidRPr="007B1288" w:rsidRDefault="007B1288" w:rsidP="007B1288">
      <w:pPr>
        <w:rPr>
          <w:sz w:val="20"/>
          <w:szCs w:val="20"/>
        </w:rPr>
      </w:pPr>
    </w:p>
    <w:p w14:paraId="7E285A49" w14:textId="77777777" w:rsidR="007B1288" w:rsidRPr="007B1288" w:rsidRDefault="007B1288" w:rsidP="007B1288">
      <w:pPr>
        <w:rPr>
          <w:sz w:val="20"/>
          <w:szCs w:val="20"/>
        </w:rPr>
      </w:pPr>
    </w:p>
    <w:p w14:paraId="6D1CA81D" w14:textId="77777777" w:rsidR="007B1288" w:rsidRPr="007B1288" w:rsidRDefault="007B1288" w:rsidP="007B1288">
      <w:pPr>
        <w:jc w:val="center"/>
        <w:rPr>
          <w:b/>
          <w:sz w:val="20"/>
          <w:szCs w:val="20"/>
        </w:rPr>
      </w:pPr>
      <w:r w:rsidRPr="007B1288">
        <w:rPr>
          <w:b/>
          <w:sz w:val="20"/>
          <w:szCs w:val="20"/>
        </w:rPr>
        <w:t>FIRMA Y SELLO: ___________________________________________________</w:t>
      </w:r>
    </w:p>
    <w:p w14:paraId="7F6A5BA4" w14:textId="77777777" w:rsidR="007B1288" w:rsidRPr="007B1288" w:rsidRDefault="007B1288" w:rsidP="007B1288">
      <w:pPr>
        <w:jc w:val="center"/>
        <w:rPr>
          <w:rFonts w:eastAsia="Calibri"/>
          <w:b/>
          <w:sz w:val="20"/>
          <w:szCs w:val="20"/>
        </w:rPr>
      </w:pPr>
      <w:r w:rsidRPr="007B1288">
        <w:rPr>
          <w:b/>
          <w:sz w:val="20"/>
          <w:szCs w:val="20"/>
        </w:rPr>
        <w:t xml:space="preserve">                       Director Departamental de Educación</w:t>
      </w:r>
    </w:p>
    <w:p w14:paraId="2E4A8D34" w14:textId="77777777" w:rsidR="007B1288" w:rsidRPr="007B1288" w:rsidRDefault="007B1288" w:rsidP="007B1288">
      <w:pPr>
        <w:jc w:val="center"/>
        <w:rPr>
          <w:rFonts w:eastAsia="Calibri"/>
          <w:b/>
          <w:sz w:val="20"/>
          <w:szCs w:val="20"/>
        </w:rPr>
      </w:pPr>
      <w:r w:rsidRPr="007B1288">
        <w:rPr>
          <w:rFonts w:eastAsia="Calibri"/>
          <w:b/>
          <w:sz w:val="20"/>
          <w:szCs w:val="20"/>
        </w:rPr>
        <w:t xml:space="preserve">                            </w:t>
      </w:r>
    </w:p>
    <w:p w14:paraId="7D17C9A5" w14:textId="77777777" w:rsidR="007B1288" w:rsidRPr="007B1288" w:rsidRDefault="007B1288" w:rsidP="007B1288">
      <w:pPr>
        <w:rPr>
          <w:rFonts w:eastAsia="Calibri"/>
          <w:b/>
          <w:sz w:val="20"/>
          <w:szCs w:val="20"/>
        </w:rPr>
      </w:pPr>
    </w:p>
    <w:p w14:paraId="149FC345" w14:textId="77777777" w:rsidR="007B1288" w:rsidRPr="007B1288" w:rsidRDefault="007B1288" w:rsidP="007B1288">
      <w:pPr>
        <w:autoSpaceDE w:val="0"/>
        <w:autoSpaceDN w:val="0"/>
        <w:adjustRightInd w:val="0"/>
        <w:jc w:val="center"/>
        <w:rPr>
          <w:bCs/>
          <w:sz w:val="20"/>
          <w:szCs w:val="20"/>
        </w:rPr>
      </w:pPr>
      <w:r w:rsidRPr="007B1288">
        <w:rPr>
          <w:rFonts w:eastAsia="Calibri"/>
          <w:b/>
          <w:sz w:val="20"/>
          <w:szCs w:val="20"/>
        </w:rPr>
        <w:t xml:space="preserve">                     </w:t>
      </w:r>
    </w:p>
    <w:p w14:paraId="5012D926" w14:textId="77777777" w:rsidR="007B1288" w:rsidRPr="007B1288" w:rsidRDefault="007B1288" w:rsidP="007B1288">
      <w:pPr>
        <w:rPr>
          <w:sz w:val="20"/>
          <w:szCs w:val="20"/>
        </w:rPr>
      </w:pPr>
      <w:r w:rsidRPr="007B1288">
        <w:rPr>
          <w:rFonts w:eastAsia="Calibri"/>
          <w:b/>
          <w:sz w:val="20"/>
          <w:szCs w:val="20"/>
        </w:rPr>
        <w:t xml:space="preserve">                                                   </w:t>
      </w:r>
    </w:p>
    <w:p w14:paraId="7E2171A6" w14:textId="77777777" w:rsidR="007B1288" w:rsidRPr="007B1288" w:rsidRDefault="007B1288" w:rsidP="007B1288">
      <w:pPr>
        <w:rPr>
          <w:sz w:val="20"/>
          <w:szCs w:val="20"/>
        </w:rPr>
      </w:pPr>
    </w:p>
    <w:p w14:paraId="6411EE41" w14:textId="77777777" w:rsidR="007B1288" w:rsidRPr="007B1288" w:rsidRDefault="007B1288" w:rsidP="007B1288">
      <w:pPr>
        <w:jc w:val="center"/>
        <w:rPr>
          <w:b/>
          <w:sz w:val="20"/>
          <w:szCs w:val="20"/>
        </w:rPr>
      </w:pPr>
      <w:r w:rsidRPr="007B1288">
        <w:rPr>
          <w:b/>
          <w:sz w:val="20"/>
          <w:szCs w:val="20"/>
        </w:rPr>
        <w:t>FIRMA Y SELLO: ___________________________________________________</w:t>
      </w:r>
    </w:p>
    <w:p w14:paraId="1EEE24AF" w14:textId="77777777" w:rsidR="007B1288" w:rsidRPr="007B1288" w:rsidRDefault="007B1288" w:rsidP="007B1288">
      <w:pPr>
        <w:jc w:val="center"/>
        <w:rPr>
          <w:rFonts w:eastAsia="Calibri"/>
          <w:b/>
          <w:sz w:val="20"/>
          <w:szCs w:val="20"/>
        </w:rPr>
      </w:pPr>
      <w:r w:rsidRPr="007B1288">
        <w:rPr>
          <w:b/>
          <w:sz w:val="20"/>
          <w:szCs w:val="20"/>
        </w:rPr>
        <w:t>Auditor</w:t>
      </w:r>
    </w:p>
    <w:p w14:paraId="1AB79C13" w14:textId="10EB4DD0" w:rsidR="00005222" w:rsidRPr="007B1288" w:rsidRDefault="00005222" w:rsidP="002A2F52">
      <w:pPr>
        <w:spacing w:line="276" w:lineRule="auto"/>
        <w:rPr>
          <w:sz w:val="20"/>
          <w:szCs w:val="20"/>
        </w:rPr>
      </w:pPr>
    </w:p>
    <w:p w14:paraId="2E14CDED" w14:textId="6F2CBAC3" w:rsidR="00005222" w:rsidRPr="007B1288" w:rsidRDefault="00005222" w:rsidP="002A2F52">
      <w:pPr>
        <w:spacing w:line="276" w:lineRule="auto"/>
        <w:rPr>
          <w:sz w:val="20"/>
          <w:szCs w:val="20"/>
        </w:rPr>
      </w:pPr>
    </w:p>
    <w:p w14:paraId="2205B77D" w14:textId="505CF892" w:rsidR="00005222" w:rsidRPr="007B1288" w:rsidRDefault="00005222" w:rsidP="002A2F52">
      <w:pPr>
        <w:spacing w:line="276" w:lineRule="auto"/>
        <w:rPr>
          <w:sz w:val="20"/>
          <w:szCs w:val="20"/>
        </w:rPr>
      </w:pPr>
    </w:p>
    <w:p w14:paraId="19B8E1CB" w14:textId="64BAD9AC" w:rsidR="00005222" w:rsidRPr="007B1288" w:rsidRDefault="00005222" w:rsidP="002A2F52">
      <w:pPr>
        <w:spacing w:line="276" w:lineRule="auto"/>
        <w:rPr>
          <w:sz w:val="20"/>
          <w:szCs w:val="20"/>
        </w:rPr>
      </w:pPr>
    </w:p>
    <w:p w14:paraId="08B869E6" w14:textId="77777777" w:rsidR="00005222" w:rsidRDefault="00005222" w:rsidP="002A2F52">
      <w:pPr>
        <w:spacing w:line="276" w:lineRule="auto"/>
        <w:rPr>
          <w:szCs w:val="24"/>
        </w:rPr>
      </w:pPr>
    </w:p>
    <w:sectPr w:rsidR="00005222" w:rsidSect="007B1288">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6085" w14:textId="77777777" w:rsidR="00960D88" w:rsidRDefault="00960D88">
      <w:pPr>
        <w:spacing w:after="0" w:line="240" w:lineRule="auto"/>
      </w:pPr>
      <w:r>
        <w:separator/>
      </w:r>
    </w:p>
  </w:endnote>
  <w:endnote w:type="continuationSeparator" w:id="0">
    <w:p w14:paraId="178150A2" w14:textId="77777777" w:rsidR="00960D88" w:rsidRDefault="0096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1D5A" w14:textId="77777777" w:rsidR="00960D88" w:rsidRDefault="00960D88">
      <w:pPr>
        <w:spacing w:after="0" w:line="240" w:lineRule="auto"/>
      </w:pPr>
      <w:r>
        <w:separator/>
      </w:r>
    </w:p>
  </w:footnote>
  <w:footnote w:type="continuationSeparator" w:id="0">
    <w:p w14:paraId="411DED72" w14:textId="77777777" w:rsidR="00960D88" w:rsidRDefault="0096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121C9A6D"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1C0D8A">
      <w:rPr>
        <w:color w:val="666666"/>
        <w:sz w:val="14"/>
      </w:rPr>
      <w:t>041</w:t>
    </w:r>
    <w:r w:rsidR="002A2F52">
      <w:rPr>
        <w:color w:val="666666"/>
        <w:sz w:val="14"/>
      </w:rPr>
      <w:t>-202</w:t>
    </w:r>
    <w:r w:rsidR="001C0D8A">
      <w:rPr>
        <w:color w:val="666666"/>
        <w:sz w:val="14"/>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2"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30C19"/>
    <w:rsid w:val="000407A8"/>
    <w:rsid w:val="00053941"/>
    <w:rsid w:val="00064E6E"/>
    <w:rsid w:val="00083017"/>
    <w:rsid w:val="00083099"/>
    <w:rsid w:val="000B08D5"/>
    <w:rsid w:val="000B2FCB"/>
    <w:rsid w:val="000F1735"/>
    <w:rsid w:val="000F4A94"/>
    <w:rsid w:val="00123375"/>
    <w:rsid w:val="001301D3"/>
    <w:rsid w:val="00134357"/>
    <w:rsid w:val="00143471"/>
    <w:rsid w:val="00161D98"/>
    <w:rsid w:val="00185226"/>
    <w:rsid w:val="001B1E11"/>
    <w:rsid w:val="001B5A36"/>
    <w:rsid w:val="001C0D8A"/>
    <w:rsid w:val="001C6F3F"/>
    <w:rsid w:val="002165C1"/>
    <w:rsid w:val="00217DD4"/>
    <w:rsid w:val="002247E0"/>
    <w:rsid w:val="00232C7C"/>
    <w:rsid w:val="00240528"/>
    <w:rsid w:val="00250762"/>
    <w:rsid w:val="00265D80"/>
    <w:rsid w:val="00290AAD"/>
    <w:rsid w:val="00290D5A"/>
    <w:rsid w:val="002A2F52"/>
    <w:rsid w:val="002A498D"/>
    <w:rsid w:val="002D2F4F"/>
    <w:rsid w:val="002E1784"/>
    <w:rsid w:val="002F1366"/>
    <w:rsid w:val="00315F58"/>
    <w:rsid w:val="0031791D"/>
    <w:rsid w:val="00320031"/>
    <w:rsid w:val="00331EB7"/>
    <w:rsid w:val="00333E1C"/>
    <w:rsid w:val="00355812"/>
    <w:rsid w:val="003568A5"/>
    <w:rsid w:val="00367D0E"/>
    <w:rsid w:val="0038146A"/>
    <w:rsid w:val="00386A53"/>
    <w:rsid w:val="003B31A8"/>
    <w:rsid w:val="003B4CE1"/>
    <w:rsid w:val="003F4259"/>
    <w:rsid w:val="003F5ACE"/>
    <w:rsid w:val="0041208E"/>
    <w:rsid w:val="00413E59"/>
    <w:rsid w:val="004207B8"/>
    <w:rsid w:val="0044429C"/>
    <w:rsid w:val="00451598"/>
    <w:rsid w:val="00457A30"/>
    <w:rsid w:val="00466631"/>
    <w:rsid w:val="0047622D"/>
    <w:rsid w:val="00485D8B"/>
    <w:rsid w:val="004879E1"/>
    <w:rsid w:val="00490B91"/>
    <w:rsid w:val="004A0EA2"/>
    <w:rsid w:val="004B4A2A"/>
    <w:rsid w:val="004D3D1B"/>
    <w:rsid w:val="004F4C79"/>
    <w:rsid w:val="005259DA"/>
    <w:rsid w:val="0053644A"/>
    <w:rsid w:val="005421A5"/>
    <w:rsid w:val="00543F94"/>
    <w:rsid w:val="00564703"/>
    <w:rsid w:val="00571EA6"/>
    <w:rsid w:val="005949F3"/>
    <w:rsid w:val="005A0528"/>
    <w:rsid w:val="005A4EA3"/>
    <w:rsid w:val="005B4122"/>
    <w:rsid w:val="005D327D"/>
    <w:rsid w:val="005E1249"/>
    <w:rsid w:val="005E56FB"/>
    <w:rsid w:val="00616F3D"/>
    <w:rsid w:val="00617507"/>
    <w:rsid w:val="00641FAE"/>
    <w:rsid w:val="00653930"/>
    <w:rsid w:val="00663093"/>
    <w:rsid w:val="00687397"/>
    <w:rsid w:val="006A527C"/>
    <w:rsid w:val="006A7935"/>
    <w:rsid w:val="006E6BF9"/>
    <w:rsid w:val="006F576C"/>
    <w:rsid w:val="00746489"/>
    <w:rsid w:val="0074769A"/>
    <w:rsid w:val="0076487B"/>
    <w:rsid w:val="00782FEE"/>
    <w:rsid w:val="007A78CC"/>
    <w:rsid w:val="007B1288"/>
    <w:rsid w:val="007E35B8"/>
    <w:rsid w:val="007E3D3F"/>
    <w:rsid w:val="007E502D"/>
    <w:rsid w:val="00805671"/>
    <w:rsid w:val="00810EA0"/>
    <w:rsid w:val="008263C5"/>
    <w:rsid w:val="008453CC"/>
    <w:rsid w:val="00860970"/>
    <w:rsid w:val="00873813"/>
    <w:rsid w:val="00874CDC"/>
    <w:rsid w:val="008766C5"/>
    <w:rsid w:val="00895D0E"/>
    <w:rsid w:val="008D6298"/>
    <w:rsid w:val="008E39C6"/>
    <w:rsid w:val="00960D88"/>
    <w:rsid w:val="009624B5"/>
    <w:rsid w:val="0099185C"/>
    <w:rsid w:val="00994034"/>
    <w:rsid w:val="009C3C12"/>
    <w:rsid w:val="00A118F8"/>
    <w:rsid w:val="00A22955"/>
    <w:rsid w:val="00A277E8"/>
    <w:rsid w:val="00A3168A"/>
    <w:rsid w:val="00A425CC"/>
    <w:rsid w:val="00A435BE"/>
    <w:rsid w:val="00A56D5E"/>
    <w:rsid w:val="00A630FA"/>
    <w:rsid w:val="00A66637"/>
    <w:rsid w:val="00A95DAF"/>
    <w:rsid w:val="00A961C0"/>
    <w:rsid w:val="00AA0B2B"/>
    <w:rsid w:val="00AB01AF"/>
    <w:rsid w:val="00AB1FFA"/>
    <w:rsid w:val="00AC3CED"/>
    <w:rsid w:val="00AC564F"/>
    <w:rsid w:val="00AE0A02"/>
    <w:rsid w:val="00AE328C"/>
    <w:rsid w:val="00AF0CD3"/>
    <w:rsid w:val="00AF1290"/>
    <w:rsid w:val="00B22813"/>
    <w:rsid w:val="00B35046"/>
    <w:rsid w:val="00B47F80"/>
    <w:rsid w:val="00B82017"/>
    <w:rsid w:val="00B82159"/>
    <w:rsid w:val="00B86A65"/>
    <w:rsid w:val="00BA389C"/>
    <w:rsid w:val="00BA4AD3"/>
    <w:rsid w:val="00BA4EC8"/>
    <w:rsid w:val="00BC600D"/>
    <w:rsid w:val="00BD2E73"/>
    <w:rsid w:val="00BE2F15"/>
    <w:rsid w:val="00BF274A"/>
    <w:rsid w:val="00C008B3"/>
    <w:rsid w:val="00C203DD"/>
    <w:rsid w:val="00C356FB"/>
    <w:rsid w:val="00C55B44"/>
    <w:rsid w:val="00C5762C"/>
    <w:rsid w:val="00C62B85"/>
    <w:rsid w:val="00C9307E"/>
    <w:rsid w:val="00CA2279"/>
    <w:rsid w:val="00CB5360"/>
    <w:rsid w:val="00CD35A3"/>
    <w:rsid w:val="00CE2373"/>
    <w:rsid w:val="00D00F0E"/>
    <w:rsid w:val="00D1179B"/>
    <w:rsid w:val="00D169C8"/>
    <w:rsid w:val="00D362B6"/>
    <w:rsid w:val="00D64C58"/>
    <w:rsid w:val="00D9032E"/>
    <w:rsid w:val="00DA2E4C"/>
    <w:rsid w:val="00DA77C2"/>
    <w:rsid w:val="00DB777A"/>
    <w:rsid w:val="00DD0F66"/>
    <w:rsid w:val="00DD3FD1"/>
    <w:rsid w:val="00DE314C"/>
    <w:rsid w:val="00E1717D"/>
    <w:rsid w:val="00E21970"/>
    <w:rsid w:val="00E412B0"/>
    <w:rsid w:val="00E45370"/>
    <w:rsid w:val="00E75699"/>
    <w:rsid w:val="00EA318A"/>
    <w:rsid w:val="00EA6D1D"/>
    <w:rsid w:val="00EB43D6"/>
    <w:rsid w:val="00EE18B3"/>
    <w:rsid w:val="00EE4C26"/>
    <w:rsid w:val="00EE6DE7"/>
    <w:rsid w:val="00F10DAD"/>
    <w:rsid w:val="00F42540"/>
    <w:rsid w:val="00F54A3E"/>
    <w:rsid w:val="00F5644C"/>
    <w:rsid w:val="00F564C4"/>
    <w:rsid w:val="00F908E6"/>
    <w:rsid w:val="00FA51AA"/>
    <w:rsid w:val="00FB7BA7"/>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2856</Words>
  <Characters>15710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2023-03-29T22:50:00Z</cp:lastPrinted>
  <dcterms:created xsi:type="dcterms:W3CDTF">2023-05-08T16:00:00Z</dcterms:created>
  <dcterms:modified xsi:type="dcterms:W3CDTF">2023-05-08T16:00:00Z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