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6DA84144" w14:textId="77777777" w:rsidR="003C2A45" w:rsidRPr="00FC73B5" w:rsidRDefault="003C2A45" w:rsidP="003C2A45">
      <w:pPr>
        <w:jc w:val="center"/>
        <w:rPr>
          <w:b/>
          <w:szCs w:val="24"/>
        </w:rPr>
      </w:pPr>
      <w:r w:rsidRPr="00FC73B5">
        <w:rPr>
          <w:b/>
          <w:szCs w:val="24"/>
        </w:rPr>
        <w:t>MINISTERIO DE EDUCACIÓN</w:t>
      </w:r>
    </w:p>
    <w:p w14:paraId="6ADCC2E4" w14:textId="77777777" w:rsidR="003C2A45" w:rsidRPr="00FC73B5" w:rsidRDefault="003C2A45" w:rsidP="003C2A45">
      <w:pPr>
        <w:jc w:val="center"/>
        <w:rPr>
          <w:b/>
          <w:szCs w:val="24"/>
        </w:rPr>
      </w:pPr>
      <w:r w:rsidRPr="00FC73B5">
        <w:rPr>
          <w:b/>
          <w:szCs w:val="24"/>
        </w:rPr>
        <w:t>AUDITORÍA INTERNA</w:t>
      </w:r>
    </w:p>
    <w:p w14:paraId="322D81F7" w14:textId="77777777" w:rsidR="003C2A45" w:rsidRPr="00B82A12" w:rsidRDefault="003C2A45" w:rsidP="003C2A45">
      <w:pPr>
        <w:jc w:val="center"/>
        <w:rPr>
          <w:b/>
          <w:szCs w:val="24"/>
        </w:rPr>
      </w:pPr>
      <w:r w:rsidRPr="00B82A12">
        <w:rPr>
          <w:b/>
          <w:szCs w:val="24"/>
        </w:rPr>
        <w:t>INFORME O-DIDAI/</w:t>
      </w:r>
      <w:r w:rsidRPr="00B82A12">
        <w:rPr>
          <w:b/>
          <w:bCs/>
        </w:rPr>
        <w:t xml:space="preserve"> SUB-</w:t>
      </w:r>
      <w:r>
        <w:rPr>
          <w:b/>
          <w:bCs/>
        </w:rPr>
        <w:t>182-2023</w:t>
      </w:r>
    </w:p>
    <w:p w14:paraId="16DFB22E" w14:textId="77777777" w:rsidR="003C2A45" w:rsidRPr="004A3FAA" w:rsidRDefault="003C2A45" w:rsidP="003C2A45">
      <w:pPr>
        <w:jc w:val="center"/>
        <w:rPr>
          <w:b/>
          <w:bCs/>
          <w:szCs w:val="24"/>
        </w:rPr>
      </w:pPr>
      <w:r w:rsidRPr="004A3FAA">
        <w:rPr>
          <w:b/>
          <w:bCs/>
          <w:szCs w:val="24"/>
        </w:rPr>
        <w:t>SIAD</w:t>
      </w:r>
      <w:r>
        <w:rPr>
          <w:b/>
          <w:bCs/>
          <w:szCs w:val="24"/>
        </w:rPr>
        <w:t>: 632955</w:t>
      </w:r>
    </w:p>
    <w:p w14:paraId="1EC35333" w14:textId="77777777" w:rsidR="003C2A45" w:rsidRPr="00FC73B5" w:rsidRDefault="003C2A45" w:rsidP="003C2A45">
      <w:pPr>
        <w:rPr>
          <w:szCs w:val="24"/>
        </w:rPr>
      </w:pPr>
    </w:p>
    <w:p w14:paraId="465B7FC1" w14:textId="77777777" w:rsidR="003C2A45" w:rsidRPr="00FC73B5" w:rsidRDefault="003C2A45" w:rsidP="003C2A45">
      <w:pPr>
        <w:rPr>
          <w:szCs w:val="24"/>
        </w:rPr>
      </w:pPr>
    </w:p>
    <w:p w14:paraId="3F40D9BE" w14:textId="77777777" w:rsidR="003C2A45" w:rsidRPr="00FC73B5" w:rsidRDefault="003C2A45" w:rsidP="003C2A45">
      <w:pPr>
        <w:ind w:left="0" w:firstLine="0"/>
        <w:rPr>
          <w:szCs w:val="24"/>
        </w:rPr>
      </w:pPr>
    </w:p>
    <w:p w14:paraId="35EE2491" w14:textId="77777777" w:rsidR="003C2A45" w:rsidRPr="00FC73B5" w:rsidRDefault="003C2A45" w:rsidP="003C2A45">
      <w:pPr>
        <w:rPr>
          <w:szCs w:val="24"/>
        </w:rPr>
      </w:pPr>
    </w:p>
    <w:p w14:paraId="0BFDA0A7" w14:textId="77777777" w:rsidR="003C2A45" w:rsidRPr="00FC73B5" w:rsidRDefault="003C2A45" w:rsidP="003C2A45">
      <w:pPr>
        <w:rPr>
          <w:szCs w:val="24"/>
        </w:rPr>
      </w:pPr>
    </w:p>
    <w:p w14:paraId="1C08CF35" w14:textId="77777777" w:rsidR="003C2A45" w:rsidRPr="00FC73B5" w:rsidRDefault="003C2A45" w:rsidP="003C2A45">
      <w:pPr>
        <w:rPr>
          <w:szCs w:val="24"/>
        </w:rPr>
      </w:pPr>
    </w:p>
    <w:p w14:paraId="1901E1FF" w14:textId="77777777" w:rsidR="003C2A45" w:rsidRPr="00FC73B5" w:rsidRDefault="003C2A45" w:rsidP="003C2A45">
      <w:pPr>
        <w:rPr>
          <w:szCs w:val="24"/>
        </w:rPr>
      </w:pPr>
    </w:p>
    <w:p w14:paraId="7847C0E2" w14:textId="77777777" w:rsidR="003C2A45" w:rsidRPr="00FC73B5" w:rsidRDefault="003C2A45" w:rsidP="003C2A45">
      <w:pPr>
        <w:rPr>
          <w:szCs w:val="24"/>
        </w:rPr>
      </w:pPr>
    </w:p>
    <w:p w14:paraId="73BFA8B7" w14:textId="77777777" w:rsidR="003C2A45" w:rsidRPr="00FC73B5" w:rsidRDefault="003C2A45" w:rsidP="003C2A45">
      <w:pPr>
        <w:rPr>
          <w:szCs w:val="24"/>
        </w:rPr>
      </w:pPr>
    </w:p>
    <w:p w14:paraId="1AB8762F" w14:textId="77777777" w:rsidR="003C2A45" w:rsidRPr="00FC73B5" w:rsidRDefault="003C2A45" w:rsidP="003C2A45">
      <w:pPr>
        <w:rPr>
          <w:szCs w:val="24"/>
        </w:rPr>
      </w:pPr>
    </w:p>
    <w:p w14:paraId="319AACBC" w14:textId="77777777" w:rsidR="003C2A45" w:rsidRPr="00EC72A9" w:rsidRDefault="003C2A45" w:rsidP="003C2A45">
      <w:pPr>
        <w:jc w:val="center"/>
        <w:rPr>
          <w:b/>
          <w:bCs/>
          <w:sz w:val="28"/>
          <w:szCs w:val="28"/>
        </w:rPr>
      </w:pPr>
      <w:r w:rsidRPr="00EC72A9">
        <w:rPr>
          <w:b/>
          <w:bCs/>
          <w:spacing w:val="9"/>
          <w:sz w:val="28"/>
          <w:szCs w:val="28"/>
          <w:shd w:val="clear" w:color="auto" w:fill="FFFFFF"/>
        </w:rPr>
        <w:t xml:space="preserve">Consejo o consultoría de </w:t>
      </w:r>
      <w:r w:rsidRPr="00EC72A9">
        <w:rPr>
          <w:b/>
          <w:bCs/>
          <w:sz w:val="28"/>
          <w:szCs w:val="28"/>
        </w:rPr>
        <w:t>verificación del cumplimiento de la normativa aplicable a los movimiento</w:t>
      </w:r>
      <w:r>
        <w:rPr>
          <w:b/>
          <w:bCs/>
          <w:sz w:val="28"/>
          <w:szCs w:val="28"/>
        </w:rPr>
        <w:t>s</w:t>
      </w:r>
      <w:r w:rsidRPr="00EC72A9">
        <w:rPr>
          <w:b/>
          <w:bCs/>
          <w:sz w:val="28"/>
          <w:szCs w:val="28"/>
        </w:rPr>
        <w:t xml:space="preserve"> administrativos y bloqueo de salarios, por el período comprendido del 1 de enero de 2023 al 30 de septiembre de 2023, en la Dirección Departamental de Educación de Sololá.</w:t>
      </w:r>
    </w:p>
    <w:p w14:paraId="15E182F7" w14:textId="77777777" w:rsidR="003C2A45" w:rsidRPr="00D05827" w:rsidRDefault="003C2A45" w:rsidP="003C2A45">
      <w:pPr>
        <w:jc w:val="center"/>
        <w:rPr>
          <w:b/>
          <w:bCs/>
          <w:spacing w:val="9"/>
          <w:shd w:val="clear" w:color="auto" w:fill="FFFFFF"/>
        </w:rPr>
      </w:pPr>
      <w:r w:rsidRPr="00D05827">
        <w:rPr>
          <w:b/>
          <w:bCs/>
          <w:spacing w:val="9"/>
          <w:shd w:val="clear" w:color="auto" w:fill="FFFFFF"/>
        </w:rPr>
        <w:t>.</w:t>
      </w:r>
    </w:p>
    <w:p w14:paraId="0769E8F8" w14:textId="77777777" w:rsidR="003C2A45" w:rsidRPr="00D05827" w:rsidRDefault="003C2A45" w:rsidP="003C2A45">
      <w:pPr>
        <w:jc w:val="center"/>
        <w:rPr>
          <w:b/>
          <w:bCs/>
          <w:szCs w:val="24"/>
        </w:rPr>
      </w:pPr>
    </w:p>
    <w:p w14:paraId="051B1E28" w14:textId="77777777" w:rsidR="003C2A45" w:rsidRPr="00D05827" w:rsidRDefault="003C2A45" w:rsidP="003C2A45">
      <w:pPr>
        <w:jc w:val="center"/>
        <w:rPr>
          <w:b/>
          <w:bCs/>
          <w:szCs w:val="24"/>
        </w:rPr>
      </w:pPr>
    </w:p>
    <w:p w14:paraId="7C609083" w14:textId="77777777" w:rsidR="003C2A45" w:rsidRPr="00D05827" w:rsidRDefault="003C2A45" w:rsidP="003C2A45">
      <w:pPr>
        <w:jc w:val="center"/>
        <w:rPr>
          <w:b/>
          <w:bCs/>
          <w:szCs w:val="24"/>
        </w:rPr>
      </w:pPr>
    </w:p>
    <w:p w14:paraId="1F94E355" w14:textId="77777777" w:rsidR="003C2A45" w:rsidRPr="00FC73B5" w:rsidRDefault="003C2A45" w:rsidP="003C2A45">
      <w:pPr>
        <w:rPr>
          <w:szCs w:val="24"/>
        </w:rPr>
      </w:pPr>
    </w:p>
    <w:p w14:paraId="2DE20387" w14:textId="77777777" w:rsidR="003C2A45" w:rsidRPr="00FC73B5" w:rsidRDefault="003C2A45" w:rsidP="003C2A45">
      <w:pPr>
        <w:rPr>
          <w:szCs w:val="24"/>
        </w:rPr>
      </w:pPr>
    </w:p>
    <w:p w14:paraId="52AE2F1A" w14:textId="77777777" w:rsidR="003C2A45" w:rsidRPr="00FC73B5" w:rsidRDefault="003C2A45" w:rsidP="003C2A45">
      <w:pPr>
        <w:rPr>
          <w:szCs w:val="24"/>
        </w:rPr>
      </w:pPr>
    </w:p>
    <w:p w14:paraId="7F51E935" w14:textId="77777777" w:rsidR="003C2A45" w:rsidRPr="00FC73B5" w:rsidRDefault="003C2A45" w:rsidP="003C2A45">
      <w:pPr>
        <w:rPr>
          <w:szCs w:val="24"/>
        </w:rPr>
      </w:pPr>
    </w:p>
    <w:p w14:paraId="046CA49F" w14:textId="77777777" w:rsidR="003C2A45" w:rsidRDefault="003C2A45" w:rsidP="003C2A45">
      <w:pPr>
        <w:rPr>
          <w:szCs w:val="24"/>
        </w:rPr>
      </w:pPr>
    </w:p>
    <w:p w14:paraId="56F41FBB" w14:textId="77777777" w:rsidR="003C2A45" w:rsidRDefault="003C2A45" w:rsidP="003C2A45">
      <w:pPr>
        <w:rPr>
          <w:szCs w:val="24"/>
        </w:rPr>
      </w:pPr>
    </w:p>
    <w:p w14:paraId="6E723D12" w14:textId="77777777" w:rsidR="003C2A45" w:rsidRDefault="003C2A45" w:rsidP="003C2A45">
      <w:pPr>
        <w:rPr>
          <w:szCs w:val="24"/>
        </w:rPr>
      </w:pPr>
    </w:p>
    <w:p w14:paraId="2F9DCA36" w14:textId="77777777" w:rsidR="003C2A45" w:rsidRPr="00FC73B5" w:rsidRDefault="003C2A45" w:rsidP="003C2A45">
      <w:pPr>
        <w:rPr>
          <w:szCs w:val="24"/>
        </w:rPr>
      </w:pPr>
    </w:p>
    <w:p w14:paraId="53633808" w14:textId="77777777" w:rsidR="003C2A45" w:rsidRPr="00FC73B5" w:rsidRDefault="003C2A45" w:rsidP="003C2A45">
      <w:pPr>
        <w:rPr>
          <w:szCs w:val="24"/>
        </w:rPr>
      </w:pPr>
    </w:p>
    <w:p w14:paraId="20697083" w14:textId="4947BF14" w:rsidR="003C2A45" w:rsidRDefault="003C2A45" w:rsidP="003C2A45">
      <w:pPr>
        <w:rPr>
          <w:szCs w:val="24"/>
        </w:rPr>
      </w:pPr>
    </w:p>
    <w:p w14:paraId="607A3882" w14:textId="4BD6AFB0" w:rsidR="00D80F86" w:rsidRDefault="00D80F86" w:rsidP="003C2A45">
      <w:pPr>
        <w:rPr>
          <w:szCs w:val="24"/>
        </w:rPr>
      </w:pPr>
    </w:p>
    <w:p w14:paraId="061ED253" w14:textId="77777777" w:rsidR="00D80F86" w:rsidRDefault="00D80F86" w:rsidP="003C2A45">
      <w:pPr>
        <w:rPr>
          <w:szCs w:val="24"/>
        </w:rPr>
      </w:pPr>
    </w:p>
    <w:p w14:paraId="080E10C2" w14:textId="77777777" w:rsidR="003C2A45" w:rsidRDefault="003C2A45" w:rsidP="003C2A45">
      <w:pPr>
        <w:rPr>
          <w:szCs w:val="24"/>
        </w:rPr>
      </w:pPr>
    </w:p>
    <w:p w14:paraId="1EA59AAD" w14:textId="77777777" w:rsidR="003C2A45" w:rsidRDefault="003C2A45" w:rsidP="003C2A45">
      <w:pPr>
        <w:rPr>
          <w:szCs w:val="24"/>
        </w:rPr>
      </w:pPr>
    </w:p>
    <w:p w14:paraId="522B9B2A" w14:textId="77777777" w:rsidR="003C2A45" w:rsidRPr="00FC73B5" w:rsidRDefault="003C2A45" w:rsidP="003C2A45">
      <w:pPr>
        <w:rPr>
          <w:szCs w:val="24"/>
        </w:rPr>
      </w:pPr>
    </w:p>
    <w:p w14:paraId="6DEC7C90" w14:textId="77777777" w:rsidR="003C2A45" w:rsidRPr="00FC73B5" w:rsidRDefault="003C2A45" w:rsidP="003C2A45">
      <w:pPr>
        <w:jc w:val="center"/>
        <w:rPr>
          <w:b/>
          <w:szCs w:val="24"/>
        </w:rPr>
      </w:pPr>
      <w:r w:rsidRPr="00FC73B5">
        <w:rPr>
          <w:b/>
          <w:szCs w:val="24"/>
        </w:rPr>
        <w:t>GUATEMALA,</w:t>
      </w:r>
      <w:r>
        <w:rPr>
          <w:b/>
          <w:szCs w:val="24"/>
        </w:rPr>
        <w:t xml:space="preserve"> NOVIEMBRE</w:t>
      </w:r>
      <w:r w:rsidRPr="00FC73B5">
        <w:rPr>
          <w:b/>
          <w:szCs w:val="24"/>
        </w:rPr>
        <w:t xml:space="preserve"> DE 202</w:t>
      </w:r>
      <w:r>
        <w:rPr>
          <w:b/>
          <w:szCs w:val="24"/>
        </w:rPr>
        <w:t>3</w:t>
      </w:r>
    </w:p>
    <w:p w14:paraId="24738624" w14:textId="77777777" w:rsidR="003C2A45" w:rsidRDefault="003C2A45" w:rsidP="003C2A45">
      <w:pPr>
        <w:spacing w:after="33" w:line="259" w:lineRule="auto"/>
        <w:ind w:left="722" w:right="1"/>
        <w:jc w:val="center"/>
        <w:rPr>
          <w:b/>
        </w:rPr>
      </w:pPr>
    </w:p>
    <w:p w14:paraId="7EEDE738" w14:textId="77777777" w:rsidR="003C2A45" w:rsidRDefault="003C2A45" w:rsidP="003C2A45">
      <w:pPr>
        <w:spacing w:after="33" w:line="259" w:lineRule="auto"/>
        <w:ind w:left="722" w:right="1"/>
        <w:jc w:val="center"/>
        <w:rPr>
          <w:b/>
        </w:rPr>
      </w:pPr>
    </w:p>
    <w:p w14:paraId="00F96486" w14:textId="77777777" w:rsidR="003C2A45" w:rsidRDefault="003C2A45" w:rsidP="003C2A45">
      <w:pPr>
        <w:spacing w:after="33" w:line="259" w:lineRule="auto"/>
        <w:ind w:left="722" w:right="1"/>
        <w:jc w:val="center"/>
        <w:rPr>
          <w:b/>
        </w:rPr>
      </w:pPr>
    </w:p>
    <w:p w14:paraId="7A922B4A" w14:textId="77777777" w:rsidR="003C2A45" w:rsidRDefault="003C2A45" w:rsidP="003C2A45">
      <w:pPr>
        <w:spacing w:after="33" w:line="259" w:lineRule="auto"/>
        <w:ind w:left="722" w:right="1"/>
        <w:jc w:val="center"/>
        <w:rPr>
          <w:b/>
        </w:rPr>
      </w:pPr>
    </w:p>
    <w:p w14:paraId="5493A214" w14:textId="77777777" w:rsidR="003C2A45" w:rsidRDefault="003C2A45" w:rsidP="003C2A45">
      <w:pPr>
        <w:spacing w:after="33" w:line="259" w:lineRule="auto"/>
        <w:ind w:left="722" w:right="709"/>
        <w:jc w:val="center"/>
      </w:pPr>
      <w:r>
        <w:rPr>
          <w:b/>
        </w:rPr>
        <w:t>INDICE</w:t>
      </w:r>
    </w:p>
    <w:p w14:paraId="3EBDC9BC" w14:textId="77777777" w:rsidR="003C2A45" w:rsidRDefault="003C2A45" w:rsidP="003C2A45">
      <w:pPr>
        <w:spacing w:after="22" w:line="259" w:lineRule="auto"/>
        <w:ind w:left="0" w:firstLine="0"/>
        <w:jc w:val="left"/>
      </w:pPr>
      <w:r>
        <w:t xml:space="preserve"> </w:t>
      </w:r>
    </w:p>
    <w:p w14:paraId="11F0FD6D" w14:textId="77777777" w:rsidR="003C2A45" w:rsidRDefault="003C2A45" w:rsidP="003C2A45">
      <w:pPr>
        <w:spacing w:after="85" w:line="259" w:lineRule="auto"/>
        <w:ind w:left="0" w:firstLine="0"/>
        <w:jc w:val="left"/>
      </w:pPr>
      <w:r>
        <w:t xml:space="preserve"> </w:t>
      </w:r>
    </w:p>
    <w:p w14:paraId="6537070D" w14:textId="77777777" w:rsidR="003C2A45" w:rsidRDefault="003C2A45" w:rsidP="003C2A45">
      <w:pPr>
        <w:pStyle w:val="TDC1"/>
        <w:tabs>
          <w:tab w:val="right" w:pos="8117"/>
        </w:tabs>
      </w:pPr>
    </w:p>
    <w:p w14:paraId="0B16705E" w14:textId="78300400" w:rsidR="003C2A45" w:rsidRDefault="003C2A45" w:rsidP="008C53E6">
      <w:pPr>
        <w:pStyle w:val="TDC1"/>
        <w:numPr>
          <w:ilvl w:val="0"/>
          <w:numId w:val="24"/>
        </w:numPr>
        <w:tabs>
          <w:tab w:val="right" w:pos="8117"/>
        </w:tabs>
      </w:pPr>
      <w:r>
        <w:t xml:space="preserve">INTRODUCCION </w:t>
      </w:r>
      <w:r>
        <w:tab/>
        <w:t>1</w:t>
      </w:r>
    </w:p>
    <w:p w14:paraId="76E1762D" w14:textId="77777777" w:rsidR="003C2A45" w:rsidRDefault="003C2A45" w:rsidP="003C2A45">
      <w:pPr>
        <w:pStyle w:val="TDC1"/>
        <w:tabs>
          <w:tab w:val="right" w:pos="8117"/>
        </w:tabs>
      </w:pPr>
    </w:p>
    <w:p w14:paraId="427F86BF" w14:textId="39B0A85D" w:rsidR="003C2A45" w:rsidRDefault="003C2A45" w:rsidP="008C53E6">
      <w:pPr>
        <w:pStyle w:val="TDC1"/>
        <w:numPr>
          <w:ilvl w:val="0"/>
          <w:numId w:val="24"/>
        </w:numPr>
        <w:tabs>
          <w:tab w:val="right" w:pos="8117"/>
        </w:tabs>
      </w:pPr>
      <w:r>
        <w:t>OBJETIVOS</w:t>
      </w:r>
      <w:r>
        <w:tab/>
        <w:t>1</w:t>
      </w:r>
    </w:p>
    <w:p w14:paraId="31612488" w14:textId="77777777" w:rsidR="003C2A45" w:rsidRDefault="003C2A45" w:rsidP="003C2A45">
      <w:pPr>
        <w:pStyle w:val="TDC1"/>
        <w:tabs>
          <w:tab w:val="right" w:pos="8117"/>
        </w:tabs>
      </w:pPr>
    </w:p>
    <w:p w14:paraId="76C33265" w14:textId="38071CB9" w:rsidR="003C2A45" w:rsidRDefault="003C2A45" w:rsidP="008C53E6">
      <w:pPr>
        <w:pStyle w:val="TDC1"/>
        <w:numPr>
          <w:ilvl w:val="0"/>
          <w:numId w:val="24"/>
        </w:numPr>
        <w:tabs>
          <w:tab w:val="right" w:pos="8117"/>
        </w:tabs>
        <w:spacing w:line="276" w:lineRule="auto"/>
      </w:pPr>
      <w:r>
        <w:t>ALCANCE DE LA ACTIVIDAD</w:t>
      </w:r>
      <w:r>
        <w:tab/>
        <w:t>1</w:t>
      </w:r>
    </w:p>
    <w:p w14:paraId="60EE2A91" w14:textId="77777777" w:rsidR="006679CB" w:rsidRDefault="006679CB" w:rsidP="006679CB">
      <w:pPr>
        <w:pStyle w:val="TDC1"/>
        <w:tabs>
          <w:tab w:val="right" w:pos="8117"/>
        </w:tabs>
        <w:spacing w:line="276" w:lineRule="auto"/>
      </w:pPr>
    </w:p>
    <w:p w14:paraId="49CB0882" w14:textId="283112F5" w:rsidR="003C2A45" w:rsidRDefault="003C2A45" w:rsidP="008C53E6">
      <w:pPr>
        <w:pStyle w:val="TDC1"/>
        <w:numPr>
          <w:ilvl w:val="0"/>
          <w:numId w:val="24"/>
        </w:numPr>
        <w:tabs>
          <w:tab w:val="right" w:pos="8117"/>
        </w:tabs>
        <w:spacing w:line="276" w:lineRule="auto"/>
      </w:pPr>
      <w:r>
        <w:t>RESULTADOS DE LA ACTIVIDAD</w:t>
      </w:r>
      <w:r>
        <w:tab/>
      </w:r>
      <w:r w:rsidR="008C53E6">
        <w:t>1</w:t>
      </w:r>
    </w:p>
    <w:p w14:paraId="6D110CBA" w14:textId="0155ECBC" w:rsidR="006679CB" w:rsidRDefault="006679CB" w:rsidP="006679CB">
      <w:pPr>
        <w:pStyle w:val="TDC1"/>
        <w:tabs>
          <w:tab w:val="right" w:pos="8117"/>
        </w:tabs>
        <w:spacing w:line="276" w:lineRule="auto"/>
      </w:pPr>
    </w:p>
    <w:p w14:paraId="58679F25" w14:textId="3C9BFC52" w:rsidR="008C53E6" w:rsidRDefault="008C53E6" w:rsidP="006679CB">
      <w:pPr>
        <w:pStyle w:val="TDC1"/>
        <w:tabs>
          <w:tab w:val="right" w:pos="8117"/>
        </w:tabs>
        <w:spacing w:line="276" w:lineRule="auto"/>
      </w:pPr>
      <w:r>
        <w:t>4.1 INFORMACIÓN EXAMINADA</w:t>
      </w:r>
      <w:r>
        <w:tab/>
        <w:t>2</w:t>
      </w:r>
    </w:p>
    <w:p w14:paraId="26DCD7F7" w14:textId="547F8EBD" w:rsidR="008C53E6" w:rsidRDefault="008C53E6" w:rsidP="006679CB">
      <w:pPr>
        <w:widowControl w:val="0"/>
        <w:kinsoku w:val="0"/>
        <w:overflowPunct w:val="0"/>
        <w:autoSpaceDE w:val="0"/>
        <w:autoSpaceDN w:val="0"/>
        <w:adjustRightInd w:val="0"/>
        <w:spacing w:after="0" w:line="240" w:lineRule="auto"/>
        <w:jc w:val="left"/>
        <w:rPr>
          <w:b/>
          <w:bCs/>
          <w:spacing w:val="4"/>
        </w:rPr>
      </w:pPr>
    </w:p>
    <w:p w14:paraId="3C93B9F5" w14:textId="77777777" w:rsidR="008C53E6" w:rsidRPr="008C53E6" w:rsidRDefault="008C53E6" w:rsidP="008C53E6">
      <w:pPr>
        <w:widowControl w:val="0"/>
        <w:kinsoku w:val="0"/>
        <w:overflowPunct w:val="0"/>
        <w:autoSpaceDE w:val="0"/>
        <w:autoSpaceDN w:val="0"/>
        <w:adjustRightInd w:val="0"/>
        <w:spacing w:after="0" w:line="240" w:lineRule="auto"/>
        <w:jc w:val="left"/>
        <w:rPr>
          <w:b/>
          <w:bCs/>
          <w:spacing w:val="4"/>
          <w:sz w:val="18"/>
          <w:szCs w:val="18"/>
        </w:rPr>
      </w:pPr>
    </w:p>
    <w:p w14:paraId="4EB3E34E" w14:textId="157D5A6D" w:rsidR="006679CB" w:rsidRPr="005A0853" w:rsidRDefault="008C53E6" w:rsidP="006679CB">
      <w:pPr>
        <w:widowControl w:val="0"/>
        <w:kinsoku w:val="0"/>
        <w:overflowPunct w:val="0"/>
        <w:autoSpaceDE w:val="0"/>
        <w:autoSpaceDN w:val="0"/>
        <w:adjustRightInd w:val="0"/>
        <w:spacing w:after="0" w:line="240" w:lineRule="auto"/>
        <w:jc w:val="left"/>
        <w:rPr>
          <w:b/>
          <w:bCs/>
          <w:spacing w:val="-2"/>
        </w:rPr>
      </w:pPr>
      <w:r>
        <w:rPr>
          <w:b/>
          <w:bCs/>
          <w:spacing w:val="4"/>
        </w:rPr>
        <w:t>4.2 CONCLUSIÓN</w:t>
      </w:r>
      <w:r w:rsidR="006679CB">
        <w:rPr>
          <w:b/>
          <w:bCs/>
          <w:spacing w:val="-2"/>
        </w:rPr>
        <w:tab/>
      </w:r>
      <w:r w:rsidR="006679CB">
        <w:rPr>
          <w:b/>
          <w:bCs/>
          <w:spacing w:val="-2"/>
        </w:rPr>
        <w:tab/>
      </w:r>
      <w:r w:rsidR="006679CB">
        <w:rPr>
          <w:b/>
          <w:bCs/>
          <w:spacing w:val="-2"/>
        </w:rPr>
        <w:tab/>
      </w:r>
      <w:r w:rsidR="006679CB">
        <w:rPr>
          <w:b/>
          <w:bCs/>
          <w:spacing w:val="-2"/>
        </w:rPr>
        <w:tab/>
      </w:r>
      <w:r w:rsidR="006679CB">
        <w:rPr>
          <w:b/>
          <w:bCs/>
          <w:spacing w:val="-2"/>
        </w:rPr>
        <w:tab/>
      </w:r>
      <w:r w:rsidR="006679CB">
        <w:rPr>
          <w:b/>
          <w:bCs/>
          <w:spacing w:val="-2"/>
        </w:rPr>
        <w:tab/>
        <w:t xml:space="preserve">        </w:t>
      </w:r>
      <w:r w:rsidR="00F52D5E">
        <w:rPr>
          <w:b/>
          <w:bCs/>
          <w:spacing w:val="-2"/>
        </w:rPr>
        <w:tab/>
      </w:r>
      <w:r w:rsidR="00F52D5E">
        <w:rPr>
          <w:b/>
          <w:bCs/>
          <w:spacing w:val="-2"/>
        </w:rPr>
        <w:tab/>
        <w:t xml:space="preserve">        </w:t>
      </w:r>
      <w:r w:rsidR="006679CB">
        <w:rPr>
          <w:b/>
          <w:bCs/>
          <w:spacing w:val="-2"/>
        </w:rPr>
        <w:t xml:space="preserve">  2-</w:t>
      </w:r>
      <w:r>
        <w:rPr>
          <w:b/>
          <w:bCs/>
          <w:spacing w:val="-2"/>
        </w:rPr>
        <w:t>3</w:t>
      </w:r>
    </w:p>
    <w:p w14:paraId="344824AD" w14:textId="44B24114" w:rsidR="006679CB" w:rsidRPr="008C53E6" w:rsidRDefault="006679CB" w:rsidP="006679CB">
      <w:pPr>
        <w:pStyle w:val="TDC1"/>
        <w:tabs>
          <w:tab w:val="right" w:pos="8117"/>
        </w:tabs>
        <w:spacing w:line="276" w:lineRule="auto"/>
        <w:rPr>
          <w:sz w:val="32"/>
          <w:szCs w:val="32"/>
        </w:rPr>
      </w:pPr>
    </w:p>
    <w:p w14:paraId="106CDEF6" w14:textId="2C796D14" w:rsidR="003C2A45" w:rsidRDefault="008C53E6" w:rsidP="006679CB">
      <w:pPr>
        <w:pStyle w:val="TDC1"/>
        <w:tabs>
          <w:tab w:val="right" w:pos="8117"/>
        </w:tabs>
        <w:spacing w:line="276" w:lineRule="auto"/>
        <w:ind w:left="0" w:firstLine="0"/>
      </w:pPr>
      <w:r>
        <w:t xml:space="preserve">4.3 </w:t>
      </w:r>
      <w:r w:rsidR="003C2A45">
        <w:t>RECOMENDACIONES</w:t>
      </w:r>
      <w:r w:rsidR="003C2A45">
        <w:tab/>
      </w:r>
      <w:r>
        <w:t>3-4</w:t>
      </w:r>
    </w:p>
    <w:p w14:paraId="6145F973" w14:textId="77777777" w:rsidR="008C53E6" w:rsidRDefault="008C53E6" w:rsidP="006679CB">
      <w:pPr>
        <w:pStyle w:val="TDC1"/>
        <w:tabs>
          <w:tab w:val="right" w:pos="8117"/>
        </w:tabs>
        <w:spacing w:line="276" w:lineRule="auto"/>
      </w:pPr>
    </w:p>
    <w:p w14:paraId="6F02EB09" w14:textId="35BFF1B5" w:rsidR="003C2A45" w:rsidRDefault="003C2A45" w:rsidP="006679CB">
      <w:pPr>
        <w:pStyle w:val="TDC1"/>
        <w:tabs>
          <w:tab w:val="right" w:pos="8117"/>
        </w:tabs>
        <w:spacing w:line="276" w:lineRule="auto"/>
        <w:sectPr w:rsidR="003C2A45" w:rsidSect="004A0EA2">
          <w:headerReference w:type="default" r:id="rId11"/>
          <w:pgSz w:w="12240" w:h="15840"/>
          <w:pgMar w:top="1159" w:right="2412" w:bottom="665" w:left="1701" w:header="720" w:footer="519" w:gutter="0"/>
          <w:cols w:space="720"/>
        </w:sectPr>
      </w:pPr>
      <w:r>
        <w:t>ANEXOS</w:t>
      </w:r>
      <w:r>
        <w:tab/>
      </w:r>
      <w:r w:rsidR="00F52D5E">
        <w:t>5-7</w:t>
      </w:r>
    </w:p>
    <w:p w14:paraId="1DCC09B2" w14:textId="379CACA2" w:rsidR="0063434E" w:rsidRDefault="0063434E" w:rsidP="0063434E">
      <w:pPr>
        <w:pStyle w:val="Prrafodelista"/>
        <w:spacing w:after="0" w:line="276" w:lineRule="auto"/>
        <w:ind w:left="350" w:firstLine="0"/>
        <w:rPr>
          <w:rFonts w:eastAsia="Times New Roman"/>
          <w:b/>
          <w:color w:val="auto"/>
          <w:szCs w:val="24"/>
          <w:bdr w:val="none" w:sz="0" w:space="0" w:color="auto" w:frame="1"/>
        </w:rPr>
      </w:pPr>
    </w:p>
    <w:p w14:paraId="10979AD2" w14:textId="77777777" w:rsidR="0063434E" w:rsidRDefault="0063434E" w:rsidP="0063434E">
      <w:pPr>
        <w:pStyle w:val="Prrafodelista"/>
        <w:spacing w:after="0" w:line="276" w:lineRule="auto"/>
        <w:ind w:left="350" w:firstLine="0"/>
        <w:rPr>
          <w:rFonts w:eastAsia="Times New Roman"/>
          <w:b/>
          <w:color w:val="auto"/>
          <w:szCs w:val="24"/>
          <w:bdr w:val="none" w:sz="0" w:space="0" w:color="auto" w:frame="1"/>
        </w:rPr>
      </w:pPr>
    </w:p>
    <w:p w14:paraId="3511C3B9" w14:textId="1F1FB0BD"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INTRODUCCIÓN</w:t>
      </w:r>
    </w:p>
    <w:p w14:paraId="058E6135" w14:textId="77777777" w:rsidR="003C2A45" w:rsidRPr="009C3996" w:rsidRDefault="003C2A45" w:rsidP="003C2A45">
      <w:r w:rsidRPr="009C3996">
        <w:rPr>
          <w:rStyle w:val="normaltextrun"/>
          <w:lang w:val="es-ES"/>
        </w:rPr>
        <w:t xml:space="preserve">De conformidad con el nombramiento de Auditoría </w:t>
      </w:r>
      <w:r w:rsidRPr="009C3996">
        <w:rPr>
          <w:rStyle w:val="normaltextrun"/>
          <w:b/>
          <w:bCs/>
          <w:lang w:val="es-ES"/>
        </w:rPr>
        <w:t>O-DIDAI/SUB-182-2023</w:t>
      </w:r>
      <w:r w:rsidRPr="009C3996">
        <w:rPr>
          <w:rStyle w:val="normaltextrun"/>
          <w:lang w:val="es-ES"/>
        </w:rPr>
        <w:t xml:space="preserve"> de fecha 25 de octubre de 2023, </w:t>
      </w:r>
      <w:r w:rsidRPr="009C3996">
        <w:t xml:space="preserve">emitido por la </w:t>
      </w:r>
      <w:proofErr w:type="gramStart"/>
      <w:r w:rsidRPr="009C3996">
        <w:t>Directora</w:t>
      </w:r>
      <w:proofErr w:type="gramEnd"/>
      <w:r w:rsidRPr="009C3996">
        <w:t xml:space="preserve"> de Auditoría Interna del Ministerio de Educación, fui designada para realizar consejo o consultoría de verificación del cumplimiento de la normativa aplicable a los movimiento administrativos y bloqueo de salarios, por el período comprendido del 1 de enero de 2023 al 30 de septiembre de 2023, en la Dirección Departamental de Educación de Sololá.</w:t>
      </w:r>
    </w:p>
    <w:p w14:paraId="4233EF4B" w14:textId="77777777" w:rsidR="003C2A45" w:rsidRPr="0079760A" w:rsidRDefault="003C2A45" w:rsidP="003C2A45">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5D6FDD32" w14:textId="106EF076"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OBJETIVOS</w:t>
      </w:r>
    </w:p>
    <w:p w14:paraId="2785B5E9" w14:textId="77777777" w:rsidR="003C2A45" w:rsidRPr="0079760A" w:rsidRDefault="003C2A45" w:rsidP="003C2A45">
      <w:pPr>
        <w:spacing w:after="0" w:line="276" w:lineRule="auto"/>
        <w:ind w:left="0"/>
        <w:rPr>
          <w:rFonts w:eastAsia="Times New Roman"/>
          <w:b/>
          <w:color w:val="auto"/>
          <w:szCs w:val="24"/>
          <w:bdr w:val="none" w:sz="0" w:space="0" w:color="auto" w:frame="1"/>
        </w:rPr>
      </w:pPr>
    </w:p>
    <w:p w14:paraId="4FA070F4" w14:textId="77777777" w:rsidR="003C2A45" w:rsidRPr="0079760A" w:rsidRDefault="003C2A45" w:rsidP="003C2A45">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591A1B27" w14:textId="77777777" w:rsidR="003C2A45" w:rsidRDefault="003C2A45" w:rsidP="00343991">
      <w:pPr>
        <w:spacing w:after="0" w:line="276" w:lineRule="auto"/>
        <w:ind w:left="0"/>
        <w:rPr>
          <w:rFonts w:eastAsia="Times New Roman"/>
          <w:color w:val="auto"/>
          <w:szCs w:val="24"/>
          <w:bdr w:val="none" w:sz="0" w:space="0" w:color="auto" w:frame="1"/>
        </w:rPr>
      </w:pPr>
      <w:r>
        <w:rPr>
          <w:rFonts w:eastAsia="Times New Roman"/>
          <w:color w:val="auto"/>
          <w:szCs w:val="24"/>
          <w:bdr w:val="none" w:sz="0" w:space="0" w:color="auto" w:frame="1"/>
        </w:rPr>
        <w:t>Verificar el cumplimiento de la normativa aplicable a los movimientos administrativos y bloqueo de salarios.</w:t>
      </w:r>
    </w:p>
    <w:p w14:paraId="59909131" w14:textId="77777777" w:rsidR="003C2A45" w:rsidRPr="0079760A" w:rsidRDefault="003C2A45" w:rsidP="003C2A45">
      <w:pPr>
        <w:spacing w:after="0" w:line="276" w:lineRule="auto"/>
        <w:ind w:left="0"/>
        <w:rPr>
          <w:rFonts w:eastAsia="Times New Roman"/>
          <w:color w:val="auto"/>
          <w:szCs w:val="24"/>
          <w:bdr w:val="none" w:sz="0" w:space="0" w:color="auto" w:frame="1"/>
        </w:rPr>
      </w:pPr>
    </w:p>
    <w:p w14:paraId="1A1EDF77" w14:textId="77777777" w:rsidR="003C2A45" w:rsidRPr="0079760A" w:rsidRDefault="003C2A45" w:rsidP="003C2A45">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2D6FA9D4" w14:textId="77777777" w:rsidR="003C2A45" w:rsidRPr="00983424" w:rsidRDefault="003C2A45" w:rsidP="003C2A45">
      <w:pPr>
        <w:pStyle w:val="Prrafodelista"/>
        <w:numPr>
          <w:ilvl w:val="0"/>
          <w:numId w:val="16"/>
        </w:numPr>
        <w:spacing w:after="0" w:line="276" w:lineRule="auto"/>
        <w:ind w:left="284" w:hanging="284"/>
        <w:rPr>
          <w:rFonts w:eastAsia="Times New Roman"/>
          <w:color w:val="auto"/>
          <w:szCs w:val="24"/>
          <w:bdr w:val="none" w:sz="0" w:space="0" w:color="auto" w:frame="1"/>
        </w:rPr>
      </w:pPr>
      <w:r w:rsidRPr="00983424">
        <w:rPr>
          <w:rFonts w:eastAsia="Times New Roman"/>
          <w:color w:val="auto"/>
          <w:szCs w:val="24"/>
          <w:bdr w:val="none" w:sz="0" w:space="0" w:color="auto" w:frame="1"/>
        </w:rPr>
        <w:t>Verificar si los movimientos administrativos generaron sueldos pagados no devengados.</w:t>
      </w:r>
    </w:p>
    <w:p w14:paraId="2FD2FC70" w14:textId="77777777" w:rsidR="003C2A45" w:rsidRDefault="003C2A45" w:rsidP="00343991">
      <w:pPr>
        <w:spacing w:after="0" w:line="240" w:lineRule="auto"/>
        <w:ind w:left="0"/>
        <w:rPr>
          <w:rFonts w:eastAsia="Times New Roman"/>
          <w:color w:val="auto"/>
          <w:szCs w:val="24"/>
          <w:bdr w:val="none" w:sz="0" w:space="0" w:color="auto" w:frame="1"/>
        </w:rPr>
      </w:pPr>
    </w:p>
    <w:p w14:paraId="4C2B2709" w14:textId="77777777" w:rsidR="003C2A45" w:rsidRPr="00983424" w:rsidRDefault="003C2A45" w:rsidP="003C2A45">
      <w:pPr>
        <w:pStyle w:val="Prrafodelista"/>
        <w:numPr>
          <w:ilvl w:val="0"/>
          <w:numId w:val="16"/>
        </w:numPr>
        <w:spacing w:after="0" w:line="276" w:lineRule="auto"/>
        <w:ind w:left="284" w:hanging="284"/>
        <w:rPr>
          <w:rFonts w:eastAsia="Times New Roman"/>
          <w:color w:val="auto"/>
          <w:szCs w:val="24"/>
          <w:bdr w:val="none" w:sz="0" w:space="0" w:color="auto" w:frame="1"/>
        </w:rPr>
      </w:pPr>
      <w:r w:rsidRPr="00983424">
        <w:rPr>
          <w:rFonts w:eastAsia="Times New Roman"/>
          <w:color w:val="auto"/>
          <w:szCs w:val="24"/>
          <w:bdr w:val="none" w:sz="0" w:space="0" w:color="auto" w:frame="1"/>
        </w:rPr>
        <w:t>Verificar si se realizó el bloqueo de salarios oportunamente, así como el registro en tiempo de los movimientos administrativos</w:t>
      </w:r>
      <w:r>
        <w:rPr>
          <w:rFonts w:eastAsia="Times New Roman"/>
          <w:color w:val="auto"/>
          <w:szCs w:val="24"/>
          <w:bdr w:val="none" w:sz="0" w:space="0" w:color="auto" w:frame="1"/>
        </w:rPr>
        <w:t>.</w:t>
      </w:r>
    </w:p>
    <w:p w14:paraId="2E854FA6" w14:textId="77777777" w:rsidR="003C2A45" w:rsidRPr="0079760A" w:rsidRDefault="003C2A45" w:rsidP="00343991">
      <w:pPr>
        <w:spacing w:after="0" w:line="240" w:lineRule="auto"/>
        <w:ind w:left="0"/>
        <w:rPr>
          <w:rFonts w:eastAsia="Times New Roman"/>
          <w:color w:val="auto"/>
          <w:szCs w:val="24"/>
          <w:bdr w:val="none" w:sz="0" w:space="0" w:color="auto" w:frame="1"/>
        </w:rPr>
      </w:pPr>
    </w:p>
    <w:p w14:paraId="4B4D62CE" w14:textId="1455F9B0"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 xml:space="preserve">ALCANCE DE LA ACTIVIDAD </w:t>
      </w:r>
    </w:p>
    <w:p w14:paraId="72D447F5" w14:textId="53F3EFB3" w:rsidR="003C2A45" w:rsidRDefault="003C2A45" w:rsidP="006C23F9">
      <w:pPr>
        <w:spacing w:line="245" w:lineRule="auto"/>
        <w:ind w:right="46"/>
      </w:pPr>
      <w:bookmarkStart w:id="0" w:name="_Hlk150442279"/>
      <w:r>
        <w:t>En la v</w:t>
      </w:r>
      <w:r w:rsidRPr="009C3996">
        <w:t>erificación del cumplimiento de la normativa aplicable a los movimiento</w:t>
      </w:r>
      <w:r>
        <w:t>s</w:t>
      </w:r>
      <w:r w:rsidRPr="009C3996">
        <w:t xml:space="preserve"> administrativos y bloqueo de salarios</w:t>
      </w:r>
      <w:r>
        <w:t xml:space="preserve"> de conformidad con el Nombramiento de </w:t>
      </w:r>
      <w:r w:rsidR="006C23F9" w:rsidRPr="009C3996">
        <w:rPr>
          <w:rStyle w:val="normaltextrun"/>
          <w:lang w:val="es-ES"/>
        </w:rPr>
        <w:t xml:space="preserve">de Auditoría </w:t>
      </w:r>
      <w:r w:rsidR="006C23F9" w:rsidRPr="006C23F9">
        <w:rPr>
          <w:rStyle w:val="normaltextrun"/>
          <w:lang w:val="es-ES"/>
        </w:rPr>
        <w:t>O-DIDAI/SUB-182-2023</w:t>
      </w:r>
      <w:r w:rsidR="006C23F9" w:rsidRPr="009C3996">
        <w:rPr>
          <w:rStyle w:val="normaltextrun"/>
          <w:lang w:val="es-ES"/>
        </w:rPr>
        <w:t xml:space="preserve"> de fecha 25 de octubre de 2023</w:t>
      </w:r>
      <w:r>
        <w:t xml:space="preserve"> emitido por la Directora de Auditoría Interna del Ministerio de Educación, comprendió la revisión del proceso de registro de los movimientos administrativos de personal, generados en el Sistema de Nóminas </w:t>
      </w:r>
      <w:proofErr w:type="spellStart"/>
      <w:r>
        <w:t>Guatenóminas</w:t>
      </w:r>
      <w:proofErr w:type="spellEnd"/>
      <w:r>
        <w:t>, para verificar si se efectuaron pagos de salarios no devengados, así como el registro oportuno de bloqueo de salarios, de conformidad con la normativa aplicable, en la Dirección Departamental de Educación de Sololá,  por el período comprendido del 01 de enero al 3</w:t>
      </w:r>
      <w:r w:rsidR="006C23F9">
        <w:t>0</w:t>
      </w:r>
      <w:r>
        <w:t xml:space="preserve"> de </w:t>
      </w:r>
      <w:r w:rsidR="006C23F9">
        <w:t>septiembre</w:t>
      </w:r>
      <w:r>
        <w:t xml:space="preserve"> de 202</w:t>
      </w:r>
      <w:r w:rsidR="006C23F9">
        <w:t>3</w:t>
      </w:r>
      <w:r>
        <w:t>.</w:t>
      </w:r>
    </w:p>
    <w:bookmarkEnd w:id="0"/>
    <w:p w14:paraId="54D97B03" w14:textId="77777777" w:rsidR="003C2A45" w:rsidRDefault="003C2A45" w:rsidP="003C2A45">
      <w:pPr>
        <w:spacing w:line="247" w:lineRule="exact"/>
        <w:rPr>
          <w:rFonts w:ascii="Times New Roman" w:eastAsia="Times New Roman" w:hAnsi="Times New Roman"/>
        </w:rPr>
      </w:pPr>
    </w:p>
    <w:p w14:paraId="3651096B" w14:textId="17D01C17" w:rsidR="003C2A45" w:rsidRDefault="003C2A45" w:rsidP="0020633B">
      <w:pPr>
        <w:spacing w:line="262" w:lineRule="auto"/>
        <w:ind w:right="46"/>
      </w:pPr>
      <w:r>
        <w:t xml:space="preserve">Se evaluó el 100% de casos, integrados de la siguiente forma: 10 casos por fallecimiento; 45 casos por jubilación; 5 caso por renuncia, 7 casos por rescisión; 1 caso por suspensión por aprehensión, detención y prisión </w:t>
      </w:r>
      <w:r w:rsidR="006C23F9">
        <w:t xml:space="preserve">para </w:t>
      </w:r>
      <w:r>
        <w:t xml:space="preserve">un total de 68 casos. </w:t>
      </w:r>
    </w:p>
    <w:p w14:paraId="6A5569F3" w14:textId="77777777" w:rsidR="003C2A45" w:rsidRDefault="003C2A45" w:rsidP="003C2A45">
      <w:pPr>
        <w:spacing w:line="0" w:lineRule="atLeast"/>
        <w:ind w:left="0" w:firstLine="0"/>
        <w:rPr>
          <w:b/>
          <w:bCs/>
        </w:rPr>
      </w:pPr>
    </w:p>
    <w:p w14:paraId="15B22314" w14:textId="1A26D32B" w:rsidR="00AD5DFB" w:rsidRPr="00AD5DFB" w:rsidRDefault="00AD5DFB"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RESULTADOS DE LA ACTIVIDAD</w:t>
      </w:r>
    </w:p>
    <w:p w14:paraId="6DF86BE9" w14:textId="05373839" w:rsidR="00AD5DFB" w:rsidRDefault="00AD5DFB" w:rsidP="00AD5DFB">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32749942" w14:textId="77777777" w:rsidR="00AD5DFB" w:rsidRDefault="00AD5DFB" w:rsidP="00AD5DFB">
      <w:pPr>
        <w:spacing w:after="0" w:line="276" w:lineRule="auto"/>
        <w:ind w:left="0"/>
        <w:rPr>
          <w:rFonts w:eastAsia="Times New Roman"/>
          <w:color w:val="auto"/>
          <w:szCs w:val="24"/>
          <w:bdr w:val="none" w:sz="0" w:space="0" w:color="auto" w:frame="1"/>
        </w:rPr>
      </w:pPr>
    </w:p>
    <w:p w14:paraId="56BFC33F" w14:textId="77777777" w:rsidR="00AD5DFB" w:rsidRDefault="00AD5DFB" w:rsidP="003C2A45">
      <w:pPr>
        <w:spacing w:line="0" w:lineRule="atLeast"/>
        <w:ind w:left="0" w:firstLine="0"/>
        <w:rPr>
          <w:b/>
          <w:bCs/>
        </w:rPr>
      </w:pPr>
    </w:p>
    <w:p w14:paraId="1A6E9390" w14:textId="77777777" w:rsidR="0063434E" w:rsidRDefault="0063434E" w:rsidP="003C2A45">
      <w:pPr>
        <w:spacing w:line="0" w:lineRule="atLeast"/>
        <w:ind w:left="0" w:firstLine="0"/>
        <w:rPr>
          <w:b/>
          <w:bCs/>
        </w:rPr>
      </w:pPr>
    </w:p>
    <w:p w14:paraId="6B7D850F" w14:textId="3E283572" w:rsidR="003C2A45" w:rsidRDefault="00AD5DFB" w:rsidP="003C2A45">
      <w:pPr>
        <w:spacing w:line="0" w:lineRule="atLeast"/>
        <w:ind w:left="0" w:firstLine="0"/>
        <w:rPr>
          <w:b/>
          <w:bCs/>
        </w:rPr>
      </w:pPr>
      <w:r>
        <w:rPr>
          <w:b/>
          <w:bCs/>
        </w:rPr>
        <w:t xml:space="preserve">4.1 </w:t>
      </w:r>
      <w:r w:rsidR="003C2A45" w:rsidRPr="00CF5795">
        <w:rPr>
          <w:b/>
          <w:bCs/>
        </w:rPr>
        <w:t>INFORMACIÓN EXAMINADA</w:t>
      </w:r>
    </w:p>
    <w:p w14:paraId="49667BBF" w14:textId="231B2735" w:rsidR="003C2A45" w:rsidRDefault="003C2A45" w:rsidP="003C2A45">
      <w:pPr>
        <w:spacing w:line="253" w:lineRule="auto"/>
      </w:pPr>
      <w:r>
        <w:t xml:space="preserve">De conformidad con el trabajo realizado en la </w:t>
      </w:r>
      <w:r w:rsidRPr="009C3996">
        <w:t>verificación del cumplimiento de la normativa aplicable a los movimiento</w:t>
      </w:r>
      <w:r>
        <w:t>s</w:t>
      </w:r>
      <w:r w:rsidRPr="009C3996">
        <w:t xml:space="preserve"> administrativos</w:t>
      </w:r>
      <w:r w:rsidR="006C23F9">
        <w:t xml:space="preserve">, </w:t>
      </w:r>
      <w:r w:rsidRPr="009C3996">
        <w:t>bloqueo de salarios</w:t>
      </w:r>
      <w:r>
        <w:t xml:space="preserve"> y en</w:t>
      </w:r>
      <w:r w:rsidR="00760576">
        <w:t xml:space="preserve"> </w:t>
      </w:r>
      <w:r>
        <w:t xml:space="preserve">cumplir con los procesos administrativos correspondientes, se presenta </w:t>
      </w:r>
      <w:r w:rsidR="0020633B">
        <w:t xml:space="preserve">la </w:t>
      </w:r>
      <w:r>
        <w:t xml:space="preserve">siguiente </w:t>
      </w:r>
      <w:r w:rsidR="0020633B">
        <w:t>información</w:t>
      </w:r>
      <w:r>
        <w:t>:</w:t>
      </w:r>
    </w:p>
    <w:p w14:paraId="63BBE994" w14:textId="77777777" w:rsidR="0063434E" w:rsidRDefault="0063434E" w:rsidP="003C2A45">
      <w:pPr>
        <w:spacing w:line="253" w:lineRule="auto"/>
      </w:pPr>
    </w:p>
    <w:p w14:paraId="6F9D63F2" w14:textId="77777777" w:rsidR="00B74DD4" w:rsidRDefault="00B74DD4" w:rsidP="003C2A45">
      <w:pPr>
        <w:spacing w:line="253" w:lineRule="auto"/>
      </w:pPr>
    </w:p>
    <w:p w14:paraId="285E9FD5" w14:textId="38135CCE" w:rsidR="003C2A45" w:rsidRDefault="00B74DD4" w:rsidP="00B93967">
      <w:pPr>
        <w:spacing w:line="262" w:lineRule="auto"/>
        <w:ind w:left="284" w:right="460" w:hanging="284"/>
      </w:pPr>
      <w:r w:rsidRPr="00B74DD4">
        <w:rPr>
          <w:noProof/>
        </w:rPr>
        <w:drawing>
          <wp:inline distT="0" distB="0" distL="0" distR="0" wp14:anchorId="130C9B51" wp14:editId="37926D45">
            <wp:extent cx="5610225" cy="2432050"/>
            <wp:effectExtent l="0" t="0" r="952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432050"/>
                    </a:xfrm>
                    <a:prstGeom prst="rect">
                      <a:avLst/>
                    </a:prstGeom>
                    <a:noFill/>
                    <a:ln>
                      <a:noFill/>
                    </a:ln>
                  </pic:spPr>
                </pic:pic>
              </a:graphicData>
            </a:graphic>
          </wp:inline>
        </w:drawing>
      </w:r>
    </w:p>
    <w:p w14:paraId="51266C7E" w14:textId="4BFBD56B" w:rsidR="003C2A45" w:rsidRPr="00343991" w:rsidRDefault="00343991" w:rsidP="003C2A45">
      <w:pPr>
        <w:spacing w:line="262" w:lineRule="auto"/>
        <w:ind w:right="460"/>
        <w:rPr>
          <w:sz w:val="16"/>
          <w:szCs w:val="16"/>
        </w:rPr>
      </w:pPr>
      <w:r w:rsidRPr="00343991">
        <w:rPr>
          <w:sz w:val="16"/>
          <w:szCs w:val="16"/>
        </w:rPr>
        <w:t xml:space="preserve">Fuente: Sistema de Nóminas </w:t>
      </w:r>
      <w:proofErr w:type="spellStart"/>
      <w:r w:rsidRPr="00343991">
        <w:rPr>
          <w:sz w:val="16"/>
          <w:szCs w:val="16"/>
        </w:rPr>
        <w:t>Guatenóminas</w:t>
      </w:r>
      <w:proofErr w:type="spellEnd"/>
    </w:p>
    <w:p w14:paraId="4A1D0DDE" w14:textId="77777777" w:rsidR="003C2A45" w:rsidRDefault="003C2A45" w:rsidP="003C2A45">
      <w:pPr>
        <w:widowControl w:val="0"/>
        <w:autoSpaceDE w:val="0"/>
        <w:autoSpaceDN w:val="0"/>
        <w:ind w:left="556" w:firstLine="152"/>
        <w:rPr>
          <w:rFonts w:ascii="Arial MT" w:eastAsia="Arial MT" w:hAnsi="Arial MT" w:cs="Arial MT"/>
          <w:sz w:val="16"/>
          <w:lang w:val="es-ES" w:eastAsia="en-US"/>
        </w:rPr>
      </w:pPr>
    </w:p>
    <w:p w14:paraId="57A9CD4C" w14:textId="77777777" w:rsidR="003C2A45" w:rsidRPr="00983424" w:rsidRDefault="003C2A45" w:rsidP="003C2A45">
      <w:pPr>
        <w:widowControl w:val="0"/>
        <w:autoSpaceDE w:val="0"/>
        <w:autoSpaceDN w:val="0"/>
        <w:ind w:left="0" w:firstLine="0"/>
        <w:rPr>
          <w:rFonts w:eastAsia="Arial MT"/>
          <w:b/>
          <w:bCs/>
          <w:szCs w:val="24"/>
          <w:lang w:val="es-ES" w:eastAsia="en-US"/>
        </w:rPr>
      </w:pPr>
      <w:r w:rsidRPr="00983424">
        <w:rPr>
          <w:rFonts w:eastAsia="Arial MT"/>
          <w:b/>
          <w:bCs/>
          <w:szCs w:val="24"/>
          <w:lang w:val="es-ES" w:eastAsia="en-US"/>
        </w:rPr>
        <w:t>NOTA No. 1</w:t>
      </w:r>
    </w:p>
    <w:p w14:paraId="7FAA6797" w14:textId="4015A553" w:rsidR="00B74DD4" w:rsidRDefault="003C2A45" w:rsidP="0020633B">
      <w:pPr>
        <w:spacing w:line="262" w:lineRule="auto"/>
        <w:ind w:right="46"/>
      </w:pPr>
      <w:r>
        <w:t xml:space="preserve">Se </w:t>
      </w:r>
      <w:r w:rsidR="00B74DD4">
        <w:t xml:space="preserve">determinó </w:t>
      </w:r>
      <w:proofErr w:type="gramStart"/>
      <w:r w:rsidR="00B74DD4">
        <w:t>que</w:t>
      </w:r>
      <w:proofErr w:type="gramEnd"/>
      <w:r w:rsidR="00B74DD4">
        <w:t xml:space="preserve"> del total de casos </w:t>
      </w:r>
      <w:r w:rsidR="00B45296">
        <w:t xml:space="preserve">de los </w:t>
      </w:r>
      <w:r>
        <w:t>movimientos administrativos y bloqueo de salarios</w:t>
      </w:r>
      <w:r w:rsidR="0020633B">
        <w:t xml:space="preserve">, </w:t>
      </w:r>
      <w:r w:rsidR="00B45296">
        <w:t xml:space="preserve">existen </w:t>
      </w:r>
      <w:r>
        <w:t xml:space="preserve">17 personas </w:t>
      </w:r>
      <w:r w:rsidR="00B45296">
        <w:t xml:space="preserve">que </w:t>
      </w:r>
      <w:r>
        <w:t xml:space="preserve">tuvieron atraso en días en el bloqueo de salario. </w:t>
      </w:r>
      <w:r w:rsidR="00B74DD4">
        <w:t>(Ver anexo No. 1)</w:t>
      </w:r>
    </w:p>
    <w:p w14:paraId="3020C5E4" w14:textId="47550EAE" w:rsidR="003C2A45" w:rsidRDefault="003C2A45" w:rsidP="003C2A45">
      <w:pPr>
        <w:spacing w:line="262" w:lineRule="auto"/>
        <w:ind w:right="460"/>
      </w:pPr>
    </w:p>
    <w:p w14:paraId="685E1C90" w14:textId="77777777" w:rsidR="003C2A45" w:rsidRPr="00983424" w:rsidRDefault="003C2A45" w:rsidP="003C2A45">
      <w:pPr>
        <w:widowControl w:val="0"/>
        <w:autoSpaceDE w:val="0"/>
        <w:autoSpaceDN w:val="0"/>
        <w:ind w:left="0" w:firstLine="0"/>
        <w:rPr>
          <w:rFonts w:eastAsia="Arial MT"/>
          <w:b/>
          <w:bCs/>
          <w:szCs w:val="24"/>
          <w:lang w:val="es-ES" w:eastAsia="en-US"/>
        </w:rPr>
      </w:pPr>
      <w:r w:rsidRPr="00983424">
        <w:rPr>
          <w:rFonts w:eastAsia="Arial MT"/>
          <w:b/>
          <w:bCs/>
          <w:szCs w:val="24"/>
          <w:lang w:val="es-ES" w:eastAsia="en-US"/>
        </w:rPr>
        <w:t xml:space="preserve">NOTA No. </w:t>
      </w:r>
      <w:r>
        <w:rPr>
          <w:rFonts w:eastAsia="Arial MT"/>
          <w:b/>
          <w:bCs/>
          <w:szCs w:val="24"/>
          <w:lang w:val="es-ES" w:eastAsia="en-US"/>
        </w:rPr>
        <w:t>2</w:t>
      </w:r>
    </w:p>
    <w:p w14:paraId="676C6E51" w14:textId="74E902E5" w:rsidR="003C2A45" w:rsidRDefault="00B45296" w:rsidP="0020633B">
      <w:pPr>
        <w:spacing w:line="262" w:lineRule="auto"/>
        <w:ind w:right="46"/>
      </w:pPr>
      <w:r>
        <w:t xml:space="preserve">Se determinó </w:t>
      </w:r>
      <w:proofErr w:type="gramStart"/>
      <w:r>
        <w:t>que</w:t>
      </w:r>
      <w:proofErr w:type="gramEnd"/>
      <w:r>
        <w:t xml:space="preserve"> del total de casos de </w:t>
      </w:r>
      <w:r w:rsidR="003C2A45">
        <w:t>los movimientos administrativos</w:t>
      </w:r>
      <w:r w:rsidR="00FC2EF2">
        <w:t xml:space="preserve">, a </w:t>
      </w:r>
      <w:r w:rsidR="00683F82">
        <w:t xml:space="preserve">11 personas que se les pagaron sueldos </w:t>
      </w:r>
      <w:r w:rsidR="003C2A45">
        <w:t>no devengados,</w:t>
      </w:r>
      <w:r w:rsidR="00683F82">
        <w:t xml:space="preserve"> los cuales fueron reintegrados en su totalidad por un monto de Q. 37,825.02. </w:t>
      </w:r>
      <w:r w:rsidR="003C2A45">
        <w:t xml:space="preserve">(Ver anexo No. </w:t>
      </w:r>
      <w:r w:rsidR="00B74DD4">
        <w:t>2</w:t>
      </w:r>
      <w:r w:rsidR="003C2A45">
        <w:t>)</w:t>
      </w:r>
    </w:p>
    <w:p w14:paraId="45D0FA28" w14:textId="77777777" w:rsidR="003C2A45" w:rsidRPr="00A47F3B" w:rsidRDefault="003C2A45" w:rsidP="003C2A45">
      <w:pPr>
        <w:widowControl w:val="0"/>
        <w:autoSpaceDE w:val="0"/>
        <w:autoSpaceDN w:val="0"/>
        <w:ind w:left="556" w:firstLine="152"/>
        <w:rPr>
          <w:rFonts w:eastAsia="Arial MT"/>
          <w:szCs w:val="24"/>
          <w:lang w:val="es-ES" w:eastAsia="en-US"/>
        </w:rPr>
      </w:pPr>
    </w:p>
    <w:p w14:paraId="7E1B8B07" w14:textId="02931A0C" w:rsidR="003C2A45" w:rsidRPr="005A0853" w:rsidRDefault="00F61405" w:rsidP="003C2A45">
      <w:pPr>
        <w:widowControl w:val="0"/>
        <w:tabs>
          <w:tab w:val="left" w:pos="142"/>
        </w:tabs>
        <w:kinsoku w:val="0"/>
        <w:overflowPunct w:val="0"/>
        <w:autoSpaceDE w:val="0"/>
        <w:autoSpaceDN w:val="0"/>
        <w:adjustRightInd w:val="0"/>
        <w:spacing w:after="0" w:line="240" w:lineRule="auto"/>
        <w:jc w:val="left"/>
        <w:rPr>
          <w:b/>
          <w:bCs/>
          <w:spacing w:val="-2"/>
        </w:rPr>
      </w:pPr>
      <w:r>
        <w:rPr>
          <w:b/>
          <w:bCs/>
          <w:spacing w:val="4"/>
        </w:rPr>
        <w:t xml:space="preserve">4.2 CONCLUSIÓN </w:t>
      </w:r>
    </w:p>
    <w:p w14:paraId="0FE12264" w14:textId="77777777" w:rsidR="00A44383" w:rsidRDefault="00A44383" w:rsidP="00B93967">
      <w:pPr>
        <w:spacing w:after="0" w:line="240" w:lineRule="auto"/>
        <w:rPr>
          <w:sz w:val="22"/>
        </w:rPr>
      </w:pPr>
    </w:p>
    <w:p w14:paraId="4EBDDA8F" w14:textId="596D6C76" w:rsidR="00FC2EF2" w:rsidRPr="0063434E" w:rsidRDefault="005B3211" w:rsidP="0063434E">
      <w:pPr>
        <w:spacing w:after="160" w:line="259" w:lineRule="auto"/>
        <w:rPr>
          <w:sz w:val="22"/>
          <w:lang w:val="es-ES"/>
        </w:rPr>
      </w:pPr>
      <w:r w:rsidRPr="0063434E">
        <w:rPr>
          <w:szCs w:val="24"/>
        </w:rPr>
        <w:t>En la Dirección Departamental de Educación de Sololá,</w:t>
      </w:r>
      <w:r w:rsidRPr="0063434E">
        <w:rPr>
          <w:szCs w:val="24"/>
          <w:lang w:val="es-ES"/>
        </w:rPr>
        <w:t xml:space="preserve"> al </w:t>
      </w:r>
      <w:r w:rsidR="00B93967" w:rsidRPr="0063434E">
        <w:rPr>
          <w:szCs w:val="24"/>
        </w:rPr>
        <w:t>realizar el análisis y verificación de los 68 casos</w:t>
      </w:r>
      <w:r w:rsidR="00F244F1" w:rsidRPr="0063434E">
        <w:rPr>
          <w:szCs w:val="24"/>
        </w:rPr>
        <w:t xml:space="preserve"> generados en el sistema de nóminas </w:t>
      </w:r>
      <w:proofErr w:type="spellStart"/>
      <w:r w:rsidR="00F244F1" w:rsidRPr="0063434E">
        <w:rPr>
          <w:szCs w:val="24"/>
        </w:rPr>
        <w:t>Guatenóminas</w:t>
      </w:r>
      <w:proofErr w:type="spellEnd"/>
      <w:r w:rsidR="00B237A7" w:rsidRPr="0063434E">
        <w:rPr>
          <w:szCs w:val="24"/>
        </w:rPr>
        <w:t xml:space="preserve">, por causa de fallecimiento, jubilación, renuncia, rescisión de contrato renglón presupuestario 021 y suspensión por aprehensión, </w:t>
      </w:r>
      <w:r w:rsidR="00A44383" w:rsidRPr="0063434E">
        <w:rPr>
          <w:szCs w:val="24"/>
        </w:rPr>
        <w:t xml:space="preserve">detención y prisión </w:t>
      </w:r>
      <w:r w:rsidR="00FC2EF2" w:rsidRPr="0063434E">
        <w:rPr>
          <w:szCs w:val="24"/>
        </w:rPr>
        <w:t>preventiva, correspondiente</w:t>
      </w:r>
      <w:r w:rsidR="00B237A7" w:rsidRPr="0063434E">
        <w:rPr>
          <w:szCs w:val="24"/>
        </w:rPr>
        <w:t xml:space="preserve"> al período del 01 de enero al 30 de septiembre de </w:t>
      </w:r>
      <w:r w:rsidR="00FC2EF2" w:rsidRPr="0063434E">
        <w:rPr>
          <w:szCs w:val="24"/>
        </w:rPr>
        <w:t>2023, se</w:t>
      </w:r>
      <w:r w:rsidR="00A44383" w:rsidRPr="0063434E">
        <w:rPr>
          <w:szCs w:val="24"/>
        </w:rPr>
        <w:t xml:space="preserve"> </w:t>
      </w:r>
      <w:r w:rsidR="0020633B" w:rsidRPr="0063434E">
        <w:rPr>
          <w:szCs w:val="24"/>
        </w:rPr>
        <w:t>concluye que</w:t>
      </w:r>
      <w:r w:rsidR="0020633B">
        <w:t>:</w:t>
      </w:r>
      <w:r w:rsidR="00A44383">
        <w:t xml:space="preserve"> </w:t>
      </w:r>
    </w:p>
    <w:p w14:paraId="753A3FD7" w14:textId="7612F737" w:rsidR="00B93967" w:rsidRPr="0063434E" w:rsidRDefault="00FC2EF2" w:rsidP="0063434E">
      <w:pPr>
        <w:pStyle w:val="Prrafodelista"/>
        <w:numPr>
          <w:ilvl w:val="0"/>
          <w:numId w:val="19"/>
        </w:numPr>
        <w:spacing w:after="160" w:line="259" w:lineRule="auto"/>
        <w:ind w:left="284" w:hanging="284"/>
        <w:rPr>
          <w:sz w:val="22"/>
          <w:lang w:val="es-ES"/>
        </w:rPr>
      </w:pPr>
      <w:r>
        <w:t>E</w:t>
      </w:r>
      <w:r w:rsidR="00A44383">
        <w:t>xist</w:t>
      </w:r>
      <w:r w:rsidR="009B7AE7">
        <w:t xml:space="preserve">en 17 </w:t>
      </w:r>
      <w:r w:rsidR="0096671F">
        <w:t>casos de personal</w:t>
      </w:r>
      <w:r w:rsidR="009B7AE7">
        <w:t xml:space="preserve"> con </w:t>
      </w:r>
      <w:r w:rsidR="00A44383">
        <w:t>atraso entre la fecha</w:t>
      </w:r>
      <w:r w:rsidR="00110C26">
        <w:t xml:space="preserve"> efectiva de</w:t>
      </w:r>
      <w:r w:rsidR="00A44383">
        <w:t xml:space="preserve"> </w:t>
      </w:r>
      <w:r>
        <w:t>aplicación y</w:t>
      </w:r>
      <w:r w:rsidR="00A44383">
        <w:t xml:space="preserve"> la fecha de </w:t>
      </w:r>
      <w:r w:rsidR="00110C26">
        <w:t>registro del bloqueo del salario</w:t>
      </w:r>
      <w:r w:rsidR="00A44383">
        <w:t>, incumpliendo el plazo establecido</w:t>
      </w:r>
      <w:r w:rsidR="0063434E">
        <w:t xml:space="preserve">     </w:t>
      </w:r>
      <w:r w:rsidR="00A44383">
        <w:t xml:space="preserve"> </w:t>
      </w:r>
      <w:r w:rsidR="00A44383">
        <w:lastRenderedPageBreak/>
        <w:t>en</w:t>
      </w:r>
      <w:r w:rsidR="0063434E">
        <w:t xml:space="preserve"> </w:t>
      </w:r>
      <w:r w:rsidR="00A44383">
        <w:t>el Instructivo RHU- INS-15, Bloqueo de Salarios y Conformación de Expedientes de Acciones o Movimientos de Personal para los Renglones 011 "Personal Permanente" y 022 "Personal por Contrato</w:t>
      </w:r>
      <w:r w:rsidR="00110C26">
        <w:t>.</w:t>
      </w:r>
      <w:r w:rsidR="00A44383">
        <w:t xml:space="preserve"> </w:t>
      </w:r>
      <w:r w:rsidR="00B93967" w:rsidRPr="0063434E">
        <w:rPr>
          <w:szCs w:val="24"/>
        </w:rPr>
        <w:t xml:space="preserve">(Ver anexo </w:t>
      </w:r>
      <w:r w:rsidR="00B93967" w:rsidRPr="0063434E">
        <w:rPr>
          <w:color w:val="auto"/>
          <w:szCs w:val="24"/>
        </w:rPr>
        <w:t>1</w:t>
      </w:r>
      <w:r w:rsidR="00B93967" w:rsidRPr="0063434E">
        <w:rPr>
          <w:szCs w:val="24"/>
        </w:rPr>
        <w:t>)</w:t>
      </w:r>
    </w:p>
    <w:p w14:paraId="56AFFF0F" w14:textId="77777777" w:rsidR="00B93967" w:rsidRPr="00DE30E6" w:rsidRDefault="00B93967" w:rsidP="00B93967">
      <w:pPr>
        <w:pStyle w:val="Prrafodelista"/>
        <w:spacing w:after="160" w:line="259" w:lineRule="auto"/>
        <w:ind w:firstLine="0"/>
        <w:rPr>
          <w:sz w:val="22"/>
          <w:lang w:val="es-ES"/>
        </w:rPr>
      </w:pPr>
    </w:p>
    <w:p w14:paraId="2C2FECCC" w14:textId="5BE4AED8" w:rsidR="00010585" w:rsidRPr="00010585" w:rsidRDefault="00110C26" w:rsidP="00010585">
      <w:pPr>
        <w:pStyle w:val="Prrafodelista"/>
        <w:numPr>
          <w:ilvl w:val="0"/>
          <w:numId w:val="19"/>
        </w:numPr>
        <w:spacing w:after="160" w:line="259" w:lineRule="auto"/>
        <w:ind w:left="284" w:hanging="284"/>
        <w:rPr>
          <w:szCs w:val="24"/>
          <w:lang w:val="es-ES"/>
        </w:rPr>
      </w:pPr>
      <w:r>
        <w:t>Al realizar el análisis y verificación de los movimientos administrativos generados por el pago de sueldos y salarios no devengados</w:t>
      </w:r>
      <w:r w:rsidR="0020633B">
        <w:t xml:space="preserve"> por la cantidad de Q. 37,825.02</w:t>
      </w:r>
      <w:r w:rsidR="009B7AE7">
        <w:t>, s</w:t>
      </w:r>
      <w:r>
        <w:t xml:space="preserve">e determinó </w:t>
      </w:r>
      <w:r w:rsidR="0096671F">
        <w:t xml:space="preserve">que, de los 17 casos de personal con atraso en el bloque de salarios, </w:t>
      </w:r>
      <w:r>
        <w:t xml:space="preserve">11 </w:t>
      </w:r>
      <w:r w:rsidR="0096671F">
        <w:t xml:space="preserve">casos generaron sueldos pagados </w:t>
      </w:r>
      <w:r>
        <w:t>no devengados, los cuales</w:t>
      </w:r>
      <w:r w:rsidR="0020633B">
        <w:t xml:space="preserve"> fueron </w:t>
      </w:r>
      <w:r w:rsidR="0096671F">
        <w:t>reintegra</w:t>
      </w:r>
      <w:r w:rsidR="0020633B">
        <w:t>d</w:t>
      </w:r>
      <w:r w:rsidR="0096671F">
        <w:t>o</w:t>
      </w:r>
      <w:r w:rsidR="0020633B">
        <w:t>s</w:t>
      </w:r>
      <w:r w:rsidR="0096671F">
        <w:t xml:space="preserve"> en su totalidad, integrados de la siguiente forma, 7 casos por fallecimiento; 1 caso por jubilación; 2 casos por renuncia y 1 caso por </w:t>
      </w:r>
      <w:r w:rsidR="00010585">
        <w:t>suspensión</w:t>
      </w:r>
      <w:r w:rsidR="0096671F">
        <w:t xml:space="preserve"> por aprehensión</w:t>
      </w:r>
      <w:r w:rsidR="00010585">
        <w:t>, detención y prisión preventiva. (</w:t>
      </w:r>
      <w:r w:rsidR="00010585" w:rsidRPr="00110C26">
        <w:rPr>
          <w:szCs w:val="24"/>
        </w:rPr>
        <w:t xml:space="preserve">Ver anexo </w:t>
      </w:r>
      <w:r w:rsidR="00010585">
        <w:rPr>
          <w:color w:val="auto"/>
          <w:szCs w:val="24"/>
        </w:rPr>
        <w:t>2)</w:t>
      </w:r>
    </w:p>
    <w:p w14:paraId="459C1BA9" w14:textId="77777777" w:rsidR="00010585" w:rsidRDefault="00010585" w:rsidP="00010585">
      <w:pPr>
        <w:pStyle w:val="Prrafodelista"/>
      </w:pPr>
    </w:p>
    <w:p w14:paraId="5ADDBCC4" w14:textId="7682AAB7" w:rsidR="00010585" w:rsidRPr="00010585" w:rsidRDefault="00010585" w:rsidP="00010585">
      <w:pPr>
        <w:pStyle w:val="Prrafodelista"/>
        <w:numPr>
          <w:ilvl w:val="0"/>
          <w:numId w:val="19"/>
        </w:numPr>
        <w:spacing w:after="160" w:line="259" w:lineRule="auto"/>
        <w:ind w:left="284" w:hanging="284"/>
        <w:rPr>
          <w:szCs w:val="24"/>
          <w:lang w:val="es-ES"/>
        </w:rPr>
      </w:pPr>
      <w:r>
        <w:t xml:space="preserve">Por medio de Oficio No. O-DIDEDUCS-502-2023, de fecha 07 de noviembre de 2023, emitido por el </w:t>
      </w:r>
      <w:proofErr w:type="gramStart"/>
      <w:r>
        <w:t>Director</w:t>
      </w:r>
      <w:proofErr w:type="gramEnd"/>
      <w:r>
        <w:t xml:space="preserve"> Departamental de Educación de Sololá, Oficio No. OFI. DIDEDUCS-RRHH-No. 113-2023, de fecha 6 de noviembre de 2023, emitido por el </w:t>
      </w:r>
      <w:proofErr w:type="gramStart"/>
      <w:r>
        <w:t>Jefe</w:t>
      </w:r>
      <w:proofErr w:type="gramEnd"/>
      <w:r>
        <w:t xml:space="preserve"> Sección de Recursos Humanos y Oficio No. DIDEDUCS-RRHH-GDP-No. 157-2023, de fecha 06 de noviembre de 2023, emitido por la Coordinadora Unidad de Gestión de Personal, dan a conocer que los bloqueos de salarios, se realizaron en base a la fecha de recibido en la Sección de Recursos Humanos, el formulario RHU-FOR-11, enviado por los Supervisores Educativos y Coordinadores Distritales.  (</w:t>
      </w:r>
      <w:r w:rsidRPr="00110C26">
        <w:rPr>
          <w:szCs w:val="24"/>
        </w:rPr>
        <w:t xml:space="preserve">Ver anexo </w:t>
      </w:r>
      <w:r>
        <w:rPr>
          <w:color w:val="auto"/>
          <w:szCs w:val="24"/>
        </w:rPr>
        <w:t>3)</w:t>
      </w:r>
    </w:p>
    <w:p w14:paraId="51E730E5" w14:textId="0DDC2A44" w:rsidR="00010585" w:rsidRPr="00010585" w:rsidRDefault="00010585" w:rsidP="00010585">
      <w:pPr>
        <w:pStyle w:val="Prrafodelista"/>
        <w:spacing w:after="160" w:line="259" w:lineRule="auto"/>
        <w:ind w:left="284" w:firstLine="0"/>
        <w:rPr>
          <w:szCs w:val="24"/>
          <w:lang w:val="es-ES"/>
        </w:rPr>
      </w:pPr>
    </w:p>
    <w:p w14:paraId="6B785423" w14:textId="58090A8A" w:rsidR="00C60329" w:rsidRDefault="00C60329" w:rsidP="00C60329">
      <w:pPr>
        <w:pStyle w:val="Prrafodelista"/>
        <w:numPr>
          <w:ilvl w:val="1"/>
          <w:numId w:val="18"/>
        </w:numPr>
        <w:spacing w:line="276" w:lineRule="auto"/>
        <w:rPr>
          <w:b/>
          <w:bCs/>
        </w:rPr>
      </w:pPr>
      <w:r w:rsidRPr="00C60329">
        <w:rPr>
          <w:b/>
          <w:bCs/>
        </w:rPr>
        <w:t>RECOMENDACIÓN:</w:t>
      </w:r>
    </w:p>
    <w:p w14:paraId="6DE63C40" w14:textId="77777777" w:rsidR="00FC2EF2" w:rsidRPr="00C60329" w:rsidRDefault="00FC2EF2" w:rsidP="00FC2EF2">
      <w:pPr>
        <w:pStyle w:val="Prrafodelista"/>
        <w:spacing w:line="276" w:lineRule="auto"/>
        <w:ind w:left="400" w:firstLine="0"/>
        <w:rPr>
          <w:b/>
          <w:bCs/>
        </w:rPr>
      </w:pPr>
    </w:p>
    <w:p w14:paraId="3FB299C0" w14:textId="77777777" w:rsidR="00C85635" w:rsidRDefault="00C60329" w:rsidP="00C85635">
      <w:pPr>
        <w:spacing w:line="276" w:lineRule="auto"/>
        <w:rPr>
          <w:szCs w:val="24"/>
        </w:rPr>
      </w:pPr>
      <w:r w:rsidRPr="00F05E81">
        <w:rPr>
          <w:szCs w:val="24"/>
        </w:rPr>
        <w:t xml:space="preserve">Que el </w:t>
      </w:r>
      <w:proofErr w:type="gramStart"/>
      <w:r w:rsidRPr="00F05E81">
        <w:rPr>
          <w:szCs w:val="24"/>
        </w:rPr>
        <w:t>Director</w:t>
      </w:r>
      <w:proofErr w:type="gramEnd"/>
      <w:r w:rsidRPr="00F05E81">
        <w:rPr>
          <w:szCs w:val="24"/>
        </w:rPr>
        <w:t xml:space="preserve"> Departamental de Educación de Sololá, gire</w:t>
      </w:r>
      <w:r w:rsidR="003340D2" w:rsidRPr="00F05E81">
        <w:rPr>
          <w:szCs w:val="24"/>
        </w:rPr>
        <w:t xml:space="preserve"> </w:t>
      </w:r>
      <w:r w:rsidRPr="00F05E81">
        <w:rPr>
          <w:szCs w:val="24"/>
        </w:rPr>
        <w:t>instrucciones por escrito a</w:t>
      </w:r>
      <w:r w:rsidR="00F05E81" w:rsidRPr="00F05E81">
        <w:rPr>
          <w:szCs w:val="24"/>
        </w:rPr>
        <w:t xml:space="preserve"> </w:t>
      </w:r>
      <w:r w:rsidR="0068346E">
        <w:rPr>
          <w:szCs w:val="24"/>
        </w:rPr>
        <w:t xml:space="preserve">la </w:t>
      </w:r>
      <w:r w:rsidR="00F05E81" w:rsidRPr="00F05E81">
        <w:rPr>
          <w:szCs w:val="24"/>
        </w:rPr>
        <w:t>Subdirectora Administrativa Financiera y esta a su vez</w:t>
      </w:r>
      <w:r w:rsidR="00D5560F">
        <w:rPr>
          <w:szCs w:val="24"/>
        </w:rPr>
        <w:t xml:space="preserve"> </w:t>
      </w:r>
      <w:r w:rsidR="00C85635">
        <w:rPr>
          <w:szCs w:val="24"/>
        </w:rPr>
        <w:t>al Jefe de Recursos Humanos a efecto que:</w:t>
      </w:r>
    </w:p>
    <w:p w14:paraId="2962152E" w14:textId="77777777" w:rsidR="00C85635" w:rsidRDefault="00C85635" w:rsidP="00C85635">
      <w:pPr>
        <w:spacing w:line="276" w:lineRule="auto"/>
        <w:rPr>
          <w:szCs w:val="24"/>
        </w:rPr>
      </w:pPr>
    </w:p>
    <w:p w14:paraId="7C4C1422" w14:textId="5E59BBA3" w:rsidR="00C60329" w:rsidRDefault="00C85635" w:rsidP="00C85635">
      <w:pPr>
        <w:pStyle w:val="Prrafodelista"/>
        <w:numPr>
          <w:ilvl w:val="0"/>
          <w:numId w:val="17"/>
        </w:numPr>
        <w:spacing w:line="276" w:lineRule="auto"/>
        <w:ind w:left="284" w:hanging="284"/>
      </w:pPr>
      <w:r>
        <w:t xml:space="preserve">Conjuntamente </w:t>
      </w:r>
      <w:r w:rsidR="00C60329">
        <w:t xml:space="preserve">con la Coordinadora </w:t>
      </w:r>
      <w:r>
        <w:t xml:space="preserve">de la </w:t>
      </w:r>
      <w:r w:rsidR="00C60329">
        <w:t xml:space="preserve">Unidad de Gestión de Personal, implementen las acciones necesarias que permita cumplir con los plazos establecidos en el Instructivo RHU-INS-15, Bloqueo de Salarios y Conformación de Expedientes de Acciones o Movimientos de Personal para los Renglones 011 "Personal Permanente" y 022 "Personal por Contrato", con el fin de </w:t>
      </w:r>
      <w:proofErr w:type="spellStart"/>
      <w:r w:rsidR="00C60329">
        <w:t>eficientar</w:t>
      </w:r>
      <w:proofErr w:type="spellEnd"/>
      <w:r w:rsidR="00C60329">
        <w:t xml:space="preserve"> los procesos del registro </w:t>
      </w:r>
      <w:r w:rsidR="00FC2EF2">
        <w:t>de los movimientos</w:t>
      </w:r>
      <w:r w:rsidR="00C60329">
        <w:t xml:space="preserve"> de personal y bloqueo de salarios, en el Sistema de Nómina, -GUATENÓMINAS-.</w:t>
      </w:r>
    </w:p>
    <w:p w14:paraId="62E316AB" w14:textId="77777777" w:rsidR="00C85635" w:rsidRDefault="00C85635" w:rsidP="00C85635">
      <w:pPr>
        <w:pStyle w:val="Prrafodelista"/>
        <w:spacing w:line="276" w:lineRule="auto"/>
        <w:ind w:left="284" w:firstLine="0"/>
      </w:pPr>
    </w:p>
    <w:p w14:paraId="4A269A22" w14:textId="2ED00135" w:rsidR="00C85635" w:rsidRDefault="00C85635" w:rsidP="00793647">
      <w:pPr>
        <w:pStyle w:val="Prrafodelista"/>
        <w:numPr>
          <w:ilvl w:val="0"/>
          <w:numId w:val="17"/>
        </w:numPr>
        <w:spacing w:line="240" w:lineRule="auto"/>
        <w:ind w:left="284" w:hanging="284"/>
      </w:pPr>
      <w:r>
        <w:rPr>
          <w:szCs w:val="24"/>
        </w:rPr>
        <w:t>L</w:t>
      </w:r>
      <w:r w:rsidR="00793647" w:rsidRPr="00793647">
        <w:rPr>
          <w:szCs w:val="24"/>
        </w:rPr>
        <w:t xml:space="preserve">os </w:t>
      </w:r>
      <w:r w:rsidR="00C60329" w:rsidRPr="00793647">
        <w:rPr>
          <w:szCs w:val="24"/>
        </w:rPr>
        <w:t>Supervisores</w:t>
      </w:r>
      <w:r w:rsidR="00C60329">
        <w:t xml:space="preserve"> Educativos y </w:t>
      </w:r>
      <w:proofErr w:type="gramStart"/>
      <w:r w:rsidR="00C60329">
        <w:t>Directores</w:t>
      </w:r>
      <w:proofErr w:type="gramEnd"/>
      <w:r w:rsidR="00C60329">
        <w:t xml:space="preserve"> de establecimientos educativos oficiales </w:t>
      </w:r>
      <w:r>
        <w:t>cumplan con los plazos establecidos para el bloqueo de salarios del personal a su cargo, con el fin de evitar pago de salarios no devengados.</w:t>
      </w:r>
    </w:p>
    <w:p w14:paraId="7CCB1642" w14:textId="77777777" w:rsidR="00C85635" w:rsidRDefault="00C85635" w:rsidP="00C85635">
      <w:pPr>
        <w:pStyle w:val="Prrafodelista"/>
        <w:spacing w:line="240" w:lineRule="auto"/>
        <w:ind w:left="284" w:firstLine="0"/>
      </w:pPr>
    </w:p>
    <w:p w14:paraId="5EBE7226" w14:textId="0D8EBBCF" w:rsidR="003340D2" w:rsidRPr="00C85635" w:rsidRDefault="00C85635" w:rsidP="00C85635">
      <w:pPr>
        <w:pStyle w:val="Prrafodelista"/>
        <w:numPr>
          <w:ilvl w:val="0"/>
          <w:numId w:val="17"/>
        </w:numPr>
        <w:spacing w:line="240" w:lineRule="auto"/>
        <w:ind w:left="284" w:hanging="284"/>
      </w:pPr>
      <w:r>
        <w:t>Anali</w:t>
      </w:r>
      <w:r w:rsidR="00FC2EF2">
        <w:t>ce</w:t>
      </w:r>
      <w:r>
        <w:t xml:space="preserve"> si procede o no imponer sanción </w:t>
      </w:r>
      <w:r w:rsidR="007C021A">
        <w:t>administrativas</w:t>
      </w:r>
      <w:r>
        <w:t xml:space="preserve"> a los Supervisores Educativos, </w:t>
      </w:r>
      <w:r w:rsidR="00585208">
        <w:t xml:space="preserve">conforme lo establece el </w:t>
      </w:r>
      <w:r>
        <w:t xml:space="preserve"> Acuerdo Ministerial 1500-2019  “</w:t>
      </w:r>
      <w:r w:rsidR="004A7FA3">
        <w:t>R</w:t>
      </w:r>
      <w:r w:rsidR="00585208">
        <w:t xml:space="preserve">eglamento </w:t>
      </w:r>
      <w:r w:rsidR="004A7FA3">
        <w:t>O</w:t>
      </w:r>
      <w:r w:rsidR="00585208">
        <w:t xml:space="preserve">rgánico </w:t>
      </w:r>
      <w:r w:rsidR="004A7FA3">
        <w:t>I</w:t>
      </w:r>
      <w:r w:rsidR="00585208">
        <w:t xml:space="preserve">nterno del Ministerio de </w:t>
      </w:r>
      <w:r w:rsidR="004A7FA3">
        <w:t>Educación</w:t>
      </w:r>
      <w:r>
        <w:t>”</w:t>
      </w:r>
      <w:r w:rsidR="004A7FA3">
        <w:t>,</w:t>
      </w:r>
      <w:r>
        <w:t xml:space="preserve"> </w:t>
      </w:r>
      <w:r w:rsidR="004A7FA3">
        <w:t xml:space="preserve">por el </w:t>
      </w:r>
      <w:r w:rsidR="004A7FA3">
        <w:lastRenderedPageBreak/>
        <w:t xml:space="preserve">incumplimiento de los plazos establecidos en el </w:t>
      </w:r>
      <w:r w:rsidR="004A7FA3" w:rsidRPr="00C85635">
        <w:rPr>
          <w:szCs w:val="24"/>
        </w:rPr>
        <w:t xml:space="preserve">Instructivo RHU-INS-15, Bloqueo de Salarios y Conformación de Expedientes de Acciones o Movimientos de Personal para los Renglones 011 "Personal Permanente" y 022 "Personal por Contrato", </w:t>
      </w:r>
      <w:r w:rsidR="003340D2" w:rsidRPr="00C85635">
        <w:rPr>
          <w:color w:val="000000" w:themeColor="text1"/>
          <w:szCs w:val="24"/>
        </w:rPr>
        <w:t xml:space="preserve">con </w:t>
      </w:r>
      <w:r>
        <w:rPr>
          <w:color w:val="000000" w:themeColor="text1"/>
          <w:szCs w:val="24"/>
        </w:rPr>
        <w:t xml:space="preserve">el fin </w:t>
      </w:r>
      <w:r w:rsidR="003340D2" w:rsidRPr="00C85635">
        <w:rPr>
          <w:color w:val="000000" w:themeColor="text1"/>
          <w:szCs w:val="24"/>
        </w:rPr>
        <w:t>de evitar posibles sanciones por parte del ente fiscalizador estatal.</w:t>
      </w:r>
    </w:p>
    <w:p w14:paraId="4B2E066D" w14:textId="77777777" w:rsidR="003340D2" w:rsidRPr="004A7FA3" w:rsidRDefault="003340D2" w:rsidP="003340D2">
      <w:pPr>
        <w:pStyle w:val="Prrafodelista"/>
        <w:spacing w:line="276" w:lineRule="auto"/>
        <w:ind w:left="400" w:firstLine="0"/>
        <w:rPr>
          <w:szCs w:val="24"/>
        </w:rPr>
      </w:pPr>
    </w:p>
    <w:p w14:paraId="5140854F" w14:textId="77777777" w:rsidR="003340D2" w:rsidRDefault="003340D2" w:rsidP="003340D2">
      <w:pPr>
        <w:spacing w:line="240" w:lineRule="auto"/>
      </w:pPr>
    </w:p>
    <w:p w14:paraId="462760DF" w14:textId="012A151E" w:rsidR="00010585" w:rsidRDefault="00010585" w:rsidP="00010585">
      <w:pPr>
        <w:pStyle w:val="Prrafodelista"/>
        <w:spacing w:after="160" w:line="259" w:lineRule="auto"/>
        <w:ind w:left="284" w:firstLine="0"/>
        <w:rPr>
          <w:szCs w:val="24"/>
          <w:lang w:val="es-ES"/>
        </w:rPr>
      </w:pPr>
    </w:p>
    <w:p w14:paraId="4678CBBB" w14:textId="232CA8BE" w:rsidR="004A7FA3" w:rsidRDefault="004A7FA3" w:rsidP="00010585">
      <w:pPr>
        <w:pStyle w:val="Prrafodelista"/>
        <w:spacing w:after="160" w:line="259" w:lineRule="auto"/>
        <w:ind w:left="284" w:firstLine="0"/>
        <w:rPr>
          <w:szCs w:val="24"/>
          <w:lang w:val="es-ES"/>
        </w:rPr>
      </w:pPr>
    </w:p>
    <w:p w14:paraId="03523DDF" w14:textId="051C3403" w:rsidR="004A7FA3" w:rsidRDefault="004A7FA3" w:rsidP="00010585">
      <w:pPr>
        <w:pStyle w:val="Prrafodelista"/>
        <w:spacing w:after="160" w:line="259" w:lineRule="auto"/>
        <w:ind w:left="284" w:firstLine="0"/>
        <w:rPr>
          <w:szCs w:val="24"/>
          <w:lang w:val="es-ES"/>
        </w:rPr>
      </w:pPr>
    </w:p>
    <w:p w14:paraId="2603F9B6" w14:textId="018F8272" w:rsidR="004A7FA3" w:rsidRDefault="004A7FA3" w:rsidP="00010585">
      <w:pPr>
        <w:pStyle w:val="Prrafodelista"/>
        <w:spacing w:after="160" w:line="259" w:lineRule="auto"/>
        <w:ind w:left="284" w:firstLine="0"/>
        <w:rPr>
          <w:szCs w:val="24"/>
          <w:lang w:val="es-ES"/>
        </w:rPr>
      </w:pPr>
    </w:p>
    <w:p w14:paraId="798BF0A4" w14:textId="089BC5FF" w:rsidR="004A7FA3" w:rsidRDefault="004A7FA3" w:rsidP="00010585">
      <w:pPr>
        <w:pStyle w:val="Prrafodelista"/>
        <w:spacing w:after="160" w:line="259" w:lineRule="auto"/>
        <w:ind w:left="284" w:firstLine="0"/>
        <w:rPr>
          <w:szCs w:val="24"/>
          <w:lang w:val="es-ES"/>
        </w:rPr>
      </w:pPr>
    </w:p>
    <w:p w14:paraId="5B077903" w14:textId="48BA5CD4" w:rsidR="004A7FA3" w:rsidRDefault="004A7FA3" w:rsidP="00010585">
      <w:pPr>
        <w:pStyle w:val="Prrafodelista"/>
        <w:spacing w:after="160" w:line="259" w:lineRule="auto"/>
        <w:ind w:left="284" w:firstLine="0"/>
        <w:rPr>
          <w:szCs w:val="24"/>
          <w:lang w:val="es-ES"/>
        </w:rPr>
      </w:pPr>
    </w:p>
    <w:p w14:paraId="30880AB5" w14:textId="6E0F857D" w:rsidR="004A7FA3" w:rsidRDefault="004A7FA3" w:rsidP="00010585">
      <w:pPr>
        <w:pStyle w:val="Prrafodelista"/>
        <w:spacing w:after="160" w:line="259" w:lineRule="auto"/>
        <w:ind w:left="284" w:firstLine="0"/>
        <w:rPr>
          <w:szCs w:val="24"/>
          <w:lang w:val="es-ES"/>
        </w:rPr>
      </w:pPr>
    </w:p>
    <w:p w14:paraId="6480EE0A" w14:textId="4138E98C" w:rsidR="004A7FA3" w:rsidRDefault="004A7FA3" w:rsidP="00010585">
      <w:pPr>
        <w:pStyle w:val="Prrafodelista"/>
        <w:spacing w:after="160" w:line="259" w:lineRule="auto"/>
        <w:ind w:left="284" w:firstLine="0"/>
        <w:rPr>
          <w:szCs w:val="24"/>
          <w:lang w:val="es-ES"/>
        </w:rPr>
      </w:pPr>
    </w:p>
    <w:p w14:paraId="3F6479A0" w14:textId="0C9AB9D5" w:rsidR="004A7FA3" w:rsidRDefault="004A7FA3" w:rsidP="00010585">
      <w:pPr>
        <w:pStyle w:val="Prrafodelista"/>
        <w:spacing w:after="160" w:line="259" w:lineRule="auto"/>
        <w:ind w:left="284" w:firstLine="0"/>
        <w:rPr>
          <w:szCs w:val="24"/>
          <w:lang w:val="es-ES"/>
        </w:rPr>
      </w:pPr>
    </w:p>
    <w:p w14:paraId="26D7D787" w14:textId="417423E5" w:rsidR="004A7FA3" w:rsidRDefault="004A7FA3" w:rsidP="00010585">
      <w:pPr>
        <w:pStyle w:val="Prrafodelista"/>
        <w:spacing w:after="160" w:line="259" w:lineRule="auto"/>
        <w:ind w:left="284" w:firstLine="0"/>
        <w:rPr>
          <w:szCs w:val="24"/>
          <w:lang w:val="es-ES"/>
        </w:rPr>
      </w:pPr>
    </w:p>
    <w:p w14:paraId="1F91D778" w14:textId="3903D0D0" w:rsidR="004A7FA3" w:rsidRDefault="004A7FA3" w:rsidP="00010585">
      <w:pPr>
        <w:pStyle w:val="Prrafodelista"/>
        <w:spacing w:after="160" w:line="259" w:lineRule="auto"/>
        <w:ind w:left="284" w:firstLine="0"/>
        <w:rPr>
          <w:szCs w:val="24"/>
          <w:lang w:val="es-ES"/>
        </w:rPr>
      </w:pPr>
    </w:p>
    <w:p w14:paraId="626E9A92" w14:textId="482CB92B" w:rsidR="004A7FA3" w:rsidRDefault="004A7FA3" w:rsidP="00010585">
      <w:pPr>
        <w:pStyle w:val="Prrafodelista"/>
        <w:spacing w:after="160" w:line="259" w:lineRule="auto"/>
        <w:ind w:left="284" w:firstLine="0"/>
        <w:rPr>
          <w:szCs w:val="24"/>
          <w:lang w:val="es-ES"/>
        </w:rPr>
      </w:pPr>
    </w:p>
    <w:p w14:paraId="76C87033" w14:textId="02853C9B" w:rsidR="004A7FA3" w:rsidRDefault="004A7FA3" w:rsidP="00010585">
      <w:pPr>
        <w:pStyle w:val="Prrafodelista"/>
        <w:spacing w:after="160" w:line="259" w:lineRule="auto"/>
        <w:ind w:left="284" w:firstLine="0"/>
        <w:rPr>
          <w:szCs w:val="24"/>
          <w:lang w:val="es-ES"/>
        </w:rPr>
      </w:pPr>
    </w:p>
    <w:p w14:paraId="4C72C553" w14:textId="6A08D1C6" w:rsidR="004A7FA3" w:rsidRDefault="004A7FA3" w:rsidP="00010585">
      <w:pPr>
        <w:pStyle w:val="Prrafodelista"/>
        <w:spacing w:after="160" w:line="259" w:lineRule="auto"/>
        <w:ind w:left="284" w:firstLine="0"/>
        <w:rPr>
          <w:szCs w:val="24"/>
          <w:lang w:val="es-ES"/>
        </w:rPr>
      </w:pPr>
    </w:p>
    <w:p w14:paraId="6F649ADA" w14:textId="01959C0E" w:rsidR="004A7FA3" w:rsidRDefault="004A7FA3" w:rsidP="00010585">
      <w:pPr>
        <w:pStyle w:val="Prrafodelista"/>
        <w:spacing w:after="160" w:line="259" w:lineRule="auto"/>
        <w:ind w:left="284" w:firstLine="0"/>
        <w:rPr>
          <w:szCs w:val="24"/>
          <w:lang w:val="es-ES"/>
        </w:rPr>
      </w:pPr>
    </w:p>
    <w:p w14:paraId="63906621" w14:textId="35AADDCD" w:rsidR="004A7FA3" w:rsidRDefault="004A7FA3" w:rsidP="00010585">
      <w:pPr>
        <w:pStyle w:val="Prrafodelista"/>
        <w:spacing w:after="160" w:line="259" w:lineRule="auto"/>
        <w:ind w:left="284" w:firstLine="0"/>
        <w:rPr>
          <w:szCs w:val="24"/>
          <w:lang w:val="es-ES"/>
        </w:rPr>
      </w:pPr>
    </w:p>
    <w:p w14:paraId="770BD04B" w14:textId="1B42D0BF" w:rsidR="004A7FA3" w:rsidRDefault="004A7FA3" w:rsidP="00010585">
      <w:pPr>
        <w:pStyle w:val="Prrafodelista"/>
        <w:spacing w:after="160" w:line="259" w:lineRule="auto"/>
        <w:ind w:left="284" w:firstLine="0"/>
        <w:rPr>
          <w:szCs w:val="24"/>
          <w:lang w:val="es-ES"/>
        </w:rPr>
      </w:pPr>
    </w:p>
    <w:p w14:paraId="6D4F00D5" w14:textId="0ADFD63B" w:rsidR="004A7FA3" w:rsidRDefault="004A7FA3" w:rsidP="00010585">
      <w:pPr>
        <w:pStyle w:val="Prrafodelista"/>
        <w:spacing w:after="160" w:line="259" w:lineRule="auto"/>
        <w:ind w:left="284" w:firstLine="0"/>
        <w:rPr>
          <w:szCs w:val="24"/>
          <w:lang w:val="es-ES"/>
        </w:rPr>
      </w:pPr>
    </w:p>
    <w:p w14:paraId="482A49CF" w14:textId="77777777" w:rsidR="004A7FA3" w:rsidRPr="0096671F" w:rsidRDefault="004A7FA3" w:rsidP="00010585">
      <w:pPr>
        <w:pStyle w:val="Prrafodelista"/>
        <w:spacing w:after="160" w:line="259" w:lineRule="auto"/>
        <w:ind w:left="284" w:firstLine="0"/>
        <w:rPr>
          <w:szCs w:val="24"/>
          <w:lang w:val="es-ES"/>
        </w:rPr>
      </w:pPr>
    </w:p>
    <w:p w14:paraId="2DBBD16A" w14:textId="77777777" w:rsidR="00B93967" w:rsidRDefault="00B93967" w:rsidP="003C2A45">
      <w:pPr>
        <w:widowControl w:val="0"/>
        <w:tabs>
          <w:tab w:val="left" w:pos="142"/>
        </w:tabs>
        <w:kinsoku w:val="0"/>
        <w:overflowPunct w:val="0"/>
        <w:autoSpaceDE w:val="0"/>
        <w:autoSpaceDN w:val="0"/>
        <w:adjustRightInd w:val="0"/>
        <w:spacing w:after="0" w:line="276" w:lineRule="auto"/>
        <w:ind w:right="84"/>
      </w:pPr>
    </w:p>
    <w:p w14:paraId="6CBFB38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9EBA82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F33C3A8"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688002F"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A779FCF"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181E3B1"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0355D21"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9DDFD88"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020FB75"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6F4B557E"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A3F379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182496E"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90E74B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167377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00BBC742"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B8768C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79B9680" w14:textId="2E8EF35B" w:rsidR="00B93967" w:rsidRPr="00A71C71" w:rsidRDefault="004A7FA3" w:rsidP="004A7FA3">
      <w:pPr>
        <w:widowControl w:val="0"/>
        <w:tabs>
          <w:tab w:val="left" w:pos="142"/>
        </w:tabs>
        <w:kinsoku w:val="0"/>
        <w:overflowPunct w:val="0"/>
        <w:autoSpaceDE w:val="0"/>
        <w:autoSpaceDN w:val="0"/>
        <w:adjustRightInd w:val="0"/>
        <w:spacing w:after="0" w:line="276" w:lineRule="auto"/>
        <w:ind w:right="84"/>
        <w:jc w:val="center"/>
        <w:rPr>
          <w:b/>
          <w:bCs/>
          <w:sz w:val="28"/>
          <w:szCs w:val="28"/>
        </w:rPr>
      </w:pPr>
      <w:r w:rsidRPr="00A71C71">
        <w:rPr>
          <w:b/>
          <w:bCs/>
          <w:sz w:val="28"/>
          <w:szCs w:val="28"/>
        </w:rPr>
        <w:lastRenderedPageBreak/>
        <w:t>ANEXO 1</w:t>
      </w:r>
    </w:p>
    <w:p w14:paraId="3D1AB909" w14:textId="77777777" w:rsidR="00A71C71" w:rsidRPr="004A7FA3" w:rsidRDefault="00A71C71" w:rsidP="004A7FA3">
      <w:pPr>
        <w:widowControl w:val="0"/>
        <w:tabs>
          <w:tab w:val="left" w:pos="142"/>
        </w:tabs>
        <w:kinsoku w:val="0"/>
        <w:overflowPunct w:val="0"/>
        <w:autoSpaceDE w:val="0"/>
        <w:autoSpaceDN w:val="0"/>
        <w:adjustRightInd w:val="0"/>
        <w:spacing w:after="0" w:line="276" w:lineRule="auto"/>
        <w:ind w:right="84"/>
        <w:jc w:val="center"/>
        <w:rPr>
          <w:b/>
          <w:bCs/>
        </w:rPr>
      </w:pPr>
    </w:p>
    <w:p w14:paraId="7045787A" w14:textId="5E1A5A14" w:rsidR="00343991" w:rsidRDefault="00A71C71" w:rsidP="00C124CD">
      <w:pPr>
        <w:spacing w:line="253" w:lineRule="auto"/>
        <w:ind w:left="0" w:firstLine="0"/>
        <w:rPr>
          <w:noProof/>
        </w:rPr>
      </w:pPr>
      <w:r w:rsidRPr="00A71C71">
        <w:rPr>
          <w:noProof/>
        </w:rPr>
        <w:drawing>
          <wp:inline distT="0" distB="0" distL="0" distR="0" wp14:anchorId="0EAAC195" wp14:editId="36B77FD6">
            <wp:extent cx="5429250" cy="74225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0692" cy="7438158"/>
                    </a:xfrm>
                    <a:prstGeom prst="rect">
                      <a:avLst/>
                    </a:prstGeom>
                    <a:noFill/>
                    <a:ln>
                      <a:noFill/>
                    </a:ln>
                  </pic:spPr>
                </pic:pic>
              </a:graphicData>
            </a:graphic>
          </wp:inline>
        </w:drawing>
      </w:r>
    </w:p>
    <w:p w14:paraId="6E8EDFDD" w14:textId="77777777" w:rsidR="00A71C71" w:rsidRDefault="00A71C71" w:rsidP="00A71C71">
      <w:pPr>
        <w:spacing w:line="262" w:lineRule="auto"/>
        <w:ind w:right="460"/>
        <w:rPr>
          <w:sz w:val="16"/>
          <w:szCs w:val="16"/>
        </w:rPr>
      </w:pPr>
      <w:r w:rsidRPr="00343991">
        <w:rPr>
          <w:sz w:val="16"/>
          <w:szCs w:val="16"/>
        </w:rPr>
        <w:t xml:space="preserve">Fuente: Sistema de Nóminas </w:t>
      </w:r>
      <w:proofErr w:type="spellStart"/>
      <w:r w:rsidRPr="00343991">
        <w:rPr>
          <w:sz w:val="16"/>
          <w:szCs w:val="16"/>
        </w:rPr>
        <w:t>Guatenóminas</w:t>
      </w:r>
      <w:proofErr w:type="spellEnd"/>
      <w:r>
        <w:rPr>
          <w:sz w:val="16"/>
          <w:szCs w:val="16"/>
        </w:rPr>
        <w:t xml:space="preserve"> </w:t>
      </w:r>
    </w:p>
    <w:p w14:paraId="7BCE7978" w14:textId="77777777" w:rsidR="00A71C71" w:rsidRDefault="00A71C71" w:rsidP="00A71C71">
      <w:pPr>
        <w:spacing w:line="262" w:lineRule="auto"/>
        <w:ind w:right="460"/>
        <w:rPr>
          <w:sz w:val="16"/>
          <w:szCs w:val="16"/>
        </w:rPr>
      </w:pPr>
    </w:p>
    <w:p w14:paraId="78D322DB" w14:textId="77777777" w:rsidR="00A71C71" w:rsidRDefault="00A71C71" w:rsidP="00A71C71">
      <w:pPr>
        <w:spacing w:line="262" w:lineRule="auto"/>
        <w:ind w:right="460"/>
        <w:rPr>
          <w:sz w:val="16"/>
          <w:szCs w:val="16"/>
        </w:rPr>
      </w:pPr>
    </w:p>
    <w:p w14:paraId="6195621A" w14:textId="77777777" w:rsidR="00A71C71" w:rsidRDefault="00A71C71" w:rsidP="00A71C71">
      <w:pPr>
        <w:spacing w:line="262" w:lineRule="auto"/>
        <w:ind w:right="460"/>
        <w:rPr>
          <w:sz w:val="16"/>
          <w:szCs w:val="16"/>
        </w:rPr>
      </w:pPr>
    </w:p>
    <w:p w14:paraId="56CBBF2F" w14:textId="77777777" w:rsidR="00A71C71" w:rsidRDefault="00A71C71" w:rsidP="00A71C71">
      <w:pPr>
        <w:spacing w:line="262" w:lineRule="auto"/>
        <w:ind w:right="460"/>
        <w:jc w:val="center"/>
        <w:rPr>
          <w:b/>
          <w:bCs/>
          <w:sz w:val="32"/>
          <w:szCs w:val="32"/>
        </w:rPr>
      </w:pPr>
    </w:p>
    <w:p w14:paraId="51A88447" w14:textId="695AADD5" w:rsidR="00A71C71" w:rsidRPr="00A71C71" w:rsidRDefault="00A71C71" w:rsidP="00A71C71">
      <w:pPr>
        <w:spacing w:line="262" w:lineRule="auto"/>
        <w:ind w:right="460"/>
        <w:jc w:val="center"/>
        <w:rPr>
          <w:b/>
          <w:bCs/>
          <w:sz w:val="32"/>
          <w:szCs w:val="32"/>
        </w:rPr>
      </w:pPr>
      <w:r w:rsidRPr="00A71C71">
        <w:rPr>
          <w:b/>
          <w:bCs/>
          <w:sz w:val="32"/>
          <w:szCs w:val="32"/>
        </w:rPr>
        <w:t>ANEXO 2</w:t>
      </w:r>
    </w:p>
    <w:p w14:paraId="75EE0BDD" w14:textId="77777777" w:rsidR="00A71C71" w:rsidRDefault="00A71C71" w:rsidP="00A71C71">
      <w:pPr>
        <w:spacing w:line="262" w:lineRule="auto"/>
        <w:ind w:right="460"/>
        <w:rPr>
          <w:noProof/>
        </w:rPr>
      </w:pPr>
    </w:p>
    <w:p w14:paraId="3A7B4C28" w14:textId="724D05DF" w:rsidR="00A71C71" w:rsidRDefault="00A71C71" w:rsidP="00C124CD">
      <w:pPr>
        <w:spacing w:line="253" w:lineRule="auto"/>
        <w:ind w:left="0" w:firstLine="0"/>
        <w:rPr>
          <w:noProof/>
        </w:rPr>
      </w:pPr>
      <w:r w:rsidRPr="00A71C71">
        <w:rPr>
          <w:noProof/>
        </w:rPr>
        <w:drawing>
          <wp:inline distT="0" distB="0" distL="0" distR="0" wp14:anchorId="1B821742" wp14:editId="37D1288F">
            <wp:extent cx="5610225" cy="4203700"/>
            <wp:effectExtent l="0" t="0" r="952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4203700"/>
                    </a:xfrm>
                    <a:prstGeom prst="rect">
                      <a:avLst/>
                    </a:prstGeom>
                    <a:noFill/>
                    <a:ln>
                      <a:noFill/>
                    </a:ln>
                  </pic:spPr>
                </pic:pic>
              </a:graphicData>
            </a:graphic>
          </wp:inline>
        </w:drawing>
      </w:r>
    </w:p>
    <w:p w14:paraId="1ABA84C1" w14:textId="77777777" w:rsidR="00EA46C3" w:rsidRPr="00343991" w:rsidRDefault="00EA46C3" w:rsidP="00EA46C3">
      <w:pPr>
        <w:spacing w:line="262" w:lineRule="auto"/>
        <w:ind w:right="460"/>
        <w:rPr>
          <w:sz w:val="16"/>
          <w:szCs w:val="16"/>
        </w:rPr>
      </w:pPr>
      <w:r w:rsidRPr="00343991">
        <w:rPr>
          <w:sz w:val="16"/>
          <w:szCs w:val="16"/>
        </w:rPr>
        <w:t xml:space="preserve">Fuente: Sistema de Nóminas </w:t>
      </w:r>
      <w:proofErr w:type="spellStart"/>
      <w:r w:rsidRPr="00343991">
        <w:rPr>
          <w:sz w:val="16"/>
          <w:szCs w:val="16"/>
        </w:rPr>
        <w:t>Guatenóminas</w:t>
      </w:r>
      <w:proofErr w:type="spellEnd"/>
    </w:p>
    <w:p w14:paraId="6E279229" w14:textId="28226BC2" w:rsidR="00343991" w:rsidRDefault="00343991" w:rsidP="00C124CD">
      <w:pPr>
        <w:spacing w:line="253" w:lineRule="auto"/>
        <w:ind w:left="0" w:firstLine="0"/>
      </w:pPr>
    </w:p>
    <w:p w14:paraId="2C9523D4" w14:textId="71E18DAE" w:rsidR="00BE1060" w:rsidRDefault="00BE1060" w:rsidP="001C0D8A">
      <w:pPr>
        <w:spacing w:line="276" w:lineRule="auto"/>
        <w:ind w:left="0" w:firstLine="0"/>
        <w:rPr>
          <w:szCs w:val="24"/>
        </w:rPr>
      </w:pPr>
    </w:p>
    <w:p w14:paraId="75053FD3" w14:textId="656E65FB" w:rsidR="00A71C71" w:rsidRDefault="00A71C71" w:rsidP="001C0D8A">
      <w:pPr>
        <w:spacing w:line="276" w:lineRule="auto"/>
        <w:ind w:left="0" w:firstLine="0"/>
        <w:rPr>
          <w:szCs w:val="24"/>
        </w:rPr>
      </w:pPr>
    </w:p>
    <w:p w14:paraId="574B306A" w14:textId="7A8D315D" w:rsidR="00A71C71" w:rsidRDefault="00A71C71" w:rsidP="001C0D8A">
      <w:pPr>
        <w:spacing w:line="276" w:lineRule="auto"/>
        <w:ind w:left="0" w:firstLine="0"/>
        <w:rPr>
          <w:szCs w:val="24"/>
        </w:rPr>
      </w:pPr>
    </w:p>
    <w:p w14:paraId="15ABBB58" w14:textId="783ECA80" w:rsidR="00A71C71" w:rsidRDefault="00A71C71" w:rsidP="001C0D8A">
      <w:pPr>
        <w:spacing w:line="276" w:lineRule="auto"/>
        <w:ind w:left="0" w:firstLine="0"/>
        <w:rPr>
          <w:szCs w:val="24"/>
        </w:rPr>
      </w:pPr>
    </w:p>
    <w:p w14:paraId="1BEB7ECC" w14:textId="346C19F9" w:rsidR="00A71C71" w:rsidRDefault="00A71C71" w:rsidP="001C0D8A">
      <w:pPr>
        <w:spacing w:line="276" w:lineRule="auto"/>
        <w:ind w:left="0" w:firstLine="0"/>
        <w:rPr>
          <w:szCs w:val="24"/>
        </w:rPr>
      </w:pPr>
    </w:p>
    <w:p w14:paraId="322D3256" w14:textId="6E0DBEC7" w:rsidR="00A71C71" w:rsidRDefault="00A71C71" w:rsidP="001C0D8A">
      <w:pPr>
        <w:spacing w:line="276" w:lineRule="auto"/>
        <w:ind w:left="0" w:firstLine="0"/>
        <w:rPr>
          <w:szCs w:val="24"/>
        </w:rPr>
      </w:pPr>
    </w:p>
    <w:p w14:paraId="205CC76A" w14:textId="225AEF5F" w:rsidR="00A71C71" w:rsidRDefault="00A71C71" w:rsidP="001C0D8A">
      <w:pPr>
        <w:spacing w:line="276" w:lineRule="auto"/>
        <w:ind w:left="0" w:firstLine="0"/>
        <w:rPr>
          <w:szCs w:val="24"/>
        </w:rPr>
      </w:pPr>
    </w:p>
    <w:p w14:paraId="159DDC64" w14:textId="641CA9BD" w:rsidR="00A71C71" w:rsidRDefault="00A71C71" w:rsidP="001C0D8A">
      <w:pPr>
        <w:spacing w:line="276" w:lineRule="auto"/>
        <w:ind w:left="0" w:firstLine="0"/>
        <w:rPr>
          <w:szCs w:val="24"/>
        </w:rPr>
      </w:pPr>
    </w:p>
    <w:p w14:paraId="3AA8A774" w14:textId="732CE747" w:rsidR="00A71C71" w:rsidRDefault="00A71C71" w:rsidP="001C0D8A">
      <w:pPr>
        <w:spacing w:line="276" w:lineRule="auto"/>
        <w:ind w:left="0" w:firstLine="0"/>
        <w:rPr>
          <w:szCs w:val="24"/>
        </w:rPr>
      </w:pPr>
    </w:p>
    <w:p w14:paraId="1CB17C57" w14:textId="5FFBDEA9" w:rsidR="00A71C71" w:rsidRDefault="00A71C71" w:rsidP="001C0D8A">
      <w:pPr>
        <w:spacing w:line="276" w:lineRule="auto"/>
        <w:ind w:left="0" w:firstLine="0"/>
        <w:rPr>
          <w:szCs w:val="24"/>
        </w:rPr>
      </w:pPr>
    </w:p>
    <w:p w14:paraId="5C99D70E" w14:textId="14DC0FE0" w:rsidR="00A71C71" w:rsidRDefault="00A71C71" w:rsidP="001C0D8A">
      <w:pPr>
        <w:spacing w:line="276" w:lineRule="auto"/>
        <w:ind w:left="0" w:firstLine="0"/>
        <w:rPr>
          <w:szCs w:val="24"/>
        </w:rPr>
      </w:pPr>
    </w:p>
    <w:p w14:paraId="5959CB68" w14:textId="64DD361C" w:rsidR="00A71C71" w:rsidRDefault="00A71C71" w:rsidP="001C0D8A">
      <w:pPr>
        <w:spacing w:line="276" w:lineRule="auto"/>
        <w:ind w:left="0" w:firstLine="0"/>
        <w:rPr>
          <w:szCs w:val="24"/>
        </w:rPr>
      </w:pPr>
    </w:p>
    <w:p w14:paraId="1571CE81" w14:textId="4A0BE7C8" w:rsidR="00A71C71" w:rsidRDefault="00A71C71" w:rsidP="001C0D8A">
      <w:pPr>
        <w:spacing w:line="276" w:lineRule="auto"/>
        <w:ind w:left="0" w:firstLine="0"/>
        <w:rPr>
          <w:szCs w:val="24"/>
        </w:rPr>
      </w:pPr>
    </w:p>
    <w:p w14:paraId="45C7B0FB" w14:textId="18DD7869" w:rsidR="00A71C71" w:rsidRDefault="00A71C71" w:rsidP="001C0D8A">
      <w:pPr>
        <w:spacing w:line="276" w:lineRule="auto"/>
        <w:ind w:left="0" w:firstLine="0"/>
        <w:rPr>
          <w:szCs w:val="24"/>
        </w:rPr>
      </w:pPr>
    </w:p>
    <w:p w14:paraId="7C511EBB" w14:textId="0A2D2690" w:rsidR="00A71C71" w:rsidRDefault="00684AE8" w:rsidP="00545057">
      <w:pPr>
        <w:spacing w:line="276" w:lineRule="auto"/>
        <w:ind w:left="0" w:firstLine="0"/>
        <w:jc w:val="center"/>
        <w:rPr>
          <w:b/>
          <w:bCs/>
          <w:sz w:val="28"/>
          <w:szCs w:val="28"/>
        </w:rPr>
      </w:pPr>
      <w:r>
        <w:rPr>
          <w:b/>
          <w:bCs/>
          <w:sz w:val="28"/>
          <w:szCs w:val="28"/>
        </w:rPr>
        <w:lastRenderedPageBreak/>
        <w:t xml:space="preserve">  </w:t>
      </w:r>
    </w:p>
    <w:p w14:paraId="788723EB" w14:textId="4ADAE2B5" w:rsidR="00545057" w:rsidRDefault="00684AE8" w:rsidP="00545057">
      <w:pPr>
        <w:spacing w:line="276" w:lineRule="auto"/>
        <w:ind w:left="0" w:firstLine="0"/>
        <w:jc w:val="center"/>
        <w:rPr>
          <w:b/>
          <w:bCs/>
          <w:sz w:val="28"/>
          <w:szCs w:val="28"/>
        </w:rPr>
      </w:pPr>
      <w:r>
        <w:rPr>
          <w:b/>
          <w:bCs/>
          <w:sz w:val="28"/>
          <w:szCs w:val="28"/>
        </w:rPr>
        <w:t xml:space="preserve">  </w:t>
      </w:r>
      <w:r w:rsidR="00545057" w:rsidRPr="00760576">
        <w:rPr>
          <w:b/>
          <w:bCs/>
          <w:sz w:val="28"/>
          <w:szCs w:val="28"/>
        </w:rPr>
        <w:t xml:space="preserve">ANEXO  </w:t>
      </w:r>
      <w:r w:rsidR="00A71C71">
        <w:rPr>
          <w:b/>
          <w:bCs/>
          <w:sz w:val="28"/>
          <w:szCs w:val="28"/>
        </w:rPr>
        <w:t>3</w:t>
      </w:r>
    </w:p>
    <w:p w14:paraId="4A3822CE" w14:textId="77777777" w:rsidR="002B1C60" w:rsidRPr="002B1C60" w:rsidRDefault="002B1C60" w:rsidP="002B1C60">
      <w:pPr>
        <w:spacing w:line="240" w:lineRule="auto"/>
        <w:ind w:left="0" w:firstLine="0"/>
        <w:jc w:val="center"/>
        <w:rPr>
          <w:b/>
          <w:bCs/>
          <w:sz w:val="16"/>
          <w:szCs w:val="16"/>
        </w:rPr>
      </w:pPr>
    </w:p>
    <w:p w14:paraId="7A179DC2" w14:textId="40CE60C5" w:rsidR="00A71C71" w:rsidRPr="00760576" w:rsidRDefault="002B1C60" w:rsidP="00545057">
      <w:pPr>
        <w:spacing w:line="276" w:lineRule="auto"/>
        <w:ind w:left="0" w:firstLine="0"/>
        <w:jc w:val="center"/>
        <w:rPr>
          <w:b/>
          <w:bCs/>
          <w:sz w:val="28"/>
          <w:szCs w:val="28"/>
        </w:rPr>
      </w:pPr>
      <w:r w:rsidRPr="002B1C60">
        <w:rPr>
          <w:noProof/>
        </w:rPr>
        <w:drawing>
          <wp:inline distT="0" distB="0" distL="0" distR="0" wp14:anchorId="1D41DF74" wp14:editId="35D9274A">
            <wp:extent cx="5584592" cy="75565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5904" cy="7571806"/>
                    </a:xfrm>
                    <a:prstGeom prst="rect">
                      <a:avLst/>
                    </a:prstGeom>
                    <a:noFill/>
                    <a:ln>
                      <a:noFill/>
                    </a:ln>
                  </pic:spPr>
                </pic:pic>
              </a:graphicData>
            </a:graphic>
          </wp:inline>
        </w:drawing>
      </w:r>
    </w:p>
    <w:p w14:paraId="0A2539AD" w14:textId="35405FB7" w:rsidR="003D258D" w:rsidRDefault="002B1C60" w:rsidP="008C53E6">
      <w:pPr>
        <w:spacing w:line="262" w:lineRule="auto"/>
        <w:ind w:right="460"/>
        <w:rPr>
          <w:szCs w:val="24"/>
        </w:rPr>
      </w:pPr>
      <w:r w:rsidRPr="00343991">
        <w:rPr>
          <w:sz w:val="16"/>
          <w:szCs w:val="16"/>
        </w:rPr>
        <w:t xml:space="preserve">Fuente: Sistema de Nóminas </w:t>
      </w:r>
      <w:proofErr w:type="spellStart"/>
      <w:r w:rsidRPr="00343991">
        <w:rPr>
          <w:sz w:val="16"/>
          <w:szCs w:val="16"/>
        </w:rPr>
        <w:t>Guatenóminas</w:t>
      </w:r>
      <w:proofErr w:type="spellEnd"/>
    </w:p>
    <w:p w14:paraId="75C26F5C" w14:textId="2574F6BA" w:rsidR="003D258D" w:rsidRDefault="003D258D" w:rsidP="001C0D8A">
      <w:pPr>
        <w:spacing w:line="276" w:lineRule="auto"/>
        <w:ind w:left="0" w:firstLine="0"/>
        <w:rPr>
          <w:szCs w:val="24"/>
        </w:rPr>
        <w:sectPr w:rsidR="003D258D" w:rsidSect="004A0EA2">
          <w:headerReference w:type="even" r:id="rId16"/>
          <w:headerReference w:type="default" r:id="rId17"/>
          <w:footerReference w:type="even" r:id="rId18"/>
          <w:footerReference w:type="default" r:id="rId19"/>
          <w:headerReference w:type="first" r:id="rId20"/>
          <w:footerReference w:type="first" r:id="rId21"/>
          <w:pgSz w:w="12240" w:h="15840"/>
          <w:pgMar w:top="1158" w:right="1704" w:bottom="1227" w:left="1701" w:header="630" w:footer="1195" w:gutter="0"/>
          <w:pgNumType w:start="1"/>
          <w:cols w:space="720"/>
        </w:sectPr>
      </w:pPr>
    </w:p>
    <w:p w14:paraId="32AA68D7" w14:textId="77777777" w:rsidR="00580016" w:rsidRDefault="00580016" w:rsidP="00684AE8">
      <w:pPr>
        <w:pStyle w:val="Encabezado"/>
        <w:tabs>
          <w:tab w:val="left" w:pos="3915"/>
        </w:tabs>
        <w:ind w:right="360"/>
        <w:jc w:val="right"/>
        <w:rPr>
          <w:szCs w:val="24"/>
        </w:rPr>
      </w:pPr>
    </w:p>
    <w:sectPr w:rsidR="00580016" w:rsidSect="007B1288">
      <w:headerReference w:type="default" r:id="rId22"/>
      <w:footerReference w:type="default" r:id="rId23"/>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1C6F" w14:textId="77777777" w:rsidR="00183325" w:rsidRDefault="00183325">
      <w:pPr>
        <w:spacing w:after="0" w:line="240" w:lineRule="auto"/>
      </w:pPr>
      <w:r>
        <w:separator/>
      </w:r>
    </w:p>
  </w:endnote>
  <w:endnote w:type="continuationSeparator" w:id="0">
    <w:p w14:paraId="7E79F44D" w14:textId="77777777" w:rsidR="00183325" w:rsidRDefault="0018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FF72" w14:textId="77777777" w:rsidR="00183325" w:rsidRDefault="00183325">
      <w:pPr>
        <w:spacing w:after="0" w:line="240" w:lineRule="auto"/>
      </w:pPr>
      <w:r>
        <w:separator/>
      </w:r>
    </w:p>
  </w:footnote>
  <w:footnote w:type="continuationSeparator" w:id="0">
    <w:p w14:paraId="13E11AD7" w14:textId="77777777" w:rsidR="00183325" w:rsidRDefault="00183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9867" w14:textId="77777777" w:rsidR="003C2A45" w:rsidRDefault="003C2A4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22D91EC7" w:rsidR="00B35046" w:rsidRDefault="00B35046">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w:t>
    </w:r>
    <w:r w:rsidR="003C2A45">
      <w:rPr>
        <w:color w:val="666666"/>
        <w:sz w:val="14"/>
      </w:rPr>
      <w:t>82</w:t>
    </w:r>
    <w:r w:rsidR="002A2F52">
      <w:rPr>
        <w:color w:val="666666"/>
        <w:sz w:val="14"/>
      </w:rPr>
      <w:t>-202</w:t>
    </w:r>
    <w:r w:rsidR="001C0D8A">
      <w:rPr>
        <w:color w:val="666666"/>
        <w:sz w:val="14"/>
      </w:rPr>
      <w:t>3</w:t>
    </w:r>
  </w:p>
  <w:p w14:paraId="7E7E773B" w14:textId="77777777" w:rsidR="003C2A45" w:rsidRDefault="003C2A45">
    <w:pPr>
      <w:tabs>
        <w:tab w:val="center" w:pos="4361"/>
        <w:tab w:val="right" w:pos="8835"/>
      </w:tabs>
      <w:spacing w:after="0" w:line="259" w:lineRule="auto"/>
      <w:ind w:left="0" w:right="-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446" w14:textId="48572729" w:rsidR="007B1288" w:rsidRPr="00684AE8" w:rsidRDefault="007B1288" w:rsidP="00684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6A"/>
    <w:multiLevelType w:val="multilevel"/>
    <w:tmpl w:val="03484FC2"/>
    <w:lvl w:ilvl="0">
      <w:start w:val="1"/>
      <w:numFmt w:val="decimal"/>
      <w:lvlText w:val="%1."/>
      <w:lvlJc w:val="left"/>
      <w:pPr>
        <w:ind w:left="350" w:hanging="360"/>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70" w:hanging="1800"/>
      </w:pPr>
      <w:rPr>
        <w:rFonts w:hint="default"/>
      </w:rPr>
    </w:lvl>
  </w:abstractNum>
  <w:abstractNum w:abstractNumId="1"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41B4F43"/>
    <w:multiLevelType w:val="hybridMultilevel"/>
    <w:tmpl w:val="12EA037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7" w15:restartNumberingAfterBreak="0">
    <w:nsid w:val="2EAC3495"/>
    <w:multiLevelType w:val="hybridMultilevel"/>
    <w:tmpl w:val="7F3E13FC"/>
    <w:lvl w:ilvl="0" w:tplc="E14A72E6">
      <w:start w:val="3"/>
      <w:numFmt w:val="bullet"/>
      <w:lvlText w:val="-"/>
      <w:lvlJc w:val="left"/>
      <w:pPr>
        <w:ind w:left="1494" w:hanging="360"/>
      </w:pPr>
      <w:rPr>
        <w:rFonts w:ascii="Arial" w:eastAsia="Arial" w:hAnsi="Arial" w:cs="Aria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abstractNum w:abstractNumId="8"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9146748"/>
    <w:multiLevelType w:val="multilevel"/>
    <w:tmpl w:val="627EEC1C"/>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3"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6AE3790"/>
    <w:multiLevelType w:val="hybridMultilevel"/>
    <w:tmpl w:val="62B088E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86623B4"/>
    <w:multiLevelType w:val="hybridMultilevel"/>
    <w:tmpl w:val="036C80A2"/>
    <w:lvl w:ilvl="0" w:tplc="100A0001">
      <w:start w:val="1"/>
      <w:numFmt w:val="bullet"/>
      <w:lvlText w:val=""/>
      <w:lvlJc w:val="left"/>
      <w:pPr>
        <w:ind w:left="1419" w:hanging="360"/>
      </w:pPr>
      <w:rPr>
        <w:rFonts w:ascii="Symbol" w:hAnsi="Symbol" w:hint="default"/>
      </w:rPr>
    </w:lvl>
    <w:lvl w:ilvl="1" w:tplc="100A0003" w:tentative="1">
      <w:start w:val="1"/>
      <w:numFmt w:val="bullet"/>
      <w:lvlText w:val="o"/>
      <w:lvlJc w:val="left"/>
      <w:pPr>
        <w:ind w:left="2139" w:hanging="360"/>
      </w:pPr>
      <w:rPr>
        <w:rFonts w:ascii="Courier New" w:hAnsi="Courier New" w:cs="Courier New" w:hint="default"/>
      </w:rPr>
    </w:lvl>
    <w:lvl w:ilvl="2" w:tplc="100A0005" w:tentative="1">
      <w:start w:val="1"/>
      <w:numFmt w:val="bullet"/>
      <w:lvlText w:val=""/>
      <w:lvlJc w:val="left"/>
      <w:pPr>
        <w:ind w:left="2859" w:hanging="360"/>
      </w:pPr>
      <w:rPr>
        <w:rFonts w:ascii="Wingdings" w:hAnsi="Wingdings" w:hint="default"/>
      </w:rPr>
    </w:lvl>
    <w:lvl w:ilvl="3" w:tplc="100A0001" w:tentative="1">
      <w:start w:val="1"/>
      <w:numFmt w:val="bullet"/>
      <w:lvlText w:val=""/>
      <w:lvlJc w:val="left"/>
      <w:pPr>
        <w:ind w:left="3579" w:hanging="360"/>
      </w:pPr>
      <w:rPr>
        <w:rFonts w:ascii="Symbol" w:hAnsi="Symbol" w:hint="default"/>
      </w:rPr>
    </w:lvl>
    <w:lvl w:ilvl="4" w:tplc="100A0003" w:tentative="1">
      <w:start w:val="1"/>
      <w:numFmt w:val="bullet"/>
      <w:lvlText w:val="o"/>
      <w:lvlJc w:val="left"/>
      <w:pPr>
        <w:ind w:left="4299" w:hanging="360"/>
      </w:pPr>
      <w:rPr>
        <w:rFonts w:ascii="Courier New" w:hAnsi="Courier New" w:cs="Courier New" w:hint="default"/>
      </w:rPr>
    </w:lvl>
    <w:lvl w:ilvl="5" w:tplc="100A0005" w:tentative="1">
      <w:start w:val="1"/>
      <w:numFmt w:val="bullet"/>
      <w:lvlText w:val=""/>
      <w:lvlJc w:val="left"/>
      <w:pPr>
        <w:ind w:left="5019" w:hanging="360"/>
      </w:pPr>
      <w:rPr>
        <w:rFonts w:ascii="Wingdings" w:hAnsi="Wingdings" w:hint="default"/>
      </w:rPr>
    </w:lvl>
    <w:lvl w:ilvl="6" w:tplc="100A0001" w:tentative="1">
      <w:start w:val="1"/>
      <w:numFmt w:val="bullet"/>
      <w:lvlText w:val=""/>
      <w:lvlJc w:val="left"/>
      <w:pPr>
        <w:ind w:left="5739" w:hanging="360"/>
      </w:pPr>
      <w:rPr>
        <w:rFonts w:ascii="Symbol" w:hAnsi="Symbol" w:hint="default"/>
      </w:rPr>
    </w:lvl>
    <w:lvl w:ilvl="7" w:tplc="100A0003" w:tentative="1">
      <w:start w:val="1"/>
      <w:numFmt w:val="bullet"/>
      <w:lvlText w:val="o"/>
      <w:lvlJc w:val="left"/>
      <w:pPr>
        <w:ind w:left="6459" w:hanging="360"/>
      </w:pPr>
      <w:rPr>
        <w:rFonts w:ascii="Courier New" w:hAnsi="Courier New" w:cs="Courier New" w:hint="default"/>
      </w:rPr>
    </w:lvl>
    <w:lvl w:ilvl="8" w:tplc="100A0005" w:tentative="1">
      <w:start w:val="1"/>
      <w:numFmt w:val="bullet"/>
      <w:lvlText w:val=""/>
      <w:lvlJc w:val="left"/>
      <w:pPr>
        <w:ind w:left="7179" w:hanging="360"/>
      </w:pPr>
      <w:rPr>
        <w:rFonts w:ascii="Wingdings" w:hAnsi="Wingdings" w:hint="default"/>
      </w:rPr>
    </w:lvl>
  </w:abstractNum>
  <w:abstractNum w:abstractNumId="16"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4FF9379C"/>
    <w:multiLevelType w:val="hybridMultilevel"/>
    <w:tmpl w:val="53B0F7BA"/>
    <w:lvl w:ilvl="0" w:tplc="885A674C">
      <w:start w:val="1"/>
      <w:numFmt w:val="lowerLetter"/>
      <w:lvlText w:val="%1."/>
      <w:lvlJc w:val="left"/>
      <w:pPr>
        <w:ind w:left="830" w:hanging="47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D670914"/>
    <w:multiLevelType w:val="hybridMultilevel"/>
    <w:tmpl w:val="37FC3060"/>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20"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5152A9C"/>
    <w:multiLevelType w:val="hybridMultilevel"/>
    <w:tmpl w:val="5D305436"/>
    <w:lvl w:ilvl="0" w:tplc="C4709C72">
      <w:start w:val="1"/>
      <w:numFmt w:val="decimal"/>
      <w:lvlText w:val="%1."/>
      <w:lvlJc w:val="left"/>
      <w:pPr>
        <w:ind w:left="420" w:hanging="360"/>
      </w:pPr>
      <w:rPr>
        <w:rFonts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22"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FF31597"/>
    <w:multiLevelType w:val="hybridMultilevel"/>
    <w:tmpl w:val="D8164884"/>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0"/>
  </w:num>
  <w:num w:numId="5">
    <w:abstractNumId w:val="1"/>
  </w:num>
  <w:num w:numId="6">
    <w:abstractNumId w:val="22"/>
  </w:num>
  <w:num w:numId="7">
    <w:abstractNumId w:val="9"/>
  </w:num>
  <w:num w:numId="8">
    <w:abstractNumId w:val="24"/>
  </w:num>
  <w:num w:numId="9">
    <w:abstractNumId w:val="16"/>
  </w:num>
  <w:num w:numId="10">
    <w:abstractNumId w:val="8"/>
  </w:num>
  <w:num w:numId="11">
    <w:abstractNumId w:val="12"/>
  </w:num>
  <w:num w:numId="12">
    <w:abstractNumId w:val="3"/>
  </w:num>
  <w:num w:numId="13">
    <w:abstractNumId w:val="4"/>
  </w:num>
  <w:num w:numId="14">
    <w:abstractNumId w:val="20"/>
  </w:num>
  <w:num w:numId="15">
    <w:abstractNumId w:val="2"/>
  </w:num>
  <w:num w:numId="16">
    <w:abstractNumId w:val="19"/>
  </w:num>
  <w:num w:numId="17">
    <w:abstractNumId w:val="17"/>
  </w:num>
  <w:num w:numId="18">
    <w:abstractNumId w:val="0"/>
  </w:num>
  <w:num w:numId="19">
    <w:abstractNumId w:val="11"/>
  </w:num>
  <w:num w:numId="20">
    <w:abstractNumId w:val="23"/>
  </w:num>
  <w:num w:numId="21">
    <w:abstractNumId w:val="15"/>
  </w:num>
  <w:num w:numId="22">
    <w:abstractNumId w:val="7"/>
  </w:num>
  <w:num w:numId="23">
    <w:abstractNumId w:val="5"/>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0585"/>
    <w:rsid w:val="0001636D"/>
    <w:rsid w:val="00017205"/>
    <w:rsid w:val="000257D2"/>
    <w:rsid w:val="0002704D"/>
    <w:rsid w:val="00030C19"/>
    <w:rsid w:val="000407A8"/>
    <w:rsid w:val="00053941"/>
    <w:rsid w:val="00064E6E"/>
    <w:rsid w:val="0007686A"/>
    <w:rsid w:val="00083017"/>
    <w:rsid w:val="00083099"/>
    <w:rsid w:val="000946D1"/>
    <w:rsid w:val="000A0FD8"/>
    <w:rsid w:val="000B08D5"/>
    <w:rsid w:val="000B2FCB"/>
    <w:rsid w:val="000C19E4"/>
    <w:rsid w:val="000C29D5"/>
    <w:rsid w:val="000D21CF"/>
    <w:rsid w:val="000E420E"/>
    <w:rsid w:val="000F1735"/>
    <w:rsid w:val="000F4A94"/>
    <w:rsid w:val="00110C26"/>
    <w:rsid w:val="00123375"/>
    <w:rsid w:val="001301D3"/>
    <w:rsid w:val="00134357"/>
    <w:rsid w:val="00143471"/>
    <w:rsid w:val="00147B18"/>
    <w:rsid w:val="00156217"/>
    <w:rsid w:val="00161D98"/>
    <w:rsid w:val="00183325"/>
    <w:rsid w:val="00185226"/>
    <w:rsid w:val="001B1E11"/>
    <w:rsid w:val="001B5A36"/>
    <w:rsid w:val="001C0D8A"/>
    <w:rsid w:val="001C5577"/>
    <w:rsid w:val="001C6F3F"/>
    <w:rsid w:val="001F187B"/>
    <w:rsid w:val="001F1E5A"/>
    <w:rsid w:val="0020633B"/>
    <w:rsid w:val="002165C1"/>
    <w:rsid w:val="00217DD4"/>
    <w:rsid w:val="002247E0"/>
    <w:rsid w:val="00232C7C"/>
    <w:rsid w:val="00240528"/>
    <w:rsid w:val="00246E15"/>
    <w:rsid w:val="00250762"/>
    <w:rsid w:val="00265D80"/>
    <w:rsid w:val="0028795A"/>
    <w:rsid w:val="00290AAD"/>
    <w:rsid w:val="00290D5A"/>
    <w:rsid w:val="00291615"/>
    <w:rsid w:val="00293974"/>
    <w:rsid w:val="002A2F52"/>
    <w:rsid w:val="002A41FD"/>
    <w:rsid w:val="002A498D"/>
    <w:rsid w:val="002B1C60"/>
    <w:rsid w:val="002D2F4F"/>
    <w:rsid w:val="002D3F14"/>
    <w:rsid w:val="002E1784"/>
    <w:rsid w:val="002E6375"/>
    <w:rsid w:val="002F1366"/>
    <w:rsid w:val="003023E6"/>
    <w:rsid w:val="0030683C"/>
    <w:rsid w:val="00315F58"/>
    <w:rsid w:val="0031791D"/>
    <w:rsid w:val="00320031"/>
    <w:rsid w:val="00331EB7"/>
    <w:rsid w:val="00333E1C"/>
    <w:rsid w:val="003340D2"/>
    <w:rsid w:val="00340D85"/>
    <w:rsid w:val="00343991"/>
    <w:rsid w:val="00355812"/>
    <w:rsid w:val="003568A5"/>
    <w:rsid w:val="00362D0D"/>
    <w:rsid w:val="00367D0E"/>
    <w:rsid w:val="00380231"/>
    <w:rsid w:val="0038146A"/>
    <w:rsid w:val="00386A53"/>
    <w:rsid w:val="0039750F"/>
    <w:rsid w:val="003A58A1"/>
    <w:rsid w:val="003B31A8"/>
    <w:rsid w:val="003B4CE1"/>
    <w:rsid w:val="003C2A45"/>
    <w:rsid w:val="003C36E6"/>
    <w:rsid w:val="003D258D"/>
    <w:rsid w:val="003F4259"/>
    <w:rsid w:val="003F5ACE"/>
    <w:rsid w:val="0041208E"/>
    <w:rsid w:val="00413E59"/>
    <w:rsid w:val="00415320"/>
    <w:rsid w:val="00416659"/>
    <w:rsid w:val="004207B8"/>
    <w:rsid w:val="0044429C"/>
    <w:rsid w:val="00451598"/>
    <w:rsid w:val="00457A30"/>
    <w:rsid w:val="00464D19"/>
    <w:rsid w:val="00466631"/>
    <w:rsid w:val="0047622D"/>
    <w:rsid w:val="00485D8B"/>
    <w:rsid w:val="00486D35"/>
    <w:rsid w:val="004879E1"/>
    <w:rsid w:val="00490B91"/>
    <w:rsid w:val="004A0EA2"/>
    <w:rsid w:val="004A1610"/>
    <w:rsid w:val="004A3FAA"/>
    <w:rsid w:val="004A7FA3"/>
    <w:rsid w:val="004B4A2A"/>
    <w:rsid w:val="004C25DB"/>
    <w:rsid w:val="004D3D1B"/>
    <w:rsid w:val="004E3CB9"/>
    <w:rsid w:val="004E4BBB"/>
    <w:rsid w:val="004E79C4"/>
    <w:rsid w:val="004F4C79"/>
    <w:rsid w:val="00523735"/>
    <w:rsid w:val="005259DA"/>
    <w:rsid w:val="0053644A"/>
    <w:rsid w:val="005421A5"/>
    <w:rsid w:val="00543F94"/>
    <w:rsid w:val="005441C9"/>
    <w:rsid w:val="00545057"/>
    <w:rsid w:val="00564703"/>
    <w:rsid w:val="00571EA6"/>
    <w:rsid w:val="00580016"/>
    <w:rsid w:val="00585208"/>
    <w:rsid w:val="005949F3"/>
    <w:rsid w:val="005A0528"/>
    <w:rsid w:val="005A4EA3"/>
    <w:rsid w:val="005B3211"/>
    <w:rsid w:val="005B4122"/>
    <w:rsid w:val="005D327D"/>
    <w:rsid w:val="005E1249"/>
    <w:rsid w:val="005E56FB"/>
    <w:rsid w:val="00616A83"/>
    <w:rsid w:val="00616AA4"/>
    <w:rsid w:val="00616F3D"/>
    <w:rsid w:val="00617507"/>
    <w:rsid w:val="0063434E"/>
    <w:rsid w:val="0063714A"/>
    <w:rsid w:val="00641FAE"/>
    <w:rsid w:val="00663093"/>
    <w:rsid w:val="006679CB"/>
    <w:rsid w:val="006713B1"/>
    <w:rsid w:val="0068346E"/>
    <w:rsid w:val="00683F82"/>
    <w:rsid w:val="00684AE8"/>
    <w:rsid w:val="00687397"/>
    <w:rsid w:val="006A2925"/>
    <w:rsid w:val="006A527C"/>
    <w:rsid w:val="006A7935"/>
    <w:rsid w:val="006C23F9"/>
    <w:rsid w:val="006E6BF9"/>
    <w:rsid w:val="006F576C"/>
    <w:rsid w:val="00702B38"/>
    <w:rsid w:val="00712B9A"/>
    <w:rsid w:val="00746489"/>
    <w:rsid w:val="0074769A"/>
    <w:rsid w:val="00760576"/>
    <w:rsid w:val="0076487B"/>
    <w:rsid w:val="007736C7"/>
    <w:rsid w:val="00782FEE"/>
    <w:rsid w:val="00793647"/>
    <w:rsid w:val="0079760A"/>
    <w:rsid w:val="007A78CC"/>
    <w:rsid w:val="007B1288"/>
    <w:rsid w:val="007C021A"/>
    <w:rsid w:val="007C641B"/>
    <w:rsid w:val="007E35B8"/>
    <w:rsid w:val="007E3D3F"/>
    <w:rsid w:val="007E502D"/>
    <w:rsid w:val="007F1759"/>
    <w:rsid w:val="00805671"/>
    <w:rsid w:val="00810EA0"/>
    <w:rsid w:val="00812AE5"/>
    <w:rsid w:val="008263C5"/>
    <w:rsid w:val="008453CC"/>
    <w:rsid w:val="00860970"/>
    <w:rsid w:val="0087009D"/>
    <w:rsid w:val="00873813"/>
    <w:rsid w:val="00874CDC"/>
    <w:rsid w:val="00876391"/>
    <w:rsid w:val="008766C5"/>
    <w:rsid w:val="00884304"/>
    <w:rsid w:val="00885621"/>
    <w:rsid w:val="00891EA0"/>
    <w:rsid w:val="00895D0E"/>
    <w:rsid w:val="00896C33"/>
    <w:rsid w:val="008A3FE0"/>
    <w:rsid w:val="008C53E6"/>
    <w:rsid w:val="008D6298"/>
    <w:rsid w:val="008E39C6"/>
    <w:rsid w:val="008F091A"/>
    <w:rsid w:val="008F21A9"/>
    <w:rsid w:val="008F2EF6"/>
    <w:rsid w:val="009023D4"/>
    <w:rsid w:val="0094334D"/>
    <w:rsid w:val="00953D47"/>
    <w:rsid w:val="00960D88"/>
    <w:rsid w:val="009624B5"/>
    <w:rsid w:val="0096671F"/>
    <w:rsid w:val="00975A6D"/>
    <w:rsid w:val="00987570"/>
    <w:rsid w:val="0099185C"/>
    <w:rsid w:val="00994034"/>
    <w:rsid w:val="009A352B"/>
    <w:rsid w:val="009B1507"/>
    <w:rsid w:val="009B345A"/>
    <w:rsid w:val="009B7AE7"/>
    <w:rsid w:val="009C1D29"/>
    <w:rsid w:val="009C3C12"/>
    <w:rsid w:val="00A118F8"/>
    <w:rsid w:val="00A22955"/>
    <w:rsid w:val="00A277E8"/>
    <w:rsid w:val="00A3168A"/>
    <w:rsid w:val="00A421AB"/>
    <w:rsid w:val="00A425CC"/>
    <w:rsid w:val="00A435BE"/>
    <w:rsid w:val="00A44383"/>
    <w:rsid w:val="00A56D5E"/>
    <w:rsid w:val="00A630FA"/>
    <w:rsid w:val="00A66637"/>
    <w:rsid w:val="00A71C71"/>
    <w:rsid w:val="00A748B6"/>
    <w:rsid w:val="00A95DAF"/>
    <w:rsid w:val="00A961C0"/>
    <w:rsid w:val="00AA0B2B"/>
    <w:rsid w:val="00AA4232"/>
    <w:rsid w:val="00AB01AF"/>
    <w:rsid w:val="00AB1FFA"/>
    <w:rsid w:val="00AC3CED"/>
    <w:rsid w:val="00AC564F"/>
    <w:rsid w:val="00AD255A"/>
    <w:rsid w:val="00AD5DFB"/>
    <w:rsid w:val="00AE0A02"/>
    <w:rsid w:val="00AE1611"/>
    <w:rsid w:val="00AE328C"/>
    <w:rsid w:val="00AF0CD3"/>
    <w:rsid w:val="00AF1290"/>
    <w:rsid w:val="00AF7EF1"/>
    <w:rsid w:val="00B031DF"/>
    <w:rsid w:val="00B22813"/>
    <w:rsid w:val="00B237A7"/>
    <w:rsid w:val="00B35046"/>
    <w:rsid w:val="00B41B6C"/>
    <w:rsid w:val="00B45296"/>
    <w:rsid w:val="00B47F80"/>
    <w:rsid w:val="00B513FE"/>
    <w:rsid w:val="00B74DD4"/>
    <w:rsid w:val="00B82017"/>
    <w:rsid w:val="00B82159"/>
    <w:rsid w:val="00B8556D"/>
    <w:rsid w:val="00B86A65"/>
    <w:rsid w:val="00B93967"/>
    <w:rsid w:val="00B9725F"/>
    <w:rsid w:val="00BA389C"/>
    <w:rsid w:val="00BA4AD3"/>
    <w:rsid w:val="00BA4EC8"/>
    <w:rsid w:val="00BC0653"/>
    <w:rsid w:val="00BC600D"/>
    <w:rsid w:val="00BD2E73"/>
    <w:rsid w:val="00BE1060"/>
    <w:rsid w:val="00BE2F15"/>
    <w:rsid w:val="00BF274A"/>
    <w:rsid w:val="00C008B3"/>
    <w:rsid w:val="00C0523B"/>
    <w:rsid w:val="00C06FC2"/>
    <w:rsid w:val="00C124CD"/>
    <w:rsid w:val="00C203DD"/>
    <w:rsid w:val="00C21C50"/>
    <w:rsid w:val="00C23286"/>
    <w:rsid w:val="00C34280"/>
    <w:rsid w:val="00C356FB"/>
    <w:rsid w:val="00C55B44"/>
    <w:rsid w:val="00C5762C"/>
    <w:rsid w:val="00C60329"/>
    <w:rsid w:val="00C62B85"/>
    <w:rsid w:val="00C85635"/>
    <w:rsid w:val="00C91921"/>
    <w:rsid w:val="00C9307E"/>
    <w:rsid w:val="00CA2279"/>
    <w:rsid w:val="00CA7A14"/>
    <w:rsid w:val="00CB5360"/>
    <w:rsid w:val="00CD35A3"/>
    <w:rsid w:val="00CD5635"/>
    <w:rsid w:val="00CE2373"/>
    <w:rsid w:val="00D00F0E"/>
    <w:rsid w:val="00D05827"/>
    <w:rsid w:val="00D1179B"/>
    <w:rsid w:val="00D169C8"/>
    <w:rsid w:val="00D25AB2"/>
    <w:rsid w:val="00D362B6"/>
    <w:rsid w:val="00D5560F"/>
    <w:rsid w:val="00D64C58"/>
    <w:rsid w:val="00D66DEE"/>
    <w:rsid w:val="00D80F86"/>
    <w:rsid w:val="00D9032E"/>
    <w:rsid w:val="00D94EA2"/>
    <w:rsid w:val="00DA2E4C"/>
    <w:rsid w:val="00DA77C2"/>
    <w:rsid w:val="00DB777A"/>
    <w:rsid w:val="00DD0F66"/>
    <w:rsid w:val="00DD3FD1"/>
    <w:rsid w:val="00DE314C"/>
    <w:rsid w:val="00DF7D4C"/>
    <w:rsid w:val="00E004D9"/>
    <w:rsid w:val="00E14129"/>
    <w:rsid w:val="00E1717D"/>
    <w:rsid w:val="00E21970"/>
    <w:rsid w:val="00E30B7B"/>
    <w:rsid w:val="00E412B0"/>
    <w:rsid w:val="00E45370"/>
    <w:rsid w:val="00E457B2"/>
    <w:rsid w:val="00E75699"/>
    <w:rsid w:val="00EA318A"/>
    <w:rsid w:val="00EA46C3"/>
    <w:rsid w:val="00EA6D1D"/>
    <w:rsid w:val="00EB43D6"/>
    <w:rsid w:val="00EE18B3"/>
    <w:rsid w:val="00EE2DEF"/>
    <w:rsid w:val="00EE4C26"/>
    <w:rsid w:val="00EE6DE7"/>
    <w:rsid w:val="00F05E81"/>
    <w:rsid w:val="00F10DAD"/>
    <w:rsid w:val="00F11B72"/>
    <w:rsid w:val="00F244F1"/>
    <w:rsid w:val="00F42540"/>
    <w:rsid w:val="00F52D5E"/>
    <w:rsid w:val="00F54A3E"/>
    <w:rsid w:val="00F5644C"/>
    <w:rsid w:val="00F564C4"/>
    <w:rsid w:val="00F61405"/>
    <w:rsid w:val="00F87A78"/>
    <w:rsid w:val="00F87C70"/>
    <w:rsid w:val="00F908E6"/>
    <w:rsid w:val="00FA51AA"/>
    <w:rsid w:val="00FB7BA7"/>
    <w:rsid w:val="00FC2EF2"/>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60"/>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01230069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04055737">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2023-11-10T22:49:00Z</cp:lastPrinted>
  <dcterms:created xsi:type="dcterms:W3CDTF">2023-11-14T17:26:00Z</dcterms:created>
  <dcterms:modified xsi:type="dcterms:W3CDTF">2023-11-14T17:26:00Z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