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D00E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>MINISTERIO DE EDUCACION</w:t>
      </w:r>
    </w:p>
    <w:p w14:paraId="06DAA70B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>AUDITORIA INTERNA</w:t>
      </w:r>
    </w:p>
    <w:p w14:paraId="0D471183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>INFORME O-DIDAI/SUB-29-2022</w:t>
      </w:r>
    </w:p>
    <w:p w14:paraId="7A77911F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>SIAD 561297</w:t>
      </w:r>
    </w:p>
    <w:p w14:paraId="58075DDA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2DA85D52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2F10E68F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3669D8A3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15A8B325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03ED4253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40162040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2BE016A3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4ED12775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48E38ED7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5CEBB80D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5A00C4C8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6A8A025F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4B89EEEC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059FA99B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593A58ED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2E727017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7742DCB9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5B1A9227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</w:p>
    <w:p w14:paraId="2565C034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 xml:space="preserve">Consejo o consultoría de segundo seguimiento a las recomendaciones de </w:t>
      </w:r>
    </w:p>
    <w:p w14:paraId="4B8B6328" w14:textId="77777777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>Contraloría General de Cuentas, en el informe de la Auditoría Financiera y de Cumplimiento, por el período del 01 de enero al 31 de diciembre de 2020, en la</w:t>
      </w:r>
    </w:p>
    <w:p w14:paraId="3D67CE52" w14:textId="5659104B" w:rsidR="009747E1" w:rsidRPr="009747E1" w:rsidRDefault="009747E1" w:rsidP="009747E1">
      <w:pPr>
        <w:spacing w:after="0" w:line="240" w:lineRule="auto"/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 xml:space="preserve">Dirección </w:t>
      </w:r>
      <w:r w:rsidR="005010E7">
        <w:rPr>
          <w:rFonts w:ascii="Arial" w:hAnsi="Arial" w:cs="Arial"/>
          <w:b/>
        </w:rPr>
        <w:t xml:space="preserve">General </w:t>
      </w:r>
      <w:r w:rsidRPr="009747E1">
        <w:rPr>
          <w:rFonts w:ascii="Arial" w:hAnsi="Arial" w:cs="Arial"/>
          <w:b/>
        </w:rPr>
        <w:t>de Educación Física -DIGEF-</w:t>
      </w:r>
    </w:p>
    <w:p w14:paraId="526302FE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3B76B6FF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54571D9E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2D180D18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0EBB0B44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38ABF65C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38170C47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673EC600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6E3ECF67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7AA7A7B6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0CD9F6B8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20DA9F3A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7E1B3840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</w:p>
    <w:p w14:paraId="7549FAB0" w14:textId="77777777" w:rsidR="009747E1" w:rsidRPr="009747E1" w:rsidRDefault="009747E1" w:rsidP="009747E1">
      <w:pPr>
        <w:jc w:val="center"/>
        <w:rPr>
          <w:rFonts w:ascii="Arial" w:hAnsi="Arial" w:cs="Arial"/>
          <w:b/>
        </w:rPr>
      </w:pPr>
      <w:r w:rsidRPr="009747E1">
        <w:rPr>
          <w:rFonts w:ascii="Arial" w:hAnsi="Arial" w:cs="Arial"/>
          <w:b/>
        </w:rPr>
        <w:t>GUATEMALA, FEBRERO DE 2022</w:t>
      </w:r>
    </w:p>
    <w:p w14:paraId="5D2696A5" w14:textId="77777777" w:rsidR="009747E1" w:rsidRDefault="009747E1" w:rsidP="009747E1">
      <w:pPr>
        <w:spacing w:line="0" w:lineRule="atLeast"/>
        <w:ind w:left="3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INDICE</w:t>
      </w:r>
    </w:p>
    <w:p w14:paraId="2C6E1B26" w14:textId="77777777" w:rsidR="009747E1" w:rsidRDefault="009747E1" w:rsidP="009747E1">
      <w:pPr>
        <w:spacing w:line="200" w:lineRule="exact"/>
        <w:rPr>
          <w:rFonts w:ascii="Times New Roman" w:eastAsia="Times New Roman" w:hAnsi="Times New Roman"/>
        </w:rPr>
      </w:pPr>
    </w:p>
    <w:p w14:paraId="1714472A" w14:textId="77777777" w:rsidR="009747E1" w:rsidRDefault="009747E1" w:rsidP="009747E1">
      <w:pPr>
        <w:spacing w:line="200" w:lineRule="exact"/>
        <w:rPr>
          <w:rFonts w:ascii="Times New Roman" w:eastAsia="Times New Roman" w:hAnsi="Times New Roman"/>
        </w:rPr>
      </w:pPr>
    </w:p>
    <w:p w14:paraId="7FFADF3C" w14:textId="77777777" w:rsidR="009747E1" w:rsidRDefault="009747E1" w:rsidP="009747E1">
      <w:pPr>
        <w:spacing w:line="341" w:lineRule="exact"/>
        <w:rPr>
          <w:rFonts w:ascii="Times New Roman" w:eastAsia="Times New Roman" w:hAnsi="Times New Roman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2220"/>
      </w:tblGrid>
      <w:tr w:rsidR="009747E1" w14:paraId="0C32D657" w14:textId="77777777" w:rsidTr="00E14603">
        <w:trPr>
          <w:trHeight w:val="361"/>
        </w:trPr>
        <w:tc>
          <w:tcPr>
            <w:tcW w:w="5880" w:type="dxa"/>
            <w:shd w:val="clear" w:color="auto" w:fill="auto"/>
            <w:vAlign w:val="bottom"/>
          </w:tcPr>
          <w:p w14:paraId="5652FDDA" w14:textId="77777777" w:rsidR="009747E1" w:rsidRDefault="009747E1" w:rsidP="00E1460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INTRODUCCION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48E1742E" w14:textId="77777777" w:rsidR="009747E1" w:rsidRDefault="009747E1" w:rsidP="00E14603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</w:tr>
      <w:tr w:rsidR="009747E1" w14:paraId="10C9BF4E" w14:textId="77777777" w:rsidTr="00E14603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14:paraId="155581FA" w14:textId="77777777" w:rsidR="009747E1" w:rsidRDefault="009747E1" w:rsidP="00E1460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OBJETIVOS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0C681A68" w14:textId="77777777" w:rsidR="009747E1" w:rsidRDefault="009747E1" w:rsidP="00E14603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</w:tr>
      <w:tr w:rsidR="009747E1" w14:paraId="65E85ED6" w14:textId="77777777" w:rsidTr="00E14603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14:paraId="26BCDDAB" w14:textId="77777777" w:rsidR="009747E1" w:rsidRDefault="009747E1" w:rsidP="00E1460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ALCANCE DE LA ACTIVIDAD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690A3CA" w14:textId="77777777" w:rsidR="009747E1" w:rsidRDefault="009747E1" w:rsidP="00E14603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</w:tr>
      <w:tr w:rsidR="009747E1" w14:paraId="0F567A09" w14:textId="77777777" w:rsidTr="00E14603">
        <w:trPr>
          <w:trHeight w:val="469"/>
        </w:trPr>
        <w:tc>
          <w:tcPr>
            <w:tcW w:w="5880" w:type="dxa"/>
            <w:shd w:val="clear" w:color="auto" w:fill="auto"/>
            <w:vAlign w:val="bottom"/>
          </w:tcPr>
          <w:p w14:paraId="1E8B2B82" w14:textId="77777777" w:rsidR="009747E1" w:rsidRDefault="009747E1" w:rsidP="00E1460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RESULTADOS DE LA ACTIVIDAD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5C10E60D" w14:textId="77777777" w:rsidR="009747E1" w:rsidRDefault="009747E1" w:rsidP="00E14603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</w:tr>
      <w:tr w:rsidR="009747E1" w14:paraId="67811593" w14:textId="77777777" w:rsidTr="00E14603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14:paraId="039461AC" w14:textId="77777777" w:rsidR="009747E1" w:rsidRDefault="009747E1" w:rsidP="00E14603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ANEXOS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6E73B203" w14:textId="3BE3F3A8" w:rsidR="009747E1" w:rsidRDefault="001151F3" w:rsidP="00E14603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</w:t>
            </w:r>
          </w:p>
        </w:tc>
      </w:tr>
    </w:tbl>
    <w:p w14:paraId="5E25853D" w14:textId="77777777" w:rsidR="009747E1" w:rsidRDefault="009747E1" w:rsidP="009747E1">
      <w:pPr>
        <w:spacing w:line="20" w:lineRule="exact"/>
        <w:rPr>
          <w:rFonts w:ascii="Times New Roman" w:eastAsia="Times New Roman" w:hAnsi="Times New Roman"/>
        </w:rPr>
      </w:pPr>
    </w:p>
    <w:p w14:paraId="35BA3FBD" w14:textId="77777777" w:rsidR="00BD729E" w:rsidRDefault="00BD729E" w:rsidP="00E80EF0">
      <w:p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</w:p>
    <w:p w14:paraId="452BF845" w14:textId="77777777" w:rsidR="00E80EF0" w:rsidRDefault="00E80EF0" w:rsidP="00E80EF0">
      <w:p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</w:p>
    <w:p w14:paraId="42E05B43" w14:textId="77777777" w:rsidR="00E80EF0" w:rsidRDefault="00E80EF0" w:rsidP="00E80EF0">
      <w:p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</w:p>
    <w:p w14:paraId="3419FE45" w14:textId="77777777" w:rsidR="00E80EF0" w:rsidRDefault="00E80EF0" w:rsidP="00E80EF0">
      <w:p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</w:p>
    <w:p w14:paraId="643C6A3E" w14:textId="77777777" w:rsidR="00E80EF0" w:rsidRPr="00E80EF0" w:rsidRDefault="00E80EF0" w:rsidP="00E80EF0">
      <w:p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</w:p>
    <w:p w14:paraId="7CC4A9CE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1FB34983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3C17DBDD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7A5A8CBE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7ED63E98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7C2C4ADF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4A413E61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4402E255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3DB1C194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675C176A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52FB36BE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0A6FECD2" w14:textId="77777777" w:rsidR="00572804" w:rsidRDefault="00572804" w:rsidP="009F5F67">
      <w:pPr>
        <w:jc w:val="center"/>
        <w:rPr>
          <w:rFonts w:ascii="Arial" w:hAnsi="Arial" w:cs="Arial"/>
          <w:b/>
        </w:rPr>
      </w:pPr>
    </w:p>
    <w:p w14:paraId="02DCE6F2" w14:textId="77777777" w:rsidR="00EA2453" w:rsidRDefault="00EA2453" w:rsidP="009F5F67">
      <w:pPr>
        <w:jc w:val="center"/>
        <w:rPr>
          <w:rFonts w:ascii="Arial" w:hAnsi="Arial" w:cs="Arial"/>
          <w:b/>
        </w:rPr>
        <w:sectPr w:rsidR="00EA2453" w:rsidSect="00305C6E">
          <w:footerReference w:type="default" r:id="rId8"/>
          <w:footerReference w:type="first" r:id="rId9"/>
          <w:pgSz w:w="12240" w:h="15840" w:code="1"/>
          <w:pgMar w:top="1418" w:right="1418" w:bottom="1418" w:left="1701" w:header="709" w:footer="709" w:gutter="0"/>
          <w:pgNumType w:chapStyle="3"/>
          <w:cols w:space="708"/>
          <w:titlePg/>
          <w:docGrid w:linePitch="360"/>
        </w:sectPr>
      </w:pPr>
    </w:p>
    <w:p w14:paraId="44410A70" w14:textId="77777777" w:rsidR="009747E1" w:rsidRPr="009747E1" w:rsidRDefault="009747E1" w:rsidP="009747E1">
      <w:pPr>
        <w:keepNext/>
        <w:spacing w:after="0" w:line="240" w:lineRule="auto"/>
        <w:ind w:left="2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9747E1">
        <w:rPr>
          <w:rFonts w:ascii="Arial" w:eastAsia="Times New Roman" w:hAnsi="Arial" w:cs="Arial"/>
          <w:b/>
          <w:bCs/>
          <w:kern w:val="32"/>
          <w:sz w:val="24"/>
          <w:szCs w:val="24"/>
        </w:rPr>
        <w:lastRenderedPageBreak/>
        <w:t>INTRODUCCIÓN</w:t>
      </w:r>
    </w:p>
    <w:p w14:paraId="0E3A4966" w14:textId="77777777" w:rsidR="009747E1" w:rsidRPr="009747E1" w:rsidRDefault="009747E1" w:rsidP="009747E1">
      <w:pPr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r w:rsidRPr="009747E1">
        <w:rPr>
          <w:rFonts w:ascii="Arial" w:eastAsia="Times New Roman" w:hAnsi="Arial" w:cs="Arial"/>
          <w:sz w:val="24"/>
          <w:szCs w:val="24"/>
        </w:rPr>
        <w:t xml:space="preserve">De conformidad con el nombramiento O-DIDAI/SUB-29-2022, de fecha 24 de enero de 2022, emitido por la Directora de la Dirección de Auditoría Interna del Ministerio de Educación, fui designada para realizar bajo modalidad de teletrabajo consejo o consultoría de segundo seguimiento a las recomendaciones emitidas por la Contraloría General de Cuentas, en el informe de auditoría financiera y de cumplimiento, practicada por el período fiscal del 01 de enero al 31 de diciembre de 2020, en la Dirección General de Educación Física -DIGEF-. </w:t>
      </w:r>
    </w:p>
    <w:p w14:paraId="6D1E984E" w14:textId="77777777" w:rsidR="009747E1" w:rsidRPr="009747E1" w:rsidRDefault="009747E1" w:rsidP="009747E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9C5E8C3" w14:textId="77777777" w:rsidR="009747E1" w:rsidRPr="009747E1" w:rsidRDefault="009747E1" w:rsidP="009747E1">
      <w:pPr>
        <w:spacing w:after="0" w:line="295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87F6791" w14:textId="77777777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OBJETIVOS</w:t>
      </w:r>
    </w:p>
    <w:p w14:paraId="5AB500A3" w14:textId="77777777" w:rsidR="009747E1" w:rsidRPr="009747E1" w:rsidRDefault="009747E1" w:rsidP="009747E1">
      <w:pPr>
        <w:spacing w:after="0" w:line="390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CE65AAF" w14:textId="77777777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OBJETIVO GENERAL</w:t>
      </w:r>
    </w:p>
    <w:p w14:paraId="5C31D3DF" w14:textId="77777777" w:rsidR="009747E1" w:rsidRPr="009747E1" w:rsidRDefault="009747E1" w:rsidP="009747E1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E9A0C37" w14:textId="77777777" w:rsidR="009747E1" w:rsidRPr="009747E1" w:rsidRDefault="009747E1" w:rsidP="009747E1">
      <w:pPr>
        <w:spacing w:after="0" w:line="313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>Realizar segundo seguimiento a las recomendaciones emitidas por la Contraloría General de Cuentas.</w:t>
      </w:r>
    </w:p>
    <w:p w14:paraId="76D3A3FF" w14:textId="77777777" w:rsidR="009747E1" w:rsidRPr="009747E1" w:rsidRDefault="009747E1" w:rsidP="009747E1">
      <w:pPr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0475DF5" w14:textId="77777777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OBJETIVO ESPECIFICO</w:t>
      </w:r>
    </w:p>
    <w:p w14:paraId="3CEC3E45" w14:textId="77777777" w:rsidR="009747E1" w:rsidRPr="009747E1" w:rsidRDefault="009747E1" w:rsidP="009747E1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E1DB4BB" w14:textId="77777777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>Verificar si existen recomendaciones implementadas, en proceso o incumplidas.</w:t>
      </w:r>
    </w:p>
    <w:p w14:paraId="64AB57B4" w14:textId="77777777" w:rsidR="009747E1" w:rsidRPr="009747E1" w:rsidRDefault="009747E1" w:rsidP="009747E1">
      <w:pPr>
        <w:spacing w:after="0" w:line="377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C507234" w14:textId="77777777" w:rsidR="009747E1" w:rsidRPr="009747E1" w:rsidRDefault="009747E1" w:rsidP="009747E1">
      <w:pPr>
        <w:spacing w:after="0" w:line="377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539F840" w14:textId="77777777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ALCANCE DE LA ACTIVIDAD</w:t>
      </w:r>
    </w:p>
    <w:p w14:paraId="2BF59468" w14:textId="77777777" w:rsidR="009747E1" w:rsidRPr="009747E1" w:rsidRDefault="009747E1" w:rsidP="009747E1">
      <w:pPr>
        <w:spacing w:after="0" w:line="286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>En la modalidad de teletrabajo, se efectuó segundo seguimiento a nueve (9) recomendaciones emitidas por la Contraloría General de Cuentas, como resultado de la auditoría financiera y de cumplimiento, practicada por el período fiscal del 01 de enero al 31 de diciembre de 2020, a la Dirección General de Educación Física -DIGEF-.</w:t>
      </w:r>
    </w:p>
    <w:p w14:paraId="074B1581" w14:textId="77777777" w:rsidR="009747E1" w:rsidRPr="009747E1" w:rsidRDefault="009747E1" w:rsidP="009747E1">
      <w:pPr>
        <w:spacing w:after="0" w:line="287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684A06C" w14:textId="77777777" w:rsidR="009747E1" w:rsidRPr="009747E1" w:rsidRDefault="009747E1" w:rsidP="009747E1">
      <w:pPr>
        <w:spacing w:after="0" w:line="287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90B2FAC" w14:textId="77777777" w:rsidR="009747E1" w:rsidRPr="009747E1" w:rsidRDefault="009747E1" w:rsidP="009747E1">
      <w:pPr>
        <w:spacing w:after="0" w:line="240" w:lineRule="auto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RESULTADOS DE LA ACTIVIDAD</w:t>
      </w:r>
    </w:p>
    <w:p w14:paraId="0D308432" w14:textId="77777777" w:rsidR="009747E1" w:rsidRPr="009747E1" w:rsidRDefault="009747E1" w:rsidP="009747E1">
      <w:pPr>
        <w:spacing w:after="0" w:line="240" w:lineRule="auto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  </w:t>
      </w:r>
    </w:p>
    <w:p w14:paraId="194C3A2C" w14:textId="77777777" w:rsidR="009747E1" w:rsidRPr="009747E1" w:rsidRDefault="009747E1" w:rsidP="009747E1">
      <w:pPr>
        <w:spacing w:after="0" w:line="240" w:lineRule="auto"/>
        <w:ind w:left="270"/>
        <w:rPr>
          <w:rFonts w:ascii="Arial" w:eastAsia="Arial" w:hAnsi="Arial" w:cs="Times New Roman"/>
          <w:b/>
          <w:bCs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>Los resultados del trabajo realizado se resumen a continuación:</w:t>
      </w:r>
    </w:p>
    <w:p w14:paraId="1C6072D1" w14:textId="77777777" w:rsidR="009747E1" w:rsidRDefault="009747E1" w:rsidP="009747E1">
      <w:pPr>
        <w:spacing w:after="0" w:line="240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4D1956DA" w14:textId="77777777" w:rsidR="00F17B60" w:rsidRPr="009747E1" w:rsidRDefault="00F17B60" w:rsidP="009747E1">
      <w:pPr>
        <w:spacing w:after="0" w:line="240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3B2184AF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b/>
          <w:bCs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 xml:space="preserve">RECOMENDACIONES IMPLEMENTADAS (SR1) </w:t>
      </w:r>
    </w:p>
    <w:p w14:paraId="54C171F1" w14:textId="77777777" w:rsidR="00636C2F" w:rsidRDefault="00636C2F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0FEBEF5D" w14:textId="3299E3B5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De conformidad con el formulario SR1 “Implementación de Recomendaciones” y a la evaluación de la documentación presentada, se determinó que las siguientes recomendaciones se encuentran implementadas: </w:t>
      </w:r>
    </w:p>
    <w:p w14:paraId="694A88B1" w14:textId="77777777" w:rsid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24281CE6" w14:textId="77777777" w:rsidR="00F17B60" w:rsidRDefault="00F17B60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64544AAF" w14:textId="77777777" w:rsidR="00F17B60" w:rsidRDefault="00F17B60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6B6ADA32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b/>
          <w:bCs/>
          <w:sz w:val="24"/>
          <w:szCs w:val="24"/>
          <w:u w:val="single"/>
          <w:lang w:val="es-MX"/>
        </w:rPr>
      </w:pPr>
      <w:r w:rsidRPr="009747E1">
        <w:rPr>
          <w:rFonts w:ascii="Arial" w:eastAsia="Arial" w:hAnsi="Arial" w:cs="Times New Roman"/>
          <w:b/>
          <w:bCs/>
          <w:sz w:val="24"/>
          <w:szCs w:val="24"/>
          <w:u w:val="single"/>
          <w:lang w:val="es-MX"/>
        </w:rPr>
        <w:lastRenderedPageBreak/>
        <w:t xml:space="preserve">Hallazgo relacionado con el control interno </w:t>
      </w:r>
    </w:p>
    <w:p w14:paraId="7D419F94" w14:textId="77777777" w:rsidR="009747E1" w:rsidRPr="009747E1" w:rsidRDefault="009747E1" w:rsidP="009747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5993F4DD" w14:textId="77777777" w:rsidR="009747E1" w:rsidRPr="009747E1" w:rsidRDefault="009747E1" w:rsidP="009747E1">
      <w:pPr>
        <w:spacing w:after="0" w:line="240" w:lineRule="auto"/>
        <w:ind w:left="270"/>
        <w:jc w:val="both"/>
        <w:rPr>
          <w:rFonts w:ascii="Arial" w:eastAsia="Arial" w:hAnsi="Arial" w:cs="Times New Roman"/>
          <w:b/>
          <w:bCs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>Hallazgo No. 2 Falta de controles en la administración de personal.</w:t>
      </w:r>
    </w:p>
    <w:p w14:paraId="1C25A51E" w14:textId="77777777" w:rsid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b/>
          <w:bCs/>
          <w:sz w:val="24"/>
          <w:szCs w:val="24"/>
          <w:u w:val="single"/>
          <w:lang w:val="es-MX"/>
        </w:rPr>
      </w:pPr>
    </w:p>
    <w:p w14:paraId="491C4C25" w14:textId="77777777" w:rsidR="00F17B60" w:rsidRPr="009747E1" w:rsidRDefault="00F17B60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b/>
          <w:bCs/>
          <w:sz w:val="24"/>
          <w:szCs w:val="24"/>
          <w:u w:val="single"/>
          <w:lang w:val="es-MX"/>
        </w:rPr>
      </w:pPr>
    </w:p>
    <w:p w14:paraId="6B3C39C7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b/>
          <w:bCs/>
          <w:sz w:val="24"/>
          <w:szCs w:val="24"/>
          <w:u w:val="single"/>
          <w:lang w:val="es-MX"/>
        </w:rPr>
      </w:pPr>
      <w:r w:rsidRPr="009747E1">
        <w:rPr>
          <w:rFonts w:ascii="Arial" w:eastAsia="Arial" w:hAnsi="Arial" w:cs="Times New Roman"/>
          <w:b/>
          <w:bCs/>
          <w:sz w:val="24"/>
          <w:szCs w:val="24"/>
          <w:u w:val="single"/>
          <w:lang w:val="es-MX"/>
        </w:rPr>
        <w:t xml:space="preserve">Hallazgo relacionado con el Cumplimiento de Leyes y Regulaciones Aplicables. </w:t>
      </w:r>
    </w:p>
    <w:p w14:paraId="008164E2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7F07E0A1" w14:textId="77777777" w:rsidR="009747E1" w:rsidRPr="009747E1" w:rsidRDefault="009747E1" w:rsidP="009747E1">
      <w:pPr>
        <w:spacing w:after="0" w:line="240" w:lineRule="auto"/>
        <w:ind w:left="270"/>
        <w:jc w:val="both"/>
        <w:rPr>
          <w:rFonts w:ascii="Arial" w:eastAsia="Arial" w:hAnsi="Arial" w:cs="Times New Roman"/>
          <w:b/>
          <w:bCs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 xml:space="preserve">Hallazgo No.2 Pérdida de formas oficiales y descontrol de </w:t>
      </w:r>
      <w:proofErr w:type="gramStart"/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>los mismos</w:t>
      </w:r>
      <w:proofErr w:type="gramEnd"/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>.</w:t>
      </w:r>
    </w:p>
    <w:p w14:paraId="6C4178F9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26CAD0D6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Se determinó que se encuentran implementadas, considerando que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Director General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Educación Física, realizó las acciones necesarias para el seguimiento e implementación de las recomendaciones. </w:t>
      </w: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>Ver en Anexo 1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el detalle de acciones realizadas para dar cumplimiento a las recomendaciones. </w:t>
      </w:r>
    </w:p>
    <w:p w14:paraId="4DBA5644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2BFDEE7C" w14:textId="77777777" w:rsidR="00F17B60" w:rsidRDefault="00F17B60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008C5536" w14:textId="732DC6A9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>El beneficio y resultado de la implementación de las recomendaciones, propicia asegurar el cumplimiento de la normativa interna vigente y fortalece el control interno en el nombramiento oportuno y asignación de funciones</w:t>
      </w:r>
      <w:r w:rsidR="000C556E">
        <w:rPr>
          <w:rFonts w:ascii="Arial" w:eastAsia="Arial" w:hAnsi="Arial" w:cs="Times New Roman"/>
          <w:sz w:val="24"/>
          <w:szCs w:val="24"/>
          <w:lang w:val="es-MX"/>
        </w:rPr>
        <w:t>;</w:t>
      </w:r>
      <w:r w:rsidR="00CF6911">
        <w:rPr>
          <w:rFonts w:ascii="Arial" w:eastAsia="Arial" w:hAnsi="Arial" w:cs="Times New Roman"/>
          <w:sz w:val="24"/>
          <w:szCs w:val="24"/>
          <w:lang w:val="es-MX"/>
        </w:rPr>
        <w:t xml:space="preserve"> además de las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responsabilidades del encargado de caja chica y el control de formas oficiales de viáticos.</w:t>
      </w:r>
    </w:p>
    <w:p w14:paraId="22AD9850" w14:textId="77777777" w:rsidR="009747E1" w:rsidRPr="009747E1" w:rsidRDefault="009747E1" w:rsidP="009747E1">
      <w:pPr>
        <w:spacing w:after="0" w:line="284" w:lineRule="auto"/>
        <w:ind w:left="260" w:right="260"/>
        <w:jc w:val="both"/>
        <w:rPr>
          <w:rFonts w:ascii="Arial" w:eastAsia="Arial" w:hAnsi="Arial" w:cs="Times New Roman"/>
          <w:b/>
          <w:bCs/>
          <w:sz w:val="24"/>
          <w:szCs w:val="24"/>
          <w:lang w:val="es-MX"/>
        </w:rPr>
      </w:pPr>
    </w:p>
    <w:p w14:paraId="3188923B" w14:textId="77777777" w:rsidR="00F17B60" w:rsidRDefault="00F17B60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</w:p>
    <w:p w14:paraId="78B90888" w14:textId="47B2CDA8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RECOMENDACIONES EN PROCESO (SR1)</w:t>
      </w:r>
    </w:p>
    <w:p w14:paraId="6D893C15" w14:textId="77777777" w:rsidR="009747E1" w:rsidRPr="009747E1" w:rsidRDefault="009747E1" w:rsidP="009747E1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36B9E04" w14:textId="77777777" w:rsidR="00636C2F" w:rsidRDefault="00636C2F" w:rsidP="009747E1">
      <w:pPr>
        <w:spacing w:after="0" w:line="295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44D2DECD" w14:textId="253AFF94" w:rsidR="009747E1" w:rsidRPr="009747E1" w:rsidRDefault="009747E1" w:rsidP="009747E1">
      <w:pPr>
        <w:spacing w:after="0" w:line="295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>De conformidad con el formulario SR1 “Implementación de Recomendaciones” y a la evaluación de la documentación presentada, se determinó que las siguientes recomendaciones, se encuentran en proceso a pesar de haber girado instrucciones a quienes corresponden y emitidos lineamientos</w:t>
      </w:r>
      <w:r w:rsidR="00FF2C08">
        <w:rPr>
          <w:rFonts w:ascii="Arial" w:eastAsia="Arial" w:hAnsi="Arial" w:cs="Times New Roman"/>
          <w:sz w:val="24"/>
          <w:szCs w:val="24"/>
          <w:lang w:val="es-MX"/>
        </w:rPr>
        <w:t>,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derivado a lo siguiente:</w:t>
      </w:r>
    </w:p>
    <w:p w14:paraId="68BA2AF9" w14:textId="77777777" w:rsidR="009747E1" w:rsidRPr="009747E1" w:rsidRDefault="009747E1" w:rsidP="009747E1">
      <w:pPr>
        <w:spacing w:after="0" w:line="0" w:lineRule="atLeast"/>
        <w:ind w:left="380"/>
        <w:rPr>
          <w:rFonts w:ascii="Arial" w:eastAsia="Arial" w:hAnsi="Arial" w:cs="Times New Roman"/>
          <w:b/>
          <w:sz w:val="24"/>
          <w:szCs w:val="24"/>
          <w:lang w:val="es-MX"/>
        </w:rPr>
      </w:pPr>
    </w:p>
    <w:p w14:paraId="490F7DC1" w14:textId="77777777" w:rsidR="009747E1" w:rsidRPr="009747E1" w:rsidRDefault="009747E1" w:rsidP="009747E1">
      <w:pPr>
        <w:spacing w:after="0" w:line="0" w:lineRule="atLeast"/>
        <w:ind w:left="270"/>
        <w:rPr>
          <w:rFonts w:ascii="Arial" w:eastAsia="Arial" w:hAnsi="Arial" w:cs="Times New Roman"/>
          <w:b/>
          <w:sz w:val="24"/>
          <w:szCs w:val="24"/>
          <w:u w:val="single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u w:val="single"/>
          <w:lang w:val="es-MX"/>
        </w:rPr>
        <w:t>Hallazgos relacionados con el control interno</w:t>
      </w:r>
    </w:p>
    <w:p w14:paraId="2EBF8D3D" w14:textId="77777777" w:rsidR="004144AA" w:rsidRDefault="004144AA" w:rsidP="009747E1">
      <w:pPr>
        <w:spacing w:after="0" w:line="295" w:lineRule="auto"/>
        <w:ind w:left="260" w:right="260"/>
        <w:jc w:val="both"/>
        <w:rPr>
          <w:rFonts w:ascii="Arial" w:eastAsia="Arial" w:hAnsi="Arial" w:cs="Times New Roman"/>
          <w:b/>
          <w:sz w:val="24"/>
          <w:szCs w:val="24"/>
          <w:lang w:val="es-MX"/>
        </w:rPr>
      </w:pPr>
    </w:p>
    <w:p w14:paraId="72583325" w14:textId="59911AD7" w:rsidR="009747E1" w:rsidRPr="009747E1" w:rsidRDefault="009747E1" w:rsidP="009747E1">
      <w:pPr>
        <w:spacing w:after="0" w:line="295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No. 1 </w:t>
      </w:r>
      <w:proofErr w:type="gramStart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Deficiencias</w:t>
      </w:r>
      <w:proofErr w:type="gramEnd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 de control interno en el manejo de fondo rotativo.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En las liquidaciones de gasto no consta evidencia que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Jefe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Tesorería verifique la documentación de soporte previo a su aprobación. </w:t>
      </w: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No. 3 </w:t>
      </w:r>
      <w:proofErr w:type="gramStart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Falta</w:t>
      </w:r>
      <w:proofErr w:type="gramEnd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 de control interno en el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</w:t>
      </w: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departamento de almacén.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No se ha puesto en marcha el nuevo sistema de almacén y aún se identificó deficiencias en la operatoria de despachos de materiales y suministros de almacén.</w:t>
      </w:r>
    </w:p>
    <w:p w14:paraId="232EB87B" w14:textId="77777777" w:rsidR="009747E1" w:rsidRPr="009747E1" w:rsidRDefault="009747E1" w:rsidP="009747E1">
      <w:pPr>
        <w:spacing w:after="0" w:line="0" w:lineRule="atLeast"/>
        <w:ind w:left="320"/>
        <w:rPr>
          <w:rFonts w:ascii="Arial" w:eastAsia="Arial" w:hAnsi="Arial" w:cs="Times New Roman"/>
          <w:b/>
          <w:sz w:val="24"/>
          <w:szCs w:val="24"/>
          <w:u w:val="single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u w:val="single"/>
          <w:lang w:val="es-MX"/>
        </w:rPr>
        <w:lastRenderedPageBreak/>
        <w:t>Hallazgos de cumplimiento de leyes y regulaciones aplicables</w:t>
      </w:r>
    </w:p>
    <w:p w14:paraId="7FB18D92" w14:textId="77777777" w:rsidR="004144AA" w:rsidRDefault="004144AA" w:rsidP="009747E1">
      <w:pPr>
        <w:spacing w:after="0" w:line="276" w:lineRule="auto"/>
        <w:ind w:left="270"/>
        <w:jc w:val="both"/>
        <w:rPr>
          <w:rFonts w:ascii="Arial" w:eastAsia="Arial" w:hAnsi="Arial" w:cs="Times New Roman"/>
          <w:b/>
          <w:sz w:val="24"/>
          <w:szCs w:val="24"/>
          <w:lang w:val="es-MX"/>
        </w:rPr>
      </w:pPr>
    </w:p>
    <w:p w14:paraId="52681176" w14:textId="48C94A26" w:rsidR="009747E1" w:rsidRPr="009747E1" w:rsidRDefault="009747E1" w:rsidP="009747E1">
      <w:pPr>
        <w:spacing w:after="0" w:line="276" w:lineRule="auto"/>
        <w:ind w:left="270"/>
        <w:jc w:val="both"/>
        <w:rPr>
          <w:rFonts w:ascii="Arial" w:eastAsia="Arial" w:hAnsi="Arial" w:cs="Times New Roman"/>
          <w:b/>
          <w:bCs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No. 1 </w:t>
      </w:r>
      <w:proofErr w:type="gramStart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Pérdida</w:t>
      </w:r>
      <w:proofErr w:type="gramEnd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 de formas oficiales.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Los expedientes no presentan evidencia que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Jefe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Tesorería, verifica que se cumple con la normativa vigente para liquidación y extravió o robo de formularios de viáticos al interior. </w:t>
      </w: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 xml:space="preserve">Hallazgo No. 3 Existencia de suministros, bienes y materiales traslados al INJAV para su resguardo. 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Jefe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Servicios Generales </w:t>
      </w:r>
      <w:proofErr w:type="spellStart"/>
      <w:r w:rsidRPr="009747E1">
        <w:rPr>
          <w:rFonts w:ascii="Arial" w:eastAsia="Arial" w:hAnsi="Arial" w:cs="Times New Roman"/>
          <w:sz w:val="24"/>
          <w:szCs w:val="24"/>
          <w:lang w:val="es-MX"/>
        </w:rPr>
        <w:t>a.i.</w:t>
      </w:r>
      <w:proofErr w:type="spell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y Encargado de Mantenimiento, presento evidencia que verifica la documentación presentada previo a autorizar los conocimientos, sin embargo, en el INJAV se encuentran resguardadas colchonetas que en su momento se trasladaron sin conocimiento de entrega y a la fecha no se ha corregido esta situación o gestionado para que sean trasladad</w:t>
      </w:r>
      <w:r w:rsidR="002D5BA7">
        <w:rPr>
          <w:rFonts w:ascii="Arial" w:eastAsia="Arial" w:hAnsi="Arial" w:cs="Times New Roman"/>
          <w:sz w:val="24"/>
          <w:szCs w:val="24"/>
          <w:lang w:val="es-MX"/>
        </w:rPr>
        <w:t>as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a donde corresponde. </w:t>
      </w: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No. 4 </w:t>
      </w:r>
      <w:proofErr w:type="gramStart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Faltante</w:t>
      </w:r>
      <w:proofErr w:type="gramEnd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 de producto.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Jefe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Servicios Generales </w:t>
      </w:r>
      <w:proofErr w:type="spellStart"/>
      <w:r w:rsidRPr="009747E1">
        <w:rPr>
          <w:rFonts w:ascii="Arial" w:eastAsia="Arial" w:hAnsi="Arial" w:cs="Times New Roman"/>
          <w:sz w:val="24"/>
          <w:szCs w:val="24"/>
          <w:lang w:val="es-MX"/>
        </w:rPr>
        <w:t>a.i.</w:t>
      </w:r>
      <w:proofErr w:type="spell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y Encargado de Mantenimiento, aparte de los conocimientos de entrega no presento evidencia del control, gestión, utilización y resguardo de los productos adquiridos, y al realizar una prueba física, no se justificó razonablemente los productos no localizados, por lo que sigue</w:t>
      </w:r>
      <w:r w:rsidR="00E24EAB">
        <w:rPr>
          <w:rFonts w:ascii="Arial" w:eastAsia="Arial" w:hAnsi="Arial" w:cs="Times New Roman"/>
          <w:sz w:val="24"/>
          <w:szCs w:val="24"/>
          <w:lang w:val="es-MX"/>
        </w:rPr>
        <w:t>n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presentando deficiencias en el control y resguardo de estos. </w:t>
      </w: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No. 5 </w:t>
      </w:r>
      <w:proofErr w:type="gramStart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Existencia</w:t>
      </w:r>
      <w:proofErr w:type="gramEnd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 de suministros, bienes y materiales vencidos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. No presentaron evidencia de cómo están administrando los recursos materiales y como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Jefe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Servicios Generales </w:t>
      </w:r>
      <w:proofErr w:type="spellStart"/>
      <w:r w:rsidRPr="009747E1">
        <w:rPr>
          <w:rFonts w:ascii="Arial" w:eastAsia="Arial" w:hAnsi="Arial" w:cs="Times New Roman"/>
          <w:sz w:val="24"/>
          <w:szCs w:val="24"/>
          <w:lang w:val="es-MX"/>
        </w:rPr>
        <w:t>a.i.</w:t>
      </w:r>
      <w:proofErr w:type="spell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y Encargado de Mantenimiento, verifica, controla y gestiona oportunamente la utilización de los productos adquiridos. </w:t>
      </w: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 xml:space="preserve">No. 6 </w:t>
      </w:r>
      <w:proofErr w:type="gramStart"/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Bienes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</w:t>
      </w:r>
      <w:r w:rsidRPr="009747E1">
        <w:rPr>
          <w:rFonts w:ascii="Arial" w:eastAsia="Arial" w:hAnsi="Arial" w:cs="Times New Roman"/>
          <w:b/>
          <w:sz w:val="24"/>
          <w:szCs w:val="24"/>
          <w:lang w:val="es-MX"/>
        </w:rPr>
        <w:t>adquiridos sin utilizar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. No hay documentación que evidencie que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Jefe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Servicios Generales </w:t>
      </w:r>
      <w:proofErr w:type="spellStart"/>
      <w:r w:rsidRPr="009747E1">
        <w:rPr>
          <w:rFonts w:ascii="Arial" w:eastAsia="Arial" w:hAnsi="Arial" w:cs="Times New Roman"/>
          <w:sz w:val="24"/>
          <w:szCs w:val="24"/>
          <w:lang w:val="es-MX"/>
        </w:rPr>
        <w:t>a.i.</w:t>
      </w:r>
      <w:proofErr w:type="spell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y Encargado de Mantenimiento, verifica que los bienes adquiridos sean utilizados adecuada y oportunamente,</w:t>
      </w:r>
      <w:r w:rsidRPr="009747E1">
        <w:rPr>
          <w:rFonts w:ascii="Arial" w:eastAsia="Times New Roman" w:hAnsi="Arial" w:cs="Arial"/>
          <w:sz w:val="18"/>
          <w:szCs w:val="18"/>
          <w:lang w:val="es-MX"/>
        </w:rPr>
        <w:t xml:space="preserve"> 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en vista que los 21 extintores objeto del hallazgo, aún se encuentran en almacén. </w:t>
      </w:r>
      <w:r w:rsidRPr="009747E1">
        <w:rPr>
          <w:rFonts w:ascii="Arial" w:eastAsia="Arial" w:hAnsi="Arial" w:cs="Times New Roman"/>
          <w:b/>
          <w:bCs/>
          <w:sz w:val="24"/>
          <w:szCs w:val="24"/>
          <w:lang w:val="es-MX"/>
        </w:rPr>
        <w:t>(Ver anexo 1)</w:t>
      </w:r>
    </w:p>
    <w:p w14:paraId="7D72C058" w14:textId="77777777" w:rsidR="009747E1" w:rsidRPr="009747E1" w:rsidRDefault="009747E1" w:rsidP="009747E1">
      <w:pPr>
        <w:spacing w:after="0" w:line="289" w:lineRule="auto"/>
        <w:ind w:left="708" w:right="260" w:hanging="448"/>
        <w:jc w:val="both"/>
        <w:rPr>
          <w:rFonts w:ascii="Arial" w:eastAsia="Arial" w:hAnsi="Arial" w:cs="Times New Roman"/>
          <w:sz w:val="24"/>
          <w:szCs w:val="24"/>
          <w:lang w:val="es-MX"/>
        </w:rPr>
      </w:pPr>
    </w:p>
    <w:p w14:paraId="3649E010" w14:textId="057EAA0C" w:rsidR="009747E1" w:rsidRPr="009747E1" w:rsidRDefault="009747E1" w:rsidP="009747E1">
      <w:pPr>
        <w:spacing w:after="0" w:line="289" w:lineRule="auto"/>
        <w:ind w:left="26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El resultado que las recomendaciones </w:t>
      </w:r>
      <w:r w:rsidR="004608D9">
        <w:rPr>
          <w:rFonts w:ascii="Arial" w:eastAsia="Arial" w:hAnsi="Arial" w:cs="Times New Roman"/>
          <w:sz w:val="24"/>
          <w:szCs w:val="24"/>
          <w:lang w:val="es-MX"/>
        </w:rPr>
        <w:t xml:space="preserve">se encuentren 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>en proceso ocasiona el incumplimiento de aspectos legales y formales, falta de control interno efectivo para la toma de decisiones y posibles sanciones pecuniarias por parte del ente fiscalizador estatal.</w:t>
      </w:r>
    </w:p>
    <w:p w14:paraId="4B259576" w14:textId="77777777" w:rsidR="009747E1" w:rsidRDefault="009747E1" w:rsidP="009747E1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7858A2A" w14:textId="77777777" w:rsidR="00F17B60" w:rsidRPr="009747E1" w:rsidRDefault="00F17B60" w:rsidP="009747E1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BE3ACED" w14:textId="77777777" w:rsidR="009747E1" w:rsidRPr="009747E1" w:rsidRDefault="009747E1" w:rsidP="009747E1">
      <w:pPr>
        <w:spacing w:after="0" w:line="0" w:lineRule="atLeast"/>
        <w:ind w:left="260"/>
        <w:rPr>
          <w:rFonts w:ascii="Arial" w:eastAsia="Arial" w:hAnsi="Arial" w:cs="Times New Roman"/>
          <w:b/>
          <w:sz w:val="24"/>
          <w:szCs w:val="24"/>
          <w:lang w:val="en-US"/>
        </w:rPr>
      </w:pPr>
      <w:r w:rsidRPr="009747E1">
        <w:rPr>
          <w:rFonts w:ascii="Arial" w:eastAsia="Arial" w:hAnsi="Arial" w:cs="Times New Roman"/>
          <w:b/>
          <w:sz w:val="24"/>
          <w:szCs w:val="24"/>
          <w:lang w:val="en-US"/>
        </w:rPr>
        <w:t>COMPROMISO ADQUIRIDO POR LOS RESPONSABLES</w:t>
      </w:r>
    </w:p>
    <w:p w14:paraId="686DF0DD" w14:textId="77777777" w:rsidR="009747E1" w:rsidRPr="009747E1" w:rsidRDefault="009747E1" w:rsidP="009747E1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BE365C" w14:textId="77777777" w:rsidR="009747E1" w:rsidRPr="009747E1" w:rsidRDefault="009747E1" w:rsidP="009747E1">
      <w:pPr>
        <w:numPr>
          <w:ilvl w:val="0"/>
          <w:numId w:val="2"/>
        </w:numPr>
        <w:tabs>
          <w:tab w:val="left" w:pos="501"/>
        </w:tabs>
        <w:spacing w:after="0" w:line="289" w:lineRule="auto"/>
        <w:ind w:left="270" w:righ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través del Oficio-DG-160-2022 de fecha 10 de febrero de 2022, el </w:t>
      </w:r>
      <w:proofErr w:type="gramStart"/>
      <w:r w:rsidRPr="009747E1">
        <w:rPr>
          <w:rFonts w:ascii="Arial" w:eastAsia="Arial" w:hAnsi="Arial" w:cs="Times New Roman"/>
          <w:sz w:val="24"/>
          <w:szCs w:val="24"/>
          <w:lang w:val="es-MX"/>
        </w:rPr>
        <w:t>Director General</w:t>
      </w:r>
      <w:proofErr w:type="gramEnd"/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de la Dirección General de Educación Física -DIGEF- estimó un plazo de tres meses, para cumplir las recomendaciones.</w:t>
      </w:r>
    </w:p>
    <w:p w14:paraId="08384CBB" w14:textId="77777777" w:rsidR="009747E1" w:rsidRPr="009747E1" w:rsidRDefault="009747E1" w:rsidP="009747E1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2E44539" w14:textId="77777777" w:rsidR="009747E1" w:rsidRPr="009747E1" w:rsidRDefault="009747E1" w:rsidP="009747E1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A408AC0" w14:textId="77777777" w:rsidR="009747E1" w:rsidRPr="009747E1" w:rsidRDefault="009747E1" w:rsidP="009747E1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917C915" w14:textId="77777777" w:rsidR="009747E1" w:rsidRDefault="009747E1" w:rsidP="009747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7C39ADD" w14:textId="77777777" w:rsidR="00F17B60" w:rsidRPr="009747E1" w:rsidRDefault="00F17B60" w:rsidP="009747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8A0299" w14:textId="77777777" w:rsidR="009747E1" w:rsidRPr="009747E1" w:rsidRDefault="009747E1" w:rsidP="009747E1">
      <w:pPr>
        <w:spacing w:after="0" w:line="240" w:lineRule="auto"/>
        <w:ind w:left="260"/>
        <w:jc w:val="both"/>
        <w:rPr>
          <w:rFonts w:ascii="Arial" w:eastAsia="Times New Roman" w:hAnsi="Arial" w:cs="Arial"/>
          <w:b/>
        </w:rPr>
      </w:pPr>
      <w:r w:rsidRPr="009747E1">
        <w:rPr>
          <w:rFonts w:ascii="Arial" w:eastAsia="Times New Roman" w:hAnsi="Arial" w:cs="Arial"/>
          <w:b/>
        </w:rPr>
        <w:t>COMENTARIO DE AUDITORIA</w:t>
      </w:r>
    </w:p>
    <w:p w14:paraId="0F3F5644" w14:textId="0D4B4A91" w:rsidR="00FA375B" w:rsidRPr="00CD37E9" w:rsidRDefault="009747E1" w:rsidP="00CD37E9">
      <w:pPr>
        <w:spacing w:after="0" w:line="276" w:lineRule="auto"/>
        <w:ind w:left="260"/>
        <w:jc w:val="both"/>
        <w:rPr>
          <w:rFonts w:ascii="Arial" w:eastAsia="Arial" w:hAnsi="Arial" w:cs="Times New Roman"/>
          <w:sz w:val="24"/>
          <w:szCs w:val="24"/>
          <w:lang w:val="es-MX"/>
        </w:rPr>
      </w:pP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La Dirección de Auditoría Interna hace constar que efectuó el segundo y último seguimiento a las recomendaciones emitidas por la Contraloría General de Cuentas 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lastRenderedPageBreak/>
        <w:t>y queda bajo la responsabilidad de la Dirección General de Educación Física</w:t>
      </w:r>
      <w:r w:rsidR="00EA1DAB">
        <w:rPr>
          <w:rFonts w:ascii="Arial" w:eastAsia="Arial" w:hAnsi="Arial" w:cs="Times New Roman"/>
          <w:sz w:val="24"/>
          <w:szCs w:val="24"/>
          <w:lang w:val="es-MX"/>
        </w:rPr>
        <w:t xml:space="preserve">                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 xml:space="preserve"> -D</w:t>
      </w:r>
      <w:r w:rsidR="00EA1DAB">
        <w:rPr>
          <w:rFonts w:ascii="Arial" w:eastAsia="Arial" w:hAnsi="Arial" w:cs="Times New Roman"/>
          <w:sz w:val="24"/>
          <w:szCs w:val="24"/>
          <w:lang w:val="es-MX"/>
        </w:rPr>
        <w:t>I</w:t>
      </w:r>
      <w:r w:rsidRPr="009747E1">
        <w:rPr>
          <w:rFonts w:ascii="Arial" w:eastAsia="Arial" w:hAnsi="Arial" w:cs="Times New Roman"/>
          <w:sz w:val="24"/>
          <w:szCs w:val="24"/>
          <w:lang w:val="es-MX"/>
        </w:rPr>
        <w:t>GEF- realizar las acciones para dar cumplimiento a las recomendaciones que no han sido implementadas en su totalidad y evitar ser sancionados por el ente fiscalizador estatal.</w:t>
      </w:r>
    </w:p>
    <w:p w14:paraId="0BDD2614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680B8CE7" w14:textId="77777777" w:rsidR="00BD3576" w:rsidRDefault="00BD3576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3E0A89A9" w14:textId="690FA053" w:rsidR="00FA375B" w:rsidRDefault="00B3623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68F62" wp14:editId="195B82BC">
                <wp:simplePos x="0" y="0"/>
                <wp:positionH relativeFrom="column">
                  <wp:posOffset>3465195</wp:posOffset>
                </wp:positionH>
                <wp:positionV relativeFrom="paragraph">
                  <wp:posOffset>310515</wp:posOffset>
                </wp:positionV>
                <wp:extent cx="15316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182CD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5pt,24.45pt" to="393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t+sQEAANQDAAAOAAAAZHJzL2Uyb0RvYy54bWysU01v2zAMvQ/YfxB0X2RnWDE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7421" wp14:editId="44324BAC">
                <wp:simplePos x="0" y="0"/>
                <wp:positionH relativeFrom="column">
                  <wp:posOffset>417195</wp:posOffset>
                </wp:positionH>
                <wp:positionV relativeFrom="paragraph">
                  <wp:posOffset>340995</wp:posOffset>
                </wp:positionV>
                <wp:extent cx="167259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451C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26.85pt" to="164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x2sQ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F3657E9" w14:textId="06A4FF3E" w:rsidR="00BD3576" w:rsidRPr="00F15F5D" w:rsidRDefault="00BD1DCB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tab/>
      </w:r>
      <w:r w:rsidR="00BD3576" w:rsidRPr="00F15F5D">
        <w:rPr>
          <w:rFonts w:ascii="Arial" w:eastAsia="Times New Roman" w:hAnsi="Arial" w:cs="Arial"/>
          <w:sz w:val="14"/>
          <w:szCs w:val="14"/>
        </w:rPr>
        <w:t>SONIA ELIZABETH GARCIA CHACLAN</w:t>
      </w:r>
      <w:r w:rsidR="00BD3576" w:rsidRPr="00F15F5D">
        <w:rPr>
          <w:rFonts w:ascii="Arial" w:eastAsia="Times New Roman" w:hAnsi="Arial" w:cs="Arial"/>
          <w:sz w:val="14"/>
          <w:szCs w:val="14"/>
        </w:rPr>
        <w:tab/>
      </w:r>
      <w:r w:rsidR="00BD3576" w:rsidRPr="00F15F5D">
        <w:rPr>
          <w:rFonts w:ascii="Arial" w:eastAsia="Times New Roman" w:hAnsi="Arial" w:cs="Arial"/>
          <w:sz w:val="14"/>
          <w:szCs w:val="14"/>
        </w:rPr>
        <w:tab/>
      </w:r>
      <w:r w:rsidR="00563D1B">
        <w:rPr>
          <w:rFonts w:ascii="Arial" w:eastAsia="Times New Roman" w:hAnsi="Arial" w:cs="Arial"/>
          <w:sz w:val="14"/>
          <w:szCs w:val="14"/>
        </w:rPr>
        <w:tab/>
      </w:r>
      <w:r w:rsidR="00BD3576" w:rsidRPr="00F15F5D">
        <w:rPr>
          <w:rFonts w:ascii="Arial" w:eastAsia="Times New Roman" w:hAnsi="Arial" w:cs="Arial"/>
          <w:sz w:val="14"/>
          <w:szCs w:val="14"/>
        </w:rPr>
        <w:tab/>
        <w:t>YURI EFRAÍN CHANG CASTRO</w:t>
      </w:r>
    </w:p>
    <w:p w14:paraId="12D7676E" w14:textId="02E0A8A5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  <w:r w:rsidRPr="00F15F5D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  <w:t>AUDITOR</w:t>
      </w:r>
      <w:r w:rsidRPr="00F15F5D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</w:r>
      <w:r w:rsidR="00563D1B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  <w:t>SUPERVISOR</w:t>
      </w:r>
    </w:p>
    <w:p w14:paraId="6CA79C15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</w:p>
    <w:p w14:paraId="751BC983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</w:p>
    <w:p w14:paraId="460E9868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</w:p>
    <w:p w14:paraId="38F9A453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</w:p>
    <w:p w14:paraId="3FCAD851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</w:p>
    <w:p w14:paraId="63D97078" w14:textId="029B0779" w:rsidR="00BD3576" w:rsidRPr="00F15F5D" w:rsidRDefault="00B3623B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A5A97" wp14:editId="3D5EF170">
                <wp:simplePos x="0" y="0"/>
                <wp:positionH relativeFrom="column">
                  <wp:posOffset>321945</wp:posOffset>
                </wp:positionH>
                <wp:positionV relativeFrom="paragraph">
                  <wp:posOffset>156845</wp:posOffset>
                </wp:positionV>
                <wp:extent cx="164973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9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C8DA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2.35pt" to="15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qsQEAANQDAAAOAAAAZHJzL2Uyb0RvYy54bWysU8Fu2zAMvQ/oPwi6L3K6odu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27BC8BA7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  <w:r w:rsidRPr="00F15F5D">
        <w:rPr>
          <w:rFonts w:ascii="Arial" w:eastAsia="Times New Roman" w:hAnsi="Arial" w:cs="Arial"/>
          <w:sz w:val="14"/>
          <w:szCs w:val="14"/>
        </w:rPr>
        <w:tab/>
        <w:t>JULIA VICTORIA MONZON PEREZ</w:t>
      </w:r>
    </w:p>
    <w:p w14:paraId="07465A44" w14:textId="77777777" w:rsidR="00BD3576" w:rsidRPr="00F15F5D" w:rsidRDefault="00BD3576" w:rsidP="00BD3576">
      <w:pPr>
        <w:spacing w:line="200" w:lineRule="exact"/>
        <w:rPr>
          <w:rFonts w:ascii="Arial" w:eastAsia="Times New Roman" w:hAnsi="Arial" w:cs="Arial"/>
          <w:sz w:val="14"/>
          <w:szCs w:val="14"/>
        </w:rPr>
      </w:pPr>
      <w:r w:rsidRPr="00F15F5D">
        <w:rPr>
          <w:rFonts w:ascii="Arial" w:eastAsia="Times New Roman" w:hAnsi="Arial" w:cs="Arial"/>
          <w:sz w:val="14"/>
          <w:szCs w:val="14"/>
        </w:rPr>
        <w:tab/>
      </w:r>
      <w:r w:rsidRPr="00F15F5D">
        <w:rPr>
          <w:rFonts w:ascii="Arial" w:eastAsia="Times New Roman" w:hAnsi="Arial" w:cs="Arial"/>
          <w:sz w:val="14"/>
          <w:szCs w:val="14"/>
        </w:rPr>
        <w:tab/>
        <w:t>DIRECTOR</w:t>
      </w:r>
    </w:p>
    <w:p w14:paraId="354FDB4E" w14:textId="310198F4" w:rsidR="00FA375B" w:rsidRPr="001151F3" w:rsidRDefault="00FA375B" w:rsidP="001151F3">
      <w:pPr>
        <w:spacing w:after="0"/>
        <w:rPr>
          <w:rFonts w:ascii="Arial" w:hAnsi="Arial" w:cs="Arial"/>
          <w:b/>
          <w:sz w:val="16"/>
          <w:szCs w:val="16"/>
        </w:rPr>
      </w:pPr>
    </w:p>
    <w:p w14:paraId="539D210B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4E097771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5C37F8B9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6A4DC6C4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44CF4D2E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5FD0C0D7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6682DDDB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45860E06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42D4D27F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799C3590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78BFD6EF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72A59851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55D14141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57C12EC2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292BA1A5" w14:textId="77777777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14:paraId="5E6A5BD5" w14:textId="31F67B53" w:rsidR="00FA375B" w:rsidRDefault="00FA375B" w:rsidP="00D6174F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ANEXO</w:t>
      </w:r>
      <w:r w:rsidR="00490E1D">
        <w:rPr>
          <w:rFonts w:ascii="Arial" w:hAnsi="Arial" w:cs="Arial"/>
          <w:b/>
          <w:sz w:val="48"/>
          <w:szCs w:val="48"/>
        </w:rPr>
        <w:t xml:space="preserve"> No.1</w:t>
      </w:r>
    </w:p>
    <w:sectPr w:rsidR="00FA375B" w:rsidSect="00305C6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701" w:header="709" w:footer="709" w:gutter="0"/>
      <w:pgNumType w:start="1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0C0A" w14:textId="77777777" w:rsidR="00786DFB" w:rsidRDefault="00786DFB" w:rsidP="00E80EF0">
      <w:pPr>
        <w:spacing w:after="0" w:line="240" w:lineRule="auto"/>
      </w:pPr>
      <w:r>
        <w:separator/>
      </w:r>
    </w:p>
  </w:endnote>
  <w:endnote w:type="continuationSeparator" w:id="0">
    <w:p w14:paraId="4EEAF1BA" w14:textId="77777777" w:rsidR="00786DFB" w:rsidRDefault="00786DFB" w:rsidP="00E8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F526" w14:textId="77777777" w:rsidR="00E5523A" w:rsidRDefault="00E5523A" w:rsidP="00E5523A">
    <w:pPr>
      <w:pStyle w:val="Piedepgina"/>
      <w:jc w:val="right"/>
      <w:rPr>
        <w:rFonts w:ascii="Arial" w:eastAsiaTheme="majorEastAsia" w:hAnsi="Arial" w:cs="Arial"/>
        <w:sz w:val="16"/>
        <w:szCs w:val="16"/>
      </w:rPr>
    </w:pPr>
  </w:p>
  <w:p w14:paraId="2A7C6D7A" w14:textId="77777777" w:rsidR="00E5523A" w:rsidRPr="00E5523A" w:rsidRDefault="00E5523A" w:rsidP="00E5523A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B8E9" w14:textId="77777777" w:rsidR="004319CB" w:rsidRDefault="004319CB">
    <w:pPr>
      <w:pStyle w:val="Piedepgin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44798E79" w14:textId="77777777" w:rsidR="004319CB" w:rsidRDefault="004319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4A93" w14:textId="77777777" w:rsidR="00A01294" w:rsidRDefault="00A01294">
    <w:pPr>
      <w:pStyle w:val="Piedepgina"/>
      <w:jc w:val="right"/>
    </w:pPr>
    <w:r>
      <w:t>___________________________________________________________________________________</w:t>
    </w:r>
  </w:p>
  <w:p w14:paraId="31BDEFC0" w14:textId="77777777" w:rsidR="00A01294" w:rsidRDefault="00A01294">
    <w:pPr>
      <w:pStyle w:val="Piedepgina"/>
      <w:jc w:val="right"/>
    </w:pPr>
  </w:p>
  <w:p w14:paraId="5EA37416" w14:textId="77777777" w:rsidR="00A01294" w:rsidRDefault="00A01294" w:rsidP="00E5523A">
    <w:pPr>
      <w:pStyle w:val="Piedepgina"/>
      <w:jc w:val="right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  <w:lang w:val="es-ES"/>
      </w:rPr>
      <w:t xml:space="preserve">MINISTERIO DE EDUCACIÓN                                                                   </w:t>
    </w:r>
    <w:r w:rsidRPr="00E5523A">
      <w:rPr>
        <w:rFonts w:ascii="Arial" w:eastAsiaTheme="majorEastAsia" w:hAnsi="Arial" w:cs="Arial"/>
        <w:sz w:val="16"/>
        <w:szCs w:val="16"/>
        <w:lang w:val="es-ES"/>
      </w:rPr>
      <w:t xml:space="preserve">Pág. </w:t>
    </w:r>
    <w:r w:rsidRPr="00E5523A">
      <w:rPr>
        <w:rFonts w:ascii="Arial" w:eastAsiaTheme="minorEastAsia" w:hAnsi="Arial" w:cs="Arial"/>
        <w:sz w:val="16"/>
        <w:szCs w:val="16"/>
      </w:rPr>
      <w:fldChar w:fldCharType="begin"/>
    </w:r>
    <w:r w:rsidRPr="00E5523A">
      <w:rPr>
        <w:rFonts w:ascii="Arial" w:hAnsi="Arial" w:cs="Arial"/>
        <w:sz w:val="16"/>
        <w:szCs w:val="16"/>
      </w:rPr>
      <w:instrText>PAGE    \* MERGEFORMAT</w:instrText>
    </w:r>
    <w:r w:rsidRPr="00E5523A">
      <w:rPr>
        <w:rFonts w:ascii="Arial" w:eastAsiaTheme="minorEastAsia" w:hAnsi="Arial" w:cs="Arial"/>
        <w:sz w:val="16"/>
        <w:szCs w:val="16"/>
      </w:rPr>
      <w:fldChar w:fldCharType="separate"/>
    </w:r>
    <w:r w:rsidR="00B30EA4" w:rsidRPr="00B30EA4">
      <w:rPr>
        <w:rFonts w:ascii="Arial" w:eastAsiaTheme="majorEastAsia" w:hAnsi="Arial" w:cs="Arial"/>
        <w:noProof/>
        <w:sz w:val="16"/>
        <w:szCs w:val="16"/>
        <w:lang w:val="es-ES"/>
      </w:rPr>
      <w:t>3</w:t>
    </w:r>
    <w:r w:rsidRPr="00E5523A">
      <w:rPr>
        <w:rFonts w:ascii="Arial" w:eastAsiaTheme="majorEastAsia" w:hAnsi="Arial" w:cs="Arial"/>
        <w:sz w:val="16"/>
        <w:szCs w:val="16"/>
      </w:rPr>
      <w:fldChar w:fldCharType="end"/>
    </w:r>
  </w:p>
  <w:p w14:paraId="3FA959F1" w14:textId="77777777" w:rsidR="00A01294" w:rsidRDefault="00A01294" w:rsidP="00E5523A">
    <w:pPr>
      <w:pStyle w:val="Piedepgina"/>
      <w:jc w:val="right"/>
      <w:rPr>
        <w:rFonts w:ascii="Arial" w:eastAsiaTheme="majorEastAsia" w:hAnsi="Arial" w:cs="Arial"/>
        <w:sz w:val="16"/>
        <w:szCs w:val="16"/>
      </w:rPr>
    </w:pPr>
  </w:p>
  <w:p w14:paraId="5EEC463E" w14:textId="77777777" w:rsidR="00A01294" w:rsidRPr="00E5523A" w:rsidRDefault="00A01294" w:rsidP="00E5523A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3486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ED30521" w14:textId="77777777" w:rsidR="00EA2453" w:rsidRDefault="00EA2453" w:rsidP="00EA2453">
        <w:pPr>
          <w:pStyle w:val="Piedepgina"/>
        </w:pPr>
        <w:r>
          <w:t>___________________________________________________________________________________</w:t>
        </w:r>
      </w:p>
      <w:p w14:paraId="40788A52" w14:textId="77777777" w:rsidR="00EA2453" w:rsidRDefault="00EA2453">
        <w:pPr>
          <w:pStyle w:val="Piedepgina"/>
          <w:jc w:val="right"/>
          <w:rPr>
            <w:rFonts w:ascii="Arial" w:eastAsiaTheme="majorEastAsia" w:hAnsi="Arial" w:cs="Arial"/>
            <w:sz w:val="16"/>
            <w:szCs w:val="16"/>
            <w:lang w:val="es-ES"/>
          </w:rPr>
        </w:pPr>
      </w:p>
      <w:p w14:paraId="6B5F42A1" w14:textId="77777777" w:rsidR="00EA2453" w:rsidRPr="00EA2453" w:rsidRDefault="00EA2453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  <w:lang w:val="es-ES"/>
          </w:rPr>
          <w:t>MINISTERIO DE EDUCACION                                                                        P</w:t>
        </w:r>
        <w:r w:rsidRPr="00EA2453">
          <w:rPr>
            <w:rFonts w:ascii="Arial" w:eastAsiaTheme="majorEastAsia" w:hAnsi="Arial" w:cs="Arial"/>
            <w:sz w:val="16"/>
            <w:szCs w:val="16"/>
            <w:lang w:val="es-ES"/>
          </w:rPr>
          <w:t xml:space="preserve">ág. </w:t>
        </w:r>
        <w:r w:rsidRPr="00EA245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A2453">
          <w:rPr>
            <w:rFonts w:ascii="Arial" w:hAnsi="Arial" w:cs="Arial"/>
            <w:sz w:val="16"/>
            <w:szCs w:val="16"/>
          </w:rPr>
          <w:instrText>PAGE    \* MERGEFORMAT</w:instrText>
        </w:r>
        <w:r w:rsidRPr="00EA245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05C6E" w:rsidRPr="00305C6E">
          <w:rPr>
            <w:rFonts w:ascii="Arial" w:eastAsiaTheme="majorEastAsia" w:hAnsi="Arial" w:cs="Arial"/>
            <w:noProof/>
            <w:sz w:val="16"/>
            <w:szCs w:val="16"/>
            <w:lang w:val="es-ES"/>
          </w:rPr>
          <w:t>1</w:t>
        </w:r>
        <w:r w:rsidRPr="00EA245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408C0855" w14:textId="77777777" w:rsidR="00EA2453" w:rsidRDefault="00EA2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0521" w14:textId="77777777" w:rsidR="00786DFB" w:rsidRDefault="00786DFB" w:rsidP="00E80EF0">
      <w:pPr>
        <w:spacing w:after="0" w:line="240" w:lineRule="auto"/>
      </w:pPr>
      <w:r>
        <w:separator/>
      </w:r>
    </w:p>
  </w:footnote>
  <w:footnote w:type="continuationSeparator" w:id="0">
    <w:p w14:paraId="02A37FBC" w14:textId="77777777" w:rsidR="00786DFB" w:rsidRDefault="00786DFB" w:rsidP="00E8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14FB" w14:textId="051C6E8F" w:rsidR="00305C6E" w:rsidRDefault="005F4C9A">
    <w:pPr>
      <w:pStyle w:val="Encabezado"/>
      <w:rPr>
        <w:rFonts w:ascii="Arial" w:hAnsi="Arial" w:cs="Arial"/>
        <w:sz w:val="16"/>
        <w:szCs w:val="16"/>
        <w:lang w:val="es-ES"/>
      </w:rPr>
    </w:pPr>
    <w:r w:rsidRPr="00305C6E">
      <w:rPr>
        <w:rFonts w:ascii="Arial" w:hAnsi="Arial" w:cs="Arial"/>
        <w:sz w:val="16"/>
        <w:szCs w:val="16"/>
        <w:lang w:val="es-ES"/>
      </w:rPr>
      <w:t>DIRECCIÓN</w:t>
    </w:r>
    <w:r w:rsidR="00305C6E" w:rsidRPr="00305C6E">
      <w:rPr>
        <w:rFonts w:ascii="Arial" w:hAnsi="Arial" w:cs="Arial"/>
        <w:sz w:val="16"/>
        <w:szCs w:val="16"/>
        <w:lang w:val="es-ES"/>
      </w:rPr>
      <w:t xml:space="preserve"> DE AUDITOR</w:t>
    </w:r>
    <w:r w:rsidR="00B20CF0">
      <w:rPr>
        <w:rFonts w:ascii="Arial" w:hAnsi="Arial" w:cs="Arial"/>
        <w:sz w:val="16"/>
        <w:szCs w:val="16"/>
        <w:lang w:val="es-ES"/>
      </w:rPr>
      <w:t>Í</w:t>
    </w:r>
    <w:r w:rsidR="00305C6E" w:rsidRPr="00305C6E">
      <w:rPr>
        <w:rFonts w:ascii="Arial" w:hAnsi="Arial" w:cs="Arial"/>
        <w:sz w:val="16"/>
        <w:szCs w:val="16"/>
        <w:lang w:val="es-ES"/>
      </w:rPr>
      <w:t xml:space="preserve">A INTERNA –DIDAI-                       </w:t>
    </w:r>
    <w:r w:rsidR="00305C6E">
      <w:rPr>
        <w:rFonts w:ascii="Arial" w:hAnsi="Arial" w:cs="Arial"/>
        <w:sz w:val="16"/>
        <w:szCs w:val="16"/>
        <w:lang w:val="es-ES"/>
      </w:rPr>
      <w:t xml:space="preserve">                           </w:t>
    </w:r>
    <w:r w:rsidR="00305C6E" w:rsidRPr="00305C6E">
      <w:rPr>
        <w:rFonts w:ascii="Arial" w:hAnsi="Arial" w:cs="Arial"/>
        <w:sz w:val="16"/>
        <w:szCs w:val="16"/>
        <w:lang w:val="es-ES"/>
      </w:rPr>
      <w:t xml:space="preserve">                    INFORME O-DIDAI/SUB-</w:t>
    </w:r>
    <w:r w:rsidR="009747E1">
      <w:rPr>
        <w:rFonts w:ascii="Arial" w:hAnsi="Arial" w:cs="Arial"/>
        <w:sz w:val="16"/>
        <w:szCs w:val="16"/>
        <w:lang w:val="es-ES"/>
      </w:rPr>
      <w:t>29</w:t>
    </w:r>
    <w:r w:rsidR="00305C6E" w:rsidRPr="00305C6E">
      <w:rPr>
        <w:rFonts w:ascii="Arial" w:hAnsi="Arial" w:cs="Arial"/>
        <w:sz w:val="16"/>
        <w:szCs w:val="16"/>
        <w:lang w:val="es-ES"/>
      </w:rPr>
      <w:t>-2022</w:t>
    </w:r>
  </w:p>
  <w:p w14:paraId="4EB4908A" w14:textId="77777777" w:rsidR="00305C6E" w:rsidRPr="00305C6E" w:rsidRDefault="00305C6E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705A" w14:textId="77777777" w:rsidR="00EA2453" w:rsidRDefault="00EA2453">
    <w:pPr>
      <w:pStyle w:val="Encabezado"/>
      <w:rPr>
        <w:rFonts w:ascii="Arial" w:hAnsi="Arial" w:cs="Arial"/>
        <w:sz w:val="16"/>
        <w:szCs w:val="16"/>
        <w:lang w:val="es-ES"/>
      </w:rPr>
    </w:pPr>
    <w:r w:rsidRPr="00EA2453">
      <w:rPr>
        <w:rFonts w:ascii="Arial" w:hAnsi="Arial" w:cs="Arial"/>
        <w:sz w:val="16"/>
        <w:szCs w:val="16"/>
        <w:lang w:val="es-ES"/>
      </w:rPr>
      <w:t>DIRECCION DE AUDITORIA INTERNA –DIDAI-</w:t>
    </w:r>
    <w:r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INFORME O-DIDAI/SUB-B-13-2022</w:t>
    </w:r>
  </w:p>
  <w:p w14:paraId="647328ED" w14:textId="77777777" w:rsidR="00EA2453" w:rsidRDefault="00EA2453">
    <w:pPr>
      <w:pStyle w:val="Encabezado"/>
      <w:rPr>
        <w:rFonts w:ascii="Arial" w:hAnsi="Arial" w:cs="Arial"/>
        <w:sz w:val="16"/>
        <w:szCs w:val="16"/>
        <w:lang w:val="es-ES"/>
      </w:rPr>
    </w:pPr>
  </w:p>
  <w:p w14:paraId="30F5EC3B" w14:textId="77777777" w:rsidR="00EA2453" w:rsidRPr="00EA2453" w:rsidRDefault="00EA2453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20333E7"/>
    <w:multiLevelType w:val="hybridMultilevel"/>
    <w:tmpl w:val="E7044B2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67"/>
    <w:rsid w:val="00000D2E"/>
    <w:rsid w:val="00002935"/>
    <w:rsid w:val="000206C1"/>
    <w:rsid w:val="0005250E"/>
    <w:rsid w:val="00090DC0"/>
    <w:rsid w:val="000B1B40"/>
    <w:rsid w:val="000C556E"/>
    <w:rsid w:val="000E3892"/>
    <w:rsid w:val="001151F3"/>
    <w:rsid w:val="00124A5A"/>
    <w:rsid w:val="0014087B"/>
    <w:rsid w:val="00184ACF"/>
    <w:rsid w:val="001B11BC"/>
    <w:rsid w:val="001C490C"/>
    <w:rsid w:val="002629E2"/>
    <w:rsid w:val="002D5BA7"/>
    <w:rsid w:val="00305C6E"/>
    <w:rsid w:val="00357A15"/>
    <w:rsid w:val="004144AA"/>
    <w:rsid w:val="004319CB"/>
    <w:rsid w:val="00450C07"/>
    <w:rsid w:val="004608D9"/>
    <w:rsid w:val="00465EBF"/>
    <w:rsid w:val="00490E1D"/>
    <w:rsid w:val="004E30DE"/>
    <w:rsid w:val="005010E7"/>
    <w:rsid w:val="00563D1B"/>
    <w:rsid w:val="00570AAB"/>
    <w:rsid w:val="00572804"/>
    <w:rsid w:val="005C0DD0"/>
    <w:rsid w:val="005E78C9"/>
    <w:rsid w:val="005F4C9A"/>
    <w:rsid w:val="00636C2F"/>
    <w:rsid w:val="00657A15"/>
    <w:rsid w:val="006B01B2"/>
    <w:rsid w:val="00704F30"/>
    <w:rsid w:val="007519D5"/>
    <w:rsid w:val="00770F61"/>
    <w:rsid w:val="00786DFB"/>
    <w:rsid w:val="00796746"/>
    <w:rsid w:val="007A16BC"/>
    <w:rsid w:val="007B61DC"/>
    <w:rsid w:val="007B73BB"/>
    <w:rsid w:val="00820FCC"/>
    <w:rsid w:val="00857189"/>
    <w:rsid w:val="008A6203"/>
    <w:rsid w:val="008C4425"/>
    <w:rsid w:val="009208A7"/>
    <w:rsid w:val="009274B9"/>
    <w:rsid w:val="009359B7"/>
    <w:rsid w:val="00961943"/>
    <w:rsid w:val="00966504"/>
    <w:rsid w:val="009747E1"/>
    <w:rsid w:val="0098114D"/>
    <w:rsid w:val="009E1872"/>
    <w:rsid w:val="009F5F67"/>
    <w:rsid w:val="009F68BE"/>
    <w:rsid w:val="00A01294"/>
    <w:rsid w:val="00A54E07"/>
    <w:rsid w:val="00A56C19"/>
    <w:rsid w:val="00AA2040"/>
    <w:rsid w:val="00AB06FA"/>
    <w:rsid w:val="00AD4117"/>
    <w:rsid w:val="00AF2C31"/>
    <w:rsid w:val="00B20CF0"/>
    <w:rsid w:val="00B214A0"/>
    <w:rsid w:val="00B30EA4"/>
    <w:rsid w:val="00B3623B"/>
    <w:rsid w:val="00BD1DCB"/>
    <w:rsid w:val="00BD3576"/>
    <w:rsid w:val="00BD729E"/>
    <w:rsid w:val="00C266CF"/>
    <w:rsid w:val="00CD37E9"/>
    <w:rsid w:val="00CF6911"/>
    <w:rsid w:val="00D05709"/>
    <w:rsid w:val="00D27867"/>
    <w:rsid w:val="00D45615"/>
    <w:rsid w:val="00D6174F"/>
    <w:rsid w:val="00D61C9D"/>
    <w:rsid w:val="00D653B8"/>
    <w:rsid w:val="00DA40E4"/>
    <w:rsid w:val="00DB1421"/>
    <w:rsid w:val="00DC33C6"/>
    <w:rsid w:val="00E24EAB"/>
    <w:rsid w:val="00E37244"/>
    <w:rsid w:val="00E5523A"/>
    <w:rsid w:val="00E80EF0"/>
    <w:rsid w:val="00EA1DAB"/>
    <w:rsid w:val="00EA2453"/>
    <w:rsid w:val="00EE0B5F"/>
    <w:rsid w:val="00F1451C"/>
    <w:rsid w:val="00F17B60"/>
    <w:rsid w:val="00F34386"/>
    <w:rsid w:val="00F679F7"/>
    <w:rsid w:val="00F93815"/>
    <w:rsid w:val="00FA195D"/>
    <w:rsid w:val="00FA375B"/>
    <w:rsid w:val="00FB0221"/>
    <w:rsid w:val="00FD319A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BDD335"/>
  <w15:docId w15:val="{D0C9677E-BA4E-43F7-8705-5051AD4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7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000D2E"/>
    <w:pPr>
      <w:spacing w:after="0" w:line="240" w:lineRule="auto"/>
    </w:pPr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E78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8C9"/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D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qFormat/>
    <w:rsid w:val="00BD729E"/>
    <w:pPr>
      <w:tabs>
        <w:tab w:val="left" w:pos="567"/>
        <w:tab w:val="right" w:leader="dot" w:pos="9350"/>
      </w:tabs>
      <w:spacing w:after="0" w:line="276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BD729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D72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BD729E"/>
    <w:pPr>
      <w:spacing w:line="276" w:lineRule="auto"/>
      <w:outlineLvl w:val="9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29E"/>
    <w:rPr>
      <w:rFonts w:ascii="Tahoma" w:hAnsi="Tahoma" w:cs="Tahoma"/>
      <w:sz w:val="16"/>
      <w:szCs w:val="16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D729E"/>
    <w:pPr>
      <w:spacing w:after="100" w:line="276" w:lineRule="auto"/>
      <w:ind w:left="220"/>
    </w:pPr>
    <w:rPr>
      <w:rFonts w:eastAsiaTheme="minorEastAsia"/>
      <w:lang w:eastAsia="es-GT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D729E"/>
    <w:pPr>
      <w:spacing w:after="100" w:line="276" w:lineRule="auto"/>
      <w:ind w:left="440"/>
    </w:pPr>
    <w:rPr>
      <w:rFonts w:eastAsiaTheme="minorEastAsia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E80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EF0"/>
  </w:style>
  <w:style w:type="paragraph" w:styleId="Piedepgina">
    <w:name w:val="footer"/>
    <w:basedOn w:val="Normal"/>
    <w:link w:val="PiedepginaCar"/>
    <w:uiPriority w:val="99"/>
    <w:unhideWhenUsed/>
    <w:rsid w:val="00E80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6869-7AEE-478A-A9AE-499EDC4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2</cp:revision>
  <dcterms:created xsi:type="dcterms:W3CDTF">2022-03-29T22:34:00Z</dcterms:created>
  <dcterms:modified xsi:type="dcterms:W3CDTF">2022-03-29T22:34:00Z</dcterms:modified>
</cp:coreProperties>
</file>