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.6001pt;margin-top:.0027pt;width:609.4pt;height:784.1pt;mso-position-horizontal-relative:page;mso-position-vertical-relative:page;z-index:15728640" coordorigin="52,0" coordsize="12188,15682">
            <v:shape style="position:absolute;left:11277;top:14538;width:509;height:481" coordorigin="11278,14539" coordsize="509,481" path="m11786,14930l11278,14930,11278,15019,11786,15019,11786,14930xm11786,14539l11278,14539,11278,14568,11786,14568,11786,14539xe" filled="true" fillcolor="#a4a4a4" stroked="false">
              <v:path arrowok="t"/>
              <v:fill type="solid"/>
            </v:shape>
            <v:shape style="position:absolute;left:52;top:0;width:12188;height:15682" type="#_x0000_t75" stroked="false">
              <v:imagedata r:id="rId5" o:title=""/>
            </v:shape>
            <w10:wrap type="none"/>
          </v:group>
        </w:pict>
      </w:r>
      <w:r>
        <w:rPr>
          <w:rFonts w:ascii="Times New Roman"/>
          <w:sz w:val="20"/>
        </w:rPr>
        <w:drawing>
          <wp:inline distT="0" distB="0" distL="0" distR="0">
            <wp:extent cx="7745834" cy="7178040"/>
            <wp:effectExtent l="0" t="0" r="0" b="0"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834" cy="717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7"/>
        </w:rPr>
      </w:pPr>
    </w:p>
    <w:p>
      <w:pPr>
        <w:pStyle w:val="Heading1"/>
        <w:spacing w:line="240" w:lineRule="auto" w:before="92" w:after="0"/>
        <w:ind w:right="629"/>
      </w:pPr>
      <w:r>
        <w:rPr>
          <w:w w:val="100"/>
        </w:rPr>
        <w:t>1</w:t>
      </w:r>
    </w:p>
    <w:p>
      <w:pPr>
        <w:spacing w:after="0" w:line="240" w:lineRule="auto"/>
        <w:sectPr>
          <w:type w:val="continuous"/>
          <w:pgSz w:w="12240" w:h="15840"/>
          <w:pgMar w:top="340" w:bottom="280" w:left="0" w:right="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13728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29"/>
        </w:rPr>
      </w:pPr>
    </w:p>
    <w:p>
      <w:pPr>
        <w:pStyle w:val="BodyText"/>
        <w:ind w:left="1407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469.6pt;height:244.1pt;mso-position-horizontal-relative:char;mso-position-vertical-relative:line" coordorigin="0,0" coordsize="9392,4882">
            <v:shape style="position:absolute;left:10;top:10;width:9372;height:4862" coordorigin="10,10" coordsize="9372,4862" path="m8705,10l687,10,618,14,550,27,486,47,423,74,364,108,309,149,256,195,208,248,165,305,126,367,92,434,63,505,41,580,24,657,14,738,10,821,10,4061,14,4144,24,4224,41,4302,63,4377,92,4447,126,4514,165,4577,208,4634,256,4686,309,4733,364,4774,423,4808,486,4835,550,4855,618,4867,687,4871,8705,4871,8774,4867,8841,4855,8906,4835,8968,4808,9027,4774,9083,4733,9135,4686,9183,4634,9227,4577,9266,4514,9300,4447,9328,4377,9351,4302,9368,4224,9378,4144,9381,4061,9381,821,9378,738,9368,657,9351,580,9328,505,9300,434,9266,367,9227,305,9183,248,9135,195,9083,149,9027,108,8968,74,8906,47,8841,27,8774,14,8705,10xe" filled="true" fillcolor="#ffffff" stroked="false">
              <v:path arrowok="t"/>
              <v:fill type="solid"/>
            </v:shape>
            <v:shape style="position:absolute;left:10;top:10;width:9372;height:4862" coordorigin="10,10" coordsize="9372,4862" path="m10,821l14,738,24,657,41,580,63,505,92,434,126,367,165,305,208,248,256,195,309,149,364,108,423,74,486,47,550,27,618,14,687,10,8705,10,8774,14,8841,27,8906,47,8968,74,9027,108,9083,149,9135,195,9183,248,9227,305,9266,367,9300,434,9328,505,9351,580,9368,657,9378,738,9381,821,9381,4061,9378,4144,9368,4224,9351,4302,9328,4377,9300,4447,9266,4514,9227,4577,9183,4634,9135,4686,9083,4733,9027,4774,8968,4808,8906,4835,8841,4855,8774,4867,8705,4871,687,4871,618,4867,550,4855,486,4835,423,4808,364,4774,309,4733,256,4686,208,4634,165,4577,126,4514,92,4447,63,4377,41,4302,24,4224,14,4144,10,4061,10,821xe" filled="false" stroked="true" strokeweight="1.020888pt" strokecolor="#4471c4">
              <v:path arrowok="t"/>
              <v:stroke dashstyle="solid"/>
            </v:shape>
            <v:shape style="position:absolute;left:630;top:1602;width:3313;height:1685" type="#_x0000_t75" stroked="false">
              <v:imagedata r:id="rId8" o:title=""/>
            </v:shape>
            <v:shape style="position:absolute;left:7047;top:2562;width:1010;height:1032" type="#_x0000_t75" stroked="false">
              <v:imagedata r:id="rId9" o:title=""/>
            </v:shape>
            <v:shape style="position:absolute;left:4329;top:2562;width:1891;height:1101" type="#_x0000_t75" stroked="false">
              <v:imagedata r:id="rId10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50;top:524;width:8150;height:1593" type="#_x0000_t202" filled="false" stroked="false">
              <v:textbox inset="0,0,0,0">
                <w:txbxContent>
                  <w:p>
                    <w:pPr>
                      <w:spacing w:line="347" w:lineRule="exact" w:before="0"/>
                      <w:ind w:left="0" w:right="0" w:firstLine="0"/>
                      <w:jc w:val="both"/>
                      <w:rPr>
                        <w:sz w:val="34"/>
                      </w:rPr>
                    </w:pPr>
                    <w:r>
                      <w:rPr>
                        <w:w w:val="85"/>
                        <w:sz w:val="34"/>
                      </w:rPr>
                      <w:t>Este</w:t>
                    </w:r>
                    <w:r>
                      <w:rPr>
                        <w:spacing w:val="10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producto</w:t>
                    </w:r>
                    <w:r>
                      <w:rPr>
                        <w:spacing w:val="11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de</w:t>
                    </w:r>
                    <w:r>
                      <w:rPr>
                        <w:spacing w:val="11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investigación</w:t>
                    </w:r>
                    <w:r>
                      <w:rPr>
                        <w:spacing w:val="12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y</w:t>
                    </w:r>
                    <w:r>
                      <w:rPr>
                        <w:spacing w:val="11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propuesta</w:t>
                    </w:r>
                    <w:r>
                      <w:rPr>
                        <w:spacing w:val="12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se</w:t>
                    </w:r>
                    <w:r>
                      <w:rPr>
                        <w:spacing w:val="10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realizó</w:t>
                    </w:r>
                    <w:r>
                      <w:rPr>
                        <w:spacing w:val="12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para</w:t>
                    </w:r>
                    <w:r>
                      <w:rPr>
                        <w:spacing w:val="12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y</w:t>
                    </w:r>
                    <w:r>
                      <w:rPr>
                        <w:spacing w:val="10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junto</w:t>
                    </w:r>
                    <w:r>
                      <w:rPr>
                        <w:spacing w:val="12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al</w:t>
                    </w:r>
                  </w:p>
                  <w:p>
                    <w:pPr>
                      <w:spacing w:line="242" w:lineRule="auto" w:before="0"/>
                      <w:ind w:left="0" w:right="18" w:firstLine="0"/>
                      <w:jc w:val="both"/>
                      <w:rPr>
                        <w:sz w:val="34"/>
                      </w:rPr>
                    </w:pPr>
                    <w:r>
                      <w:rPr>
                        <w:w w:val="85"/>
                        <w:sz w:val="34"/>
                      </w:rPr>
                      <w:t>Ministerio de Educación de Guatemala con el apoyo de la Alianza</w:t>
                    </w:r>
                    <w:r>
                      <w:rPr>
                        <w:spacing w:val="1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Mundial por la Educación (GPE por sus siglas en inglés) y el Fondo de</w:t>
                    </w:r>
                    <w:r>
                      <w:rPr>
                        <w:spacing w:val="1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las</w:t>
                    </w:r>
                    <w:r>
                      <w:rPr>
                        <w:spacing w:val="-4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Naciones</w:t>
                    </w:r>
                    <w:r>
                      <w:rPr>
                        <w:spacing w:val="-4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Unidas</w:t>
                    </w:r>
                    <w:r>
                      <w:rPr>
                        <w:spacing w:val="-4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para</w:t>
                    </w:r>
                    <w:r>
                      <w:rPr>
                        <w:spacing w:val="-2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la</w:t>
                    </w:r>
                    <w:r>
                      <w:rPr>
                        <w:spacing w:val="-3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Infancia</w:t>
                    </w:r>
                    <w:r>
                      <w:rPr>
                        <w:spacing w:val="-2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(Unicef)</w:t>
                    </w:r>
                  </w:p>
                </w:txbxContent>
              </v:textbox>
              <w10:wrap type="none"/>
            </v:shape>
            <v:shape style="position:absolute;left:5244;top:4280;width:3558;height:342" type="#_x0000_t202" filled="false" stroked="false">
              <v:textbox inset="0,0,0,0">
                <w:txbxContent>
                  <w:p>
                    <w:pPr>
                      <w:spacing w:line="341" w:lineRule="exact" w:before="0"/>
                      <w:ind w:left="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w w:val="80"/>
                        <w:sz w:val="34"/>
                      </w:rPr>
                      <w:t>República</w:t>
                    </w:r>
                    <w:r>
                      <w:rPr>
                        <w:spacing w:val="43"/>
                        <w:w w:val="80"/>
                        <w:sz w:val="34"/>
                      </w:rPr>
                      <w:t> </w:t>
                    </w:r>
                    <w:r>
                      <w:rPr>
                        <w:w w:val="80"/>
                        <w:sz w:val="34"/>
                      </w:rPr>
                      <w:t>de</w:t>
                    </w:r>
                    <w:r>
                      <w:rPr>
                        <w:spacing w:val="46"/>
                        <w:w w:val="80"/>
                        <w:sz w:val="34"/>
                      </w:rPr>
                      <w:t> </w:t>
                    </w:r>
                    <w:r>
                      <w:rPr>
                        <w:w w:val="80"/>
                        <w:sz w:val="34"/>
                      </w:rPr>
                      <w:t>Guatemala,</w:t>
                    </w:r>
                    <w:r>
                      <w:rPr>
                        <w:spacing w:val="44"/>
                        <w:w w:val="80"/>
                        <w:sz w:val="34"/>
                      </w:rPr>
                      <w:t> </w:t>
                    </w:r>
                    <w:r>
                      <w:rPr>
                        <w:w w:val="80"/>
                        <w:sz w:val="34"/>
                      </w:rPr>
                      <w:t>2021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3"/>
        </w:rPr>
      </w:pPr>
      <w:r>
        <w:rPr/>
        <w:pict>
          <v:rect style="position:absolute;margin-left:563.880005pt;margin-top:9.974203pt;width:25.44pt;height:1.4399pt;mso-position-horizontal-relative:page;mso-position-vertical-relative:paragraph;z-index:-1572761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312" w:lineRule="exact" w:before="0" w:after="22"/>
        <w:ind w:left="0" w:right="629" w:firstLine="0"/>
        <w:jc w:val="right"/>
        <w:rPr>
          <w:rFonts w:ascii="Arial MT"/>
          <w:sz w:val="28"/>
        </w:rPr>
      </w:pPr>
      <w:r>
        <w:rPr>
          <w:rFonts w:ascii="Arial MT"/>
          <w:w w:val="100"/>
          <w:sz w:val="28"/>
        </w:rPr>
        <w:t>2</w:t>
      </w:r>
    </w:p>
    <w:p>
      <w:pPr>
        <w:pStyle w:val="BodyText"/>
        <w:spacing w:line="88" w:lineRule="exact"/>
        <w:ind w:left="1127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14752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spacing w:before="59"/>
        <w:ind w:left="1418" w:right="0" w:firstLine="0"/>
        <w:jc w:val="left"/>
        <w:rPr>
          <w:b/>
          <w:sz w:val="20"/>
        </w:rPr>
      </w:pPr>
      <w:r>
        <w:rPr>
          <w:b/>
          <w:color w:val="006FC0"/>
          <w:sz w:val="20"/>
        </w:rPr>
        <w:t>Contenido</w:t>
      </w:r>
    </w:p>
    <w:p>
      <w:pPr>
        <w:tabs>
          <w:tab w:pos="10590" w:val="left" w:leader="dot"/>
        </w:tabs>
        <w:spacing w:before="241"/>
        <w:ind w:left="1418" w:right="0" w:firstLine="0"/>
        <w:jc w:val="left"/>
        <w:rPr>
          <w:rFonts w:ascii="Arial MT" w:hAnsi="Arial MT"/>
          <w:sz w:val="20"/>
        </w:rPr>
      </w:pPr>
      <w:hyperlink w:history="true" w:anchor="_bookmark0">
        <w:r>
          <w:rPr>
            <w:rFonts w:ascii="Arial MT" w:hAnsi="Arial MT"/>
            <w:sz w:val="20"/>
          </w:rPr>
          <w:t>Acrónimos y</w:t>
        </w:r>
        <w:r>
          <w:rPr>
            <w:rFonts w:ascii="Arial MT" w:hAnsi="Arial MT"/>
            <w:spacing w:val="-5"/>
            <w:sz w:val="20"/>
          </w:rPr>
          <w:t> </w:t>
        </w:r>
        <w:r>
          <w:rPr>
            <w:rFonts w:ascii="Arial MT" w:hAnsi="Arial MT"/>
            <w:sz w:val="20"/>
          </w:rPr>
          <w:t>Abreviaturas</w:t>
          <w:tab/>
          <w:t>10</w:t>
        </w:r>
      </w:hyperlink>
    </w:p>
    <w:p>
      <w:pPr>
        <w:pStyle w:val="ListParagraph"/>
        <w:numPr>
          <w:ilvl w:val="0"/>
          <w:numId w:val="1"/>
        </w:numPr>
        <w:tabs>
          <w:tab w:pos="1857" w:val="left" w:leader="none"/>
          <w:tab w:pos="1859" w:val="left" w:leader="none"/>
          <w:tab w:pos="10590" w:val="left" w:leader="dot"/>
        </w:tabs>
        <w:spacing w:line="240" w:lineRule="auto" w:before="1" w:after="0"/>
        <w:ind w:left="1858" w:right="0" w:hanging="441"/>
        <w:jc w:val="left"/>
        <w:rPr>
          <w:rFonts w:ascii="Arial MT" w:hAnsi="Arial MT"/>
          <w:sz w:val="20"/>
        </w:rPr>
      </w:pPr>
      <w:hyperlink w:history="true" w:anchor="_bookmark1">
        <w:r>
          <w:rPr>
            <w:rFonts w:ascii="Arial MT" w:hAnsi="Arial MT"/>
            <w:sz w:val="20"/>
          </w:rPr>
          <w:t>Principales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cifras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indicadores de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-5"/>
            <w:sz w:val="20"/>
          </w:rPr>
          <w:t> </w:t>
        </w:r>
        <w:r>
          <w:rPr>
            <w:rFonts w:ascii="Arial MT" w:hAnsi="Arial MT"/>
            <w:sz w:val="20"/>
          </w:rPr>
          <w:t>magnitudes</w:t>
          <w:tab/>
          <w:t>11</w:t>
        </w:r>
      </w:hyperlink>
    </w:p>
    <w:p>
      <w:pPr>
        <w:pStyle w:val="ListParagraph"/>
        <w:numPr>
          <w:ilvl w:val="0"/>
          <w:numId w:val="1"/>
        </w:numPr>
        <w:tabs>
          <w:tab w:pos="1857" w:val="left" w:leader="none"/>
          <w:tab w:pos="1859" w:val="left" w:leader="none"/>
          <w:tab w:pos="10590" w:val="left" w:leader="dot"/>
        </w:tabs>
        <w:spacing w:line="240" w:lineRule="auto" w:before="0" w:after="0"/>
        <w:ind w:left="1858" w:right="0" w:hanging="441"/>
        <w:jc w:val="left"/>
        <w:rPr>
          <w:rFonts w:ascii="Arial MT" w:hAnsi="Arial MT"/>
          <w:sz w:val="20"/>
        </w:rPr>
      </w:pPr>
      <w:hyperlink w:history="true" w:anchor="_bookmark6"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objetivo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-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Elegible</w:t>
          <w:tab/>
          <w:t>12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590" w:val="left" w:leader="dot"/>
        </w:tabs>
        <w:spacing w:line="240" w:lineRule="auto" w:before="0" w:after="0"/>
        <w:ind w:left="2299" w:right="0" w:hanging="682"/>
        <w:jc w:val="left"/>
        <w:rPr>
          <w:rFonts w:ascii="Arial MT" w:hAnsi="Arial MT"/>
          <w:sz w:val="20"/>
        </w:rPr>
      </w:pPr>
      <w:hyperlink w:history="true" w:anchor="_bookmark7"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objetivo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del</w:t>
        </w:r>
        <w:r>
          <w:rPr>
            <w:rFonts w:ascii="Arial MT" w:hAnsi="Arial MT"/>
            <w:spacing w:val="-4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inicial</w:t>
          <w:tab/>
          <w:t>12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590" w:val="left" w:leader="dot"/>
        </w:tabs>
        <w:spacing w:line="229" w:lineRule="exact" w:before="1" w:after="0"/>
        <w:ind w:left="2299" w:right="0" w:hanging="682"/>
        <w:jc w:val="left"/>
        <w:rPr>
          <w:rFonts w:ascii="Arial MT" w:hAnsi="Arial MT"/>
          <w:sz w:val="20"/>
        </w:rPr>
      </w:pPr>
      <w:hyperlink w:history="true" w:anchor="_bookmark10"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objetivo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del</w:t>
        </w:r>
        <w:r>
          <w:rPr>
            <w:rFonts w:ascii="Arial MT" w:hAnsi="Arial MT"/>
            <w:spacing w:val="-4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preprimaria</w:t>
          <w:tab/>
          <w:t>14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590" w:val="left" w:leader="dot"/>
        </w:tabs>
        <w:spacing w:line="229" w:lineRule="exact" w:before="0" w:after="0"/>
        <w:ind w:left="2299" w:right="0" w:hanging="682"/>
        <w:jc w:val="left"/>
        <w:rPr>
          <w:rFonts w:ascii="Arial MT" w:hAnsi="Arial MT"/>
          <w:sz w:val="20"/>
        </w:rPr>
      </w:pPr>
      <w:hyperlink w:history="true" w:anchor="_bookmark12"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objetivo del</w:t>
        </w:r>
        <w:r>
          <w:rPr>
            <w:rFonts w:ascii="Arial MT" w:hAnsi="Arial MT"/>
            <w:spacing w:val="-4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primaria</w:t>
          <w:tab/>
          <w:t>15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590" w:val="left" w:leader="dot"/>
        </w:tabs>
        <w:spacing w:line="240" w:lineRule="auto" w:before="0" w:after="0"/>
        <w:ind w:left="2299" w:right="0" w:hanging="682"/>
        <w:jc w:val="left"/>
        <w:rPr>
          <w:rFonts w:ascii="Arial MT" w:hAnsi="Arial MT"/>
          <w:sz w:val="20"/>
        </w:rPr>
      </w:pPr>
      <w:hyperlink w:history="true" w:anchor="_bookmark14"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objetivo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del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media,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ciclo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básica</w:t>
          <w:tab/>
          <w:t>15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590" w:val="left" w:leader="dot"/>
        </w:tabs>
        <w:spacing w:line="240" w:lineRule="auto" w:before="1" w:after="0"/>
        <w:ind w:left="2299" w:right="0" w:hanging="682"/>
        <w:jc w:val="left"/>
        <w:rPr>
          <w:rFonts w:ascii="Arial MT" w:hAnsi="Arial MT"/>
          <w:sz w:val="20"/>
        </w:rPr>
      </w:pPr>
      <w:hyperlink w:history="true" w:anchor="_bookmark16"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objetivo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del</w:t>
        </w:r>
        <w:r>
          <w:rPr>
            <w:rFonts w:ascii="Arial MT" w:hAnsi="Arial MT"/>
            <w:spacing w:val="-4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media,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ciclo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diversificada</w:t>
          <w:tab/>
          <w:t>16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590" w:val="left" w:leader="dot"/>
        </w:tabs>
        <w:spacing w:line="240" w:lineRule="auto" w:before="0" w:after="0"/>
        <w:ind w:left="2299" w:right="0" w:hanging="682"/>
        <w:jc w:val="left"/>
        <w:rPr>
          <w:rFonts w:ascii="Arial MT" w:hAnsi="Arial MT"/>
          <w:sz w:val="20"/>
        </w:rPr>
      </w:pPr>
      <w:hyperlink w:history="true" w:anchor="_bookmark18">
        <w:r>
          <w:rPr>
            <w:rFonts w:ascii="Arial MT" w:hAnsi="Arial MT"/>
            <w:sz w:val="20"/>
          </w:rPr>
          <w:t>Resumen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departamentos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mayor déficit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cobertura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educativa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2021.</w:t>
          <w:tab/>
          <w:t>16</w:t>
        </w:r>
      </w:hyperlink>
    </w:p>
    <w:p>
      <w:pPr>
        <w:pStyle w:val="ListParagraph"/>
        <w:numPr>
          <w:ilvl w:val="0"/>
          <w:numId w:val="1"/>
        </w:numPr>
        <w:tabs>
          <w:tab w:pos="1857" w:val="left" w:leader="none"/>
          <w:tab w:pos="1859" w:val="left" w:leader="none"/>
          <w:tab w:pos="10590" w:val="left" w:leader="dot"/>
        </w:tabs>
        <w:spacing w:line="240" w:lineRule="auto" w:before="0" w:after="0"/>
        <w:ind w:left="1858" w:right="0" w:hanging="441"/>
        <w:jc w:val="left"/>
        <w:rPr>
          <w:rFonts w:ascii="Arial MT" w:hAnsi="Arial MT"/>
          <w:sz w:val="20"/>
        </w:rPr>
      </w:pPr>
      <w:hyperlink w:history="true" w:anchor="_bookmark20"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afectada</w:t>
          <w:tab/>
          <w:t>17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590" w:val="left" w:leader="dot"/>
        </w:tabs>
        <w:spacing w:line="229" w:lineRule="exact" w:before="1" w:after="0"/>
        <w:ind w:left="2299" w:right="0" w:hanging="682"/>
        <w:jc w:val="left"/>
        <w:rPr>
          <w:rFonts w:ascii="Arial MT" w:hAnsi="Arial MT"/>
          <w:sz w:val="20"/>
        </w:rPr>
      </w:pPr>
      <w:hyperlink w:history="true" w:anchor="_bookmark21"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afectada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por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pueblo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pertenencia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-6"/>
            <w:sz w:val="20"/>
          </w:rPr>
          <w:t> </w:t>
        </w:r>
        <w:r>
          <w:rPr>
            <w:rFonts w:ascii="Arial MT" w:hAnsi="Arial MT"/>
            <w:sz w:val="20"/>
          </w:rPr>
          <w:t>sexo</w:t>
          <w:tab/>
          <w:t>17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590" w:val="left" w:leader="dot"/>
        </w:tabs>
        <w:spacing w:line="240" w:lineRule="auto" w:before="0" w:after="0"/>
        <w:ind w:left="1618" w:right="1426" w:firstLine="0"/>
        <w:jc w:val="left"/>
        <w:rPr>
          <w:rFonts w:ascii="Arial MT" w:hAnsi="Arial MT"/>
          <w:sz w:val="20"/>
        </w:rPr>
      </w:pPr>
      <w:hyperlink w:history="true" w:anchor="_bookmark23">
        <w:r>
          <w:rPr>
            <w:rFonts w:ascii="Arial MT" w:hAnsi="Arial MT"/>
            <w:sz w:val="20"/>
          </w:rPr>
          <w:t>Nivel de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estudios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la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afectada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los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departamentos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mayor</w:t>
        </w:r>
        <w:r>
          <w:rPr>
            <w:rFonts w:ascii="Arial MT" w:hAnsi="Arial MT"/>
            <w:spacing w:val="3"/>
            <w:sz w:val="20"/>
          </w:rPr>
          <w:t> </w:t>
        </w:r>
        <w:r>
          <w:rPr>
            <w:rFonts w:ascii="Arial MT" w:hAnsi="Arial MT"/>
            <w:sz w:val="20"/>
          </w:rPr>
          <w:t>déficit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cobertura</w:t>
        </w:r>
      </w:hyperlink>
      <w:r>
        <w:rPr>
          <w:rFonts w:ascii="Arial MT" w:hAnsi="Arial MT"/>
          <w:spacing w:val="-53"/>
          <w:sz w:val="20"/>
        </w:rPr>
        <w:t> </w:t>
      </w:r>
      <w:hyperlink w:history="true" w:anchor="_bookmark23"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los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distintos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niveles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educación</w:t>
          <w:tab/>
        </w:r>
        <w:r>
          <w:rPr>
            <w:rFonts w:ascii="Arial MT" w:hAnsi="Arial MT"/>
            <w:spacing w:val="-3"/>
            <w:sz w:val="20"/>
          </w:rPr>
          <w:t>19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</w:tabs>
        <w:spacing w:line="240" w:lineRule="auto" w:before="0" w:after="0"/>
        <w:ind w:left="2299" w:right="1422" w:hanging="682"/>
        <w:jc w:val="left"/>
        <w:rPr>
          <w:rFonts w:ascii="Arial MT" w:hAnsi="Arial MT"/>
          <w:sz w:val="20"/>
        </w:rPr>
      </w:pPr>
      <w:hyperlink w:history="true" w:anchor="_bookmark27">
        <w:r>
          <w:rPr>
            <w:rFonts w:ascii="Arial MT" w:hAnsi="Arial MT"/>
            <w:w w:val="95"/>
            <w:sz w:val="20"/>
          </w:rPr>
          <w:t>Departamentos</w:t>
        </w:r>
        <w:r>
          <w:rPr>
            <w:rFonts w:ascii="Arial MT" w:hAnsi="Arial MT"/>
            <w:spacing w:val="20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con</w:t>
        </w:r>
        <w:r>
          <w:rPr>
            <w:rFonts w:ascii="Arial MT" w:hAnsi="Arial MT"/>
            <w:spacing w:val="18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mayor</w:t>
        </w:r>
        <w:r>
          <w:rPr>
            <w:rFonts w:ascii="Arial MT" w:hAnsi="Arial MT"/>
            <w:spacing w:val="24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porcentaje</w:t>
        </w:r>
        <w:r>
          <w:rPr>
            <w:rFonts w:ascii="Arial MT" w:hAnsi="Arial MT"/>
            <w:spacing w:val="23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de</w:t>
        </w:r>
        <w:r>
          <w:rPr>
            <w:rFonts w:ascii="Arial MT" w:hAnsi="Arial MT"/>
            <w:spacing w:val="17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población</w:t>
        </w:r>
        <w:r>
          <w:rPr>
            <w:rFonts w:ascii="Arial MT" w:hAnsi="Arial MT"/>
            <w:spacing w:val="20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afectada</w:t>
        </w:r>
        <w:r>
          <w:rPr>
            <w:rFonts w:ascii="Arial MT" w:hAnsi="Arial MT"/>
            <w:spacing w:val="19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sin</w:t>
        </w:r>
        <w:r>
          <w:rPr>
            <w:rFonts w:ascii="Arial MT" w:hAnsi="Arial MT"/>
            <w:spacing w:val="23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ningún</w:t>
        </w:r>
        <w:r>
          <w:rPr>
            <w:rFonts w:ascii="Arial MT" w:hAnsi="Arial MT"/>
            <w:spacing w:val="19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nivel</w:t>
        </w:r>
        <w:r>
          <w:rPr>
            <w:rFonts w:ascii="Arial MT" w:hAnsi="Arial MT"/>
            <w:spacing w:val="17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de</w:t>
        </w:r>
        <w:r>
          <w:rPr>
            <w:rFonts w:ascii="Arial MT" w:hAnsi="Arial MT"/>
            <w:spacing w:val="19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estudio</w:t>
        </w:r>
        <w:r>
          <w:rPr>
            <w:rFonts w:ascii="Arial MT" w:hAnsi="Arial MT"/>
            <w:spacing w:val="20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aprobado</w:t>
        </w:r>
      </w:hyperlink>
      <w:r>
        <w:rPr>
          <w:rFonts w:ascii="Arial MT" w:hAnsi="Arial MT"/>
          <w:spacing w:val="-50"/>
          <w:w w:val="95"/>
          <w:sz w:val="20"/>
        </w:rPr>
        <w:t> </w:t>
      </w:r>
      <w:hyperlink w:history="true" w:anchor="_bookmark27">
        <w:r>
          <w:rPr>
            <w:rFonts w:ascii="Arial MT" w:hAnsi="Arial MT"/>
            <w:sz w:val="20"/>
          </w:rPr>
          <w:t>22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590" w:val="left" w:leader="dot"/>
        </w:tabs>
        <w:spacing w:line="240" w:lineRule="auto" w:before="1" w:after="0"/>
        <w:ind w:left="1618" w:right="1420" w:firstLine="0"/>
        <w:jc w:val="left"/>
        <w:rPr>
          <w:rFonts w:ascii="Arial MT" w:hAnsi="Arial MT"/>
          <w:sz w:val="20"/>
        </w:rPr>
      </w:pPr>
      <w:hyperlink w:history="true" w:anchor="_bookmark35">
        <w:r>
          <w:rPr>
            <w:rFonts w:ascii="Arial MT" w:hAnsi="Arial MT"/>
            <w:sz w:val="20"/>
          </w:rPr>
          <w:t>Departamentos</w:t>
        </w:r>
        <w:r>
          <w:rPr>
            <w:rFonts w:ascii="Arial MT" w:hAnsi="Arial MT"/>
            <w:spacing w:val="18"/>
            <w:sz w:val="20"/>
          </w:rPr>
          <w:t> </w:t>
        </w:r>
        <w:r>
          <w:rPr>
            <w:rFonts w:ascii="Arial MT" w:hAnsi="Arial MT"/>
            <w:sz w:val="20"/>
          </w:rPr>
          <w:t>afectados</w:t>
        </w:r>
        <w:r>
          <w:rPr>
            <w:rFonts w:ascii="Arial MT" w:hAnsi="Arial MT"/>
            <w:spacing w:val="22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18"/>
            <w:sz w:val="20"/>
          </w:rPr>
          <w:t> </w:t>
        </w:r>
        <w:r>
          <w:rPr>
            <w:rFonts w:ascii="Arial MT" w:hAnsi="Arial MT"/>
            <w:sz w:val="20"/>
          </w:rPr>
          <w:t>menor</w:t>
        </w:r>
        <w:r>
          <w:rPr>
            <w:rFonts w:ascii="Arial MT" w:hAnsi="Arial MT"/>
            <w:spacing w:val="19"/>
            <w:sz w:val="20"/>
          </w:rPr>
          <w:t> </w:t>
        </w:r>
        <w:r>
          <w:rPr>
            <w:rFonts w:ascii="Arial MT" w:hAnsi="Arial MT"/>
            <w:sz w:val="20"/>
          </w:rPr>
          <w:t>porcentaje</w:t>
        </w:r>
        <w:r>
          <w:rPr>
            <w:rFonts w:ascii="Arial MT" w:hAnsi="Arial MT"/>
            <w:spacing w:val="18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20"/>
            <w:sz w:val="20"/>
          </w:rPr>
          <w:t> </w:t>
        </w:r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18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18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20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18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18"/>
            <w:sz w:val="20"/>
          </w:rPr>
          <w:t> </w:t>
        </w:r>
        <w:r>
          <w:rPr>
            <w:rFonts w:ascii="Arial MT" w:hAnsi="Arial MT"/>
            <w:sz w:val="20"/>
          </w:rPr>
          <w:t>inicial</w:t>
        </w:r>
        <w:r>
          <w:rPr>
            <w:rFonts w:ascii="Arial MT" w:hAnsi="Arial MT"/>
            <w:spacing w:val="22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</w:hyperlink>
      <w:r>
        <w:rPr>
          <w:rFonts w:ascii="Arial MT" w:hAnsi="Arial MT"/>
          <w:spacing w:val="-53"/>
          <w:sz w:val="20"/>
        </w:rPr>
        <w:t> </w:t>
      </w:r>
      <w:hyperlink w:history="true" w:anchor="_bookmark35">
        <w:r>
          <w:rPr>
            <w:rFonts w:ascii="Arial MT" w:hAnsi="Arial MT"/>
            <w:sz w:val="20"/>
          </w:rPr>
          <w:t>preprimaria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aprobada</w:t>
          <w:tab/>
          <w:t>29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590" w:val="left" w:leader="dot"/>
        </w:tabs>
        <w:spacing w:line="240" w:lineRule="auto" w:before="0" w:after="0"/>
        <w:ind w:left="1618" w:right="1422" w:firstLine="0"/>
        <w:jc w:val="left"/>
        <w:rPr>
          <w:rFonts w:ascii="Arial MT" w:hAnsi="Arial MT"/>
          <w:sz w:val="20"/>
        </w:rPr>
      </w:pPr>
      <w:hyperlink w:history="true" w:anchor="_bookmark42">
        <w:r>
          <w:rPr>
            <w:rFonts w:ascii="Arial MT" w:hAnsi="Arial MT"/>
            <w:sz w:val="20"/>
          </w:rPr>
          <w:t>Departamentos</w:t>
        </w:r>
        <w:r>
          <w:rPr>
            <w:rFonts w:ascii="Arial MT" w:hAnsi="Arial MT"/>
            <w:spacing w:val="13"/>
            <w:sz w:val="20"/>
          </w:rPr>
          <w:t> </w:t>
        </w:r>
        <w:r>
          <w:rPr>
            <w:rFonts w:ascii="Arial MT" w:hAnsi="Arial MT"/>
            <w:sz w:val="20"/>
          </w:rPr>
          <w:t>afectados</w:t>
        </w:r>
        <w:r>
          <w:rPr>
            <w:rFonts w:ascii="Arial MT" w:hAnsi="Arial MT"/>
            <w:spacing w:val="17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13"/>
            <w:sz w:val="20"/>
          </w:rPr>
          <w:t> </w:t>
        </w:r>
        <w:r>
          <w:rPr>
            <w:rFonts w:ascii="Arial MT" w:hAnsi="Arial MT"/>
            <w:sz w:val="20"/>
          </w:rPr>
          <w:t>menor</w:t>
        </w:r>
        <w:r>
          <w:rPr>
            <w:rFonts w:ascii="Arial MT" w:hAnsi="Arial MT"/>
            <w:spacing w:val="14"/>
            <w:sz w:val="20"/>
          </w:rPr>
          <w:t> </w:t>
        </w:r>
        <w:r>
          <w:rPr>
            <w:rFonts w:ascii="Arial MT" w:hAnsi="Arial MT"/>
            <w:sz w:val="20"/>
          </w:rPr>
          <w:t>porcentaje</w:t>
        </w:r>
        <w:r>
          <w:rPr>
            <w:rFonts w:ascii="Arial MT" w:hAnsi="Arial MT"/>
            <w:spacing w:val="16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15"/>
            <w:sz w:val="20"/>
          </w:rPr>
          <w:t> </w:t>
        </w:r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15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15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13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15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15"/>
            <w:sz w:val="20"/>
          </w:rPr>
          <w:t> </w:t>
        </w:r>
        <w:r>
          <w:rPr>
            <w:rFonts w:ascii="Arial MT" w:hAnsi="Arial MT"/>
            <w:sz w:val="20"/>
          </w:rPr>
          <w:t>primaria</w:t>
        </w:r>
      </w:hyperlink>
      <w:r>
        <w:rPr>
          <w:rFonts w:ascii="Arial MT" w:hAnsi="Arial MT"/>
          <w:spacing w:val="-53"/>
          <w:sz w:val="20"/>
        </w:rPr>
        <w:t> </w:t>
      </w:r>
      <w:hyperlink w:history="true" w:anchor="_bookmark42">
        <w:r>
          <w:rPr>
            <w:rFonts w:ascii="Arial MT" w:hAnsi="Arial MT"/>
            <w:sz w:val="20"/>
          </w:rPr>
          <w:t>aprobada</w:t>
          <w:tab/>
        </w:r>
        <w:r>
          <w:rPr>
            <w:rFonts w:ascii="Arial MT" w:hAnsi="Arial MT"/>
            <w:spacing w:val="-1"/>
            <w:sz w:val="20"/>
          </w:rPr>
          <w:t>36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590" w:val="left" w:leader="dot"/>
        </w:tabs>
        <w:spacing w:line="240" w:lineRule="auto" w:before="0" w:after="0"/>
        <w:ind w:left="1618" w:right="1422" w:firstLine="0"/>
        <w:jc w:val="left"/>
        <w:rPr>
          <w:rFonts w:ascii="Arial MT" w:hAnsi="Arial MT"/>
          <w:sz w:val="20"/>
        </w:rPr>
      </w:pPr>
      <w:hyperlink w:history="true" w:anchor="_bookmark50">
        <w:r>
          <w:rPr>
            <w:rFonts w:ascii="Arial MT" w:hAnsi="Arial MT"/>
            <w:w w:val="95"/>
            <w:sz w:val="20"/>
          </w:rPr>
          <w:t>Departamentos</w:t>
        </w:r>
        <w:r>
          <w:rPr>
            <w:rFonts w:ascii="Arial MT" w:hAnsi="Arial MT"/>
            <w:spacing w:val="21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afectados</w:t>
        </w:r>
        <w:r>
          <w:rPr>
            <w:rFonts w:ascii="Arial MT" w:hAnsi="Arial MT"/>
            <w:spacing w:val="21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con</w:t>
        </w:r>
        <w:r>
          <w:rPr>
            <w:rFonts w:ascii="Arial MT" w:hAnsi="Arial MT"/>
            <w:spacing w:val="18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menor</w:t>
        </w:r>
        <w:r>
          <w:rPr>
            <w:rFonts w:ascii="Arial MT" w:hAnsi="Arial MT"/>
            <w:spacing w:val="21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porcentaje</w:t>
        </w:r>
        <w:r>
          <w:rPr>
            <w:rFonts w:ascii="Arial MT" w:hAnsi="Arial MT"/>
            <w:spacing w:val="23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de</w:t>
        </w:r>
        <w:r>
          <w:rPr>
            <w:rFonts w:ascii="Arial MT" w:hAnsi="Arial MT"/>
            <w:spacing w:val="18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población</w:t>
        </w:r>
        <w:r>
          <w:rPr>
            <w:rFonts w:ascii="Arial MT" w:hAnsi="Arial MT"/>
            <w:spacing w:val="20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con</w:t>
        </w:r>
        <w:r>
          <w:rPr>
            <w:rFonts w:ascii="Arial MT" w:hAnsi="Arial MT"/>
            <w:spacing w:val="23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nivel</w:t>
        </w:r>
        <w:r>
          <w:rPr>
            <w:rFonts w:ascii="Arial MT" w:hAnsi="Arial MT"/>
            <w:spacing w:val="18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de</w:t>
        </w:r>
        <w:r>
          <w:rPr>
            <w:rFonts w:ascii="Arial MT" w:hAnsi="Arial MT"/>
            <w:spacing w:val="23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educación</w:t>
        </w:r>
        <w:r>
          <w:rPr>
            <w:rFonts w:ascii="Arial MT" w:hAnsi="Arial MT"/>
            <w:spacing w:val="19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media,</w:t>
        </w:r>
        <w:r>
          <w:rPr>
            <w:rFonts w:ascii="Arial MT" w:hAnsi="Arial MT"/>
            <w:spacing w:val="20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ciclo</w:t>
        </w:r>
      </w:hyperlink>
      <w:r>
        <w:rPr>
          <w:rFonts w:ascii="Arial MT" w:hAnsi="Arial MT"/>
          <w:spacing w:val="-50"/>
          <w:w w:val="95"/>
          <w:sz w:val="20"/>
        </w:rPr>
        <w:t> </w:t>
      </w:r>
      <w:hyperlink w:history="true" w:anchor="_bookmark50"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básica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-5"/>
            <w:sz w:val="20"/>
          </w:rPr>
          <w:t> </w:t>
        </w:r>
        <w:r>
          <w:rPr>
            <w:rFonts w:ascii="Arial MT" w:hAnsi="Arial MT"/>
            <w:sz w:val="20"/>
          </w:rPr>
          <w:t>ciclo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diversificada</w:t>
          <w:tab/>
        </w:r>
        <w:r>
          <w:rPr>
            <w:rFonts w:ascii="Arial MT" w:hAnsi="Arial MT"/>
            <w:spacing w:val="-1"/>
            <w:sz w:val="20"/>
          </w:rPr>
          <w:t>43</w:t>
        </w:r>
      </w:hyperlink>
    </w:p>
    <w:p>
      <w:pPr>
        <w:pStyle w:val="ListParagraph"/>
        <w:numPr>
          <w:ilvl w:val="0"/>
          <w:numId w:val="1"/>
        </w:numPr>
        <w:tabs>
          <w:tab w:pos="1857" w:val="left" w:leader="none"/>
          <w:tab w:pos="1859" w:val="left" w:leader="none"/>
          <w:tab w:pos="10590" w:val="left" w:leader="dot"/>
        </w:tabs>
        <w:spacing w:line="240" w:lineRule="auto" w:before="0" w:after="0"/>
        <w:ind w:left="1858" w:right="0" w:hanging="441"/>
        <w:jc w:val="left"/>
        <w:rPr>
          <w:rFonts w:ascii="Arial MT"/>
          <w:sz w:val="20"/>
        </w:rPr>
      </w:pPr>
      <w:hyperlink w:history="true" w:anchor="_bookmark55">
        <w:r>
          <w:rPr>
            <w:rFonts w:ascii="Arial MT"/>
            <w:sz w:val="20"/>
          </w:rPr>
          <w:t>Uso</w:t>
        </w:r>
        <w:r>
          <w:rPr>
            <w:rFonts w:ascii="Arial MT"/>
            <w:spacing w:val="-3"/>
            <w:sz w:val="20"/>
          </w:rPr>
          <w:t> </w:t>
        </w:r>
        <w:r>
          <w:rPr>
            <w:rFonts w:ascii="Arial MT"/>
            <w:sz w:val="20"/>
          </w:rPr>
          <w:t>de</w:t>
        </w:r>
        <w:r>
          <w:rPr>
            <w:rFonts w:ascii="Arial MT"/>
            <w:spacing w:val="-3"/>
            <w:sz w:val="20"/>
          </w:rPr>
          <w:t> </w:t>
        </w:r>
        <w:r>
          <w:rPr>
            <w:rFonts w:ascii="Arial MT"/>
            <w:sz w:val="20"/>
          </w:rPr>
          <w:t>computadoras e</w:t>
        </w:r>
        <w:r>
          <w:rPr>
            <w:rFonts w:ascii="Arial MT"/>
            <w:spacing w:val="-1"/>
            <w:sz w:val="20"/>
          </w:rPr>
          <w:t> </w:t>
        </w:r>
        <w:r>
          <w:rPr>
            <w:rFonts w:ascii="Arial MT"/>
            <w:sz w:val="20"/>
          </w:rPr>
          <w:t>internet</w:t>
        </w:r>
        <w:r>
          <w:rPr>
            <w:rFonts w:ascii="Arial MT"/>
            <w:spacing w:val="-2"/>
            <w:sz w:val="20"/>
          </w:rPr>
          <w:t> </w:t>
        </w:r>
        <w:r>
          <w:rPr>
            <w:rFonts w:ascii="Arial MT"/>
            <w:sz w:val="20"/>
          </w:rPr>
          <w:t>en</w:t>
        </w:r>
        <w:r>
          <w:rPr>
            <w:rFonts w:ascii="Arial MT"/>
            <w:spacing w:val="-3"/>
            <w:sz w:val="20"/>
          </w:rPr>
          <w:t> </w:t>
        </w:r>
        <w:r>
          <w:rPr>
            <w:rFonts w:ascii="Arial MT"/>
            <w:sz w:val="20"/>
          </w:rPr>
          <w:t>los</w:t>
        </w:r>
        <w:r>
          <w:rPr>
            <w:rFonts w:ascii="Arial MT"/>
            <w:spacing w:val="-2"/>
            <w:sz w:val="20"/>
          </w:rPr>
          <w:t> </w:t>
        </w:r>
        <w:r>
          <w:rPr>
            <w:rFonts w:ascii="Arial MT"/>
            <w:sz w:val="20"/>
          </w:rPr>
          <w:t>departamentos</w:t>
        </w:r>
        <w:r>
          <w:rPr>
            <w:rFonts w:ascii="Arial MT"/>
            <w:spacing w:val="1"/>
            <w:sz w:val="20"/>
          </w:rPr>
          <w:t> </w:t>
        </w:r>
        <w:r>
          <w:rPr>
            <w:rFonts w:ascii="Arial MT"/>
            <w:sz w:val="20"/>
          </w:rPr>
          <w:t>afectados</w:t>
          <w:tab/>
          <w:t>50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590" w:val="left" w:leader="dot"/>
        </w:tabs>
        <w:spacing w:line="229" w:lineRule="exact" w:before="1" w:after="0"/>
        <w:ind w:left="2299" w:right="0" w:hanging="682"/>
        <w:jc w:val="left"/>
        <w:rPr>
          <w:rFonts w:ascii="Arial MT"/>
          <w:sz w:val="20"/>
        </w:rPr>
      </w:pPr>
      <w:hyperlink w:history="true" w:anchor="_bookmark56">
        <w:r>
          <w:rPr>
            <w:rFonts w:ascii="Arial MT"/>
            <w:sz w:val="20"/>
          </w:rPr>
          <w:t>Acceso</w:t>
        </w:r>
        <w:r>
          <w:rPr>
            <w:rFonts w:ascii="Arial MT"/>
            <w:spacing w:val="-1"/>
            <w:sz w:val="20"/>
          </w:rPr>
          <w:t> </w:t>
        </w:r>
        <w:r>
          <w:rPr>
            <w:rFonts w:ascii="Arial MT"/>
            <w:sz w:val="20"/>
          </w:rPr>
          <w:t>y</w:t>
        </w:r>
        <w:r>
          <w:rPr>
            <w:rFonts w:ascii="Arial MT"/>
            <w:spacing w:val="-3"/>
            <w:sz w:val="20"/>
          </w:rPr>
          <w:t> </w:t>
        </w:r>
        <w:r>
          <w:rPr>
            <w:rFonts w:ascii="Arial MT"/>
            <w:sz w:val="20"/>
          </w:rPr>
          <w:t>uso</w:t>
        </w:r>
        <w:r>
          <w:rPr>
            <w:rFonts w:ascii="Arial MT"/>
            <w:spacing w:val="-2"/>
            <w:sz w:val="20"/>
          </w:rPr>
          <w:t> </w:t>
        </w:r>
        <w:r>
          <w:rPr>
            <w:rFonts w:ascii="Arial MT"/>
            <w:sz w:val="20"/>
          </w:rPr>
          <w:t>de computadoras</w:t>
          <w:tab/>
          <w:t>50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590" w:val="left" w:leader="dot"/>
        </w:tabs>
        <w:spacing w:line="229" w:lineRule="exact" w:before="0" w:after="0"/>
        <w:ind w:left="2299" w:right="0" w:hanging="682"/>
        <w:jc w:val="left"/>
        <w:rPr>
          <w:rFonts w:ascii="Arial MT"/>
          <w:sz w:val="20"/>
        </w:rPr>
      </w:pPr>
      <w:hyperlink w:history="true" w:anchor="_bookmark59">
        <w:r>
          <w:rPr>
            <w:rFonts w:ascii="Arial MT"/>
            <w:sz w:val="20"/>
          </w:rPr>
          <w:t>Acceso</w:t>
        </w:r>
        <w:r>
          <w:rPr>
            <w:rFonts w:ascii="Arial MT"/>
            <w:spacing w:val="-1"/>
            <w:sz w:val="20"/>
          </w:rPr>
          <w:t> </w:t>
        </w:r>
        <w:r>
          <w:rPr>
            <w:rFonts w:ascii="Arial MT"/>
            <w:sz w:val="20"/>
          </w:rPr>
          <w:t>y</w:t>
        </w:r>
        <w:r>
          <w:rPr>
            <w:rFonts w:ascii="Arial MT"/>
            <w:spacing w:val="-3"/>
            <w:sz w:val="20"/>
          </w:rPr>
          <w:t> </w:t>
        </w:r>
        <w:r>
          <w:rPr>
            <w:rFonts w:ascii="Arial MT"/>
            <w:sz w:val="20"/>
          </w:rPr>
          <w:t>uso</w:t>
        </w:r>
        <w:r>
          <w:rPr>
            <w:rFonts w:ascii="Arial MT"/>
            <w:spacing w:val="-2"/>
            <w:sz w:val="20"/>
          </w:rPr>
          <w:t> </w:t>
        </w:r>
        <w:r>
          <w:rPr>
            <w:rFonts w:ascii="Arial MT"/>
            <w:sz w:val="20"/>
          </w:rPr>
          <w:t>de internet</w:t>
          <w:tab/>
          <w:t>52</w:t>
        </w:r>
      </w:hyperlink>
    </w:p>
    <w:p>
      <w:pPr>
        <w:pStyle w:val="ListParagraph"/>
        <w:numPr>
          <w:ilvl w:val="0"/>
          <w:numId w:val="1"/>
        </w:numPr>
        <w:tabs>
          <w:tab w:pos="1857" w:val="left" w:leader="none"/>
          <w:tab w:pos="1859" w:val="left" w:leader="none"/>
          <w:tab w:pos="10590" w:val="left" w:leader="dot"/>
        </w:tabs>
        <w:spacing w:line="240" w:lineRule="auto" w:before="1" w:after="0"/>
        <w:ind w:left="1858" w:right="0" w:hanging="441"/>
        <w:jc w:val="left"/>
        <w:rPr>
          <w:rFonts w:ascii="Arial MT" w:hAnsi="Arial MT"/>
          <w:sz w:val="20"/>
        </w:rPr>
      </w:pPr>
      <w:hyperlink w:history="true" w:anchor="_bookmark62">
        <w:r>
          <w:rPr>
            <w:rFonts w:ascii="Arial MT" w:hAnsi="Arial MT"/>
            <w:sz w:val="20"/>
          </w:rPr>
          <w:t>Cuantificación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la población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afectada</w:t>
          <w:tab/>
          <w:t>54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590" w:val="left" w:leader="dot"/>
        </w:tabs>
        <w:spacing w:line="240" w:lineRule="auto" w:before="0" w:after="0"/>
        <w:ind w:left="2299" w:right="0" w:hanging="682"/>
        <w:jc w:val="left"/>
        <w:rPr>
          <w:rFonts w:ascii="Arial MT" w:hAnsi="Arial MT"/>
          <w:sz w:val="20"/>
        </w:rPr>
      </w:pPr>
      <w:hyperlink w:history="true" w:anchor="_bookmark63"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afectada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el</w:t>
        </w:r>
        <w:r>
          <w:rPr>
            <w:rFonts w:ascii="Arial MT" w:hAnsi="Arial MT"/>
            <w:spacing w:val="-4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de Educación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Inicial</w:t>
        </w:r>
        <w:r>
          <w:rPr>
            <w:rFonts w:ascii="Arial MT" w:hAnsi="Arial MT"/>
            <w:spacing w:val="-4"/>
            <w:sz w:val="20"/>
          </w:rPr>
          <w:t> </w:t>
        </w:r>
        <w:r>
          <w:rPr>
            <w:rFonts w:ascii="Arial MT" w:hAnsi="Arial MT"/>
            <w:sz w:val="20"/>
          </w:rPr>
          <w:t>en edades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entre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0 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3 años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en 2021</w:t>
          <w:tab/>
          <w:t>54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</w:tabs>
        <w:spacing w:line="240" w:lineRule="auto" w:before="0" w:after="0"/>
        <w:ind w:left="2299" w:right="1422" w:hanging="682"/>
        <w:jc w:val="left"/>
        <w:rPr>
          <w:rFonts w:ascii="Arial MT" w:hAnsi="Arial MT"/>
          <w:sz w:val="20"/>
        </w:rPr>
      </w:pPr>
      <w:hyperlink w:history="true" w:anchor="_bookmark65"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6"/>
            <w:sz w:val="20"/>
          </w:rPr>
          <w:t> </w:t>
        </w:r>
        <w:r>
          <w:rPr>
            <w:rFonts w:ascii="Arial MT" w:hAnsi="Arial MT"/>
            <w:sz w:val="20"/>
          </w:rPr>
          <w:t>afectada</w:t>
        </w:r>
        <w:r>
          <w:rPr>
            <w:rFonts w:ascii="Arial MT" w:hAnsi="Arial MT"/>
            <w:spacing w:val="7"/>
            <w:sz w:val="20"/>
          </w:rPr>
          <w:t> </w:t>
        </w:r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6"/>
            <w:sz w:val="20"/>
          </w:rPr>
          <w:t> </w:t>
        </w:r>
        <w:r>
          <w:rPr>
            <w:rFonts w:ascii="Arial MT" w:hAnsi="Arial MT"/>
            <w:sz w:val="20"/>
          </w:rPr>
          <w:t>el</w:t>
        </w:r>
        <w:r>
          <w:rPr>
            <w:rFonts w:ascii="Arial MT" w:hAnsi="Arial MT"/>
            <w:spacing w:val="10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7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8"/>
            <w:sz w:val="20"/>
          </w:rPr>
          <w:t> </w:t>
        </w:r>
        <w:r>
          <w:rPr>
            <w:rFonts w:ascii="Arial MT" w:hAnsi="Arial MT"/>
            <w:sz w:val="20"/>
          </w:rPr>
          <w:t>Preprimaria</w:t>
        </w:r>
        <w:r>
          <w:rPr>
            <w:rFonts w:ascii="Arial MT" w:hAnsi="Arial MT"/>
            <w:spacing w:val="7"/>
            <w:sz w:val="20"/>
          </w:rPr>
          <w:t> </w:t>
        </w:r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6"/>
            <w:sz w:val="20"/>
          </w:rPr>
          <w:t> </w:t>
        </w:r>
        <w:r>
          <w:rPr>
            <w:rFonts w:ascii="Arial MT" w:hAnsi="Arial MT"/>
            <w:sz w:val="20"/>
          </w:rPr>
          <w:t>edades</w:t>
        </w:r>
        <w:r>
          <w:rPr>
            <w:rFonts w:ascii="Arial MT" w:hAnsi="Arial MT"/>
            <w:spacing w:val="8"/>
            <w:sz w:val="20"/>
          </w:rPr>
          <w:t> </w:t>
        </w:r>
        <w:r>
          <w:rPr>
            <w:rFonts w:ascii="Arial MT" w:hAnsi="Arial MT"/>
            <w:sz w:val="20"/>
          </w:rPr>
          <w:t>entre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4</w:t>
        </w:r>
        <w:r>
          <w:rPr>
            <w:rFonts w:ascii="Arial MT" w:hAnsi="Arial MT"/>
            <w:spacing w:val="7"/>
            <w:sz w:val="20"/>
          </w:rPr>
          <w:t> </w:t>
        </w:r>
        <w:r>
          <w:rPr>
            <w:rFonts w:ascii="Arial MT" w:hAnsi="Arial MT"/>
            <w:sz w:val="20"/>
          </w:rPr>
          <w:t>a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6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años</w:t>
        </w:r>
        <w:r>
          <w:rPr>
            <w:rFonts w:ascii="Arial MT" w:hAnsi="Arial MT"/>
            <w:spacing w:val="7"/>
            <w:sz w:val="20"/>
          </w:rPr>
          <w:t> </w:t>
        </w:r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7"/>
            <w:sz w:val="20"/>
          </w:rPr>
          <w:t> </w:t>
        </w:r>
        <w:r>
          <w:rPr>
            <w:rFonts w:ascii="Arial MT" w:hAnsi="Arial MT"/>
            <w:sz w:val="20"/>
          </w:rPr>
          <w:t>2021.</w:t>
        </w:r>
      </w:hyperlink>
      <w:r>
        <w:rPr>
          <w:rFonts w:ascii="Arial MT" w:hAnsi="Arial MT"/>
          <w:spacing w:val="-53"/>
          <w:sz w:val="20"/>
        </w:rPr>
        <w:t> </w:t>
      </w:r>
      <w:hyperlink w:history="true" w:anchor="_bookmark65">
        <w:r>
          <w:rPr>
            <w:rFonts w:ascii="Arial MT" w:hAnsi="Arial MT"/>
            <w:sz w:val="20"/>
          </w:rPr>
          <w:t>55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590" w:val="left" w:leader="dot"/>
        </w:tabs>
        <w:spacing w:line="228" w:lineRule="exact" w:before="0" w:after="0"/>
        <w:ind w:left="2299" w:right="0" w:hanging="682"/>
        <w:jc w:val="left"/>
        <w:rPr>
          <w:rFonts w:ascii="Arial MT" w:hAnsi="Arial MT"/>
          <w:sz w:val="20"/>
        </w:rPr>
      </w:pPr>
      <w:hyperlink w:history="true" w:anchor="_bookmark67">
        <w:r>
          <w:rPr>
            <w:rFonts w:ascii="Arial MT" w:hAnsi="Arial MT"/>
            <w:sz w:val="20"/>
          </w:rPr>
          <w:t>Población afectada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el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de Educación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Primaria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edades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entre 7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-5"/>
            <w:sz w:val="20"/>
          </w:rPr>
          <w:t> </w:t>
        </w:r>
        <w:r>
          <w:rPr>
            <w:rFonts w:ascii="Arial MT" w:hAnsi="Arial MT"/>
            <w:sz w:val="20"/>
          </w:rPr>
          <w:t>12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años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2021</w:t>
          <w:tab/>
          <w:t>56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590" w:val="left" w:leader="dot"/>
        </w:tabs>
        <w:spacing w:line="240" w:lineRule="auto" w:before="1" w:after="0"/>
        <w:ind w:left="1618" w:right="1423" w:firstLine="0"/>
        <w:jc w:val="left"/>
        <w:rPr>
          <w:rFonts w:ascii="Arial MT" w:hAnsi="Arial MT"/>
          <w:sz w:val="20"/>
        </w:rPr>
      </w:pPr>
      <w:hyperlink w:history="true" w:anchor="_bookmark69"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-8"/>
            <w:sz w:val="20"/>
          </w:rPr>
          <w:t> </w:t>
        </w:r>
        <w:r>
          <w:rPr>
            <w:rFonts w:ascii="Arial MT" w:hAnsi="Arial MT"/>
            <w:sz w:val="20"/>
          </w:rPr>
          <w:t>afectada</w:t>
        </w:r>
        <w:r>
          <w:rPr>
            <w:rFonts w:ascii="Arial MT" w:hAnsi="Arial MT"/>
            <w:spacing w:val="-8"/>
            <w:sz w:val="20"/>
          </w:rPr>
          <w:t> </w:t>
        </w:r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-7"/>
            <w:sz w:val="20"/>
          </w:rPr>
          <w:t> </w:t>
        </w:r>
        <w:r>
          <w:rPr>
            <w:rFonts w:ascii="Arial MT" w:hAnsi="Arial MT"/>
            <w:sz w:val="20"/>
          </w:rPr>
          <w:t>el</w:t>
        </w:r>
        <w:r>
          <w:rPr>
            <w:rFonts w:ascii="Arial MT" w:hAnsi="Arial MT"/>
            <w:spacing w:val="-9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-8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6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7"/>
            <w:sz w:val="20"/>
          </w:rPr>
          <w:t> </w:t>
        </w:r>
        <w:r>
          <w:rPr>
            <w:rFonts w:ascii="Arial MT" w:hAnsi="Arial MT"/>
            <w:sz w:val="20"/>
          </w:rPr>
          <w:t>Media,</w:t>
        </w:r>
        <w:r>
          <w:rPr>
            <w:rFonts w:ascii="Arial MT" w:hAnsi="Arial MT"/>
            <w:spacing w:val="-8"/>
            <w:sz w:val="20"/>
          </w:rPr>
          <w:t> </w:t>
        </w:r>
        <w:r>
          <w:rPr>
            <w:rFonts w:ascii="Arial MT" w:hAnsi="Arial MT"/>
            <w:sz w:val="20"/>
          </w:rPr>
          <w:t>Ciclo</w:t>
        </w:r>
        <w:r>
          <w:rPr>
            <w:rFonts w:ascii="Arial MT" w:hAnsi="Arial MT"/>
            <w:spacing w:val="-8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5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8"/>
            <w:sz w:val="20"/>
          </w:rPr>
          <w:t> </w:t>
        </w:r>
        <w:r>
          <w:rPr>
            <w:rFonts w:ascii="Arial MT" w:hAnsi="Arial MT"/>
            <w:sz w:val="20"/>
          </w:rPr>
          <w:t>Básica,</w:t>
        </w:r>
        <w:r>
          <w:rPr>
            <w:rFonts w:ascii="Arial MT" w:hAnsi="Arial MT"/>
            <w:spacing w:val="-7"/>
            <w:sz w:val="20"/>
          </w:rPr>
          <w:t> </w:t>
        </w:r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-8"/>
            <w:sz w:val="20"/>
          </w:rPr>
          <w:t> </w:t>
        </w:r>
        <w:r>
          <w:rPr>
            <w:rFonts w:ascii="Arial MT" w:hAnsi="Arial MT"/>
            <w:sz w:val="20"/>
          </w:rPr>
          <w:t>edades</w:t>
        </w:r>
        <w:r>
          <w:rPr>
            <w:rFonts w:ascii="Arial MT" w:hAnsi="Arial MT"/>
            <w:spacing w:val="-6"/>
            <w:sz w:val="20"/>
          </w:rPr>
          <w:t> </w:t>
        </w:r>
        <w:r>
          <w:rPr>
            <w:rFonts w:ascii="Arial MT" w:hAnsi="Arial MT"/>
            <w:sz w:val="20"/>
          </w:rPr>
          <w:t>entre</w:t>
        </w:r>
      </w:hyperlink>
      <w:r>
        <w:rPr>
          <w:rFonts w:ascii="Arial MT" w:hAnsi="Arial MT"/>
          <w:spacing w:val="-53"/>
          <w:sz w:val="20"/>
        </w:rPr>
        <w:t> </w:t>
      </w:r>
      <w:hyperlink w:history="true" w:anchor="_bookmark69">
        <w:r>
          <w:rPr>
            <w:rFonts w:ascii="Arial MT" w:hAnsi="Arial MT"/>
            <w:sz w:val="20"/>
          </w:rPr>
          <w:t>13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-5"/>
            <w:sz w:val="20"/>
          </w:rPr>
          <w:t> </w:t>
        </w:r>
        <w:r>
          <w:rPr>
            <w:rFonts w:ascii="Arial MT" w:hAnsi="Arial MT"/>
            <w:sz w:val="20"/>
          </w:rPr>
          <w:t>15 años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en 2021</w:t>
          <w:tab/>
        </w:r>
        <w:r>
          <w:rPr>
            <w:rFonts w:ascii="Arial MT" w:hAnsi="Arial MT"/>
            <w:spacing w:val="-2"/>
            <w:sz w:val="20"/>
          </w:rPr>
          <w:t>56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590" w:val="left" w:leader="dot"/>
        </w:tabs>
        <w:spacing w:line="240" w:lineRule="auto" w:before="1" w:after="0"/>
        <w:ind w:left="1618" w:right="1423" w:firstLine="0"/>
        <w:jc w:val="left"/>
        <w:rPr>
          <w:rFonts w:ascii="Arial MT" w:hAnsi="Arial MT"/>
          <w:sz w:val="20"/>
        </w:rPr>
      </w:pPr>
      <w:hyperlink w:history="true" w:anchor="_bookmark71"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-11"/>
            <w:sz w:val="20"/>
          </w:rPr>
          <w:t> </w:t>
        </w:r>
        <w:r>
          <w:rPr>
            <w:rFonts w:ascii="Arial MT" w:hAnsi="Arial MT"/>
            <w:sz w:val="20"/>
          </w:rPr>
          <w:t>afectada</w:t>
        </w:r>
        <w:r>
          <w:rPr>
            <w:rFonts w:ascii="Arial MT" w:hAnsi="Arial MT"/>
            <w:spacing w:val="-9"/>
            <w:sz w:val="20"/>
          </w:rPr>
          <w:t> </w:t>
        </w:r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-11"/>
            <w:sz w:val="20"/>
          </w:rPr>
          <w:t> </w:t>
        </w:r>
        <w:r>
          <w:rPr>
            <w:rFonts w:ascii="Arial MT" w:hAnsi="Arial MT"/>
            <w:sz w:val="20"/>
          </w:rPr>
          <w:t>el</w:t>
        </w:r>
        <w:r>
          <w:rPr>
            <w:rFonts w:ascii="Arial MT" w:hAnsi="Arial MT"/>
            <w:spacing w:val="-10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-10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11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10"/>
            <w:sz w:val="20"/>
          </w:rPr>
          <w:t> </w:t>
        </w:r>
        <w:r>
          <w:rPr>
            <w:rFonts w:ascii="Arial MT" w:hAnsi="Arial MT"/>
            <w:sz w:val="20"/>
          </w:rPr>
          <w:t>Media,</w:t>
        </w:r>
        <w:r>
          <w:rPr>
            <w:rFonts w:ascii="Arial MT" w:hAnsi="Arial MT"/>
            <w:spacing w:val="-10"/>
            <w:sz w:val="20"/>
          </w:rPr>
          <w:t> </w:t>
        </w:r>
        <w:r>
          <w:rPr>
            <w:rFonts w:ascii="Arial MT" w:hAnsi="Arial MT"/>
            <w:sz w:val="20"/>
          </w:rPr>
          <w:t>Ciclo</w:t>
        </w:r>
        <w:r>
          <w:rPr>
            <w:rFonts w:ascii="Arial MT" w:hAnsi="Arial MT"/>
            <w:spacing w:val="-10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10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10"/>
            <w:sz w:val="20"/>
          </w:rPr>
          <w:t> </w:t>
        </w:r>
        <w:r>
          <w:rPr>
            <w:rFonts w:ascii="Arial MT" w:hAnsi="Arial MT"/>
            <w:sz w:val="20"/>
          </w:rPr>
          <w:t>Diversificada,</w:t>
        </w:r>
        <w:r>
          <w:rPr>
            <w:rFonts w:ascii="Arial MT" w:hAnsi="Arial MT"/>
            <w:spacing w:val="-11"/>
            <w:sz w:val="20"/>
          </w:rPr>
          <w:t> </w:t>
        </w:r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-9"/>
            <w:sz w:val="20"/>
          </w:rPr>
          <w:t> </w:t>
        </w:r>
        <w:r>
          <w:rPr>
            <w:rFonts w:ascii="Arial MT" w:hAnsi="Arial MT"/>
            <w:sz w:val="20"/>
          </w:rPr>
          <w:t>edades</w:t>
        </w:r>
      </w:hyperlink>
      <w:r>
        <w:rPr>
          <w:rFonts w:ascii="Arial MT" w:hAnsi="Arial MT"/>
          <w:spacing w:val="-53"/>
          <w:sz w:val="20"/>
        </w:rPr>
        <w:t> </w:t>
      </w:r>
      <w:hyperlink w:history="true" w:anchor="_bookmark71">
        <w:r>
          <w:rPr>
            <w:rFonts w:ascii="Arial MT" w:hAnsi="Arial MT"/>
            <w:sz w:val="20"/>
          </w:rPr>
          <w:t>entre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16</w:t>
        </w:r>
        <w:r>
          <w:rPr>
            <w:rFonts w:ascii="Arial MT" w:hAnsi="Arial MT"/>
            <w:spacing w:val="3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-5"/>
            <w:sz w:val="20"/>
          </w:rPr>
          <w:t> </w:t>
        </w:r>
        <w:r>
          <w:rPr>
            <w:rFonts w:ascii="Arial MT" w:hAnsi="Arial MT"/>
            <w:sz w:val="20"/>
          </w:rPr>
          <w:t>18 años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en 2021</w:t>
          <w:tab/>
        </w:r>
        <w:r>
          <w:rPr>
            <w:rFonts w:ascii="Arial MT" w:hAnsi="Arial MT"/>
            <w:spacing w:val="-2"/>
            <w:sz w:val="20"/>
          </w:rPr>
          <w:t>57</w:t>
        </w:r>
      </w:hyperlink>
    </w:p>
    <w:p>
      <w:pPr>
        <w:pStyle w:val="ListParagraph"/>
        <w:numPr>
          <w:ilvl w:val="0"/>
          <w:numId w:val="1"/>
        </w:numPr>
        <w:tabs>
          <w:tab w:pos="1857" w:val="left" w:leader="none"/>
          <w:tab w:pos="1859" w:val="left" w:leader="none"/>
          <w:tab w:pos="10590" w:val="left" w:leader="dot"/>
        </w:tabs>
        <w:spacing w:line="229" w:lineRule="exact" w:before="0" w:after="0"/>
        <w:ind w:left="1858" w:right="0" w:hanging="441"/>
        <w:jc w:val="left"/>
        <w:rPr>
          <w:rFonts w:ascii="Arial MT" w:hAnsi="Arial MT"/>
          <w:sz w:val="20"/>
        </w:rPr>
      </w:pPr>
      <w:hyperlink w:history="true" w:anchor="_bookmark73">
        <w:r>
          <w:rPr>
            <w:rFonts w:ascii="Arial MT" w:hAnsi="Arial MT"/>
            <w:sz w:val="20"/>
          </w:rPr>
          <w:t>Atención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Extraescolar</w:t>
          <w:tab/>
          <w:t>58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590" w:val="left" w:leader="dot"/>
        </w:tabs>
        <w:spacing w:line="229" w:lineRule="exact" w:before="0" w:after="0"/>
        <w:ind w:left="2299" w:right="0" w:hanging="682"/>
        <w:jc w:val="left"/>
        <w:rPr>
          <w:rFonts w:ascii="Arial MT" w:hAnsi="Arial MT"/>
          <w:sz w:val="20"/>
        </w:rPr>
      </w:pPr>
      <w:hyperlink w:history="true" w:anchor="_bookmark78">
        <w:r>
          <w:rPr>
            <w:rFonts w:ascii="Arial MT" w:hAnsi="Arial MT"/>
            <w:sz w:val="20"/>
          </w:rPr>
          <w:t>Programa</w:t>
        </w:r>
        <w:r>
          <w:rPr>
            <w:rFonts w:ascii="Arial MT" w:hAnsi="Arial MT"/>
            <w:spacing w:val="-4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Adultos por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Correspondencia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PEAC:</w:t>
          <w:tab/>
          <w:t>62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590" w:val="left" w:leader="dot"/>
        </w:tabs>
        <w:spacing w:line="240" w:lineRule="auto" w:before="1" w:after="0"/>
        <w:ind w:left="2299" w:right="0" w:hanging="682"/>
        <w:jc w:val="left"/>
        <w:rPr>
          <w:rFonts w:ascii="Arial MT" w:hAnsi="Arial MT"/>
          <w:sz w:val="20"/>
        </w:rPr>
      </w:pPr>
      <w:hyperlink w:history="true" w:anchor="_bookmark81">
        <w:r>
          <w:rPr>
            <w:rFonts w:ascii="Arial MT" w:hAnsi="Arial MT"/>
            <w:sz w:val="20"/>
          </w:rPr>
          <w:t>Programa</w:t>
        </w:r>
        <w:r>
          <w:rPr>
            <w:rFonts w:ascii="Arial MT" w:hAnsi="Arial MT"/>
            <w:spacing w:val="-4"/>
            <w:sz w:val="20"/>
          </w:rPr>
          <w:t> </w:t>
        </w:r>
        <w:r>
          <w:rPr>
            <w:rFonts w:ascii="Arial MT" w:hAnsi="Arial MT"/>
            <w:sz w:val="20"/>
          </w:rPr>
          <w:t>Modalidades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Flexibles para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la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Media</w:t>
          <w:tab/>
          <w:t>64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590" w:val="left" w:leader="dot"/>
        </w:tabs>
        <w:spacing w:line="240" w:lineRule="auto" w:before="0" w:after="0"/>
        <w:ind w:left="2299" w:right="0" w:hanging="682"/>
        <w:jc w:val="left"/>
        <w:rPr>
          <w:rFonts w:ascii="Arial MT" w:hAnsi="Arial MT"/>
          <w:sz w:val="20"/>
        </w:rPr>
      </w:pPr>
      <w:hyperlink w:history="true" w:anchor="_bookmark84">
        <w:r>
          <w:rPr>
            <w:rFonts w:ascii="Arial MT" w:hAnsi="Arial MT"/>
            <w:sz w:val="20"/>
          </w:rPr>
          <w:t>Programa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Centros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Municipales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Capacitación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-5"/>
            <w:sz w:val="20"/>
          </w:rPr>
          <w:t> </w:t>
        </w:r>
        <w:r>
          <w:rPr>
            <w:rFonts w:ascii="Arial MT" w:hAnsi="Arial MT"/>
            <w:sz w:val="20"/>
          </w:rPr>
          <w:t>Formación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Humana,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CEMUCAF</w:t>
          <w:tab/>
          <w:t>65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590" w:val="left" w:leader="dot"/>
        </w:tabs>
        <w:spacing w:line="240" w:lineRule="auto" w:before="1" w:after="0"/>
        <w:ind w:left="2299" w:right="0" w:hanging="682"/>
        <w:jc w:val="left"/>
        <w:rPr>
          <w:rFonts w:ascii="Arial MT" w:hAnsi="Arial MT"/>
          <w:sz w:val="20"/>
        </w:rPr>
      </w:pPr>
      <w:hyperlink w:history="true" w:anchor="_bookmark87">
        <w:r>
          <w:rPr>
            <w:rFonts w:ascii="Arial MT" w:hAnsi="Arial MT"/>
            <w:sz w:val="20"/>
          </w:rPr>
          <w:t>Programa</w:t>
        </w:r>
        <w:r>
          <w:rPr>
            <w:rFonts w:ascii="Arial MT" w:hAnsi="Arial MT"/>
            <w:spacing w:val="-4"/>
            <w:sz w:val="20"/>
          </w:rPr>
          <w:t> </w:t>
        </w:r>
        <w:r>
          <w:rPr>
            <w:rFonts w:ascii="Arial MT" w:hAnsi="Arial MT"/>
            <w:sz w:val="20"/>
          </w:rPr>
          <w:t>Nacional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Alternativa,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PRONEA,</w:t>
          <w:tab/>
          <w:t>67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590" w:val="left" w:leader="dot"/>
        </w:tabs>
        <w:spacing w:line="240" w:lineRule="auto" w:before="1" w:after="0"/>
        <w:ind w:left="2299" w:right="0" w:hanging="682"/>
        <w:jc w:val="left"/>
        <w:rPr>
          <w:rFonts w:ascii="Arial MT" w:hAnsi="Arial MT"/>
          <w:sz w:val="20"/>
        </w:rPr>
      </w:pPr>
      <w:hyperlink w:history="true" w:anchor="_bookmark90">
        <w:r>
          <w:rPr>
            <w:rFonts w:ascii="Arial MT" w:hAnsi="Arial MT"/>
            <w:sz w:val="20"/>
          </w:rPr>
          <w:t>Sistema</w:t>
        </w:r>
        <w:r>
          <w:rPr>
            <w:rFonts w:ascii="Arial MT" w:hAnsi="Arial MT"/>
            <w:spacing w:val="-4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Certificación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Competencias,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SCC</w:t>
          <w:tab/>
          <w:t>68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590" w:val="left" w:leader="dot"/>
        </w:tabs>
        <w:spacing w:line="229" w:lineRule="exact" w:before="0" w:after="0"/>
        <w:ind w:left="2299" w:right="0" w:hanging="682"/>
        <w:jc w:val="left"/>
        <w:rPr>
          <w:rFonts w:ascii="Arial MT"/>
          <w:sz w:val="20"/>
        </w:rPr>
      </w:pPr>
      <w:hyperlink w:history="true" w:anchor="_bookmark94">
        <w:r>
          <w:rPr>
            <w:rFonts w:ascii="Arial MT"/>
            <w:sz w:val="20"/>
          </w:rPr>
          <w:t>Academias</w:t>
        </w:r>
        <w:r>
          <w:rPr>
            <w:rFonts w:ascii="Arial MT"/>
            <w:spacing w:val="-2"/>
            <w:sz w:val="20"/>
          </w:rPr>
          <w:t> </w:t>
        </w:r>
        <w:r>
          <w:rPr>
            <w:rFonts w:ascii="Arial MT"/>
            <w:sz w:val="20"/>
          </w:rPr>
          <w:t>de</w:t>
        </w:r>
        <w:r>
          <w:rPr>
            <w:rFonts w:ascii="Arial MT"/>
            <w:spacing w:val="-2"/>
            <w:sz w:val="20"/>
          </w:rPr>
          <w:t> </w:t>
        </w:r>
        <w:r>
          <w:rPr>
            <w:rFonts w:ascii="Arial MT"/>
            <w:sz w:val="20"/>
          </w:rPr>
          <w:t>cursos</w:t>
        </w:r>
        <w:r>
          <w:rPr>
            <w:rFonts w:ascii="Arial MT"/>
            <w:spacing w:val="-1"/>
            <w:sz w:val="20"/>
          </w:rPr>
          <w:t> </w:t>
        </w:r>
        <w:r>
          <w:rPr>
            <w:rFonts w:ascii="Arial MT"/>
            <w:sz w:val="20"/>
          </w:rPr>
          <w:t>libres</w:t>
          <w:tab/>
          <w:t>70</w:t>
        </w:r>
      </w:hyperlink>
    </w:p>
    <w:p>
      <w:pPr>
        <w:tabs>
          <w:tab w:pos="10590" w:val="left" w:leader="dot"/>
        </w:tabs>
        <w:spacing w:line="229" w:lineRule="exact" w:before="0"/>
        <w:ind w:left="1418" w:right="0" w:firstLine="0"/>
        <w:jc w:val="left"/>
        <w:rPr>
          <w:rFonts w:ascii="Arial MT" w:hAnsi="Arial MT"/>
          <w:sz w:val="20"/>
        </w:rPr>
      </w:pPr>
      <w:hyperlink w:history="true" w:anchor="_bookmark97">
        <w:r>
          <w:rPr>
            <w:rFonts w:ascii="Arial MT" w:hAnsi="Arial MT"/>
            <w:sz w:val="20"/>
          </w:rPr>
          <w:t>Presentación</w:t>
          <w:tab/>
          <w:t>72</w:t>
        </w:r>
      </w:hyperlink>
    </w:p>
    <w:p>
      <w:pPr>
        <w:pStyle w:val="ListParagraph"/>
        <w:numPr>
          <w:ilvl w:val="0"/>
          <w:numId w:val="2"/>
        </w:numPr>
        <w:tabs>
          <w:tab w:pos="1857" w:val="left" w:leader="none"/>
          <w:tab w:pos="1859" w:val="left" w:leader="none"/>
          <w:tab w:pos="10590" w:val="left" w:leader="dot"/>
        </w:tabs>
        <w:spacing w:line="240" w:lineRule="auto" w:before="1" w:after="0"/>
        <w:ind w:left="1858" w:right="0" w:hanging="441"/>
        <w:jc w:val="left"/>
        <w:rPr>
          <w:rFonts w:ascii="Arial MT" w:hAnsi="Arial MT"/>
          <w:sz w:val="20"/>
        </w:rPr>
      </w:pPr>
      <w:hyperlink w:history="true" w:anchor="_bookmark98">
        <w:r>
          <w:rPr>
            <w:rFonts w:ascii="Arial MT" w:hAnsi="Arial MT"/>
            <w:sz w:val="20"/>
          </w:rPr>
          <w:t>Cobertura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-4"/>
            <w:sz w:val="20"/>
          </w:rPr>
          <w:t> </w:t>
        </w:r>
        <w:r>
          <w:rPr>
            <w:rFonts w:ascii="Arial MT" w:hAnsi="Arial MT"/>
            <w:sz w:val="20"/>
          </w:rPr>
          <w:t>equidad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por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niveles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educativos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según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departamento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-6"/>
            <w:sz w:val="20"/>
          </w:rPr>
          <w:t> </w:t>
        </w:r>
        <w:r>
          <w:rPr>
            <w:rFonts w:ascii="Arial MT" w:hAnsi="Arial MT"/>
            <w:sz w:val="20"/>
          </w:rPr>
          <w:t>municipio</w:t>
          <w:tab/>
          <w:t>73</w:t>
        </w:r>
      </w:hyperlink>
    </w:p>
    <w:p>
      <w:pPr>
        <w:pStyle w:val="ListParagraph"/>
        <w:numPr>
          <w:ilvl w:val="1"/>
          <w:numId w:val="2"/>
        </w:numPr>
        <w:tabs>
          <w:tab w:pos="2299" w:val="left" w:leader="none"/>
          <w:tab w:pos="2300" w:val="left" w:leader="none"/>
          <w:tab w:pos="10590" w:val="left" w:leader="dot"/>
        </w:tabs>
        <w:spacing w:line="240" w:lineRule="auto" w:before="0" w:after="0"/>
        <w:ind w:left="2299" w:right="0" w:hanging="682"/>
        <w:jc w:val="left"/>
        <w:rPr>
          <w:rFonts w:ascii="Arial MT"/>
          <w:sz w:val="20"/>
        </w:rPr>
      </w:pPr>
      <w:hyperlink w:history="true" w:anchor="_bookmark99">
        <w:r>
          <w:rPr>
            <w:rFonts w:ascii="Arial MT"/>
            <w:sz w:val="20"/>
          </w:rPr>
          <w:t>A</w:t>
        </w:r>
        <w:r>
          <w:rPr>
            <w:rFonts w:ascii="Arial MT"/>
            <w:spacing w:val="-2"/>
            <w:sz w:val="20"/>
          </w:rPr>
          <w:t> </w:t>
        </w:r>
        <w:r>
          <w:rPr>
            <w:rFonts w:ascii="Arial MT"/>
            <w:sz w:val="20"/>
          </w:rPr>
          <w:t>nivel</w:t>
        </w:r>
        <w:r>
          <w:rPr>
            <w:rFonts w:ascii="Arial MT"/>
            <w:spacing w:val="-1"/>
            <w:sz w:val="20"/>
          </w:rPr>
          <w:t> </w:t>
        </w:r>
        <w:r>
          <w:rPr>
            <w:rFonts w:ascii="Arial MT"/>
            <w:sz w:val="20"/>
          </w:rPr>
          <w:t>departamental</w:t>
          <w:tab/>
          <w:t>73</w:t>
        </w:r>
      </w:hyperlink>
    </w:p>
    <w:p>
      <w:pPr>
        <w:pStyle w:val="ListParagraph"/>
        <w:numPr>
          <w:ilvl w:val="1"/>
          <w:numId w:val="2"/>
        </w:numPr>
        <w:tabs>
          <w:tab w:pos="2299" w:val="left" w:leader="none"/>
          <w:tab w:pos="2300" w:val="left" w:leader="none"/>
          <w:tab w:pos="10590" w:val="left" w:leader="dot"/>
        </w:tabs>
        <w:spacing w:line="240" w:lineRule="auto" w:before="0" w:after="0"/>
        <w:ind w:left="2299" w:right="0" w:hanging="682"/>
        <w:jc w:val="left"/>
        <w:rPr>
          <w:rFonts w:ascii="Arial MT"/>
          <w:sz w:val="20"/>
        </w:rPr>
      </w:pPr>
      <w:hyperlink w:history="true" w:anchor="_bookmark100">
        <w:r>
          <w:rPr>
            <w:rFonts w:ascii="Arial MT"/>
            <w:sz w:val="20"/>
          </w:rPr>
          <w:t>A</w:t>
        </w:r>
        <w:r>
          <w:rPr>
            <w:rFonts w:ascii="Arial MT"/>
            <w:spacing w:val="-3"/>
            <w:sz w:val="20"/>
          </w:rPr>
          <w:t> </w:t>
        </w:r>
        <w:r>
          <w:rPr>
            <w:rFonts w:ascii="Arial MT"/>
            <w:sz w:val="20"/>
          </w:rPr>
          <w:t>nivel</w:t>
        </w:r>
        <w:r>
          <w:rPr>
            <w:rFonts w:ascii="Arial MT"/>
            <w:spacing w:val="-1"/>
            <w:sz w:val="20"/>
          </w:rPr>
          <w:t> </w:t>
        </w:r>
        <w:r>
          <w:rPr>
            <w:rFonts w:ascii="Arial MT"/>
            <w:sz w:val="20"/>
          </w:rPr>
          <w:t>Municipal</w:t>
          <w:tab/>
          <w:t>76</w:t>
        </w:r>
      </w:hyperlink>
    </w:p>
    <w:p>
      <w:pPr>
        <w:pStyle w:val="ListParagraph"/>
        <w:numPr>
          <w:ilvl w:val="0"/>
          <w:numId w:val="2"/>
        </w:numPr>
        <w:tabs>
          <w:tab w:pos="1857" w:val="left" w:leader="none"/>
          <w:tab w:pos="1859" w:val="left" w:leader="none"/>
          <w:tab w:pos="10590" w:val="left" w:leader="dot"/>
        </w:tabs>
        <w:spacing w:line="229" w:lineRule="exact" w:before="1" w:after="0"/>
        <w:ind w:left="1858" w:right="0" w:hanging="441"/>
        <w:jc w:val="left"/>
        <w:rPr>
          <w:rFonts w:ascii="Arial MT"/>
          <w:sz w:val="20"/>
        </w:rPr>
      </w:pPr>
      <w:hyperlink w:history="true" w:anchor="_bookmark101">
        <w:r>
          <w:rPr>
            <w:rFonts w:ascii="Arial MT"/>
            <w:sz w:val="20"/>
          </w:rPr>
          <w:t>Equidad</w:t>
        </w:r>
        <w:r>
          <w:rPr>
            <w:rFonts w:ascii="Arial MT"/>
            <w:spacing w:val="-3"/>
            <w:sz w:val="20"/>
          </w:rPr>
          <w:t> </w:t>
        </w:r>
        <w:r>
          <w:rPr>
            <w:rFonts w:ascii="Arial MT"/>
            <w:sz w:val="20"/>
          </w:rPr>
          <w:t>de</w:t>
        </w:r>
        <w:r>
          <w:rPr>
            <w:rFonts w:ascii="Arial MT"/>
            <w:spacing w:val="-2"/>
            <w:sz w:val="20"/>
          </w:rPr>
          <w:t> </w:t>
        </w:r>
        <w:r>
          <w:rPr>
            <w:rFonts w:ascii="Arial MT"/>
            <w:sz w:val="20"/>
          </w:rPr>
          <w:t>la</w:t>
        </w:r>
        <w:r>
          <w:rPr>
            <w:rFonts w:ascii="Arial MT"/>
            <w:spacing w:val="-2"/>
            <w:sz w:val="20"/>
          </w:rPr>
          <w:t> </w:t>
        </w:r>
        <w:r>
          <w:rPr>
            <w:rFonts w:ascii="Arial MT"/>
            <w:sz w:val="20"/>
          </w:rPr>
          <w:t>cobertura</w:t>
        </w:r>
        <w:r>
          <w:rPr>
            <w:rFonts w:ascii="Arial MT"/>
            <w:spacing w:val="-2"/>
            <w:sz w:val="20"/>
          </w:rPr>
          <w:t> </w:t>
        </w:r>
        <w:r>
          <w:rPr>
            <w:rFonts w:ascii="Arial MT"/>
            <w:sz w:val="20"/>
          </w:rPr>
          <w:t>por</w:t>
        </w:r>
        <w:r>
          <w:rPr>
            <w:rFonts w:ascii="Arial MT"/>
            <w:spacing w:val="-1"/>
            <w:sz w:val="20"/>
          </w:rPr>
          <w:t> </w:t>
        </w:r>
        <w:r>
          <w:rPr>
            <w:rFonts w:ascii="Arial MT"/>
            <w:sz w:val="20"/>
          </w:rPr>
          <w:t>sexo</w:t>
        </w:r>
        <w:r>
          <w:rPr>
            <w:rFonts w:ascii="Arial MT"/>
            <w:spacing w:val="-2"/>
            <w:sz w:val="20"/>
          </w:rPr>
          <w:t> </w:t>
        </w:r>
        <w:r>
          <w:rPr>
            <w:rFonts w:ascii="Arial MT"/>
            <w:sz w:val="20"/>
          </w:rPr>
          <w:t>a</w:t>
        </w:r>
        <w:r>
          <w:rPr>
            <w:rFonts w:ascii="Arial MT"/>
            <w:spacing w:val="-2"/>
            <w:sz w:val="20"/>
          </w:rPr>
          <w:t> </w:t>
        </w:r>
        <w:r>
          <w:rPr>
            <w:rFonts w:ascii="Arial MT"/>
            <w:sz w:val="20"/>
          </w:rPr>
          <w:t>nivel</w:t>
        </w:r>
        <w:r>
          <w:rPr>
            <w:rFonts w:ascii="Arial MT"/>
            <w:spacing w:val="-2"/>
            <w:sz w:val="20"/>
          </w:rPr>
          <w:t> </w:t>
        </w:r>
        <w:r>
          <w:rPr>
            <w:rFonts w:ascii="Arial MT"/>
            <w:sz w:val="20"/>
          </w:rPr>
          <w:t>departamental</w:t>
        </w:r>
        <w:r>
          <w:rPr>
            <w:rFonts w:ascii="Arial MT"/>
            <w:spacing w:val="1"/>
            <w:sz w:val="20"/>
          </w:rPr>
          <w:t> </w:t>
        </w:r>
        <w:r>
          <w:rPr>
            <w:rFonts w:ascii="Arial MT"/>
            <w:sz w:val="20"/>
          </w:rPr>
          <w:t>y</w:t>
        </w:r>
        <w:r>
          <w:rPr>
            <w:rFonts w:ascii="Arial MT"/>
            <w:spacing w:val="-5"/>
            <w:sz w:val="20"/>
          </w:rPr>
          <w:t> </w:t>
        </w:r>
        <w:r>
          <w:rPr>
            <w:rFonts w:ascii="Arial MT"/>
            <w:sz w:val="20"/>
          </w:rPr>
          <w:t>municipal</w:t>
          <w:tab/>
          <w:t>79</w:t>
        </w:r>
      </w:hyperlink>
    </w:p>
    <w:p>
      <w:pPr>
        <w:pStyle w:val="ListParagraph"/>
        <w:numPr>
          <w:ilvl w:val="0"/>
          <w:numId w:val="2"/>
        </w:numPr>
        <w:tabs>
          <w:tab w:pos="1857" w:val="left" w:leader="none"/>
          <w:tab w:pos="1859" w:val="left" w:leader="none"/>
          <w:tab w:pos="10590" w:val="left" w:leader="dot"/>
        </w:tabs>
        <w:spacing w:line="229" w:lineRule="exact" w:before="0" w:after="0"/>
        <w:ind w:left="1858" w:right="0" w:hanging="441"/>
        <w:jc w:val="left"/>
        <w:rPr>
          <w:rFonts w:ascii="Arial MT"/>
          <w:sz w:val="20"/>
        </w:rPr>
      </w:pPr>
      <w:hyperlink w:history="true" w:anchor="_bookmark102">
        <w:r>
          <w:rPr>
            <w:rFonts w:ascii="Arial MT"/>
            <w:sz w:val="20"/>
          </w:rPr>
          <w:t>Equidad</w:t>
        </w:r>
        <w:r>
          <w:rPr>
            <w:rFonts w:ascii="Arial MT"/>
            <w:spacing w:val="-3"/>
            <w:sz w:val="20"/>
          </w:rPr>
          <w:t> </w:t>
        </w:r>
        <w:r>
          <w:rPr>
            <w:rFonts w:ascii="Arial MT"/>
            <w:sz w:val="20"/>
          </w:rPr>
          <w:t>por</w:t>
        </w:r>
        <w:r>
          <w:rPr>
            <w:rFonts w:ascii="Arial MT"/>
            <w:spacing w:val="-2"/>
            <w:sz w:val="20"/>
          </w:rPr>
          <w:t> </w:t>
        </w:r>
        <w:r>
          <w:rPr>
            <w:rFonts w:ascii="Arial MT"/>
            <w:sz w:val="20"/>
          </w:rPr>
          <w:t>etnia a</w:t>
        </w:r>
        <w:r>
          <w:rPr>
            <w:rFonts w:ascii="Arial MT"/>
            <w:spacing w:val="-2"/>
            <w:sz w:val="20"/>
          </w:rPr>
          <w:t> </w:t>
        </w:r>
        <w:r>
          <w:rPr>
            <w:rFonts w:ascii="Arial MT"/>
            <w:sz w:val="20"/>
          </w:rPr>
          <w:t>nivel</w:t>
        </w:r>
        <w:r>
          <w:rPr>
            <w:rFonts w:ascii="Arial MT"/>
            <w:spacing w:val="-1"/>
            <w:sz w:val="20"/>
          </w:rPr>
          <w:t> </w:t>
        </w:r>
        <w:r>
          <w:rPr>
            <w:rFonts w:ascii="Arial MT"/>
            <w:sz w:val="20"/>
          </w:rPr>
          <w:t>departamental y</w:t>
        </w:r>
        <w:r>
          <w:rPr>
            <w:rFonts w:ascii="Arial MT"/>
            <w:spacing w:val="-5"/>
            <w:sz w:val="20"/>
          </w:rPr>
          <w:t> </w:t>
        </w:r>
        <w:r>
          <w:rPr>
            <w:rFonts w:ascii="Arial MT"/>
            <w:sz w:val="20"/>
          </w:rPr>
          <w:t>municipal</w:t>
          <w:tab/>
          <w:t>81</w:t>
        </w:r>
      </w:hyperlink>
    </w:p>
    <w:p>
      <w:pPr>
        <w:pStyle w:val="ListParagraph"/>
        <w:numPr>
          <w:ilvl w:val="2"/>
          <w:numId w:val="3"/>
        </w:numPr>
        <w:tabs>
          <w:tab w:pos="2738" w:val="left" w:leader="none"/>
          <w:tab w:pos="2739" w:val="left" w:leader="none"/>
          <w:tab w:pos="10590" w:val="lef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103">
        <w:r>
          <w:rPr>
            <w:sz w:val="22"/>
          </w:rPr>
          <w:t>Datos</w:t>
        </w:r>
        <w:r>
          <w:rPr>
            <w:spacing w:val="-2"/>
            <w:sz w:val="22"/>
          </w:rPr>
          <w:t> </w:t>
        </w:r>
        <w:r>
          <w:rPr>
            <w:sz w:val="22"/>
          </w:rPr>
          <w:t>a</w:t>
        </w:r>
        <w:r>
          <w:rPr>
            <w:spacing w:val="-1"/>
            <w:sz w:val="22"/>
          </w:rPr>
          <w:t> </w:t>
        </w:r>
        <w:r>
          <w:rPr>
            <w:sz w:val="22"/>
          </w:rPr>
          <w:t>nivel</w:t>
        </w:r>
        <w:r>
          <w:rPr>
            <w:spacing w:val="-1"/>
            <w:sz w:val="22"/>
          </w:rPr>
          <w:t> </w:t>
        </w:r>
        <w:r>
          <w:rPr>
            <w:sz w:val="22"/>
          </w:rPr>
          <w:t>departamental</w:t>
          <w:tab/>
          <w:t>81</w:t>
        </w:r>
      </w:hyperlink>
    </w:p>
    <w:p>
      <w:pPr>
        <w:pStyle w:val="ListParagraph"/>
        <w:numPr>
          <w:ilvl w:val="2"/>
          <w:numId w:val="3"/>
        </w:numPr>
        <w:tabs>
          <w:tab w:pos="2738" w:val="left" w:leader="none"/>
          <w:tab w:pos="2739" w:val="left" w:leader="none"/>
          <w:tab w:pos="10590" w:val="lef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104">
        <w:r>
          <w:rPr>
            <w:sz w:val="22"/>
          </w:rPr>
          <w:t>Datos</w:t>
        </w:r>
        <w:r>
          <w:rPr>
            <w:spacing w:val="-1"/>
            <w:sz w:val="22"/>
          </w:rPr>
          <w:t> </w:t>
        </w:r>
        <w:r>
          <w:rPr>
            <w:sz w:val="22"/>
          </w:rPr>
          <w:t>a nivel</w:t>
        </w:r>
        <w:r>
          <w:rPr>
            <w:spacing w:val="-3"/>
            <w:sz w:val="22"/>
          </w:rPr>
          <w:t> </w:t>
        </w:r>
        <w:r>
          <w:rPr>
            <w:sz w:val="22"/>
          </w:rPr>
          <w:t>municipal</w:t>
        </w:r>
        <w:r>
          <w:rPr>
            <w:spacing w:val="-3"/>
            <w:sz w:val="22"/>
          </w:rPr>
          <w:t> </w:t>
        </w:r>
        <w:r>
          <w:rPr>
            <w:sz w:val="22"/>
          </w:rPr>
          <w:t>y</w:t>
        </w:r>
        <w:r>
          <w:rPr>
            <w:spacing w:val="-1"/>
            <w:sz w:val="22"/>
          </w:rPr>
          <w:t> </w:t>
        </w:r>
        <w:r>
          <w:rPr>
            <w:sz w:val="22"/>
          </w:rPr>
          <w:t>brecha</w:t>
          <w:tab/>
          <w:t>82</w:t>
        </w:r>
      </w:hyperlink>
    </w:p>
    <w:p>
      <w:pPr>
        <w:pStyle w:val="Heading1"/>
        <w:spacing w:line="240" w:lineRule="auto" w:before="997"/>
        <w:ind w:right="629"/>
      </w:pPr>
      <w:r>
        <w:rPr/>
        <w:pict>
          <v:rect style="position:absolute;margin-left:563.880005pt;margin-top:47.477936pt;width:25.44pt;height:1.4399pt;mso-position-horizontal-relative:page;mso-position-vertical-relative:paragraph;z-index:15732224" filled="true" fillcolor="#a4a4a4" stroked="false">
            <v:fill type="solid"/>
            <w10:wrap type="none"/>
          </v:rect>
        </w:pict>
      </w:r>
      <w:r>
        <w:rPr>
          <w:w w:val="100"/>
        </w:rPr>
        <w:t>3</w:t>
      </w:r>
    </w:p>
    <w:p>
      <w:pPr>
        <w:pStyle w:val="BodyText"/>
        <w:spacing w:line="88" w:lineRule="exact"/>
        <w:ind w:left="1127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16800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"/>
        </w:numPr>
        <w:tabs>
          <w:tab w:pos="1857" w:val="left" w:leader="none"/>
          <w:tab w:pos="1859" w:val="left" w:leader="none"/>
          <w:tab w:pos="10590" w:val="left" w:leader="dot"/>
        </w:tabs>
        <w:spacing w:line="240" w:lineRule="auto" w:before="255" w:after="0"/>
        <w:ind w:left="1858" w:right="0" w:hanging="441"/>
        <w:jc w:val="left"/>
        <w:rPr>
          <w:rFonts w:ascii="Arial MT" w:hAnsi="Arial MT"/>
          <w:sz w:val="20"/>
        </w:rPr>
      </w:pPr>
      <w:hyperlink w:history="true" w:anchor="_bookmark105">
        <w:r>
          <w:rPr>
            <w:rFonts w:ascii="Arial MT" w:hAnsi="Arial MT"/>
            <w:sz w:val="20"/>
          </w:rPr>
          <w:t>Cobertura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por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área urbana y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rural</w:t>
          <w:tab/>
          <w:t>82</w:t>
        </w:r>
      </w:hyperlink>
    </w:p>
    <w:p>
      <w:pPr>
        <w:pStyle w:val="ListParagraph"/>
        <w:numPr>
          <w:ilvl w:val="1"/>
          <w:numId w:val="2"/>
        </w:numPr>
        <w:tabs>
          <w:tab w:pos="2299" w:val="left" w:leader="none"/>
          <w:tab w:pos="2300" w:val="left" w:leader="none"/>
          <w:tab w:pos="10590" w:val="left" w:leader="dot"/>
        </w:tabs>
        <w:spacing w:line="240" w:lineRule="auto" w:before="0" w:after="0"/>
        <w:ind w:left="2299" w:right="0" w:hanging="682"/>
        <w:jc w:val="left"/>
        <w:rPr>
          <w:rFonts w:ascii="Arial MT"/>
          <w:sz w:val="20"/>
        </w:rPr>
      </w:pPr>
      <w:hyperlink w:history="true" w:anchor="_bookmark106">
        <w:r>
          <w:rPr>
            <w:rFonts w:ascii="Arial MT"/>
            <w:sz w:val="20"/>
          </w:rPr>
          <w:t>Departamental</w:t>
          <w:tab/>
          <w:t>82</w:t>
        </w:r>
      </w:hyperlink>
    </w:p>
    <w:p>
      <w:pPr>
        <w:pStyle w:val="ListParagraph"/>
        <w:numPr>
          <w:ilvl w:val="1"/>
          <w:numId w:val="2"/>
        </w:numPr>
        <w:tabs>
          <w:tab w:pos="2299" w:val="left" w:leader="none"/>
          <w:tab w:pos="2300" w:val="left" w:leader="none"/>
          <w:tab w:pos="10590" w:val="left" w:leader="dot"/>
        </w:tabs>
        <w:spacing w:line="229" w:lineRule="exact" w:before="0" w:after="0"/>
        <w:ind w:left="2299" w:right="0" w:hanging="682"/>
        <w:jc w:val="left"/>
        <w:rPr>
          <w:rFonts w:ascii="Arial MT"/>
          <w:sz w:val="20"/>
        </w:rPr>
      </w:pPr>
      <w:hyperlink w:history="true" w:anchor="_bookmark107">
        <w:r>
          <w:rPr>
            <w:rFonts w:ascii="Arial MT"/>
            <w:sz w:val="20"/>
          </w:rPr>
          <w:t>Municipal</w:t>
          <w:tab/>
          <w:t>83</w:t>
        </w:r>
      </w:hyperlink>
    </w:p>
    <w:p>
      <w:pPr>
        <w:pStyle w:val="ListParagraph"/>
        <w:numPr>
          <w:ilvl w:val="0"/>
          <w:numId w:val="2"/>
        </w:numPr>
        <w:tabs>
          <w:tab w:pos="1857" w:val="left" w:leader="none"/>
          <w:tab w:pos="1859" w:val="left" w:leader="none"/>
          <w:tab w:pos="10590" w:val="left" w:leader="dot"/>
        </w:tabs>
        <w:spacing w:line="229" w:lineRule="exact" w:before="0" w:after="0"/>
        <w:ind w:left="1858" w:right="0" w:hanging="441"/>
        <w:jc w:val="left"/>
        <w:rPr>
          <w:rFonts w:ascii="Arial MT" w:hAnsi="Arial MT"/>
          <w:sz w:val="20"/>
        </w:rPr>
      </w:pPr>
      <w:hyperlink w:history="true" w:anchor="_bookmark108">
        <w:r>
          <w:rPr>
            <w:rFonts w:ascii="Arial MT" w:hAnsi="Arial MT"/>
            <w:sz w:val="20"/>
          </w:rPr>
          <w:t>Datos</w:t>
        </w:r>
        <w:r>
          <w:rPr>
            <w:rFonts w:ascii="Arial MT" w:hAnsi="Arial MT"/>
            <w:spacing w:val="3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-5"/>
            <w:sz w:val="20"/>
          </w:rPr>
          <w:t> </w:t>
        </w:r>
        <w:r>
          <w:rPr>
            <w:rFonts w:ascii="Arial MT" w:hAnsi="Arial MT"/>
            <w:sz w:val="20"/>
          </w:rPr>
          <w:t>situación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para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la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cobertura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por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edad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-5"/>
            <w:sz w:val="20"/>
          </w:rPr>
          <w:t> </w:t>
        </w:r>
        <w:r>
          <w:rPr>
            <w:rFonts w:ascii="Arial MT" w:hAnsi="Arial MT"/>
            <w:sz w:val="20"/>
          </w:rPr>
          <w:t>sector</w:t>
          <w:tab/>
          <w:t>84</w:t>
        </w:r>
      </w:hyperlink>
    </w:p>
    <w:p>
      <w:pPr>
        <w:pStyle w:val="ListParagraph"/>
        <w:numPr>
          <w:ilvl w:val="0"/>
          <w:numId w:val="2"/>
        </w:numPr>
        <w:tabs>
          <w:tab w:pos="1857" w:val="left" w:leader="none"/>
          <w:tab w:pos="1859" w:val="left" w:leader="none"/>
          <w:tab w:pos="10590" w:val="left" w:leader="dot"/>
        </w:tabs>
        <w:spacing w:line="240" w:lineRule="auto" w:before="1" w:after="0"/>
        <w:ind w:left="1858" w:right="0" w:hanging="441"/>
        <w:jc w:val="left"/>
        <w:rPr>
          <w:rFonts w:ascii="Arial MT" w:hAnsi="Arial MT"/>
          <w:sz w:val="20"/>
        </w:rPr>
      </w:pPr>
      <w:hyperlink w:history="true" w:anchor="_bookmark109">
        <w:r>
          <w:rPr>
            <w:rFonts w:ascii="Arial MT" w:hAnsi="Arial MT"/>
            <w:sz w:val="20"/>
          </w:rPr>
          <w:t>Problemáticas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detectadas por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Covid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19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-4"/>
            <w:sz w:val="20"/>
          </w:rPr>
          <w:t> </w:t>
        </w:r>
        <w:r>
          <w:rPr>
            <w:rFonts w:ascii="Arial MT" w:hAnsi="Arial MT"/>
            <w:sz w:val="20"/>
          </w:rPr>
          <w:t>eventos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naturales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-6"/>
            <w:sz w:val="20"/>
          </w:rPr>
          <w:t> </w:t>
        </w:r>
        <w:r>
          <w:rPr>
            <w:rFonts w:ascii="Arial MT" w:hAnsi="Arial MT"/>
            <w:sz w:val="20"/>
          </w:rPr>
          <w:t>antropogénicos</w:t>
          <w:tab/>
          <w:t>84</w:t>
        </w:r>
      </w:hyperlink>
    </w:p>
    <w:p>
      <w:pPr>
        <w:pStyle w:val="ListParagraph"/>
        <w:numPr>
          <w:ilvl w:val="0"/>
          <w:numId w:val="2"/>
        </w:numPr>
        <w:tabs>
          <w:tab w:pos="1857" w:val="left" w:leader="none"/>
          <w:tab w:pos="1859" w:val="left" w:leader="none"/>
          <w:tab w:pos="10590" w:val="left" w:leader="dot"/>
        </w:tabs>
        <w:spacing w:line="240" w:lineRule="auto" w:before="0" w:after="0"/>
        <w:ind w:left="1858" w:right="0" w:hanging="441"/>
        <w:jc w:val="left"/>
        <w:rPr>
          <w:rFonts w:ascii="Arial MT" w:hAnsi="Arial MT"/>
          <w:sz w:val="20"/>
        </w:rPr>
      </w:pPr>
      <w:hyperlink w:history="true" w:anchor="_bookmark110">
        <w:r>
          <w:rPr>
            <w:rFonts w:ascii="Arial MT" w:hAnsi="Arial MT"/>
            <w:sz w:val="20"/>
          </w:rPr>
          <w:t>Estrategia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atención</w:t>
          <w:tab/>
          <w:t>86</w:t>
        </w:r>
      </w:hyperlink>
    </w:p>
    <w:p>
      <w:pPr>
        <w:pStyle w:val="ListParagraph"/>
        <w:numPr>
          <w:ilvl w:val="1"/>
          <w:numId w:val="2"/>
        </w:numPr>
        <w:tabs>
          <w:tab w:pos="2299" w:val="left" w:leader="none"/>
          <w:tab w:pos="2300" w:val="left" w:leader="none"/>
          <w:tab w:pos="10590" w:val="left" w:leader="dot"/>
        </w:tabs>
        <w:spacing w:line="240" w:lineRule="auto" w:before="1" w:after="0"/>
        <w:ind w:left="2299" w:right="0" w:hanging="682"/>
        <w:jc w:val="left"/>
        <w:rPr>
          <w:rFonts w:ascii="Arial MT"/>
          <w:sz w:val="20"/>
        </w:rPr>
      </w:pPr>
      <w:hyperlink w:history="true" w:anchor="_bookmark111">
        <w:r>
          <w:rPr>
            <w:rFonts w:ascii="Arial MT"/>
            <w:sz w:val="20"/>
          </w:rPr>
          <w:t>Antecedentes</w:t>
          <w:tab/>
          <w:t>86</w:t>
        </w:r>
      </w:hyperlink>
    </w:p>
    <w:p>
      <w:pPr>
        <w:pStyle w:val="ListParagraph"/>
        <w:numPr>
          <w:ilvl w:val="1"/>
          <w:numId w:val="2"/>
        </w:numPr>
        <w:tabs>
          <w:tab w:pos="2299" w:val="left" w:leader="none"/>
          <w:tab w:pos="2300" w:val="left" w:leader="none"/>
          <w:tab w:pos="10590" w:val="left" w:leader="dot"/>
        </w:tabs>
        <w:spacing w:line="240" w:lineRule="auto" w:before="0" w:after="0"/>
        <w:ind w:left="2299" w:right="0" w:hanging="682"/>
        <w:jc w:val="left"/>
        <w:rPr>
          <w:rFonts w:ascii="Arial MT" w:hAnsi="Arial MT"/>
          <w:sz w:val="20"/>
        </w:rPr>
      </w:pPr>
      <w:hyperlink w:history="true" w:anchor="_bookmark112">
        <w:r>
          <w:rPr>
            <w:rFonts w:ascii="Arial MT" w:hAnsi="Arial MT"/>
            <w:sz w:val="20"/>
          </w:rPr>
          <w:t>Descripción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la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propuesta y</w:t>
        </w:r>
        <w:r>
          <w:rPr>
            <w:rFonts w:ascii="Arial MT" w:hAnsi="Arial MT"/>
            <w:spacing w:val="-6"/>
            <w:sz w:val="20"/>
          </w:rPr>
          <w:t> </w:t>
        </w:r>
        <w:r>
          <w:rPr>
            <w:rFonts w:ascii="Arial MT" w:hAnsi="Arial MT"/>
            <w:sz w:val="20"/>
          </w:rPr>
          <w:t>sus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ejes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principales</w:t>
          <w:tab/>
          <w:t>89</w:t>
        </w:r>
      </w:hyperlink>
    </w:p>
    <w:p>
      <w:pPr>
        <w:pStyle w:val="ListParagraph"/>
        <w:numPr>
          <w:ilvl w:val="2"/>
          <w:numId w:val="2"/>
        </w:numPr>
        <w:tabs>
          <w:tab w:pos="2738" w:val="left" w:leader="none"/>
          <w:tab w:pos="2739" w:val="left" w:leader="none"/>
          <w:tab w:pos="10590" w:val="left" w:leader="dot"/>
        </w:tabs>
        <w:spacing w:line="267" w:lineRule="exact" w:before="0" w:after="0"/>
        <w:ind w:left="2738" w:right="0" w:hanging="881"/>
        <w:jc w:val="left"/>
        <w:rPr>
          <w:sz w:val="22"/>
        </w:rPr>
      </w:pPr>
      <w:hyperlink w:history="true" w:anchor="_bookmark113">
        <w:r>
          <w:rPr>
            <w:sz w:val="22"/>
          </w:rPr>
          <w:t>Eje</w:t>
        </w:r>
        <w:r>
          <w:rPr>
            <w:spacing w:val="-3"/>
            <w:sz w:val="22"/>
          </w:rPr>
          <w:t> </w:t>
        </w:r>
        <w:r>
          <w:rPr>
            <w:sz w:val="22"/>
          </w:rPr>
          <w:t>1:</w:t>
        </w:r>
        <w:r>
          <w:rPr>
            <w:spacing w:val="-1"/>
            <w:sz w:val="22"/>
          </w:rPr>
          <w:t> </w:t>
        </w:r>
        <w:r>
          <w:rPr>
            <w:sz w:val="22"/>
          </w:rPr>
          <w:t>Formación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Integral</w:t>
          <w:tab/>
          <w:t>90</w:t>
        </w:r>
      </w:hyperlink>
    </w:p>
    <w:p>
      <w:pPr>
        <w:pStyle w:val="ListParagraph"/>
        <w:numPr>
          <w:ilvl w:val="2"/>
          <w:numId w:val="2"/>
        </w:numPr>
        <w:tabs>
          <w:tab w:pos="2738" w:val="left" w:leader="none"/>
          <w:tab w:pos="2739" w:val="left" w:leader="none"/>
          <w:tab w:pos="10590" w:val="left" w:leader="dot"/>
        </w:tabs>
        <w:spacing w:line="267" w:lineRule="exact" w:before="0" w:after="0"/>
        <w:ind w:left="2738" w:right="0" w:hanging="881"/>
        <w:jc w:val="left"/>
        <w:rPr>
          <w:sz w:val="22"/>
        </w:rPr>
      </w:pPr>
      <w:hyperlink w:history="true" w:anchor="_bookmark114">
        <w:r>
          <w:rPr>
            <w:sz w:val="22"/>
          </w:rPr>
          <w:t>Eje</w:t>
        </w:r>
        <w:r>
          <w:rPr>
            <w:spacing w:val="-3"/>
            <w:sz w:val="22"/>
          </w:rPr>
          <w:t> </w:t>
        </w:r>
        <w:r>
          <w:rPr>
            <w:sz w:val="22"/>
          </w:rPr>
          <w:t>2:</w:t>
        </w:r>
        <w:r>
          <w:rPr>
            <w:spacing w:val="-1"/>
            <w:sz w:val="22"/>
          </w:rPr>
          <w:t> </w:t>
        </w:r>
        <w:r>
          <w:rPr>
            <w:sz w:val="22"/>
          </w:rPr>
          <w:t>Colaboración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e</w:t>
        </w:r>
        <w:r>
          <w:rPr>
            <w:spacing w:val="-1"/>
            <w:sz w:val="22"/>
          </w:rPr>
          <w:t> </w:t>
        </w:r>
        <w:r>
          <w:rPr>
            <w:sz w:val="22"/>
          </w:rPr>
          <w:t>Integración de</w:t>
        </w:r>
        <w:r>
          <w:rPr>
            <w:spacing w:val="-4"/>
            <w:sz w:val="22"/>
          </w:rPr>
          <w:t> </w:t>
        </w:r>
        <w:r>
          <w:rPr>
            <w:sz w:val="22"/>
          </w:rPr>
          <w:t>la</w:t>
        </w:r>
        <w:r>
          <w:rPr>
            <w:spacing w:val="-1"/>
            <w:sz w:val="22"/>
          </w:rPr>
          <w:t> </w:t>
        </w:r>
        <w:r>
          <w:rPr>
            <w:sz w:val="22"/>
          </w:rPr>
          <w:t>Comunidad</w:t>
        </w:r>
        <w:r>
          <w:rPr>
            <w:spacing w:val="-2"/>
            <w:sz w:val="22"/>
          </w:rPr>
          <w:t> </w:t>
        </w:r>
        <w:r>
          <w:rPr>
            <w:sz w:val="22"/>
          </w:rPr>
          <w:t>Educativa.</w:t>
          <w:tab/>
          <w:t>92</w:t>
        </w:r>
      </w:hyperlink>
    </w:p>
    <w:p>
      <w:pPr>
        <w:pStyle w:val="ListParagraph"/>
        <w:numPr>
          <w:ilvl w:val="2"/>
          <w:numId w:val="2"/>
        </w:numPr>
        <w:tabs>
          <w:tab w:pos="2738" w:val="left" w:leader="none"/>
          <w:tab w:pos="2739" w:val="left" w:leader="none"/>
          <w:tab w:pos="10590" w:val="lef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115">
        <w:r>
          <w:rPr>
            <w:sz w:val="22"/>
          </w:rPr>
          <w:t>Eje</w:t>
        </w:r>
        <w:r>
          <w:rPr>
            <w:spacing w:val="-3"/>
            <w:sz w:val="22"/>
          </w:rPr>
          <w:t> </w:t>
        </w:r>
        <w:r>
          <w:rPr>
            <w:sz w:val="22"/>
          </w:rPr>
          <w:t>3:</w:t>
        </w:r>
        <w:r>
          <w:rPr>
            <w:spacing w:val="-2"/>
            <w:sz w:val="22"/>
          </w:rPr>
          <w:t> </w:t>
        </w:r>
        <w:r>
          <w:rPr>
            <w:sz w:val="22"/>
          </w:rPr>
          <w:t>Priorización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de</w:t>
        </w:r>
        <w:r>
          <w:rPr>
            <w:spacing w:val="1"/>
            <w:sz w:val="22"/>
          </w:rPr>
          <w:t> </w:t>
        </w:r>
        <w:r>
          <w:rPr>
            <w:sz w:val="22"/>
          </w:rPr>
          <w:t>áreas</w:t>
        </w:r>
        <w:r>
          <w:rPr>
            <w:spacing w:val="-3"/>
            <w:sz w:val="22"/>
          </w:rPr>
          <w:t> </w:t>
        </w:r>
        <w:r>
          <w:rPr>
            <w:sz w:val="22"/>
          </w:rPr>
          <w:t>desatendidas.</w:t>
          <w:tab/>
          <w:t>93</w:t>
        </w:r>
      </w:hyperlink>
    </w:p>
    <w:p>
      <w:pPr>
        <w:pStyle w:val="ListParagraph"/>
        <w:numPr>
          <w:ilvl w:val="1"/>
          <w:numId w:val="2"/>
        </w:numPr>
        <w:tabs>
          <w:tab w:pos="2299" w:val="left" w:leader="none"/>
          <w:tab w:pos="2300" w:val="left" w:leader="none"/>
          <w:tab w:pos="10590" w:val="left" w:leader="dot"/>
        </w:tabs>
        <w:spacing w:line="240" w:lineRule="auto" w:before="2" w:after="0"/>
        <w:ind w:left="2299" w:right="0" w:hanging="682"/>
        <w:jc w:val="left"/>
        <w:rPr>
          <w:rFonts w:ascii="Arial MT" w:hAnsi="Arial MT"/>
          <w:sz w:val="20"/>
        </w:rPr>
      </w:pPr>
      <w:hyperlink w:history="true" w:anchor="_bookmark116">
        <w:r>
          <w:rPr>
            <w:rFonts w:ascii="Arial MT" w:hAnsi="Arial MT"/>
            <w:sz w:val="20"/>
          </w:rPr>
          <w:t>Relación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los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ejes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los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lineamientos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estratégico</w:t>
          <w:tab/>
          <w:t>93</w:t>
        </w:r>
      </w:hyperlink>
    </w:p>
    <w:p>
      <w:pPr>
        <w:pStyle w:val="ListParagraph"/>
        <w:numPr>
          <w:ilvl w:val="1"/>
          <w:numId w:val="2"/>
        </w:numPr>
        <w:tabs>
          <w:tab w:pos="2299" w:val="left" w:leader="none"/>
          <w:tab w:pos="2300" w:val="left" w:leader="none"/>
          <w:tab w:pos="10590" w:val="left" w:leader="dot"/>
        </w:tabs>
        <w:spacing w:line="240" w:lineRule="auto" w:before="0" w:after="0"/>
        <w:ind w:left="2299" w:right="0" w:hanging="682"/>
        <w:jc w:val="left"/>
        <w:rPr>
          <w:rFonts w:ascii="Arial MT"/>
          <w:sz w:val="20"/>
        </w:rPr>
      </w:pPr>
      <w:hyperlink w:history="true" w:anchor="_bookmark117">
        <w:r>
          <w:rPr>
            <w:rFonts w:ascii="Arial MT"/>
            <w:sz w:val="20"/>
          </w:rPr>
          <w:t>Estrategia</w:t>
        </w:r>
        <w:r>
          <w:rPr>
            <w:rFonts w:ascii="Arial MT"/>
            <w:spacing w:val="-1"/>
            <w:sz w:val="20"/>
          </w:rPr>
          <w:t> </w:t>
        </w:r>
        <w:r>
          <w:rPr>
            <w:rFonts w:ascii="Arial MT"/>
            <w:sz w:val="20"/>
          </w:rPr>
          <w:t>de</w:t>
        </w:r>
        <w:r>
          <w:rPr>
            <w:rFonts w:ascii="Arial MT"/>
            <w:spacing w:val="-3"/>
            <w:sz w:val="20"/>
          </w:rPr>
          <w:t> </w:t>
        </w:r>
        <w:r>
          <w:rPr>
            <w:rFonts w:ascii="Arial MT"/>
            <w:sz w:val="20"/>
          </w:rPr>
          <w:t>cobertura</w:t>
        </w:r>
        <w:r>
          <w:rPr>
            <w:rFonts w:ascii="Arial MT"/>
            <w:spacing w:val="-1"/>
            <w:sz w:val="20"/>
          </w:rPr>
          <w:t> </w:t>
        </w:r>
        <w:r>
          <w:rPr>
            <w:rFonts w:ascii="Arial MT"/>
            <w:sz w:val="20"/>
          </w:rPr>
          <w:t>educativa</w:t>
        </w:r>
        <w:r>
          <w:rPr>
            <w:rFonts w:ascii="Arial MT"/>
            <w:spacing w:val="-1"/>
            <w:sz w:val="20"/>
          </w:rPr>
          <w:t> </w:t>
        </w:r>
        <w:r>
          <w:rPr>
            <w:rFonts w:ascii="Arial MT"/>
            <w:sz w:val="20"/>
          </w:rPr>
          <w:t>para</w:t>
        </w:r>
        <w:r>
          <w:rPr>
            <w:rFonts w:ascii="Arial MT"/>
            <w:spacing w:val="-1"/>
            <w:sz w:val="20"/>
          </w:rPr>
          <w:t> </w:t>
        </w:r>
        <w:r>
          <w:rPr>
            <w:rFonts w:ascii="Arial MT"/>
            <w:sz w:val="20"/>
          </w:rPr>
          <w:t>el</w:t>
        </w:r>
        <w:r>
          <w:rPr>
            <w:rFonts w:ascii="Arial MT"/>
            <w:spacing w:val="-4"/>
            <w:sz w:val="20"/>
          </w:rPr>
          <w:t> </w:t>
        </w:r>
        <w:r>
          <w:rPr>
            <w:rFonts w:ascii="Arial MT"/>
            <w:sz w:val="20"/>
          </w:rPr>
          <w:t>Nivel</w:t>
        </w:r>
        <w:r>
          <w:rPr>
            <w:rFonts w:ascii="Arial MT"/>
            <w:spacing w:val="-2"/>
            <w:sz w:val="20"/>
          </w:rPr>
          <w:t> </w:t>
        </w:r>
        <w:r>
          <w:rPr>
            <w:rFonts w:ascii="Arial MT"/>
            <w:sz w:val="20"/>
          </w:rPr>
          <w:t>Preprimaria</w:t>
          <w:tab/>
          <w:t>94</w:t>
        </w:r>
      </w:hyperlink>
    </w:p>
    <w:p>
      <w:pPr>
        <w:pStyle w:val="ListParagraph"/>
        <w:numPr>
          <w:ilvl w:val="2"/>
          <w:numId w:val="2"/>
        </w:numPr>
        <w:tabs>
          <w:tab w:pos="2738" w:val="left" w:leader="none"/>
          <w:tab w:pos="2739" w:val="left" w:leader="none"/>
          <w:tab w:pos="10590" w:val="left" w:leader="dot"/>
        </w:tabs>
        <w:spacing w:line="240" w:lineRule="auto" w:before="0" w:after="0"/>
        <w:ind w:left="1858" w:right="1413" w:firstLine="0"/>
        <w:jc w:val="left"/>
        <w:rPr>
          <w:sz w:val="22"/>
        </w:rPr>
      </w:pPr>
      <w:hyperlink w:history="true" w:anchor="_bookmark118">
        <w:r>
          <w:rPr>
            <w:sz w:val="22"/>
          </w:rPr>
          <w:t>Eje</w:t>
        </w:r>
        <w:r>
          <w:rPr>
            <w:spacing w:val="1"/>
            <w:sz w:val="22"/>
          </w:rPr>
          <w:t> </w:t>
        </w:r>
        <w:r>
          <w:rPr>
            <w:sz w:val="22"/>
          </w:rPr>
          <w:t>1</w:t>
        </w:r>
        <w:r>
          <w:rPr>
            <w:spacing w:val="2"/>
            <w:sz w:val="22"/>
          </w:rPr>
          <w:t> </w:t>
        </w:r>
        <w:r>
          <w:rPr>
            <w:sz w:val="22"/>
          </w:rPr>
          <w:t>de</w:t>
        </w:r>
        <w:r>
          <w:rPr>
            <w:spacing w:val="2"/>
            <w:sz w:val="22"/>
          </w:rPr>
          <w:t> </w:t>
        </w:r>
        <w:r>
          <w:rPr>
            <w:sz w:val="22"/>
          </w:rPr>
          <w:t>Formación Integral:</w:t>
        </w:r>
        <w:r>
          <w:rPr>
            <w:spacing w:val="5"/>
            <w:sz w:val="22"/>
          </w:rPr>
          <w:t> </w:t>
        </w:r>
        <w:r>
          <w:rPr>
            <w:sz w:val="22"/>
          </w:rPr>
          <w:t>Incorporación</w:t>
        </w:r>
        <w:r>
          <w:rPr>
            <w:spacing w:val="1"/>
            <w:sz w:val="22"/>
          </w:rPr>
          <w:t> </w:t>
        </w:r>
        <w:r>
          <w:rPr>
            <w:sz w:val="22"/>
          </w:rPr>
          <w:t>de</w:t>
        </w:r>
        <w:r>
          <w:rPr>
            <w:spacing w:val="2"/>
            <w:sz w:val="22"/>
          </w:rPr>
          <w:t> </w:t>
        </w:r>
        <w:r>
          <w:rPr>
            <w:sz w:val="22"/>
          </w:rPr>
          <w:t>las prácticas</w:t>
        </w:r>
        <w:r>
          <w:rPr>
            <w:spacing w:val="2"/>
            <w:sz w:val="22"/>
          </w:rPr>
          <w:t> </w:t>
        </w:r>
        <w:r>
          <w:rPr>
            <w:sz w:val="22"/>
          </w:rPr>
          <w:t>culturales,</w:t>
        </w:r>
        <w:r>
          <w:rPr>
            <w:spacing w:val="1"/>
            <w:sz w:val="22"/>
          </w:rPr>
          <w:t> </w:t>
        </w:r>
        <w:r>
          <w:rPr>
            <w:sz w:val="22"/>
          </w:rPr>
          <w:t>sociales</w:t>
        </w:r>
        <w:r>
          <w:rPr>
            <w:spacing w:val="-1"/>
            <w:sz w:val="22"/>
          </w:rPr>
          <w:t> </w:t>
        </w:r>
        <w:r>
          <w:rPr>
            <w:sz w:val="22"/>
          </w:rPr>
          <w:t>y</w:t>
        </w:r>
        <w:r>
          <w:rPr>
            <w:spacing w:val="-2"/>
            <w:sz w:val="22"/>
          </w:rPr>
          <w:t> </w:t>
        </w:r>
        <w:r>
          <w:rPr>
            <w:sz w:val="22"/>
          </w:rPr>
          <w:t>de</w:t>
        </w:r>
        <w:r>
          <w:rPr>
            <w:spacing w:val="1"/>
            <w:sz w:val="22"/>
          </w:rPr>
          <w:t> </w:t>
        </w:r>
        <w:r>
          <w:rPr>
            <w:sz w:val="22"/>
          </w:rPr>
          <w:t>género</w:t>
        </w:r>
      </w:hyperlink>
      <w:r>
        <w:rPr>
          <w:spacing w:val="-47"/>
          <w:sz w:val="22"/>
        </w:rPr>
        <w:t> </w:t>
      </w:r>
      <w:hyperlink w:history="true" w:anchor="_bookmark118">
        <w:r>
          <w:rPr>
            <w:sz w:val="22"/>
          </w:rPr>
          <w:t>en</w:t>
        </w:r>
        <w:r>
          <w:rPr>
            <w:spacing w:val="-1"/>
            <w:sz w:val="22"/>
          </w:rPr>
          <w:t> </w:t>
        </w:r>
        <w:r>
          <w:rPr>
            <w:sz w:val="22"/>
          </w:rPr>
          <w:t>el Nivel</w:t>
        </w:r>
        <w:r>
          <w:rPr>
            <w:spacing w:val="-3"/>
            <w:sz w:val="22"/>
          </w:rPr>
          <w:t> </w:t>
        </w:r>
        <w:r>
          <w:rPr>
            <w:sz w:val="22"/>
          </w:rPr>
          <w:t>Preprimaria</w:t>
          <w:tab/>
          <w:t>94</w:t>
        </w:r>
      </w:hyperlink>
    </w:p>
    <w:p>
      <w:pPr>
        <w:pStyle w:val="ListParagraph"/>
        <w:numPr>
          <w:ilvl w:val="2"/>
          <w:numId w:val="2"/>
        </w:numPr>
        <w:tabs>
          <w:tab w:pos="2738" w:val="left" w:leader="none"/>
          <w:tab w:pos="2739" w:val="left" w:leader="none"/>
          <w:tab w:pos="10590" w:val="left" w:leader="dot"/>
        </w:tabs>
        <w:spacing w:line="240" w:lineRule="auto" w:before="1" w:after="0"/>
        <w:ind w:left="1858" w:right="1413" w:firstLine="0"/>
        <w:jc w:val="left"/>
        <w:rPr>
          <w:sz w:val="22"/>
        </w:rPr>
      </w:pPr>
      <w:hyperlink w:history="true" w:anchor="_bookmark119">
        <w:r>
          <w:rPr>
            <w:sz w:val="22"/>
          </w:rPr>
          <w:t>Eje 2 de Colaboración e Integración de la Comunidad Educativa: Vinculación de las familias</w:t>
        </w:r>
      </w:hyperlink>
      <w:r>
        <w:rPr>
          <w:spacing w:val="-47"/>
          <w:sz w:val="22"/>
        </w:rPr>
        <w:t> </w:t>
      </w:r>
      <w:hyperlink w:history="true" w:anchor="_bookmark119">
        <w:r>
          <w:rPr>
            <w:sz w:val="22"/>
          </w:rPr>
          <w:t>y</w:t>
        </w:r>
        <w:r>
          <w:rPr>
            <w:spacing w:val="-1"/>
            <w:sz w:val="22"/>
          </w:rPr>
          <w:t> </w:t>
        </w:r>
        <w:r>
          <w:rPr>
            <w:sz w:val="22"/>
          </w:rPr>
          <w:t>las comunidades.</w:t>
          <w:tab/>
          <w:t>95</w:t>
        </w:r>
      </w:hyperlink>
    </w:p>
    <w:p>
      <w:pPr>
        <w:pStyle w:val="ListParagraph"/>
        <w:numPr>
          <w:ilvl w:val="2"/>
          <w:numId w:val="2"/>
        </w:numPr>
        <w:tabs>
          <w:tab w:pos="2738" w:val="left" w:leader="none"/>
          <w:tab w:pos="2739" w:val="left" w:leader="none"/>
          <w:tab w:pos="10590" w:val="left" w:leader="dot"/>
        </w:tabs>
        <w:spacing w:line="237" w:lineRule="auto" w:before="2" w:after="0"/>
        <w:ind w:left="1858" w:right="1415" w:firstLine="0"/>
        <w:jc w:val="left"/>
        <w:rPr>
          <w:sz w:val="22"/>
        </w:rPr>
      </w:pPr>
      <w:hyperlink w:history="true" w:anchor="_bookmark120">
        <w:r>
          <w:rPr>
            <w:sz w:val="22"/>
          </w:rPr>
          <w:t>A</w:t>
        </w:r>
        <w:r>
          <w:rPr>
            <w:spacing w:val="10"/>
            <w:sz w:val="22"/>
          </w:rPr>
          <w:t> </w:t>
        </w:r>
        <w:r>
          <w:rPr>
            <w:sz w:val="22"/>
          </w:rPr>
          <w:t>Eje</w:t>
        </w:r>
        <w:r>
          <w:rPr>
            <w:spacing w:val="11"/>
            <w:sz w:val="22"/>
          </w:rPr>
          <w:t> </w:t>
        </w:r>
        <w:r>
          <w:rPr>
            <w:sz w:val="22"/>
          </w:rPr>
          <w:t>para</w:t>
        </w:r>
        <w:r>
          <w:rPr>
            <w:spacing w:val="10"/>
            <w:sz w:val="22"/>
          </w:rPr>
          <w:t> </w:t>
        </w:r>
        <w:r>
          <w:rPr>
            <w:sz w:val="22"/>
          </w:rPr>
          <w:t>la</w:t>
        </w:r>
        <w:r>
          <w:rPr>
            <w:spacing w:val="8"/>
            <w:sz w:val="22"/>
          </w:rPr>
          <w:t> </w:t>
        </w:r>
        <w:r>
          <w:rPr>
            <w:sz w:val="22"/>
          </w:rPr>
          <w:t>priorización</w:t>
        </w:r>
        <w:r>
          <w:rPr>
            <w:spacing w:val="9"/>
            <w:sz w:val="22"/>
          </w:rPr>
          <w:t> </w:t>
        </w:r>
        <w:r>
          <w:rPr>
            <w:sz w:val="22"/>
          </w:rPr>
          <w:t>de</w:t>
        </w:r>
        <w:r>
          <w:rPr>
            <w:spacing w:val="12"/>
            <w:sz w:val="22"/>
          </w:rPr>
          <w:t> </w:t>
        </w:r>
        <w:r>
          <w:rPr>
            <w:sz w:val="22"/>
          </w:rPr>
          <w:t>áreas</w:t>
        </w:r>
        <w:r>
          <w:rPr>
            <w:spacing w:val="9"/>
            <w:sz w:val="22"/>
          </w:rPr>
          <w:t> </w:t>
        </w:r>
        <w:r>
          <w:rPr>
            <w:sz w:val="22"/>
          </w:rPr>
          <w:t>territoriales:</w:t>
        </w:r>
        <w:r>
          <w:rPr>
            <w:spacing w:val="10"/>
            <w:sz w:val="22"/>
          </w:rPr>
          <w:t> </w:t>
        </w:r>
        <w:r>
          <w:rPr>
            <w:sz w:val="22"/>
          </w:rPr>
          <w:t>Priorizar</w:t>
        </w:r>
        <w:r>
          <w:rPr>
            <w:spacing w:val="10"/>
            <w:sz w:val="22"/>
          </w:rPr>
          <w:t> </w:t>
        </w:r>
        <w:r>
          <w:rPr>
            <w:sz w:val="22"/>
          </w:rPr>
          <w:t>territorialmente</w:t>
        </w:r>
        <w:r>
          <w:rPr>
            <w:spacing w:val="12"/>
            <w:sz w:val="22"/>
          </w:rPr>
          <w:t> </w:t>
        </w:r>
        <w:r>
          <w:rPr>
            <w:sz w:val="22"/>
          </w:rPr>
          <w:t>la</w:t>
        </w:r>
        <w:r>
          <w:rPr>
            <w:spacing w:val="11"/>
            <w:sz w:val="22"/>
          </w:rPr>
          <w:t> </w:t>
        </w:r>
        <w:r>
          <w:rPr>
            <w:sz w:val="22"/>
          </w:rPr>
          <w:t>cobertura</w:t>
        </w:r>
        <w:r>
          <w:rPr>
            <w:spacing w:val="11"/>
            <w:sz w:val="22"/>
          </w:rPr>
          <w:t> </w:t>
        </w:r>
        <w:r>
          <w:rPr>
            <w:sz w:val="22"/>
          </w:rPr>
          <w:t>del</w:t>
        </w:r>
      </w:hyperlink>
      <w:r>
        <w:rPr>
          <w:spacing w:val="-47"/>
          <w:sz w:val="22"/>
        </w:rPr>
        <w:t> </w:t>
      </w:r>
      <w:hyperlink w:history="true" w:anchor="_bookmark120">
        <w:r>
          <w:rPr>
            <w:sz w:val="22"/>
          </w:rPr>
          <w:t>Nivel</w:t>
        </w:r>
        <w:r>
          <w:rPr>
            <w:spacing w:val="-2"/>
            <w:sz w:val="22"/>
          </w:rPr>
          <w:t> </w:t>
        </w:r>
        <w:r>
          <w:rPr>
            <w:sz w:val="22"/>
          </w:rPr>
          <w:t>Preprimaria.</w:t>
          <w:tab/>
          <w:t>96</w:t>
        </w:r>
      </w:hyperlink>
    </w:p>
    <w:p>
      <w:pPr>
        <w:pStyle w:val="ListParagraph"/>
        <w:numPr>
          <w:ilvl w:val="1"/>
          <w:numId w:val="2"/>
        </w:numPr>
        <w:tabs>
          <w:tab w:pos="2299" w:val="left" w:leader="none"/>
          <w:tab w:pos="2300" w:val="left" w:leader="none"/>
          <w:tab w:pos="10590" w:val="left" w:leader="dot"/>
        </w:tabs>
        <w:spacing w:line="240" w:lineRule="auto" w:before="2" w:after="0"/>
        <w:ind w:left="1618" w:right="1426" w:firstLine="0"/>
        <w:jc w:val="left"/>
        <w:rPr>
          <w:rFonts w:ascii="Arial MT" w:hAnsi="Arial MT"/>
          <w:sz w:val="20"/>
        </w:rPr>
      </w:pPr>
      <w:hyperlink w:history="true" w:anchor="_bookmark121">
        <w:r>
          <w:rPr>
            <w:rFonts w:ascii="Arial MT" w:hAnsi="Arial MT"/>
            <w:sz w:val="20"/>
          </w:rPr>
          <w:t>Estrategia</w:t>
        </w:r>
        <w:r>
          <w:rPr>
            <w:rFonts w:ascii="Arial MT" w:hAnsi="Arial MT"/>
            <w:spacing w:val="29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30"/>
            <w:sz w:val="20"/>
          </w:rPr>
          <w:t> </w:t>
        </w:r>
        <w:r>
          <w:rPr>
            <w:rFonts w:ascii="Arial MT" w:hAnsi="Arial MT"/>
            <w:sz w:val="20"/>
          </w:rPr>
          <w:t>cobertura</w:t>
        </w:r>
        <w:r>
          <w:rPr>
            <w:rFonts w:ascii="Arial MT" w:hAnsi="Arial MT"/>
            <w:spacing w:val="29"/>
            <w:sz w:val="20"/>
          </w:rPr>
          <w:t> </w:t>
        </w:r>
        <w:r>
          <w:rPr>
            <w:rFonts w:ascii="Arial MT" w:hAnsi="Arial MT"/>
            <w:sz w:val="20"/>
          </w:rPr>
          <w:t>educativa</w:t>
        </w:r>
        <w:r>
          <w:rPr>
            <w:rFonts w:ascii="Arial MT" w:hAnsi="Arial MT"/>
            <w:spacing w:val="30"/>
            <w:sz w:val="20"/>
          </w:rPr>
          <w:t> </w:t>
        </w:r>
        <w:r>
          <w:rPr>
            <w:rFonts w:ascii="Arial MT" w:hAnsi="Arial MT"/>
            <w:sz w:val="20"/>
          </w:rPr>
          <w:t>para</w:t>
        </w:r>
        <w:r>
          <w:rPr>
            <w:rFonts w:ascii="Arial MT" w:hAnsi="Arial MT"/>
            <w:spacing w:val="29"/>
            <w:sz w:val="20"/>
          </w:rPr>
          <w:t> </w:t>
        </w:r>
        <w:r>
          <w:rPr>
            <w:rFonts w:ascii="Arial MT" w:hAnsi="Arial MT"/>
            <w:sz w:val="20"/>
          </w:rPr>
          <w:t>el</w:t>
        </w:r>
        <w:r>
          <w:rPr>
            <w:rFonts w:ascii="Arial MT" w:hAnsi="Arial MT"/>
            <w:spacing w:val="30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29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30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30"/>
            <w:sz w:val="20"/>
          </w:rPr>
          <w:t> </w:t>
        </w:r>
        <w:r>
          <w:rPr>
            <w:rFonts w:ascii="Arial MT" w:hAnsi="Arial MT"/>
            <w:sz w:val="20"/>
          </w:rPr>
          <w:t>Primaria:</w:t>
        </w:r>
        <w:r>
          <w:rPr>
            <w:rFonts w:ascii="Arial MT" w:hAnsi="Arial MT"/>
            <w:spacing w:val="28"/>
            <w:sz w:val="20"/>
          </w:rPr>
          <w:t> </w:t>
        </w:r>
        <w:r>
          <w:rPr>
            <w:rFonts w:ascii="Arial MT" w:hAnsi="Arial MT"/>
            <w:sz w:val="20"/>
          </w:rPr>
          <w:t>Incorporación</w:t>
        </w:r>
        <w:r>
          <w:rPr>
            <w:rFonts w:ascii="Arial MT" w:hAnsi="Arial MT"/>
            <w:spacing w:val="29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30"/>
            <w:sz w:val="20"/>
          </w:rPr>
          <w:t> </w:t>
        </w:r>
        <w:r>
          <w:rPr>
            <w:rFonts w:ascii="Arial MT" w:hAnsi="Arial MT"/>
            <w:sz w:val="20"/>
          </w:rPr>
          <w:t>las</w:t>
        </w:r>
      </w:hyperlink>
      <w:r>
        <w:rPr>
          <w:rFonts w:ascii="Arial MT" w:hAnsi="Arial MT"/>
          <w:spacing w:val="-53"/>
          <w:sz w:val="20"/>
        </w:rPr>
        <w:t> </w:t>
      </w:r>
      <w:hyperlink w:history="true" w:anchor="_bookmark121">
        <w:r>
          <w:rPr>
            <w:rFonts w:ascii="Arial MT" w:hAnsi="Arial MT"/>
            <w:sz w:val="20"/>
          </w:rPr>
          <w:t>prácticas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culturales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sociales y</w:t>
        </w:r>
        <w:r>
          <w:rPr>
            <w:rFonts w:ascii="Arial MT" w:hAnsi="Arial MT"/>
            <w:spacing w:val="-5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género en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el</w:t>
        </w:r>
        <w:r>
          <w:rPr>
            <w:rFonts w:ascii="Arial MT" w:hAnsi="Arial MT"/>
            <w:spacing w:val="-4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Primaria</w:t>
          <w:tab/>
        </w:r>
        <w:r>
          <w:rPr>
            <w:rFonts w:ascii="Arial MT" w:hAnsi="Arial MT"/>
            <w:spacing w:val="-3"/>
            <w:sz w:val="20"/>
          </w:rPr>
          <w:t>98</w:t>
        </w:r>
      </w:hyperlink>
    </w:p>
    <w:p>
      <w:pPr>
        <w:pStyle w:val="ListParagraph"/>
        <w:numPr>
          <w:ilvl w:val="2"/>
          <w:numId w:val="2"/>
        </w:numPr>
        <w:tabs>
          <w:tab w:pos="2738" w:val="left" w:leader="none"/>
          <w:tab w:pos="2739" w:val="left" w:leader="none"/>
          <w:tab w:pos="10590" w:val="lef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122">
        <w:r>
          <w:rPr>
            <w:sz w:val="22"/>
          </w:rPr>
          <w:t>Eje</w:t>
        </w:r>
        <w:r>
          <w:rPr>
            <w:spacing w:val="-3"/>
            <w:sz w:val="22"/>
          </w:rPr>
          <w:t> </w:t>
        </w:r>
        <w:r>
          <w:rPr>
            <w:sz w:val="22"/>
          </w:rPr>
          <w:t>1: Formación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integral</w:t>
          <w:tab/>
          <w:t>99</w:t>
        </w:r>
      </w:hyperlink>
    </w:p>
    <w:p>
      <w:pPr>
        <w:pStyle w:val="ListParagraph"/>
        <w:numPr>
          <w:ilvl w:val="2"/>
          <w:numId w:val="2"/>
        </w:numPr>
        <w:tabs>
          <w:tab w:pos="2738" w:val="left" w:leader="none"/>
          <w:tab w:pos="2739" w:val="left" w:leader="none"/>
          <w:tab w:pos="10590" w:val="left" w:leader="dot"/>
        </w:tabs>
        <w:spacing w:line="240" w:lineRule="auto" w:before="1" w:after="0"/>
        <w:ind w:left="1858" w:right="1413" w:firstLine="0"/>
        <w:jc w:val="left"/>
        <w:rPr>
          <w:sz w:val="22"/>
        </w:rPr>
      </w:pPr>
      <w:hyperlink w:history="true" w:anchor="_bookmark123">
        <w:r>
          <w:rPr>
            <w:sz w:val="22"/>
          </w:rPr>
          <w:t>Eje</w:t>
        </w:r>
        <w:r>
          <w:rPr>
            <w:spacing w:val="4"/>
            <w:sz w:val="22"/>
          </w:rPr>
          <w:t> </w:t>
        </w:r>
        <w:r>
          <w:rPr>
            <w:sz w:val="22"/>
          </w:rPr>
          <w:t>2:</w:t>
        </w:r>
        <w:r>
          <w:rPr>
            <w:spacing w:val="5"/>
            <w:sz w:val="22"/>
          </w:rPr>
          <w:t> </w:t>
        </w:r>
        <w:r>
          <w:rPr>
            <w:sz w:val="22"/>
          </w:rPr>
          <w:t>Colaboración</w:t>
        </w:r>
        <w:r>
          <w:rPr>
            <w:spacing w:val="3"/>
            <w:sz w:val="22"/>
          </w:rPr>
          <w:t> </w:t>
        </w:r>
        <w:r>
          <w:rPr>
            <w:sz w:val="22"/>
          </w:rPr>
          <w:t>e</w:t>
        </w:r>
        <w:r>
          <w:rPr>
            <w:spacing w:val="4"/>
            <w:sz w:val="22"/>
          </w:rPr>
          <w:t> </w:t>
        </w:r>
        <w:r>
          <w:rPr>
            <w:sz w:val="22"/>
          </w:rPr>
          <w:t>Integración</w:t>
        </w:r>
        <w:r>
          <w:rPr>
            <w:spacing w:val="4"/>
            <w:sz w:val="22"/>
          </w:rPr>
          <w:t> </w:t>
        </w:r>
        <w:r>
          <w:rPr>
            <w:sz w:val="22"/>
          </w:rPr>
          <w:t>de</w:t>
        </w:r>
        <w:r>
          <w:rPr>
            <w:spacing w:val="4"/>
            <w:sz w:val="22"/>
          </w:rPr>
          <w:t> </w:t>
        </w:r>
        <w:r>
          <w:rPr>
            <w:sz w:val="22"/>
          </w:rPr>
          <w:t>la</w:t>
        </w:r>
        <w:r>
          <w:rPr>
            <w:spacing w:val="4"/>
            <w:sz w:val="22"/>
          </w:rPr>
          <w:t> </w:t>
        </w:r>
        <w:r>
          <w:rPr>
            <w:sz w:val="22"/>
          </w:rPr>
          <w:t>Comunidad</w:t>
        </w:r>
        <w:r>
          <w:rPr>
            <w:spacing w:val="3"/>
            <w:sz w:val="22"/>
          </w:rPr>
          <w:t> </w:t>
        </w:r>
        <w:r>
          <w:rPr>
            <w:sz w:val="22"/>
          </w:rPr>
          <w:t>Educativa:</w:t>
        </w:r>
        <w:r>
          <w:rPr>
            <w:spacing w:val="5"/>
            <w:sz w:val="22"/>
          </w:rPr>
          <w:t> </w:t>
        </w:r>
        <w:r>
          <w:rPr>
            <w:sz w:val="22"/>
          </w:rPr>
          <w:t>Vinculación</w:t>
        </w:r>
        <w:r>
          <w:rPr>
            <w:spacing w:val="3"/>
            <w:sz w:val="22"/>
          </w:rPr>
          <w:t> </w:t>
        </w:r>
        <w:r>
          <w:rPr>
            <w:sz w:val="22"/>
          </w:rPr>
          <w:t>de</w:t>
        </w:r>
        <w:r>
          <w:rPr>
            <w:spacing w:val="5"/>
            <w:sz w:val="22"/>
          </w:rPr>
          <w:t> </w:t>
        </w:r>
        <w:r>
          <w:rPr>
            <w:sz w:val="22"/>
          </w:rPr>
          <w:t>las</w:t>
        </w:r>
        <w:r>
          <w:rPr>
            <w:spacing w:val="1"/>
            <w:sz w:val="22"/>
          </w:rPr>
          <w:t> </w:t>
        </w:r>
        <w:r>
          <w:rPr>
            <w:sz w:val="22"/>
          </w:rPr>
          <w:t>familias</w:t>
        </w:r>
        <w:r>
          <w:rPr>
            <w:spacing w:val="4"/>
            <w:sz w:val="22"/>
          </w:rPr>
          <w:t> </w:t>
        </w:r>
        <w:r>
          <w:rPr>
            <w:sz w:val="22"/>
          </w:rPr>
          <w:t>y</w:t>
        </w:r>
      </w:hyperlink>
      <w:r>
        <w:rPr>
          <w:spacing w:val="-47"/>
          <w:sz w:val="22"/>
        </w:rPr>
        <w:t> </w:t>
      </w:r>
      <w:hyperlink w:history="true" w:anchor="_bookmark123">
        <w:r>
          <w:rPr>
            <w:sz w:val="22"/>
          </w:rPr>
          <w:t>las comunidades.</w:t>
          <w:tab/>
          <w:t>99</w:t>
        </w:r>
      </w:hyperlink>
    </w:p>
    <w:p>
      <w:pPr>
        <w:pStyle w:val="ListParagraph"/>
        <w:numPr>
          <w:ilvl w:val="2"/>
          <w:numId w:val="2"/>
        </w:numPr>
        <w:tabs>
          <w:tab w:pos="2738" w:val="left" w:leader="none"/>
          <w:tab w:pos="2739" w:val="left" w:leader="none"/>
          <w:tab w:pos="10480" w:val="left" w:leader="dot"/>
        </w:tabs>
        <w:spacing w:line="240" w:lineRule="auto" w:before="1" w:after="0"/>
        <w:ind w:left="1858" w:right="1413" w:firstLine="0"/>
        <w:jc w:val="left"/>
        <w:rPr>
          <w:sz w:val="22"/>
        </w:rPr>
      </w:pPr>
      <w:hyperlink w:history="true" w:anchor="_bookmark124">
        <w:r>
          <w:rPr>
            <w:sz w:val="22"/>
          </w:rPr>
          <w:t>Eje</w:t>
        </w:r>
        <w:r>
          <w:rPr>
            <w:spacing w:val="-11"/>
            <w:sz w:val="22"/>
          </w:rPr>
          <w:t> </w:t>
        </w:r>
        <w:r>
          <w:rPr>
            <w:sz w:val="22"/>
          </w:rPr>
          <w:t>3</w:t>
        </w:r>
        <w:r>
          <w:rPr>
            <w:spacing w:val="-7"/>
            <w:sz w:val="22"/>
          </w:rPr>
          <w:t> </w:t>
        </w:r>
        <w:r>
          <w:rPr>
            <w:sz w:val="22"/>
          </w:rPr>
          <w:t>de</w:t>
        </w:r>
        <w:r>
          <w:rPr>
            <w:spacing w:val="-10"/>
            <w:sz w:val="22"/>
          </w:rPr>
          <w:t> </w:t>
        </w:r>
        <w:r>
          <w:rPr>
            <w:sz w:val="22"/>
          </w:rPr>
          <w:t>Priorización</w:t>
        </w:r>
        <w:r>
          <w:rPr>
            <w:spacing w:val="-11"/>
            <w:sz w:val="22"/>
          </w:rPr>
          <w:t> </w:t>
        </w:r>
        <w:r>
          <w:rPr>
            <w:sz w:val="22"/>
          </w:rPr>
          <w:t>de</w:t>
        </w:r>
        <w:r>
          <w:rPr>
            <w:spacing w:val="-7"/>
            <w:sz w:val="22"/>
          </w:rPr>
          <w:t> </w:t>
        </w:r>
        <w:r>
          <w:rPr>
            <w:sz w:val="22"/>
          </w:rPr>
          <w:t>áreas</w:t>
        </w:r>
        <w:r>
          <w:rPr>
            <w:spacing w:val="-8"/>
            <w:sz w:val="22"/>
          </w:rPr>
          <w:t> </w:t>
        </w:r>
        <w:r>
          <w:rPr>
            <w:sz w:val="22"/>
          </w:rPr>
          <w:t>desatendidas:</w:t>
        </w:r>
        <w:r>
          <w:rPr>
            <w:spacing w:val="-10"/>
            <w:sz w:val="22"/>
          </w:rPr>
          <w:t> </w:t>
        </w:r>
        <w:r>
          <w:rPr>
            <w:sz w:val="22"/>
          </w:rPr>
          <w:t>Priorizar</w:t>
        </w:r>
        <w:r>
          <w:rPr>
            <w:spacing w:val="-8"/>
            <w:sz w:val="22"/>
          </w:rPr>
          <w:t> </w:t>
        </w:r>
        <w:r>
          <w:rPr>
            <w:sz w:val="22"/>
          </w:rPr>
          <w:t>territorialmente</w:t>
        </w:r>
        <w:r>
          <w:rPr>
            <w:spacing w:val="-7"/>
            <w:sz w:val="22"/>
          </w:rPr>
          <w:t> </w:t>
        </w:r>
        <w:r>
          <w:rPr>
            <w:sz w:val="22"/>
          </w:rPr>
          <w:t>la</w:t>
        </w:r>
        <w:r>
          <w:rPr>
            <w:spacing w:val="-11"/>
            <w:sz w:val="22"/>
          </w:rPr>
          <w:t> </w:t>
        </w:r>
        <w:r>
          <w:rPr>
            <w:sz w:val="22"/>
          </w:rPr>
          <w:t>cobertura</w:t>
        </w:r>
        <w:r>
          <w:rPr>
            <w:spacing w:val="-8"/>
            <w:sz w:val="22"/>
          </w:rPr>
          <w:t> </w:t>
        </w:r>
        <w:r>
          <w:rPr>
            <w:sz w:val="22"/>
          </w:rPr>
          <w:t>del</w:t>
        </w:r>
        <w:r>
          <w:rPr>
            <w:spacing w:val="-8"/>
            <w:sz w:val="22"/>
          </w:rPr>
          <w:t> </w:t>
        </w:r>
        <w:r>
          <w:rPr>
            <w:sz w:val="22"/>
          </w:rPr>
          <w:t>Nivel</w:t>
        </w:r>
      </w:hyperlink>
      <w:r>
        <w:rPr>
          <w:spacing w:val="-47"/>
          <w:sz w:val="22"/>
        </w:rPr>
        <w:t> </w:t>
      </w:r>
      <w:hyperlink w:history="true" w:anchor="_bookmark124">
        <w:r>
          <w:rPr>
            <w:sz w:val="22"/>
          </w:rPr>
          <w:t>de Educación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Primaria.</w:t>
          <w:tab/>
          <w:t>101</w:t>
        </w:r>
      </w:hyperlink>
    </w:p>
    <w:p>
      <w:pPr>
        <w:pStyle w:val="ListParagraph"/>
        <w:numPr>
          <w:ilvl w:val="1"/>
          <w:numId w:val="2"/>
        </w:numPr>
        <w:tabs>
          <w:tab w:pos="2299" w:val="left" w:leader="none"/>
          <w:tab w:pos="2300" w:val="left" w:leader="none"/>
          <w:tab w:pos="10480" w:val="left" w:leader="dot"/>
        </w:tabs>
        <w:spacing w:line="240" w:lineRule="auto" w:before="0" w:after="0"/>
        <w:ind w:left="1618" w:right="1423" w:firstLine="0"/>
        <w:jc w:val="left"/>
        <w:rPr>
          <w:rFonts w:ascii="Arial MT" w:hAnsi="Arial MT"/>
          <w:sz w:val="20"/>
        </w:rPr>
      </w:pPr>
      <w:hyperlink w:history="true" w:anchor="_bookmark125">
        <w:r>
          <w:rPr>
            <w:rFonts w:ascii="Arial MT" w:hAnsi="Arial MT"/>
            <w:sz w:val="20"/>
          </w:rPr>
          <w:t>Estrategia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cobertura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educativa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para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el Nivel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Medio: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Cicló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Básico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y Ciclo</w:t>
        </w:r>
      </w:hyperlink>
      <w:r>
        <w:rPr>
          <w:rFonts w:ascii="Arial MT" w:hAnsi="Arial MT"/>
          <w:spacing w:val="-53"/>
          <w:sz w:val="20"/>
        </w:rPr>
        <w:t> </w:t>
      </w:r>
      <w:hyperlink w:history="true" w:anchor="_bookmark125">
        <w:r>
          <w:rPr>
            <w:rFonts w:ascii="Arial MT" w:hAnsi="Arial MT"/>
            <w:sz w:val="20"/>
          </w:rPr>
          <w:t>Diversificado</w:t>
          <w:tab/>
        </w:r>
        <w:r>
          <w:rPr>
            <w:rFonts w:ascii="Arial MT" w:hAnsi="Arial MT"/>
            <w:spacing w:val="-2"/>
            <w:sz w:val="20"/>
          </w:rPr>
          <w:t>102</w:t>
        </w:r>
      </w:hyperlink>
    </w:p>
    <w:p>
      <w:pPr>
        <w:pStyle w:val="ListParagraph"/>
        <w:numPr>
          <w:ilvl w:val="2"/>
          <w:numId w:val="2"/>
        </w:numPr>
        <w:tabs>
          <w:tab w:pos="2738" w:val="left" w:leader="none"/>
          <w:tab w:pos="2739" w:val="left" w:leader="none"/>
          <w:tab w:pos="10480" w:val="left" w:leader="dot"/>
        </w:tabs>
        <w:spacing w:line="240" w:lineRule="auto" w:before="0" w:after="0"/>
        <w:ind w:left="1858" w:right="1413" w:firstLine="0"/>
        <w:jc w:val="left"/>
        <w:rPr>
          <w:sz w:val="22"/>
        </w:rPr>
      </w:pPr>
      <w:hyperlink w:history="true" w:anchor="_bookmark126">
        <w:r>
          <w:rPr>
            <w:sz w:val="22"/>
          </w:rPr>
          <w:t>Eje</w:t>
        </w:r>
        <w:r>
          <w:rPr>
            <w:spacing w:val="-3"/>
            <w:sz w:val="22"/>
          </w:rPr>
          <w:t> </w:t>
        </w:r>
        <w:r>
          <w:rPr>
            <w:sz w:val="22"/>
          </w:rPr>
          <w:t>1:</w:t>
        </w:r>
        <w:r>
          <w:rPr>
            <w:spacing w:val="-3"/>
            <w:sz w:val="22"/>
          </w:rPr>
          <w:t> </w:t>
        </w:r>
        <w:r>
          <w:rPr>
            <w:sz w:val="22"/>
          </w:rPr>
          <w:t>Formación</w:t>
        </w:r>
        <w:r>
          <w:rPr>
            <w:spacing w:val="-4"/>
            <w:sz w:val="22"/>
          </w:rPr>
          <w:t> </w:t>
        </w:r>
        <w:r>
          <w:rPr>
            <w:sz w:val="22"/>
          </w:rPr>
          <w:t>Integral:</w:t>
        </w:r>
        <w:r>
          <w:rPr>
            <w:spacing w:val="-3"/>
            <w:sz w:val="22"/>
          </w:rPr>
          <w:t> </w:t>
        </w:r>
        <w:r>
          <w:rPr>
            <w:sz w:val="22"/>
          </w:rPr>
          <w:t>Incorporación</w:t>
        </w:r>
        <w:r>
          <w:rPr>
            <w:spacing w:val="-4"/>
            <w:sz w:val="22"/>
          </w:rPr>
          <w:t> </w:t>
        </w:r>
        <w:r>
          <w:rPr>
            <w:sz w:val="22"/>
          </w:rPr>
          <w:t>de</w:t>
        </w:r>
        <w:r>
          <w:rPr>
            <w:spacing w:val="-3"/>
            <w:sz w:val="22"/>
          </w:rPr>
          <w:t> </w:t>
        </w:r>
        <w:r>
          <w:rPr>
            <w:sz w:val="22"/>
          </w:rPr>
          <w:t>las</w:t>
        </w:r>
        <w:r>
          <w:rPr>
            <w:spacing w:val="-4"/>
            <w:sz w:val="22"/>
          </w:rPr>
          <w:t> </w:t>
        </w:r>
        <w:r>
          <w:rPr>
            <w:sz w:val="22"/>
          </w:rPr>
          <w:t>prácticas</w:t>
        </w:r>
        <w:r>
          <w:rPr>
            <w:spacing w:val="-3"/>
            <w:sz w:val="22"/>
          </w:rPr>
          <w:t> </w:t>
        </w:r>
        <w:r>
          <w:rPr>
            <w:sz w:val="22"/>
          </w:rPr>
          <w:t>culturales,</w:t>
        </w:r>
        <w:r>
          <w:rPr>
            <w:spacing w:val="-3"/>
            <w:sz w:val="22"/>
          </w:rPr>
          <w:t> </w:t>
        </w:r>
        <w:r>
          <w:rPr>
            <w:sz w:val="22"/>
          </w:rPr>
          <w:t>sociales</w:t>
        </w:r>
        <w:r>
          <w:rPr>
            <w:spacing w:val="-2"/>
            <w:sz w:val="22"/>
          </w:rPr>
          <w:t> </w:t>
        </w:r>
        <w:r>
          <w:rPr>
            <w:sz w:val="22"/>
          </w:rPr>
          <w:t>y</w:t>
        </w:r>
        <w:r>
          <w:rPr>
            <w:spacing w:val="-3"/>
            <w:sz w:val="22"/>
          </w:rPr>
          <w:t> </w:t>
        </w:r>
        <w:r>
          <w:rPr>
            <w:sz w:val="22"/>
          </w:rPr>
          <w:t>de</w:t>
        </w:r>
        <w:r>
          <w:rPr>
            <w:spacing w:val="-5"/>
            <w:sz w:val="22"/>
          </w:rPr>
          <w:t> </w:t>
        </w:r>
        <w:r>
          <w:rPr>
            <w:sz w:val="22"/>
          </w:rPr>
          <w:t>género</w:t>
        </w:r>
        <w:r>
          <w:rPr>
            <w:spacing w:val="-5"/>
            <w:sz w:val="22"/>
          </w:rPr>
          <w:t> </w:t>
        </w:r>
        <w:r>
          <w:rPr>
            <w:sz w:val="22"/>
          </w:rPr>
          <w:t>en</w:t>
        </w:r>
      </w:hyperlink>
      <w:r>
        <w:rPr>
          <w:spacing w:val="-47"/>
          <w:sz w:val="22"/>
        </w:rPr>
        <w:t> </w:t>
      </w:r>
      <w:hyperlink w:history="true" w:anchor="_bookmark126">
        <w:r>
          <w:rPr>
            <w:sz w:val="22"/>
          </w:rPr>
          <w:t>el</w:t>
        </w:r>
        <w:r>
          <w:rPr>
            <w:spacing w:val="-1"/>
            <w:sz w:val="22"/>
          </w:rPr>
          <w:t> </w:t>
        </w:r>
        <w:r>
          <w:rPr>
            <w:sz w:val="22"/>
          </w:rPr>
          <w:t>Nivel</w:t>
        </w:r>
        <w:r>
          <w:rPr>
            <w:spacing w:val="-4"/>
            <w:sz w:val="22"/>
          </w:rPr>
          <w:t> </w:t>
        </w:r>
        <w:r>
          <w:rPr>
            <w:sz w:val="22"/>
          </w:rPr>
          <w:t>de Educación</w:t>
        </w:r>
        <w:r>
          <w:rPr>
            <w:spacing w:val="-4"/>
            <w:sz w:val="22"/>
          </w:rPr>
          <w:t> </w:t>
        </w:r>
        <w:r>
          <w:rPr>
            <w:sz w:val="22"/>
          </w:rPr>
          <w:t>Medio</w:t>
          <w:tab/>
          <w:t>102</w:t>
        </w:r>
      </w:hyperlink>
    </w:p>
    <w:p>
      <w:pPr>
        <w:pStyle w:val="ListParagraph"/>
        <w:numPr>
          <w:ilvl w:val="2"/>
          <w:numId w:val="2"/>
        </w:numPr>
        <w:tabs>
          <w:tab w:pos="2738" w:val="left" w:leader="none"/>
          <w:tab w:pos="2739" w:val="left" w:leader="none"/>
          <w:tab w:pos="10480" w:val="left" w:leader="dot"/>
        </w:tabs>
        <w:spacing w:line="240" w:lineRule="auto" w:before="0" w:after="0"/>
        <w:ind w:left="1858" w:right="1413" w:firstLine="0"/>
        <w:jc w:val="left"/>
        <w:rPr>
          <w:sz w:val="22"/>
        </w:rPr>
      </w:pPr>
      <w:hyperlink w:history="true" w:anchor="_bookmark127">
        <w:r>
          <w:rPr>
            <w:sz w:val="22"/>
          </w:rPr>
          <w:t>Eje 2 de Colaboración e Integración de la Comunidad Educativa: Vinculación de las familias</w:t>
        </w:r>
      </w:hyperlink>
      <w:r>
        <w:rPr>
          <w:spacing w:val="-47"/>
          <w:sz w:val="22"/>
        </w:rPr>
        <w:t> </w:t>
      </w:r>
      <w:hyperlink w:history="true" w:anchor="_bookmark127">
        <w:r>
          <w:rPr>
            <w:sz w:val="22"/>
          </w:rPr>
          <w:t>y</w:t>
        </w:r>
        <w:r>
          <w:rPr>
            <w:spacing w:val="-1"/>
            <w:sz w:val="22"/>
          </w:rPr>
          <w:t> </w:t>
        </w:r>
        <w:r>
          <w:rPr>
            <w:sz w:val="22"/>
          </w:rPr>
          <w:t>las comunidades.</w:t>
          <w:tab/>
          <w:t>103</w:t>
        </w:r>
      </w:hyperlink>
    </w:p>
    <w:p>
      <w:pPr>
        <w:pStyle w:val="ListParagraph"/>
        <w:numPr>
          <w:ilvl w:val="2"/>
          <w:numId w:val="2"/>
        </w:numPr>
        <w:tabs>
          <w:tab w:pos="2738" w:val="left" w:leader="none"/>
          <w:tab w:pos="2739" w:val="left" w:leader="none"/>
          <w:tab w:pos="10480" w:val="lef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128">
        <w:r>
          <w:rPr>
            <w:sz w:val="22"/>
          </w:rPr>
          <w:t>Eje</w:t>
        </w:r>
        <w:r>
          <w:rPr>
            <w:spacing w:val="-3"/>
            <w:sz w:val="22"/>
          </w:rPr>
          <w:t> </w:t>
        </w:r>
        <w:r>
          <w:rPr>
            <w:sz w:val="22"/>
          </w:rPr>
          <w:t>3:</w:t>
        </w:r>
        <w:r>
          <w:rPr>
            <w:spacing w:val="-2"/>
            <w:sz w:val="22"/>
          </w:rPr>
          <w:t> </w:t>
        </w:r>
        <w:r>
          <w:rPr>
            <w:sz w:val="22"/>
          </w:rPr>
          <w:t>Priorización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de</w:t>
        </w:r>
        <w:r>
          <w:rPr>
            <w:spacing w:val="1"/>
            <w:sz w:val="22"/>
          </w:rPr>
          <w:t> </w:t>
        </w:r>
        <w:r>
          <w:rPr>
            <w:sz w:val="22"/>
          </w:rPr>
          <w:t>áreas</w:t>
        </w:r>
        <w:r>
          <w:rPr>
            <w:spacing w:val="-3"/>
            <w:sz w:val="22"/>
          </w:rPr>
          <w:t> </w:t>
        </w:r>
        <w:r>
          <w:rPr>
            <w:sz w:val="22"/>
          </w:rPr>
          <w:t>desatendidas.</w:t>
          <w:tab/>
          <w:t>104</w:t>
        </w:r>
      </w:hyperlink>
    </w:p>
    <w:p>
      <w:pPr>
        <w:pStyle w:val="ListParagraph"/>
        <w:numPr>
          <w:ilvl w:val="1"/>
          <w:numId w:val="2"/>
        </w:numPr>
        <w:tabs>
          <w:tab w:pos="2299" w:val="left" w:leader="none"/>
          <w:tab w:pos="2300" w:val="left" w:leader="none"/>
          <w:tab w:pos="10480" w:val="left" w:leader="dot"/>
        </w:tabs>
        <w:spacing w:line="229" w:lineRule="exact" w:before="0" w:after="0"/>
        <w:ind w:left="2299" w:right="0" w:hanging="682"/>
        <w:jc w:val="left"/>
        <w:rPr>
          <w:rFonts w:ascii="Arial MT" w:hAnsi="Arial MT"/>
          <w:sz w:val="20"/>
        </w:rPr>
      </w:pPr>
      <w:hyperlink w:history="true" w:anchor="_bookmark129">
        <w:r>
          <w:rPr>
            <w:rFonts w:ascii="Arial MT" w:hAnsi="Arial MT"/>
            <w:sz w:val="20"/>
          </w:rPr>
          <w:t>Propuesta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Programa: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Permanencia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la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educación</w:t>
          <w:tab/>
          <w:t>106</w:t>
        </w:r>
      </w:hyperlink>
    </w:p>
    <w:p>
      <w:pPr>
        <w:pStyle w:val="ListParagraph"/>
        <w:numPr>
          <w:ilvl w:val="0"/>
          <w:numId w:val="2"/>
        </w:numPr>
        <w:tabs>
          <w:tab w:pos="1857" w:val="left" w:leader="none"/>
          <w:tab w:pos="1859" w:val="left" w:leader="none"/>
          <w:tab w:pos="10480" w:val="left" w:leader="dot"/>
        </w:tabs>
        <w:spacing w:line="229" w:lineRule="exact" w:before="0" w:after="0"/>
        <w:ind w:left="1858" w:right="0" w:hanging="441"/>
        <w:jc w:val="left"/>
        <w:rPr>
          <w:rFonts w:ascii="Arial MT" w:hAnsi="Arial MT"/>
          <w:sz w:val="20"/>
        </w:rPr>
      </w:pPr>
      <w:hyperlink w:history="true" w:anchor="_bookmark130">
        <w:r>
          <w:rPr>
            <w:rFonts w:ascii="Arial MT" w:hAnsi="Arial MT"/>
            <w:sz w:val="20"/>
          </w:rPr>
          <w:t>Bibliografía</w:t>
          <w:tab/>
          <w:t>109</w:t>
        </w:r>
      </w:hyperlink>
    </w:p>
    <w:p>
      <w:pPr>
        <w:pStyle w:val="ListParagraph"/>
        <w:numPr>
          <w:ilvl w:val="0"/>
          <w:numId w:val="1"/>
        </w:numPr>
        <w:tabs>
          <w:tab w:pos="1857" w:val="left" w:leader="none"/>
          <w:tab w:pos="1859" w:val="left" w:leader="none"/>
          <w:tab w:pos="10480" w:val="left" w:leader="dot"/>
        </w:tabs>
        <w:spacing w:line="240" w:lineRule="auto" w:before="0" w:after="0"/>
        <w:ind w:left="1858" w:right="0" w:hanging="441"/>
        <w:jc w:val="left"/>
        <w:rPr>
          <w:rFonts w:ascii="Arial MT" w:hAnsi="Arial MT"/>
          <w:sz w:val="20"/>
        </w:rPr>
      </w:pPr>
      <w:hyperlink w:history="true" w:anchor="_bookmark131">
        <w:r>
          <w:rPr>
            <w:rFonts w:ascii="Arial MT" w:hAnsi="Arial MT"/>
            <w:sz w:val="20"/>
          </w:rPr>
          <w:t>Contexto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General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la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Situación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la Cobertura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del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Sistema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Nacional</w:t>
          <w:tab/>
          <w:t>111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480" w:val="left" w:leader="dot"/>
        </w:tabs>
        <w:spacing w:line="240" w:lineRule="auto" w:before="1" w:after="0"/>
        <w:ind w:left="2299" w:right="0" w:hanging="682"/>
        <w:jc w:val="left"/>
        <w:rPr>
          <w:rFonts w:ascii="Arial MT" w:hAnsi="Arial MT"/>
          <w:sz w:val="20"/>
        </w:rPr>
      </w:pPr>
      <w:hyperlink w:history="true" w:anchor="_bookmark132">
        <w:r>
          <w:rPr>
            <w:rFonts w:ascii="Arial MT" w:hAnsi="Arial MT"/>
            <w:sz w:val="20"/>
          </w:rPr>
          <w:t>Situación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del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Sistema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Nacional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Educativo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(2017-2021)</w:t>
          <w:tab/>
          <w:t>111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480" w:val="left" w:leader="dot"/>
        </w:tabs>
        <w:spacing w:line="240" w:lineRule="auto" w:before="1" w:after="0"/>
        <w:ind w:left="2738" w:right="0" w:hanging="881"/>
        <w:jc w:val="left"/>
        <w:rPr>
          <w:sz w:val="22"/>
        </w:rPr>
      </w:pPr>
      <w:hyperlink w:history="true" w:anchor="_bookmark133">
        <w:r>
          <w:rPr>
            <w:sz w:val="22"/>
          </w:rPr>
          <w:t>Indicadores de</w:t>
        </w:r>
        <w:r>
          <w:rPr>
            <w:spacing w:val="-2"/>
            <w:sz w:val="22"/>
          </w:rPr>
          <w:t> </w:t>
        </w:r>
        <w:r>
          <w:rPr>
            <w:sz w:val="22"/>
          </w:rPr>
          <w:t>Cobertura a</w:t>
        </w:r>
        <w:r>
          <w:rPr>
            <w:spacing w:val="-2"/>
            <w:sz w:val="22"/>
          </w:rPr>
          <w:t> </w:t>
        </w:r>
        <w:r>
          <w:rPr>
            <w:sz w:val="22"/>
          </w:rPr>
          <w:t>Nivel Nacional:</w:t>
        </w:r>
        <w:r>
          <w:rPr>
            <w:spacing w:val="-3"/>
            <w:sz w:val="22"/>
          </w:rPr>
          <w:t> </w:t>
        </w:r>
        <w:r>
          <w:rPr>
            <w:sz w:val="22"/>
          </w:rPr>
          <w:t>Tasa</w:t>
        </w:r>
        <w:r>
          <w:rPr>
            <w:spacing w:val="-3"/>
            <w:sz w:val="22"/>
          </w:rPr>
          <w:t> </w:t>
        </w:r>
        <w:r>
          <w:rPr>
            <w:sz w:val="22"/>
          </w:rPr>
          <w:t>Neta</w:t>
        </w:r>
        <w:r>
          <w:rPr>
            <w:spacing w:val="-1"/>
            <w:sz w:val="22"/>
          </w:rPr>
          <w:t> </w:t>
        </w:r>
        <w:r>
          <w:rPr>
            <w:sz w:val="22"/>
          </w:rPr>
          <w:t>y Tasa</w:t>
        </w:r>
        <w:r>
          <w:rPr>
            <w:spacing w:val="-3"/>
            <w:sz w:val="22"/>
          </w:rPr>
          <w:t> </w:t>
        </w:r>
        <w:r>
          <w:rPr>
            <w:sz w:val="22"/>
          </w:rPr>
          <w:t>Bruta de</w:t>
        </w:r>
        <w:r>
          <w:rPr>
            <w:spacing w:val="2"/>
            <w:sz w:val="22"/>
          </w:rPr>
          <w:t> </w:t>
        </w:r>
        <w:r>
          <w:rPr>
            <w:sz w:val="22"/>
          </w:rPr>
          <w:t>Cobertura</w:t>
          <w:tab/>
          <w:t>113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480" w:val="left" w:leader="dot"/>
        </w:tabs>
        <w:spacing w:line="240" w:lineRule="auto" w:before="0" w:after="0"/>
        <w:ind w:left="2299" w:right="0" w:hanging="682"/>
        <w:jc w:val="left"/>
        <w:rPr>
          <w:rFonts w:ascii="Arial MT" w:hAnsi="Arial MT"/>
          <w:sz w:val="20"/>
        </w:rPr>
      </w:pPr>
      <w:hyperlink w:history="true" w:anchor="_bookmark134">
        <w:r>
          <w:rPr>
            <w:rFonts w:ascii="Arial MT" w:hAnsi="Arial MT"/>
            <w:sz w:val="20"/>
          </w:rPr>
          <w:t>Cambio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Climático y</w:t>
        </w:r>
        <w:r>
          <w:rPr>
            <w:rFonts w:ascii="Arial MT" w:hAnsi="Arial MT"/>
            <w:spacing w:val="-6"/>
            <w:sz w:val="20"/>
          </w:rPr>
          <w:t> </w:t>
        </w:r>
        <w:r>
          <w:rPr>
            <w:rFonts w:ascii="Arial MT" w:hAnsi="Arial MT"/>
            <w:sz w:val="20"/>
          </w:rPr>
          <w:t>su impacto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en la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educación</w:t>
          <w:tab/>
          <w:t>118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480" w:val="lef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135">
        <w:r>
          <w:rPr>
            <w:sz w:val="22"/>
          </w:rPr>
          <w:t>Índice</w:t>
        </w:r>
        <w:r>
          <w:rPr>
            <w:spacing w:val="-2"/>
            <w:sz w:val="22"/>
          </w:rPr>
          <w:t> </w:t>
        </w:r>
        <w:r>
          <w:rPr>
            <w:sz w:val="22"/>
          </w:rPr>
          <w:t>del</w:t>
        </w:r>
        <w:r>
          <w:rPr>
            <w:spacing w:val="-1"/>
            <w:sz w:val="22"/>
          </w:rPr>
          <w:t> </w:t>
        </w:r>
        <w:r>
          <w:rPr>
            <w:sz w:val="22"/>
          </w:rPr>
          <w:t>Riesgo</w:t>
        </w:r>
        <w:r>
          <w:rPr>
            <w:spacing w:val="-2"/>
            <w:sz w:val="22"/>
          </w:rPr>
          <w:t> </w:t>
        </w:r>
        <w:r>
          <w:rPr>
            <w:sz w:val="22"/>
          </w:rPr>
          <w:t>Climático</w:t>
        </w:r>
        <w:r>
          <w:rPr>
            <w:spacing w:val="-4"/>
            <w:sz w:val="22"/>
          </w:rPr>
          <w:t> </w:t>
        </w:r>
        <w:r>
          <w:rPr>
            <w:sz w:val="22"/>
          </w:rPr>
          <w:t>Global –IRC-</w:t>
        </w:r>
        <w:r>
          <w:rPr>
            <w:spacing w:val="-2"/>
            <w:sz w:val="22"/>
          </w:rPr>
          <w:t> </w:t>
        </w:r>
        <w:r>
          <w:rPr>
            <w:sz w:val="22"/>
          </w:rPr>
          <w:t>de Germanwatch</w:t>
          <w:tab/>
          <w:t>118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480" w:val="left" w:leader="dot"/>
        </w:tabs>
        <w:spacing w:line="267" w:lineRule="exact" w:before="0" w:after="0"/>
        <w:ind w:left="2738" w:right="0" w:hanging="881"/>
        <w:jc w:val="left"/>
        <w:rPr>
          <w:sz w:val="22"/>
        </w:rPr>
      </w:pPr>
      <w:hyperlink w:history="true" w:anchor="_bookmark136">
        <w:r>
          <w:rPr>
            <w:sz w:val="22"/>
          </w:rPr>
          <w:t>Índice</w:t>
        </w:r>
        <w:r>
          <w:rPr>
            <w:spacing w:val="-2"/>
            <w:sz w:val="22"/>
          </w:rPr>
          <w:t> </w:t>
        </w:r>
        <w:r>
          <w:rPr>
            <w:sz w:val="22"/>
          </w:rPr>
          <w:t>del</w:t>
        </w:r>
        <w:r>
          <w:rPr>
            <w:spacing w:val="-2"/>
            <w:sz w:val="22"/>
          </w:rPr>
          <w:t> </w:t>
        </w:r>
        <w:r>
          <w:rPr>
            <w:sz w:val="22"/>
          </w:rPr>
          <w:t>Riesgo</w:t>
        </w:r>
        <w:r>
          <w:rPr>
            <w:spacing w:val="-2"/>
            <w:sz w:val="22"/>
          </w:rPr>
          <w:t> </w:t>
        </w:r>
        <w:r>
          <w:rPr>
            <w:sz w:val="22"/>
          </w:rPr>
          <w:t>Climático</w:t>
        </w:r>
        <w:r>
          <w:rPr>
            <w:spacing w:val="-5"/>
            <w:sz w:val="22"/>
          </w:rPr>
          <w:t> </w:t>
        </w:r>
        <w:r>
          <w:rPr>
            <w:sz w:val="22"/>
          </w:rPr>
          <w:t>de</w:t>
        </w:r>
        <w:r>
          <w:rPr>
            <w:spacing w:val="-1"/>
            <w:sz w:val="22"/>
          </w:rPr>
          <w:t> </w:t>
        </w:r>
        <w:r>
          <w:rPr>
            <w:sz w:val="22"/>
          </w:rPr>
          <w:t>la</w:t>
        </w:r>
        <w:r>
          <w:rPr>
            <w:spacing w:val="-1"/>
            <w:sz w:val="22"/>
          </w:rPr>
          <w:t> </w:t>
        </w:r>
        <w:r>
          <w:rPr>
            <w:sz w:val="22"/>
          </w:rPr>
          <w:t>Infancia</w:t>
        </w:r>
        <w:r>
          <w:rPr>
            <w:spacing w:val="-2"/>
            <w:sz w:val="22"/>
          </w:rPr>
          <w:t> </w:t>
        </w:r>
        <w:r>
          <w:rPr>
            <w:sz w:val="22"/>
          </w:rPr>
          <w:t>(IRCI)</w:t>
          <w:tab/>
          <w:t>120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480" w:val="left" w:leader="dot"/>
        </w:tabs>
        <w:spacing w:line="267" w:lineRule="exact" w:before="0" w:after="0"/>
        <w:ind w:left="2738" w:right="0" w:hanging="881"/>
        <w:jc w:val="left"/>
        <w:rPr>
          <w:sz w:val="22"/>
        </w:rPr>
      </w:pPr>
      <w:hyperlink w:history="true" w:anchor="_bookmark137">
        <w:r>
          <w:rPr>
            <w:sz w:val="22"/>
          </w:rPr>
          <w:t>Efectos</w:t>
        </w:r>
        <w:r>
          <w:rPr>
            <w:spacing w:val="-2"/>
            <w:sz w:val="22"/>
          </w:rPr>
          <w:t> </w:t>
        </w:r>
        <w:r>
          <w:rPr>
            <w:sz w:val="22"/>
          </w:rPr>
          <w:t>del</w:t>
        </w:r>
        <w:r>
          <w:rPr>
            <w:spacing w:val="-4"/>
            <w:sz w:val="22"/>
          </w:rPr>
          <w:t> </w:t>
        </w:r>
        <w:r>
          <w:rPr>
            <w:sz w:val="22"/>
          </w:rPr>
          <w:t>Cambio</w:t>
        </w:r>
        <w:r>
          <w:rPr>
            <w:spacing w:val="-4"/>
            <w:sz w:val="22"/>
          </w:rPr>
          <w:t> </w:t>
        </w:r>
        <w:r>
          <w:rPr>
            <w:sz w:val="22"/>
          </w:rPr>
          <w:t>Climático</w:t>
        </w:r>
        <w:r>
          <w:rPr>
            <w:spacing w:val="-2"/>
            <w:sz w:val="22"/>
          </w:rPr>
          <w:t> </w:t>
        </w:r>
        <w:r>
          <w:rPr>
            <w:sz w:val="22"/>
          </w:rPr>
          <w:t>en</w:t>
        </w:r>
        <w:r>
          <w:rPr>
            <w:spacing w:val="-2"/>
            <w:sz w:val="22"/>
          </w:rPr>
          <w:t> </w:t>
        </w:r>
        <w:r>
          <w:rPr>
            <w:sz w:val="22"/>
          </w:rPr>
          <w:t>Guatemala:</w:t>
        </w:r>
        <w:r>
          <w:rPr>
            <w:spacing w:val="-1"/>
            <w:sz w:val="22"/>
          </w:rPr>
          <w:t> </w:t>
        </w:r>
        <w:r>
          <w:rPr>
            <w:sz w:val="22"/>
          </w:rPr>
          <w:t>Huracanes</w:t>
        </w:r>
        <w:r>
          <w:rPr>
            <w:spacing w:val="-1"/>
            <w:sz w:val="22"/>
          </w:rPr>
          <w:t> </w:t>
        </w:r>
        <w:r>
          <w:rPr>
            <w:sz w:val="22"/>
          </w:rPr>
          <w:t>Eta-Iota</w:t>
          <w:tab/>
          <w:t>122</w:t>
        </w:r>
      </w:hyperlink>
    </w:p>
    <w:p>
      <w:pPr>
        <w:pStyle w:val="ListParagraph"/>
        <w:numPr>
          <w:ilvl w:val="0"/>
          <w:numId w:val="1"/>
        </w:numPr>
        <w:tabs>
          <w:tab w:pos="1857" w:val="left" w:leader="none"/>
          <w:tab w:pos="1859" w:val="left" w:leader="none"/>
          <w:tab w:pos="10480" w:val="left" w:leader="dot"/>
        </w:tabs>
        <w:spacing w:line="240" w:lineRule="auto" w:before="1" w:after="0"/>
        <w:ind w:left="1858" w:right="0" w:hanging="441"/>
        <w:jc w:val="left"/>
        <w:rPr>
          <w:rFonts w:ascii="Arial MT" w:hAnsi="Arial MT"/>
          <w:sz w:val="20"/>
        </w:rPr>
      </w:pPr>
      <w:hyperlink w:history="true" w:anchor="_bookmark138">
        <w:r>
          <w:rPr>
            <w:rFonts w:ascii="Arial MT" w:hAnsi="Arial MT"/>
            <w:sz w:val="20"/>
          </w:rPr>
          <w:t>Información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por departamento</w:t>
          <w:tab/>
          <w:t>126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480" w:val="left" w:leader="dot"/>
        </w:tabs>
        <w:spacing w:line="240" w:lineRule="auto" w:before="0" w:after="0"/>
        <w:ind w:left="2299" w:right="0" w:hanging="682"/>
        <w:jc w:val="left"/>
        <w:rPr>
          <w:rFonts w:ascii="Arial MT"/>
          <w:sz w:val="20"/>
        </w:rPr>
      </w:pPr>
      <w:hyperlink w:history="true" w:anchor="_bookmark139">
        <w:r>
          <w:rPr>
            <w:rFonts w:ascii="Arial MT"/>
            <w:sz w:val="20"/>
          </w:rPr>
          <w:t>Alta</w:t>
        </w:r>
        <w:r>
          <w:rPr>
            <w:rFonts w:ascii="Arial MT"/>
            <w:spacing w:val="-3"/>
            <w:sz w:val="20"/>
          </w:rPr>
          <w:t> </w:t>
        </w:r>
        <w:r>
          <w:rPr>
            <w:rFonts w:ascii="Arial MT"/>
            <w:sz w:val="20"/>
          </w:rPr>
          <w:t>Verapaz</w:t>
          <w:tab/>
          <w:t>126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480" w:val="left" w:leader="dot"/>
        </w:tabs>
        <w:spacing w:line="240" w:lineRule="auto" w:before="1" w:after="0"/>
        <w:ind w:left="2738" w:right="0" w:hanging="881"/>
        <w:jc w:val="left"/>
        <w:rPr>
          <w:sz w:val="22"/>
        </w:rPr>
      </w:pPr>
      <w:hyperlink w:history="true" w:anchor="_bookmark140">
        <w:r>
          <w:rPr>
            <w:sz w:val="22"/>
          </w:rPr>
          <w:t>Información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General</w:t>
          <w:tab/>
          <w:t>126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480" w:val="lef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141">
        <w:r>
          <w:rPr>
            <w:sz w:val="22"/>
          </w:rPr>
          <w:t>Situación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del</w:t>
        </w:r>
        <w:r>
          <w:rPr>
            <w:spacing w:val="-1"/>
            <w:sz w:val="22"/>
          </w:rPr>
          <w:t> </w:t>
        </w:r>
        <w:r>
          <w:rPr>
            <w:sz w:val="22"/>
          </w:rPr>
          <w:t>Sistema</w:t>
        </w:r>
        <w:r>
          <w:rPr>
            <w:spacing w:val="-2"/>
            <w:sz w:val="22"/>
          </w:rPr>
          <w:t> </w:t>
        </w:r>
        <w:r>
          <w:rPr>
            <w:sz w:val="22"/>
          </w:rPr>
          <w:t>Nacional</w:t>
        </w:r>
        <w:r>
          <w:rPr>
            <w:spacing w:val="-1"/>
            <w:sz w:val="22"/>
          </w:rPr>
          <w:t> </w:t>
        </w:r>
        <w:r>
          <w:rPr>
            <w:sz w:val="22"/>
          </w:rPr>
          <w:t>de</w:t>
        </w:r>
        <w:r>
          <w:rPr>
            <w:spacing w:val="-1"/>
            <w:sz w:val="22"/>
          </w:rPr>
          <w:t> </w:t>
        </w:r>
        <w:r>
          <w:rPr>
            <w:sz w:val="22"/>
          </w:rPr>
          <w:t>Educación</w:t>
          <w:tab/>
          <w:t>126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pict>
          <v:rect style="position:absolute;margin-left:563.880005pt;margin-top:13.825169pt;width:25.44pt;height:1.4399pt;mso-position-horizontal-relative:page;mso-position-vertical-relative:paragraph;z-index:-1572454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before="0" w:after="12"/>
        <w:ind w:left="0" w:right="629" w:firstLine="0"/>
        <w:jc w:val="right"/>
        <w:rPr>
          <w:rFonts w:ascii="Arial MT"/>
          <w:sz w:val="28"/>
        </w:rPr>
      </w:pPr>
      <w:r>
        <w:rPr>
          <w:rFonts w:ascii="Arial MT"/>
          <w:w w:val="100"/>
          <w:sz w:val="28"/>
        </w:rPr>
        <w:t>4</w:t>
      </w:r>
    </w:p>
    <w:p>
      <w:pPr>
        <w:pStyle w:val="BodyText"/>
        <w:spacing w:line="88" w:lineRule="exact"/>
        <w:ind w:left="1127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1833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40" w:lineRule="auto" w:before="57" w:after="0"/>
            <w:ind w:left="2738" w:right="0" w:hanging="881"/>
            <w:jc w:val="left"/>
          </w:pPr>
          <w:hyperlink w:history="true" w:anchor="_bookmark142">
            <w:r>
              <w:rPr/>
              <w:t>Indicador: Tasa Neta de</w:t>
            </w:r>
            <w:r>
              <w:rPr>
                <w:spacing w:val="-2"/>
              </w:rPr>
              <w:t> </w:t>
            </w:r>
            <w:r>
              <w:rPr/>
              <w:t>Cobertura</w:t>
              <w:tab/>
              <w:t>127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40" w:lineRule="auto" w:before="0" w:after="0"/>
            <w:ind w:left="2738" w:right="0" w:hanging="881"/>
            <w:jc w:val="left"/>
          </w:pPr>
          <w:hyperlink w:history="true" w:anchor="_bookmark143">
            <w:r>
              <w:rPr/>
              <w:t>Indicador</w:t>
            </w:r>
            <w:r>
              <w:rPr>
                <w:spacing w:val="-1"/>
              </w:rPr>
              <w:t> </w:t>
            </w:r>
            <w:r>
              <w:rPr/>
              <w:t>de Cobertura:</w:t>
            </w:r>
            <w:r>
              <w:rPr>
                <w:spacing w:val="-2"/>
              </w:rPr>
              <w:t> </w:t>
            </w:r>
            <w:r>
              <w:rPr/>
              <w:t>Tasa Bruta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Déficit</w:t>
            </w:r>
            <w:r>
              <w:rPr>
                <w:spacing w:val="-2"/>
              </w:rPr>
              <w:t> </w:t>
            </w:r>
            <w:r>
              <w:rPr/>
              <w:t>por departamento,</w:t>
            </w:r>
            <w:r>
              <w:rPr>
                <w:spacing w:val="-3"/>
              </w:rPr>
              <w:t> </w:t>
            </w:r>
            <w:r>
              <w:rPr/>
              <w:t>sexo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etnia.</w:t>
              <w:tab/>
              <w:t>129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299" w:val="left" w:leader="none"/>
              <w:tab w:pos="2300" w:val="left" w:leader="none"/>
              <w:tab w:pos="10811" w:val="right" w:leader="dot"/>
            </w:tabs>
            <w:spacing w:line="240" w:lineRule="auto" w:before="1" w:after="0"/>
            <w:ind w:left="2299" w:right="0" w:hanging="682"/>
            <w:jc w:val="left"/>
          </w:pPr>
          <w:hyperlink w:history="true" w:anchor="_bookmark144">
            <w:r>
              <w:rPr/>
              <w:t>Baja Verapaz</w:t>
              <w:tab/>
              <w:t>130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67" w:lineRule="exact" w:before="0" w:after="0"/>
            <w:ind w:left="2738" w:right="0" w:hanging="881"/>
            <w:jc w:val="left"/>
          </w:pPr>
          <w:hyperlink w:history="true" w:anchor="_bookmark145">
            <w:r>
              <w:rPr/>
              <w:t>Información</w:t>
            </w:r>
            <w:r>
              <w:rPr>
                <w:spacing w:val="-2"/>
              </w:rPr>
              <w:t> </w:t>
            </w:r>
            <w:r>
              <w:rPr/>
              <w:t>General</w:t>
              <w:tab/>
              <w:t>130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67" w:lineRule="exact" w:before="0" w:after="0"/>
            <w:ind w:left="2738" w:right="0" w:hanging="881"/>
            <w:jc w:val="left"/>
          </w:pPr>
          <w:hyperlink w:history="true" w:anchor="_bookmark146">
            <w:r>
              <w:rPr/>
              <w:t>Situación</w:t>
            </w:r>
            <w:r>
              <w:rPr>
                <w:spacing w:val="-1"/>
              </w:rPr>
              <w:t> </w:t>
            </w:r>
            <w:r>
              <w:rPr/>
              <w:t>del Sistema Nacional de</w:t>
            </w:r>
            <w:r>
              <w:rPr>
                <w:spacing w:val="1"/>
              </w:rPr>
              <w:t> </w:t>
            </w:r>
            <w:r>
              <w:rPr/>
              <w:t>Educación</w:t>
              <w:tab/>
              <w:t>130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40" w:lineRule="auto" w:before="0" w:after="0"/>
            <w:ind w:left="2738" w:right="0" w:hanging="881"/>
            <w:jc w:val="left"/>
          </w:pPr>
          <w:hyperlink w:history="true" w:anchor="_bookmark147">
            <w:r>
              <w:rPr/>
              <w:t>Indicador: Tasa Neta de</w:t>
            </w:r>
            <w:r>
              <w:rPr>
                <w:spacing w:val="-2"/>
              </w:rPr>
              <w:t> </w:t>
            </w:r>
            <w:r>
              <w:rPr/>
              <w:t>Cobertura</w:t>
              <w:tab/>
              <w:t>130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40" w:lineRule="auto" w:before="0" w:after="0"/>
            <w:ind w:left="2738" w:right="0" w:hanging="881"/>
            <w:jc w:val="left"/>
          </w:pPr>
          <w:hyperlink w:history="true" w:anchor="_bookmark148">
            <w:r>
              <w:rPr/>
              <w:t>Indicador</w:t>
            </w:r>
            <w:r>
              <w:rPr>
                <w:spacing w:val="-1"/>
              </w:rPr>
              <w:t> </w:t>
            </w:r>
            <w:r>
              <w:rPr/>
              <w:t>de Cobertura:</w:t>
            </w:r>
            <w:r>
              <w:rPr>
                <w:spacing w:val="-2"/>
              </w:rPr>
              <w:t> </w:t>
            </w:r>
            <w:r>
              <w:rPr/>
              <w:t>Tasa Bruta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Déficit</w:t>
            </w:r>
            <w:r>
              <w:rPr>
                <w:spacing w:val="-2"/>
              </w:rPr>
              <w:t> </w:t>
            </w:r>
            <w:r>
              <w:rPr/>
              <w:t>por departamento,</w:t>
            </w:r>
            <w:r>
              <w:rPr>
                <w:spacing w:val="-3"/>
              </w:rPr>
              <w:t> </w:t>
            </w:r>
            <w:r>
              <w:rPr/>
              <w:t>sexo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etnia.</w:t>
              <w:tab/>
              <w:t>132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299" w:val="left" w:leader="none"/>
              <w:tab w:pos="2300" w:val="left" w:leader="none"/>
              <w:tab w:pos="10811" w:val="right" w:leader="dot"/>
            </w:tabs>
            <w:spacing w:line="240" w:lineRule="auto" w:before="1" w:after="0"/>
            <w:ind w:left="2299" w:right="0" w:hanging="682"/>
            <w:jc w:val="left"/>
          </w:pPr>
          <w:hyperlink w:history="true" w:anchor="_bookmark149">
            <w:r>
              <w:rPr/>
              <w:t>Chimaltenango</w:t>
              <w:tab/>
              <w:t>133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40" w:lineRule="auto" w:before="0" w:after="0"/>
            <w:ind w:left="2738" w:right="0" w:hanging="881"/>
            <w:jc w:val="left"/>
          </w:pPr>
          <w:hyperlink w:history="true" w:anchor="_bookmark150">
            <w:r>
              <w:rPr/>
              <w:t>Información</w:t>
            </w:r>
            <w:r>
              <w:rPr>
                <w:spacing w:val="-2"/>
              </w:rPr>
              <w:t> </w:t>
            </w:r>
            <w:r>
              <w:rPr/>
              <w:t>General</w:t>
              <w:tab/>
              <w:t>133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40" w:lineRule="auto" w:before="0" w:after="0"/>
            <w:ind w:left="2738" w:right="0" w:hanging="881"/>
            <w:jc w:val="left"/>
          </w:pPr>
          <w:hyperlink w:history="true" w:anchor="_bookmark151">
            <w:r>
              <w:rPr/>
              <w:t>Situación</w:t>
            </w:r>
            <w:r>
              <w:rPr>
                <w:spacing w:val="-1"/>
              </w:rPr>
              <w:t> </w:t>
            </w:r>
            <w:r>
              <w:rPr/>
              <w:t>del Sistema Nacional de</w:t>
            </w:r>
            <w:r>
              <w:rPr>
                <w:spacing w:val="1"/>
              </w:rPr>
              <w:t> </w:t>
            </w:r>
            <w:r>
              <w:rPr/>
              <w:t>Educación</w:t>
              <w:tab/>
              <w:t>133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40" w:lineRule="auto" w:before="0" w:after="0"/>
            <w:ind w:left="2738" w:right="0" w:hanging="881"/>
            <w:jc w:val="left"/>
          </w:pPr>
          <w:hyperlink w:history="true" w:anchor="_bookmark152">
            <w:r>
              <w:rPr/>
              <w:t>Indicador</w:t>
            </w:r>
            <w:r>
              <w:rPr>
                <w:spacing w:val="-1"/>
              </w:rPr>
              <w:t> </w:t>
            </w:r>
            <w:r>
              <w:rPr/>
              <w:t>de Cobertura:</w:t>
            </w:r>
            <w:r>
              <w:rPr>
                <w:spacing w:val="-2"/>
              </w:rPr>
              <w:t> </w:t>
            </w:r>
            <w:r>
              <w:rPr/>
              <w:t>Tasa Neta de</w:t>
            </w:r>
            <w:r>
              <w:rPr>
                <w:spacing w:val="1"/>
              </w:rPr>
              <w:t> </w:t>
            </w:r>
            <w:r>
              <w:rPr/>
              <w:t>Cobertura</w:t>
              <w:tab/>
              <w:t>134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40" w:lineRule="auto" w:before="1" w:after="0"/>
            <w:ind w:left="2738" w:right="0" w:hanging="881"/>
            <w:jc w:val="left"/>
          </w:pPr>
          <w:hyperlink w:history="true" w:anchor="_bookmark153">
            <w:r>
              <w:rPr/>
              <w:t>Indicador</w:t>
            </w:r>
            <w:r>
              <w:rPr>
                <w:spacing w:val="-1"/>
              </w:rPr>
              <w:t> </w:t>
            </w:r>
            <w:r>
              <w:rPr/>
              <w:t>de Cobertura:</w:t>
            </w:r>
            <w:r>
              <w:rPr>
                <w:spacing w:val="-2"/>
              </w:rPr>
              <w:t> </w:t>
            </w:r>
            <w:r>
              <w:rPr/>
              <w:t>Tasa Bruta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Déficit</w:t>
            </w:r>
            <w:r>
              <w:rPr>
                <w:spacing w:val="-2"/>
              </w:rPr>
              <w:t> </w:t>
            </w:r>
            <w:r>
              <w:rPr/>
              <w:t>por departamento,</w:t>
            </w:r>
            <w:r>
              <w:rPr>
                <w:spacing w:val="-3"/>
              </w:rPr>
              <w:t> </w:t>
            </w:r>
            <w:r>
              <w:rPr/>
              <w:t>sexo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etnia.</w:t>
              <w:tab/>
              <w:t>135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299" w:val="left" w:leader="none"/>
              <w:tab w:pos="2300" w:val="left" w:leader="none"/>
              <w:tab w:pos="10811" w:val="right" w:leader="dot"/>
            </w:tabs>
            <w:spacing w:line="229" w:lineRule="exact" w:before="1" w:after="0"/>
            <w:ind w:left="2299" w:right="0" w:hanging="682"/>
            <w:jc w:val="left"/>
          </w:pPr>
          <w:hyperlink w:history="true" w:anchor="_bookmark154">
            <w:r>
              <w:rPr/>
              <w:t>Chiquimula</w:t>
              <w:tab/>
              <w:t>136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67" w:lineRule="exact" w:before="0" w:after="0"/>
            <w:ind w:left="2738" w:right="0" w:hanging="881"/>
            <w:jc w:val="left"/>
          </w:pPr>
          <w:hyperlink w:history="true" w:anchor="_bookmark155">
            <w:r>
              <w:rPr/>
              <w:t>Información</w:t>
            </w:r>
            <w:r>
              <w:rPr>
                <w:spacing w:val="-2"/>
              </w:rPr>
              <w:t> </w:t>
            </w:r>
            <w:r>
              <w:rPr/>
              <w:t>General</w:t>
              <w:tab/>
              <w:t>136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40" w:lineRule="auto" w:before="0" w:after="0"/>
            <w:ind w:left="2738" w:right="0" w:hanging="881"/>
            <w:jc w:val="left"/>
          </w:pPr>
          <w:hyperlink w:history="true" w:anchor="_bookmark156">
            <w:r>
              <w:rPr/>
              <w:t>Situación</w:t>
            </w:r>
            <w:r>
              <w:rPr>
                <w:spacing w:val="-1"/>
              </w:rPr>
              <w:t> </w:t>
            </w:r>
            <w:r>
              <w:rPr/>
              <w:t>del Sistema de</w:t>
            </w:r>
            <w:r>
              <w:rPr>
                <w:spacing w:val="-3"/>
              </w:rPr>
              <w:t> </w:t>
            </w:r>
            <w:r>
              <w:rPr/>
              <w:t>Educación</w:t>
            </w:r>
            <w:r>
              <w:rPr>
                <w:spacing w:val="-1"/>
              </w:rPr>
              <w:t> </w:t>
            </w:r>
            <w:r>
              <w:rPr/>
              <w:t>Nacional</w:t>
              <w:tab/>
              <w:t>136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40" w:lineRule="auto" w:before="0" w:after="0"/>
            <w:ind w:left="2738" w:right="0" w:hanging="881"/>
            <w:jc w:val="left"/>
          </w:pPr>
          <w:hyperlink w:history="true" w:anchor="_bookmark157">
            <w:r>
              <w:rPr/>
              <w:t>Indicador</w:t>
            </w:r>
            <w:r>
              <w:rPr>
                <w:spacing w:val="-1"/>
              </w:rPr>
              <w:t> </w:t>
            </w:r>
            <w:r>
              <w:rPr/>
              <w:t>de Cobertura:</w:t>
            </w:r>
            <w:r>
              <w:rPr>
                <w:spacing w:val="-2"/>
              </w:rPr>
              <w:t> </w:t>
            </w:r>
            <w:r>
              <w:rPr/>
              <w:t>Tasa Neta de</w:t>
            </w:r>
            <w:r>
              <w:rPr>
                <w:spacing w:val="1"/>
              </w:rPr>
              <w:t> </w:t>
            </w:r>
            <w:r>
              <w:rPr/>
              <w:t>Cobertura</w:t>
              <w:tab/>
              <w:t>137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40" w:lineRule="auto" w:before="0" w:after="0"/>
            <w:ind w:left="2738" w:right="0" w:hanging="881"/>
            <w:jc w:val="left"/>
          </w:pPr>
          <w:hyperlink w:history="true" w:anchor="_bookmark158">
            <w:r>
              <w:rPr/>
              <w:t>Indicador</w:t>
            </w:r>
            <w:r>
              <w:rPr>
                <w:spacing w:val="-1"/>
              </w:rPr>
              <w:t> </w:t>
            </w:r>
            <w:r>
              <w:rPr/>
              <w:t>de Cobertura:</w:t>
            </w:r>
            <w:r>
              <w:rPr>
                <w:spacing w:val="-2"/>
              </w:rPr>
              <w:t> </w:t>
            </w:r>
            <w:r>
              <w:rPr/>
              <w:t>Tasa Bruta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Déficit</w:t>
            </w:r>
            <w:r>
              <w:rPr>
                <w:spacing w:val="-2"/>
              </w:rPr>
              <w:t> </w:t>
            </w:r>
            <w:r>
              <w:rPr/>
              <w:t>por departamento,</w:t>
            </w:r>
            <w:r>
              <w:rPr>
                <w:spacing w:val="-3"/>
              </w:rPr>
              <w:t> </w:t>
            </w:r>
            <w:r>
              <w:rPr/>
              <w:t>sexo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etnia.</w:t>
              <w:tab/>
              <w:t>138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299" w:val="left" w:leader="none"/>
              <w:tab w:pos="2300" w:val="left" w:leader="none"/>
              <w:tab w:pos="10811" w:val="right" w:leader="dot"/>
            </w:tabs>
            <w:spacing w:line="240" w:lineRule="auto" w:before="1" w:after="0"/>
            <w:ind w:left="2299" w:right="0" w:hanging="682"/>
            <w:jc w:val="left"/>
          </w:pPr>
          <w:hyperlink w:history="true" w:anchor="_bookmark159">
            <w:r>
              <w:rPr/>
              <w:t>El</w:t>
            </w:r>
            <w:r>
              <w:rPr>
                <w:spacing w:val="-1"/>
              </w:rPr>
              <w:t> </w:t>
            </w:r>
            <w:r>
              <w:rPr/>
              <w:t>Progreso</w:t>
              <w:tab/>
              <w:t>139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40" w:lineRule="auto" w:before="0" w:after="0"/>
            <w:ind w:left="2738" w:right="0" w:hanging="881"/>
            <w:jc w:val="left"/>
          </w:pPr>
          <w:hyperlink w:history="true" w:anchor="_bookmark160">
            <w:r>
              <w:rPr/>
              <w:t>Información</w:t>
            </w:r>
            <w:r>
              <w:rPr>
                <w:spacing w:val="-2"/>
              </w:rPr>
              <w:t> </w:t>
            </w:r>
            <w:r>
              <w:rPr/>
              <w:t>General</w:t>
              <w:tab/>
              <w:t>139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40" w:lineRule="auto" w:before="0" w:after="0"/>
            <w:ind w:left="2738" w:right="0" w:hanging="881"/>
            <w:jc w:val="left"/>
          </w:pPr>
          <w:hyperlink w:history="true" w:anchor="_bookmark161">
            <w:r>
              <w:rPr/>
              <w:t>Situación</w:t>
            </w:r>
            <w:r>
              <w:rPr>
                <w:spacing w:val="-1"/>
              </w:rPr>
              <w:t> </w:t>
            </w:r>
            <w:r>
              <w:rPr/>
              <w:t>del Sistema de</w:t>
            </w:r>
            <w:r>
              <w:rPr>
                <w:spacing w:val="-3"/>
              </w:rPr>
              <w:t> </w:t>
            </w:r>
            <w:r>
              <w:rPr/>
              <w:t>Educación</w:t>
            </w:r>
            <w:r>
              <w:rPr>
                <w:spacing w:val="-1"/>
              </w:rPr>
              <w:t> </w:t>
            </w:r>
            <w:r>
              <w:rPr/>
              <w:t>Nacional</w:t>
              <w:tab/>
              <w:t>139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40" w:lineRule="auto" w:before="1" w:after="0"/>
            <w:ind w:left="2738" w:right="0" w:hanging="881"/>
            <w:jc w:val="left"/>
          </w:pPr>
          <w:hyperlink w:history="true" w:anchor="_bookmark162">
            <w:r>
              <w:rPr/>
              <w:t>Indicador</w:t>
            </w:r>
            <w:r>
              <w:rPr>
                <w:spacing w:val="-1"/>
              </w:rPr>
              <w:t> </w:t>
            </w:r>
            <w:r>
              <w:rPr/>
              <w:t>de Cobertura:</w:t>
            </w:r>
            <w:r>
              <w:rPr>
                <w:spacing w:val="-2"/>
              </w:rPr>
              <w:t> </w:t>
            </w:r>
            <w:r>
              <w:rPr/>
              <w:t>Tasa Neta de</w:t>
            </w:r>
            <w:r>
              <w:rPr>
                <w:spacing w:val="1"/>
              </w:rPr>
              <w:t> </w:t>
            </w:r>
            <w:r>
              <w:rPr/>
              <w:t>Cobertura</w:t>
              <w:tab/>
              <w:t>140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68" w:lineRule="exact" w:before="0" w:after="0"/>
            <w:ind w:left="2738" w:right="0" w:hanging="881"/>
            <w:jc w:val="left"/>
          </w:pPr>
          <w:hyperlink w:history="true" w:anchor="_bookmark163">
            <w:r>
              <w:rPr/>
              <w:t>Indicador</w:t>
            </w:r>
            <w:r>
              <w:rPr>
                <w:spacing w:val="-1"/>
              </w:rPr>
              <w:t> </w:t>
            </w:r>
            <w:r>
              <w:rPr/>
              <w:t>de Cobertura:</w:t>
            </w:r>
            <w:r>
              <w:rPr>
                <w:spacing w:val="-2"/>
              </w:rPr>
              <w:t> </w:t>
            </w:r>
            <w:r>
              <w:rPr/>
              <w:t>Tasa Bruta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Déficit</w:t>
            </w:r>
            <w:r>
              <w:rPr>
                <w:spacing w:val="-2"/>
              </w:rPr>
              <w:t> </w:t>
            </w:r>
            <w:r>
              <w:rPr/>
              <w:t>por departamento,</w:t>
            </w:r>
            <w:r>
              <w:rPr>
                <w:spacing w:val="-3"/>
              </w:rPr>
              <w:t> </w:t>
            </w:r>
            <w:r>
              <w:rPr/>
              <w:t>sexo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etnia.</w:t>
              <w:tab/>
              <w:t>141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299" w:val="left" w:leader="none"/>
              <w:tab w:pos="2300" w:val="left" w:leader="none"/>
              <w:tab w:pos="10811" w:val="right" w:leader="dot"/>
            </w:tabs>
            <w:spacing w:line="229" w:lineRule="exact" w:before="0" w:after="0"/>
            <w:ind w:left="2299" w:right="0" w:hanging="682"/>
            <w:jc w:val="left"/>
          </w:pPr>
          <w:hyperlink w:history="true" w:anchor="_bookmark164">
            <w:r>
              <w:rPr/>
              <w:t>Escuintla</w:t>
              <w:tab/>
              <w:t>142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40" w:lineRule="auto" w:before="0" w:after="0"/>
            <w:ind w:left="2738" w:right="0" w:hanging="881"/>
            <w:jc w:val="left"/>
          </w:pPr>
          <w:hyperlink w:history="true" w:anchor="_bookmark165">
            <w:r>
              <w:rPr/>
              <w:t>Información</w:t>
            </w:r>
            <w:r>
              <w:rPr>
                <w:spacing w:val="-1"/>
              </w:rPr>
              <w:t> </w:t>
            </w:r>
            <w:r>
              <w:rPr/>
              <w:t>General</w:t>
              <w:tab/>
              <w:t>142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40" w:lineRule="auto" w:before="1" w:after="0"/>
            <w:ind w:left="2738" w:right="0" w:hanging="881"/>
            <w:jc w:val="left"/>
          </w:pPr>
          <w:hyperlink w:history="true" w:anchor="_bookmark166">
            <w:r>
              <w:rPr/>
              <w:t>Situación</w:t>
            </w:r>
            <w:r>
              <w:rPr>
                <w:spacing w:val="-1"/>
              </w:rPr>
              <w:t> </w:t>
            </w:r>
            <w:r>
              <w:rPr/>
              <w:t>del Sistema de</w:t>
            </w:r>
            <w:r>
              <w:rPr>
                <w:spacing w:val="-3"/>
              </w:rPr>
              <w:t> </w:t>
            </w:r>
            <w:r>
              <w:rPr/>
              <w:t>Educación</w:t>
            </w:r>
            <w:r>
              <w:rPr>
                <w:spacing w:val="-1"/>
              </w:rPr>
              <w:t> </w:t>
            </w:r>
            <w:r>
              <w:rPr/>
              <w:t>Nacional</w:t>
              <w:tab/>
              <w:t>142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40" w:lineRule="auto" w:before="0" w:after="0"/>
            <w:ind w:left="2738" w:right="0" w:hanging="881"/>
            <w:jc w:val="left"/>
          </w:pPr>
          <w:hyperlink w:history="true" w:anchor="_bookmark167">
            <w:r>
              <w:rPr/>
              <w:t>Indicador</w:t>
            </w:r>
            <w:r>
              <w:rPr>
                <w:spacing w:val="-1"/>
              </w:rPr>
              <w:t> </w:t>
            </w:r>
            <w:r>
              <w:rPr/>
              <w:t>de Cobertura:</w:t>
            </w:r>
            <w:r>
              <w:rPr>
                <w:spacing w:val="-2"/>
              </w:rPr>
              <w:t> </w:t>
            </w:r>
            <w:r>
              <w:rPr/>
              <w:t>Tasa Neta de</w:t>
            </w:r>
            <w:r>
              <w:rPr>
                <w:spacing w:val="1"/>
              </w:rPr>
              <w:t> </w:t>
            </w:r>
            <w:r>
              <w:rPr/>
              <w:t>Cobertura</w:t>
              <w:tab/>
              <w:t>143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40" w:lineRule="auto" w:before="0" w:after="0"/>
            <w:ind w:left="2738" w:right="0" w:hanging="881"/>
            <w:jc w:val="left"/>
          </w:pPr>
          <w:hyperlink w:history="true" w:anchor="_bookmark168">
            <w:r>
              <w:rPr/>
              <w:t>Indicador</w:t>
            </w:r>
            <w:r>
              <w:rPr>
                <w:spacing w:val="-1"/>
              </w:rPr>
              <w:t> </w:t>
            </w:r>
            <w:r>
              <w:rPr/>
              <w:t>de Cobertura:</w:t>
            </w:r>
            <w:r>
              <w:rPr>
                <w:spacing w:val="-2"/>
              </w:rPr>
              <w:t> </w:t>
            </w:r>
            <w:r>
              <w:rPr/>
              <w:t>Tasa Bruta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Déficit</w:t>
            </w:r>
            <w:r>
              <w:rPr>
                <w:spacing w:val="-2"/>
              </w:rPr>
              <w:t> </w:t>
            </w:r>
            <w:r>
              <w:rPr/>
              <w:t>por departamento,</w:t>
            </w:r>
            <w:r>
              <w:rPr>
                <w:spacing w:val="-3"/>
              </w:rPr>
              <w:t> </w:t>
            </w:r>
            <w:r>
              <w:rPr/>
              <w:t>sexo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etnia.</w:t>
              <w:tab/>
              <w:t>144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299" w:val="left" w:leader="none"/>
              <w:tab w:pos="2300" w:val="left" w:leader="none"/>
              <w:tab w:pos="10811" w:val="right" w:leader="dot"/>
            </w:tabs>
            <w:spacing w:line="240" w:lineRule="auto" w:before="1" w:after="0"/>
            <w:ind w:left="2299" w:right="0" w:hanging="682"/>
            <w:jc w:val="left"/>
          </w:pPr>
          <w:hyperlink w:history="true" w:anchor="_bookmark169">
            <w:r>
              <w:rPr/>
              <w:t>Guatemala</w:t>
              <w:tab/>
              <w:t>145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40" w:lineRule="auto" w:before="0" w:after="0"/>
            <w:ind w:left="2738" w:right="0" w:hanging="881"/>
            <w:jc w:val="left"/>
          </w:pPr>
          <w:hyperlink w:history="true" w:anchor="_bookmark170">
            <w:r>
              <w:rPr/>
              <w:t>Información</w:t>
            </w:r>
            <w:r>
              <w:rPr>
                <w:spacing w:val="-2"/>
              </w:rPr>
              <w:t> </w:t>
            </w:r>
            <w:r>
              <w:rPr/>
              <w:t>General</w:t>
              <w:tab/>
              <w:t>145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67" w:lineRule="exact" w:before="0" w:after="0"/>
            <w:ind w:left="2738" w:right="0" w:hanging="881"/>
            <w:jc w:val="left"/>
          </w:pPr>
          <w:hyperlink w:history="true" w:anchor="_bookmark171">
            <w:r>
              <w:rPr/>
              <w:t>Situación</w:t>
            </w:r>
            <w:r>
              <w:rPr>
                <w:spacing w:val="-1"/>
              </w:rPr>
              <w:t> </w:t>
            </w:r>
            <w:r>
              <w:rPr/>
              <w:t>del Sistema de</w:t>
            </w:r>
            <w:r>
              <w:rPr>
                <w:spacing w:val="-3"/>
              </w:rPr>
              <w:t> </w:t>
            </w:r>
            <w:r>
              <w:rPr/>
              <w:t>Educación</w:t>
            </w:r>
            <w:r>
              <w:rPr>
                <w:spacing w:val="-1"/>
              </w:rPr>
              <w:t> </w:t>
            </w:r>
            <w:r>
              <w:rPr/>
              <w:t>Nacional</w:t>
              <w:tab/>
              <w:t>145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67" w:lineRule="exact" w:before="0" w:after="0"/>
            <w:ind w:left="2738" w:right="0" w:hanging="881"/>
            <w:jc w:val="left"/>
          </w:pPr>
          <w:hyperlink w:history="true" w:anchor="_bookmark172">
            <w:r>
              <w:rPr/>
              <w:t>Indicador</w:t>
            </w:r>
            <w:r>
              <w:rPr>
                <w:spacing w:val="-1"/>
              </w:rPr>
              <w:t> </w:t>
            </w:r>
            <w:r>
              <w:rPr/>
              <w:t>de Cobertura:</w:t>
            </w:r>
            <w:r>
              <w:rPr>
                <w:spacing w:val="-2"/>
              </w:rPr>
              <w:t> </w:t>
            </w:r>
            <w:r>
              <w:rPr/>
              <w:t>Tasa Neta de</w:t>
            </w:r>
            <w:r>
              <w:rPr>
                <w:spacing w:val="1"/>
              </w:rPr>
              <w:t> </w:t>
            </w:r>
            <w:r>
              <w:rPr/>
              <w:t>Cobertura</w:t>
              <w:tab/>
              <w:t>145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40" w:lineRule="auto" w:before="0" w:after="0"/>
            <w:ind w:left="2738" w:right="0" w:hanging="881"/>
            <w:jc w:val="left"/>
          </w:pPr>
          <w:hyperlink w:history="true" w:anchor="_bookmark173">
            <w:r>
              <w:rPr/>
              <w:t>Indicador</w:t>
            </w:r>
            <w:r>
              <w:rPr>
                <w:spacing w:val="-1"/>
              </w:rPr>
              <w:t> </w:t>
            </w:r>
            <w:r>
              <w:rPr/>
              <w:t>de Cobertura:</w:t>
            </w:r>
            <w:r>
              <w:rPr>
                <w:spacing w:val="-2"/>
              </w:rPr>
              <w:t> </w:t>
            </w:r>
            <w:r>
              <w:rPr/>
              <w:t>Tasa Bruta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Déficit</w:t>
            </w:r>
            <w:r>
              <w:rPr>
                <w:spacing w:val="-2"/>
              </w:rPr>
              <w:t> </w:t>
            </w:r>
            <w:r>
              <w:rPr/>
              <w:t>por departamento,</w:t>
            </w:r>
            <w:r>
              <w:rPr>
                <w:spacing w:val="-3"/>
              </w:rPr>
              <w:t> </w:t>
            </w:r>
            <w:r>
              <w:rPr/>
              <w:t>sexo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etnia.</w:t>
              <w:tab/>
              <w:t>147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299" w:val="left" w:leader="none"/>
              <w:tab w:pos="2300" w:val="left" w:leader="none"/>
              <w:tab w:pos="10811" w:val="right" w:leader="dot"/>
            </w:tabs>
            <w:spacing w:line="240" w:lineRule="auto" w:before="1" w:after="0"/>
            <w:ind w:left="2299" w:right="0" w:hanging="682"/>
            <w:jc w:val="left"/>
          </w:pPr>
          <w:hyperlink w:history="true" w:anchor="_bookmark174">
            <w:r>
              <w:rPr/>
              <w:t>Huehuetenango</w:t>
              <w:tab/>
              <w:t>148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40" w:lineRule="auto" w:before="0" w:after="0"/>
            <w:ind w:left="2738" w:right="0" w:hanging="881"/>
            <w:jc w:val="left"/>
          </w:pPr>
          <w:hyperlink w:history="true" w:anchor="_bookmark175">
            <w:r>
              <w:rPr/>
              <w:t>Información</w:t>
            </w:r>
            <w:r>
              <w:rPr>
                <w:spacing w:val="-2"/>
              </w:rPr>
              <w:t> </w:t>
            </w:r>
            <w:r>
              <w:rPr/>
              <w:t>General</w:t>
              <w:tab/>
              <w:t>148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40" w:lineRule="auto" w:before="0" w:after="0"/>
            <w:ind w:left="2738" w:right="0" w:hanging="881"/>
            <w:jc w:val="left"/>
          </w:pPr>
          <w:hyperlink w:history="true" w:anchor="_bookmark176">
            <w:r>
              <w:rPr/>
              <w:t>Situación</w:t>
            </w:r>
            <w:r>
              <w:rPr>
                <w:spacing w:val="-1"/>
              </w:rPr>
              <w:t> </w:t>
            </w:r>
            <w:r>
              <w:rPr/>
              <w:t>del Sistema de</w:t>
            </w:r>
            <w:r>
              <w:rPr>
                <w:spacing w:val="-3"/>
              </w:rPr>
              <w:t> </w:t>
            </w:r>
            <w:r>
              <w:rPr/>
              <w:t>Educación</w:t>
            </w:r>
            <w:r>
              <w:rPr>
                <w:spacing w:val="-1"/>
              </w:rPr>
              <w:t> </w:t>
            </w:r>
            <w:r>
              <w:rPr/>
              <w:t>Nacional</w:t>
              <w:tab/>
              <w:t>148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40" w:lineRule="auto" w:before="0" w:after="0"/>
            <w:ind w:left="2738" w:right="0" w:hanging="881"/>
            <w:jc w:val="left"/>
          </w:pPr>
          <w:hyperlink w:history="true" w:anchor="_bookmark177">
            <w:r>
              <w:rPr/>
              <w:t>Indicador</w:t>
            </w:r>
            <w:r>
              <w:rPr>
                <w:spacing w:val="-1"/>
              </w:rPr>
              <w:t> </w:t>
            </w:r>
            <w:r>
              <w:rPr/>
              <w:t>de Cobertura:</w:t>
            </w:r>
            <w:r>
              <w:rPr>
                <w:spacing w:val="-2"/>
              </w:rPr>
              <w:t> </w:t>
            </w:r>
            <w:r>
              <w:rPr/>
              <w:t>Tasa Neta de</w:t>
            </w:r>
            <w:r>
              <w:rPr>
                <w:spacing w:val="1"/>
              </w:rPr>
              <w:t> </w:t>
            </w:r>
            <w:r>
              <w:rPr/>
              <w:t>Cobertura</w:t>
              <w:tab/>
              <w:t>149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40" w:lineRule="auto" w:before="1" w:after="0"/>
            <w:ind w:left="2738" w:right="0" w:hanging="881"/>
            <w:jc w:val="left"/>
          </w:pPr>
          <w:hyperlink w:history="true" w:anchor="_bookmark178">
            <w:r>
              <w:rPr/>
              <w:t>Indicador</w:t>
            </w:r>
            <w:r>
              <w:rPr>
                <w:spacing w:val="-1"/>
              </w:rPr>
              <w:t> </w:t>
            </w:r>
            <w:r>
              <w:rPr/>
              <w:t>de Cobertura:</w:t>
            </w:r>
            <w:r>
              <w:rPr>
                <w:spacing w:val="-2"/>
              </w:rPr>
              <w:t> </w:t>
            </w:r>
            <w:r>
              <w:rPr/>
              <w:t>Tasa Bruta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Déficit</w:t>
            </w:r>
            <w:r>
              <w:rPr>
                <w:spacing w:val="-2"/>
              </w:rPr>
              <w:t> </w:t>
            </w:r>
            <w:r>
              <w:rPr/>
              <w:t>por departamento,</w:t>
            </w:r>
            <w:r>
              <w:rPr>
                <w:spacing w:val="-3"/>
              </w:rPr>
              <w:t> </w:t>
            </w:r>
            <w:r>
              <w:rPr/>
              <w:t>sexo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etnia.</w:t>
              <w:tab/>
              <w:t>151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299" w:val="left" w:leader="none"/>
              <w:tab w:pos="2300" w:val="left" w:leader="none"/>
              <w:tab w:pos="10811" w:val="right" w:leader="dot"/>
            </w:tabs>
            <w:spacing w:line="240" w:lineRule="auto" w:before="1" w:after="0"/>
            <w:ind w:left="2299" w:right="0" w:hanging="682"/>
            <w:jc w:val="left"/>
          </w:pPr>
          <w:hyperlink w:history="true" w:anchor="_bookmark179">
            <w:r>
              <w:rPr/>
              <w:t>Izabal</w:t>
              <w:tab/>
              <w:t>152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67" w:lineRule="exact" w:before="0" w:after="0"/>
            <w:ind w:left="2738" w:right="0" w:hanging="881"/>
            <w:jc w:val="left"/>
          </w:pPr>
          <w:hyperlink w:history="true" w:anchor="_bookmark180">
            <w:r>
              <w:rPr/>
              <w:t>Información</w:t>
            </w:r>
            <w:r>
              <w:rPr>
                <w:spacing w:val="-2"/>
              </w:rPr>
              <w:t> </w:t>
            </w:r>
            <w:r>
              <w:rPr/>
              <w:t>General</w:t>
              <w:tab/>
              <w:t>152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67" w:lineRule="exact" w:before="0" w:after="0"/>
            <w:ind w:left="2738" w:right="0" w:hanging="881"/>
            <w:jc w:val="left"/>
          </w:pPr>
          <w:hyperlink w:history="true" w:anchor="_bookmark181">
            <w:r>
              <w:rPr/>
              <w:t>Situación</w:t>
            </w:r>
            <w:r>
              <w:rPr>
                <w:spacing w:val="-1"/>
              </w:rPr>
              <w:t> </w:t>
            </w:r>
            <w:r>
              <w:rPr/>
              <w:t>del Sistema de</w:t>
            </w:r>
            <w:r>
              <w:rPr>
                <w:spacing w:val="-3"/>
              </w:rPr>
              <w:t> </w:t>
            </w:r>
            <w:r>
              <w:rPr/>
              <w:t>Educación</w:t>
            </w:r>
            <w:r>
              <w:rPr>
                <w:spacing w:val="-1"/>
              </w:rPr>
              <w:t> </w:t>
            </w:r>
            <w:r>
              <w:rPr/>
              <w:t>Nacional</w:t>
              <w:tab/>
              <w:t>152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40" w:lineRule="auto" w:before="0" w:after="0"/>
            <w:ind w:left="2738" w:right="0" w:hanging="881"/>
            <w:jc w:val="left"/>
          </w:pPr>
          <w:hyperlink w:history="true" w:anchor="_bookmark182">
            <w:r>
              <w:rPr/>
              <w:t>Indicador</w:t>
            </w:r>
            <w:r>
              <w:rPr>
                <w:spacing w:val="-1"/>
              </w:rPr>
              <w:t> </w:t>
            </w:r>
            <w:r>
              <w:rPr/>
              <w:t>de Cobertura:</w:t>
            </w:r>
            <w:r>
              <w:rPr>
                <w:spacing w:val="-2"/>
              </w:rPr>
              <w:t> </w:t>
            </w:r>
            <w:r>
              <w:rPr/>
              <w:t>Tasa Neta de</w:t>
            </w:r>
            <w:r>
              <w:rPr>
                <w:spacing w:val="1"/>
              </w:rPr>
              <w:t> </w:t>
            </w:r>
            <w:r>
              <w:rPr/>
              <w:t>Cobertura</w:t>
              <w:tab/>
              <w:t>153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40" w:lineRule="auto" w:before="0" w:after="0"/>
            <w:ind w:left="2738" w:right="0" w:hanging="881"/>
            <w:jc w:val="left"/>
          </w:pPr>
          <w:hyperlink w:history="true" w:anchor="_bookmark183">
            <w:r>
              <w:rPr/>
              <w:t>Indicador</w:t>
            </w:r>
            <w:r>
              <w:rPr>
                <w:spacing w:val="-1"/>
              </w:rPr>
              <w:t> </w:t>
            </w:r>
            <w:r>
              <w:rPr/>
              <w:t>de Cobertura:</w:t>
            </w:r>
            <w:r>
              <w:rPr>
                <w:spacing w:val="-2"/>
              </w:rPr>
              <w:t> </w:t>
            </w:r>
            <w:r>
              <w:rPr/>
              <w:t>Tasa Bruta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Déficit</w:t>
            </w:r>
            <w:r>
              <w:rPr>
                <w:spacing w:val="-2"/>
              </w:rPr>
              <w:t> </w:t>
            </w:r>
            <w:r>
              <w:rPr/>
              <w:t>por departamento,</w:t>
            </w:r>
            <w:r>
              <w:rPr>
                <w:spacing w:val="-3"/>
              </w:rPr>
              <w:t> </w:t>
            </w:r>
            <w:r>
              <w:rPr/>
              <w:t>sexo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etnia.</w:t>
              <w:tab/>
              <w:t>154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299" w:val="left" w:leader="none"/>
              <w:tab w:pos="2300" w:val="left" w:leader="none"/>
              <w:tab w:pos="10811" w:val="right" w:leader="dot"/>
            </w:tabs>
            <w:spacing w:line="240" w:lineRule="auto" w:before="1" w:after="0"/>
            <w:ind w:left="2299" w:right="0" w:hanging="682"/>
            <w:jc w:val="left"/>
          </w:pPr>
          <w:hyperlink w:history="true" w:anchor="_bookmark184">
            <w:r>
              <w:rPr/>
              <w:t>Jalapa</w:t>
              <w:tab/>
              <w:t>155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815" w:val="right" w:leader="dot"/>
            </w:tabs>
            <w:spacing w:line="240" w:lineRule="auto" w:before="0" w:after="0"/>
            <w:ind w:left="2738" w:right="0" w:hanging="881"/>
            <w:jc w:val="left"/>
          </w:pPr>
          <w:hyperlink w:history="true" w:anchor="_bookmark185">
            <w:r>
              <w:rPr/>
              <w:t>Información</w:t>
            </w:r>
            <w:r>
              <w:rPr>
                <w:spacing w:val="-2"/>
              </w:rPr>
              <w:t> </w:t>
            </w:r>
            <w:r>
              <w:rPr/>
              <w:t>General</w:t>
              <w:tab/>
              <w:t>155</w:t>
            </w:r>
          </w:hyperlink>
        </w:p>
      </w:sdtContent>
    </w:sdt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pict>
          <v:rect style="position:absolute;margin-left:563.880005pt;margin-top:17.559792pt;width:25.44pt;height:1.4399pt;mso-position-horizontal-relative:page;mso-position-vertical-relative:paragraph;z-index:-1572300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240" w:lineRule="auto" w:after="12"/>
        <w:ind w:right="629"/>
      </w:pPr>
      <w:r>
        <w:rPr>
          <w:w w:val="100"/>
        </w:rPr>
        <w:t>5</w:t>
      </w:r>
    </w:p>
    <w:p>
      <w:pPr>
        <w:pStyle w:val="BodyText"/>
        <w:spacing w:line="88" w:lineRule="exact"/>
        <w:ind w:left="1127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19872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1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40" w:lineRule="auto" w:before="57" w:after="0"/>
        <w:ind w:left="2738" w:right="0" w:hanging="881"/>
        <w:jc w:val="left"/>
        <w:rPr>
          <w:sz w:val="22"/>
        </w:rPr>
      </w:pPr>
      <w:hyperlink w:history="true" w:anchor="_bookmark186">
        <w:r>
          <w:rPr>
            <w:sz w:val="22"/>
          </w:rPr>
          <w:t>Situación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del Sistema de</w:t>
        </w:r>
        <w:r>
          <w:rPr>
            <w:spacing w:val="-3"/>
            <w:sz w:val="22"/>
          </w:rPr>
          <w:t> </w:t>
        </w:r>
        <w:r>
          <w:rPr>
            <w:sz w:val="22"/>
          </w:rPr>
          <w:t>Educación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Nacional</w:t>
          <w:tab/>
          <w:t>155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187">
        <w:r>
          <w:rPr>
            <w:sz w:val="22"/>
          </w:rPr>
          <w:t>Indicador</w:t>
        </w:r>
        <w:r>
          <w:rPr>
            <w:spacing w:val="-1"/>
            <w:sz w:val="22"/>
          </w:rPr>
          <w:t> </w:t>
        </w:r>
        <w:r>
          <w:rPr>
            <w:sz w:val="22"/>
          </w:rPr>
          <w:t>de Cobertura:</w:t>
        </w:r>
        <w:r>
          <w:rPr>
            <w:spacing w:val="-2"/>
            <w:sz w:val="22"/>
          </w:rPr>
          <w:t> </w:t>
        </w:r>
        <w:r>
          <w:rPr>
            <w:sz w:val="22"/>
          </w:rPr>
          <w:t>Tasa Neta de</w:t>
        </w:r>
        <w:r>
          <w:rPr>
            <w:spacing w:val="1"/>
            <w:sz w:val="22"/>
          </w:rPr>
          <w:t> </w:t>
        </w:r>
        <w:r>
          <w:rPr>
            <w:sz w:val="22"/>
          </w:rPr>
          <w:t>Cobertura</w:t>
          <w:tab/>
          <w:t>156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188">
        <w:r>
          <w:rPr>
            <w:sz w:val="22"/>
          </w:rPr>
          <w:t>Indicador</w:t>
        </w:r>
        <w:r>
          <w:rPr>
            <w:spacing w:val="-1"/>
            <w:sz w:val="22"/>
          </w:rPr>
          <w:t> </w:t>
        </w:r>
        <w:r>
          <w:rPr>
            <w:sz w:val="22"/>
          </w:rPr>
          <w:t>de Cobertura:</w:t>
        </w:r>
        <w:r>
          <w:rPr>
            <w:spacing w:val="-2"/>
            <w:sz w:val="22"/>
          </w:rPr>
          <w:t> </w:t>
        </w:r>
        <w:r>
          <w:rPr>
            <w:sz w:val="22"/>
          </w:rPr>
          <w:t>Tasa Bruta</w:t>
        </w:r>
        <w:r>
          <w:rPr>
            <w:spacing w:val="-2"/>
            <w:sz w:val="22"/>
          </w:rPr>
          <w:t> </w:t>
        </w:r>
        <w:r>
          <w:rPr>
            <w:sz w:val="22"/>
          </w:rPr>
          <w:t>y</w:t>
        </w:r>
        <w:r>
          <w:rPr>
            <w:spacing w:val="-3"/>
            <w:sz w:val="22"/>
          </w:rPr>
          <w:t> </w:t>
        </w:r>
        <w:r>
          <w:rPr>
            <w:sz w:val="22"/>
          </w:rPr>
          <w:t>Déficit</w:t>
        </w:r>
        <w:r>
          <w:rPr>
            <w:spacing w:val="-2"/>
            <w:sz w:val="22"/>
          </w:rPr>
          <w:t> </w:t>
        </w:r>
        <w:r>
          <w:rPr>
            <w:sz w:val="22"/>
          </w:rPr>
          <w:t>por departamento,</w:t>
        </w:r>
        <w:r>
          <w:rPr>
            <w:spacing w:val="-3"/>
            <w:sz w:val="22"/>
          </w:rPr>
          <w:t> </w:t>
        </w:r>
        <w:r>
          <w:rPr>
            <w:sz w:val="22"/>
          </w:rPr>
          <w:t>sexo</w:t>
        </w:r>
        <w:r>
          <w:rPr>
            <w:spacing w:val="-1"/>
            <w:sz w:val="22"/>
          </w:rPr>
          <w:t> </w:t>
        </w:r>
        <w:r>
          <w:rPr>
            <w:sz w:val="22"/>
          </w:rPr>
          <w:t>y</w:t>
        </w:r>
        <w:r>
          <w:rPr>
            <w:spacing w:val="-3"/>
            <w:sz w:val="22"/>
          </w:rPr>
          <w:t> </w:t>
        </w:r>
        <w:r>
          <w:rPr>
            <w:sz w:val="22"/>
          </w:rPr>
          <w:t>etnia.</w:t>
          <w:tab/>
          <w:t>157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811" w:val="right" w:leader="dot"/>
        </w:tabs>
        <w:spacing w:line="229" w:lineRule="exact" w:before="1" w:after="0"/>
        <w:ind w:left="2299" w:right="0" w:hanging="682"/>
        <w:jc w:val="left"/>
        <w:rPr>
          <w:rFonts w:ascii="Arial MT"/>
          <w:sz w:val="20"/>
        </w:rPr>
      </w:pPr>
      <w:hyperlink w:history="true" w:anchor="_bookmark189">
        <w:r>
          <w:rPr>
            <w:rFonts w:ascii="Arial MT"/>
            <w:sz w:val="20"/>
          </w:rPr>
          <w:t>Jutiapa</w:t>
          <w:tab/>
          <w:t>158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67" w:lineRule="exact" w:before="0" w:after="0"/>
        <w:ind w:left="2738" w:right="0" w:hanging="881"/>
        <w:jc w:val="left"/>
        <w:rPr>
          <w:sz w:val="22"/>
        </w:rPr>
      </w:pPr>
      <w:hyperlink w:history="true" w:anchor="_bookmark190">
        <w:r>
          <w:rPr>
            <w:sz w:val="22"/>
          </w:rPr>
          <w:t>Información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General</w:t>
          <w:tab/>
          <w:t>158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191">
        <w:r>
          <w:rPr>
            <w:sz w:val="22"/>
          </w:rPr>
          <w:t>Situación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del Sistema de</w:t>
        </w:r>
        <w:r>
          <w:rPr>
            <w:spacing w:val="-3"/>
            <w:sz w:val="22"/>
          </w:rPr>
          <w:t> </w:t>
        </w:r>
        <w:r>
          <w:rPr>
            <w:sz w:val="22"/>
          </w:rPr>
          <w:t>Educación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Nacional</w:t>
          <w:tab/>
          <w:t>158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192">
        <w:r>
          <w:rPr>
            <w:sz w:val="22"/>
          </w:rPr>
          <w:t>Indicador</w:t>
        </w:r>
        <w:r>
          <w:rPr>
            <w:spacing w:val="-1"/>
            <w:sz w:val="22"/>
          </w:rPr>
          <w:t> </w:t>
        </w:r>
        <w:r>
          <w:rPr>
            <w:sz w:val="22"/>
          </w:rPr>
          <w:t>de Cobertura:</w:t>
        </w:r>
        <w:r>
          <w:rPr>
            <w:spacing w:val="-2"/>
            <w:sz w:val="22"/>
          </w:rPr>
          <w:t> </w:t>
        </w:r>
        <w:r>
          <w:rPr>
            <w:sz w:val="22"/>
          </w:rPr>
          <w:t>Tasa Neta de</w:t>
        </w:r>
        <w:r>
          <w:rPr>
            <w:spacing w:val="1"/>
            <w:sz w:val="22"/>
          </w:rPr>
          <w:t> </w:t>
        </w:r>
        <w:r>
          <w:rPr>
            <w:sz w:val="22"/>
          </w:rPr>
          <w:t>Cobertura</w:t>
          <w:tab/>
          <w:t>159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40" w:lineRule="auto" w:before="1" w:after="0"/>
        <w:ind w:left="2738" w:right="0" w:hanging="881"/>
        <w:jc w:val="left"/>
        <w:rPr>
          <w:sz w:val="22"/>
        </w:rPr>
      </w:pPr>
      <w:hyperlink w:history="true" w:anchor="_bookmark193">
        <w:r>
          <w:rPr>
            <w:sz w:val="22"/>
          </w:rPr>
          <w:t>Indicador</w:t>
        </w:r>
        <w:r>
          <w:rPr>
            <w:spacing w:val="-1"/>
            <w:sz w:val="22"/>
          </w:rPr>
          <w:t> </w:t>
        </w:r>
        <w:r>
          <w:rPr>
            <w:sz w:val="22"/>
          </w:rPr>
          <w:t>de Cobertura:</w:t>
        </w:r>
        <w:r>
          <w:rPr>
            <w:spacing w:val="-2"/>
            <w:sz w:val="22"/>
          </w:rPr>
          <w:t> </w:t>
        </w:r>
        <w:r>
          <w:rPr>
            <w:sz w:val="22"/>
          </w:rPr>
          <w:t>Tasa Bruta</w:t>
        </w:r>
        <w:r>
          <w:rPr>
            <w:spacing w:val="-2"/>
            <w:sz w:val="22"/>
          </w:rPr>
          <w:t> </w:t>
        </w:r>
        <w:r>
          <w:rPr>
            <w:sz w:val="22"/>
          </w:rPr>
          <w:t>y</w:t>
        </w:r>
        <w:r>
          <w:rPr>
            <w:spacing w:val="-3"/>
            <w:sz w:val="22"/>
          </w:rPr>
          <w:t> </w:t>
        </w:r>
        <w:r>
          <w:rPr>
            <w:sz w:val="22"/>
          </w:rPr>
          <w:t>Déficit</w:t>
        </w:r>
        <w:r>
          <w:rPr>
            <w:spacing w:val="-2"/>
            <w:sz w:val="22"/>
          </w:rPr>
          <w:t> </w:t>
        </w:r>
        <w:r>
          <w:rPr>
            <w:sz w:val="22"/>
          </w:rPr>
          <w:t>por departamento,</w:t>
        </w:r>
        <w:r>
          <w:rPr>
            <w:spacing w:val="-3"/>
            <w:sz w:val="22"/>
          </w:rPr>
          <w:t> </w:t>
        </w:r>
        <w:r>
          <w:rPr>
            <w:sz w:val="22"/>
          </w:rPr>
          <w:t>sexo</w:t>
        </w:r>
        <w:r>
          <w:rPr>
            <w:spacing w:val="-1"/>
            <w:sz w:val="22"/>
          </w:rPr>
          <w:t> </w:t>
        </w:r>
        <w:r>
          <w:rPr>
            <w:sz w:val="22"/>
          </w:rPr>
          <w:t>y</w:t>
        </w:r>
        <w:r>
          <w:rPr>
            <w:spacing w:val="-3"/>
            <w:sz w:val="22"/>
          </w:rPr>
          <w:t> </w:t>
        </w:r>
        <w:r>
          <w:rPr>
            <w:sz w:val="22"/>
          </w:rPr>
          <w:t>etnia.</w:t>
          <w:tab/>
          <w:t>160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811" w:val="right" w:leader="dot"/>
        </w:tabs>
        <w:spacing w:line="240" w:lineRule="auto" w:before="0" w:after="0"/>
        <w:ind w:left="2299" w:right="0" w:hanging="682"/>
        <w:jc w:val="left"/>
        <w:rPr>
          <w:rFonts w:ascii="Arial MT" w:hAnsi="Arial MT"/>
          <w:sz w:val="20"/>
        </w:rPr>
      </w:pPr>
      <w:hyperlink w:history="true" w:anchor="_bookmark194">
        <w:r>
          <w:rPr>
            <w:rFonts w:ascii="Arial MT" w:hAnsi="Arial MT"/>
            <w:sz w:val="20"/>
          </w:rPr>
          <w:t>Petén</w:t>
          <w:tab/>
          <w:t>162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195">
        <w:r>
          <w:rPr>
            <w:sz w:val="22"/>
          </w:rPr>
          <w:t>Información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General</w:t>
          <w:tab/>
          <w:t>162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196">
        <w:r>
          <w:rPr>
            <w:sz w:val="22"/>
          </w:rPr>
          <w:t>Situación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del Sistema de</w:t>
        </w:r>
        <w:r>
          <w:rPr>
            <w:spacing w:val="-3"/>
            <w:sz w:val="22"/>
          </w:rPr>
          <w:t> </w:t>
        </w:r>
        <w:r>
          <w:rPr>
            <w:sz w:val="22"/>
          </w:rPr>
          <w:t>Educación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Nacional</w:t>
          <w:tab/>
          <w:t>162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40" w:lineRule="auto" w:before="1" w:after="0"/>
        <w:ind w:left="2738" w:right="0" w:hanging="881"/>
        <w:jc w:val="left"/>
        <w:rPr>
          <w:sz w:val="22"/>
        </w:rPr>
      </w:pPr>
      <w:hyperlink w:history="true" w:anchor="_bookmark197">
        <w:r>
          <w:rPr>
            <w:sz w:val="22"/>
          </w:rPr>
          <w:t>Indicador</w:t>
        </w:r>
        <w:r>
          <w:rPr>
            <w:spacing w:val="-1"/>
            <w:sz w:val="22"/>
          </w:rPr>
          <w:t> </w:t>
        </w:r>
        <w:r>
          <w:rPr>
            <w:sz w:val="22"/>
          </w:rPr>
          <w:t>de Cobertura:</w:t>
        </w:r>
        <w:r>
          <w:rPr>
            <w:spacing w:val="-2"/>
            <w:sz w:val="22"/>
          </w:rPr>
          <w:t> </w:t>
        </w:r>
        <w:r>
          <w:rPr>
            <w:sz w:val="22"/>
          </w:rPr>
          <w:t>Tasa Neta de</w:t>
        </w:r>
        <w:r>
          <w:rPr>
            <w:spacing w:val="1"/>
            <w:sz w:val="22"/>
          </w:rPr>
          <w:t> </w:t>
        </w:r>
        <w:r>
          <w:rPr>
            <w:sz w:val="22"/>
          </w:rPr>
          <w:t>Cobertura</w:t>
          <w:tab/>
          <w:t>163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68" w:lineRule="exact" w:before="1" w:after="0"/>
        <w:ind w:left="2738" w:right="0" w:hanging="881"/>
        <w:jc w:val="left"/>
        <w:rPr>
          <w:sz w:val="22"/>
        </w:rPr>
      </w:pPr>
      <w:hyperlink w:history="true" w:anchor="_bookmark198">
        <w:r>
          <w:rPr>
            <w:sz w:val="22"/>
          </w:rPr>
          <w:t>Indicador</w:t>
        </w:r>
        <w:r>
          <w:rPr>
            <w:spacing w:val="-1"/>
            <w:sz w:val="22"/>
          </w:rPr>
          <w:t> </w:t>
        </w:r>
        <w:r>
          <w:rPr>
            <w:sz w:val="22"/>
          </w:rPr>
          <w:t>de Cobertura:</w:t>
        </w:r>
        <w:r>
          <w:rPr>
            <w:spacing w:val="-2"/>
            <w:sz w:val="22"/>
          </w:rPr>
          <w:t> </w:t>
        </w:r>
        <w:r>
          <w:rPr>
            <w:sz w:val="22"/>
          </w:rPr>
          <w:t>Tasa Bruta</w:t>
        </w:r>
        <w:r>
          <w:rPr>
            <w:spacing w:val="-2"/>
            <w:sz w:val="22"/>
          </w:rPr>
          <w:t> </w:t>
        </w:r>
        <w:r>
          <w:rPr>
            <w:sz w:val="22"/>
          </w:rPr>
          <w:t>y</w:t>
        </w:r>
        <w:r>
          <w:rPr>
            <w:spacing w:val="-3"/>
            <w:sz w:val="22"/>
          </w:rPr>
          <w:t> </w:t>
        </w:r>
        <w:r>
          <w:rPr>
            <w:sz w:val="22"/>
          </w:rPr>
          <w:t>Déficit</w:t>
        </w:r>
        <w:r>
          <w:rPr>
            <w:spacing w:val="-2"/>
            <w:sz w:val="22"/>
          </w:rPr>
          <w:t> </w:t>
        </w:r>
        <w:r>
          <w:rPr>
            <w:sz w:val="22"/>
          </w:rPr>
          <w:t>por departamento,</w:t>
        </w:r>
        <w:r>
          <w:rPr>
            <w:spacing w:val="-3"/>
            <w:sz w:val="22"/>
          </w:rPr>
          <w:t> </w:t>
        </w:r>
        <w:r>
          <w:rPr>
            <w:sz w:val="22"/>
          </w:rPr>
          <w:t>sexo</w:t>
        </w:r>
        <w:r>
          <w:rPr>
            <w:spacing w:val="-1"/>
            <w:sz w:val="22"/>
          </w:rPr>
          <w:t> </w:t>
        </w:r>
        <w:r>
          <w:rPr>
            <w:sz w:val="22"/>
          </w:rPr>
          <w:t>y</w:t>
        </w:r>
        <w:r>
          <w:rPr>
            <w:spacing w:val="-3"/>
            <w:sz w:val="22"/>
          </w:rPr>
          <w:t> </w:t>
        </w:r>
        <w:r>
          <w:rPr>
            <w:sz w:val="22"/>
          </w:rPr>
          <w:t>etnia.</w:t>
          <w:tab/>
          <w:t>164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811" w:val="right" w:leader="dot"/>
        </w:tabs>
        <w:spacing w:line="229" w:lineRule="exact" w:before="0" w:after="0"/>
        <w:ind w:left="2299" w:right="0" w:hanging="682"/>
        <w:jc w:val="left"/>
        <w:rPr>
          <w:rFonts w:ascii="Arial MT"/>
          <w:sz w:val="20"/>
        </w:rPr>
      </w:pPr>
      <w:hyperlink w:history="true" w:anchor="_bookmark199">
        <w:r>
          <w:rPr>
            <w:rFonts w:ascii="Arial MT"/>
            <w:sz w:val="20"/>
          </w:rPr>
          <w:t>Quetzaltenango</w:t>
          <w:tab/>
          <w:t>165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200">
        <w:r>
          <w:rPr>
            <w:sz w:val="22"/>
          </w:rPr>
          <w:t>Información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General</w:t>
          <w:tab/>
          <w:t>165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201">
        <w:r>
          <w:rPr>
            <w:sz w:val="22"/>
          </w:rPr>
          <w:t>Situación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del Sistema de</w:t>
        </w:r>
        <w:r>
          <w:rPr>
            <w:spacing w:val="-3"/>
            <w:sz w:val="22"/>
          </w:rPr>
          <w:t> </w:t>
        </w:r>
        <w:r>
          <w:rPr>
            <w:sz w:val="22"/>
          </w:rPr>
          <w:t>Educación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Nacional</w:t>
          <w:tab/>
          <w:t>165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202">
        <w:r>
          <w:rPr>
            <w:sz w:val="22"/>
          </w:rPr>
          <w:t>Indicador</w:t>
        </w:r>
        <w:r>
          <w:rPr>
            <w:spacing w:val="-1"/>
            <w:sz w:val="22"/>
          </w:rPr>
          <w:t> </w:t>
        </w:r>
        <w:r>
          <w:rPr>
            <w:sz w:val="22"/>
          </w:rPr>
          <w:t>de Cobertura:</w:t>
        </w:r>
        <w:r>
          <w:rPr>
            <w:spacing w:val="-2"/>
            <w:sz w:val="22"/>
          </w:rPr>
          <w:t> </w:t>
        </w:r>
        <w:r>
          <w:rPr>
            <w:sz w:val="22"/>
          </w:rPr>
          <w:t>Tasa Neta de</w:t>
        </w:r>
        <w:r>
          <w:rPr>
            <w:spacing w:val="1"/>
            <w:sz w:val="22"/>
          </w:rPr>
          <w:t> </w:t>
        </w:r>
        <w:r>
          <w:rPr>
            <w:sz w:val="22"/>
          </w:rPr>
          <w:t>Cobertura</w:t>
          <w:tab/>
          <w:t>166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203">
        <w:r>
          <w:rPr>
            <w:sz w:val="22"/>
          </w:rPr>
          <w:t>Indicador</w:t>
        </w:r>
        <w:r>
          <w:rPr>
            <w:spacing w:val="-1"/>
            <w:sz w:val="22"/>
          </w:rPr>
          <w:t> </w:t>
        </w:r>
        <w:r>
          <w:rPr>
            <w:sz w:val="22"/>
          </w:rPr>
          <w:t>de Cobertura:</w:t>
        </w:r>
        <w:r>
          <w:rPr>
            <w:spacing w:val="-2"/>
            <w:sz w:val="22"/>
          </w:rPr>
          <w:t> </w:t>
        </w:r>
        <w:r>
          <w:rPr>
            <w:sz w:val="22"/>
          </w:rPr>
          <w:t>Tasa Bruta</w:t>
        </w:r>
        <w:r>
          <w:rPr>
            <w:spacing w:val="-2"/>
            <w:sz w:val="22"/>
          </w:rPr>
          <w:t> </w:t>
        </w:r>
        <w:r>
          <w:rPr>
            <w:sz w:val="22"/>
          </w:rPr>
          <w:t>y</w:t>
        </w:r>
        <w:r>
          <w:rPr>
            <w:spacing w:val="-2"/>
            <w:sz w:val="22"/>
          </w:rPr>
          <w:t> </w:t>
        </w:r>
        <w:r>
          <w:rPr>
            <w:sz w:val="22"/>
          </w:rPr>
          <w:t>Déficit</w:t>
        </w:r>
        <w:r>
          <w:rPr>
            <w:spacing w:val="-2"/>
            <w:sz w:val="22"/>
          </w:rPr>
          <w:t> </w:t>
        </w:r>
        <w:r>
          <w:rPr>
            <w:sz w:val="22"/>
          </w:rPr>
          <w:t>por departamento,</w:t>
        </w:r>
        <w:r>
          <w:rPr>
            <w:spacing w:val="-3"/>
            <w:sz w:val="22"/>
          </w:rPr>
          <w:t> </w:t>
        </w:r>
        <w:r>
          <w:rPr>
            <w:sz w:val="22"/>
          </w:rPr>
          <w:t>sexo</w:t>
        </w:r>
        <w:r>
          <w:rPr>
            <w:spacing w:val="-1"/>
            <w:sz w:val="22"/>
          </w:rPr>
          <w:t> </w:t>
        </w:r>
        <w:r>
          <w:rPr>
            <w:sz w:val="22"/>
          </w:rPr>
          <w:t>y</w:t>
        </w:r>
        <w:r>
          <w:rPr>
            <w:spacing w:val="-3"/>
            <w:sz w:val="22"/>
          </w:rPr>
          <w:t> </w:t>
        </w:r>
        <w:r>
          <w:rPr>
            <w:sz w:val="22"/>
          </w:rPr>
          <w:t>etnia.</w:t>
          <w:tab/>
          <w:t>167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811" w:val="right" w:leader="dot"/>
        </w:tabs>
        <w:spacing w:line="240" w:lineRule="auto" w:before="1" w:after="0"/>
        <w:ind w:left="2299" w:right="0" w:hanging="682"/>
        <w:jc w:val="left"/>
        <w:rPr>
          <w:rFonts w:ascii="Arial MT" w:hAnsi="Arial MT"/>
          <w:sz w:val="20"/>
        </w:rPr>
      </w:pPr>
      <w:hyperlink w:history="true" w:anchor="_bookmark204">
        <w:r>
          <w:rPr>
            <w:rFonts w:ascii="Arial MT" w:hAnsi="Arial MT"/>
            <w:sz w:val="20"/>
          </w:rPr>
          <w:t>Quiché</w:t>
          <w:tab/>
          <w:t>168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205">
        <w:r>
          <w:rPr>
            <w:sz w:val="22"/>
          </w:rPr>
          <w:t>Información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General</w:t>
          <w:tab/>
          <w:t>168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206">
        <w:r>
          <w:rPr>
            <w:sz w:val="22"/>
          </w:rPr>
          <w:t>Situación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del Sistema de</w:t>
        </w:r>
        <w:r>
          <w:rPr>
            <w:spacing w:val="-3"/>
            <w:sz w:val="22"/>
          </w:rPr>
          <w:t> </w:t>
        </w:r>
        <w:r>
          <w:rPr>
            <w:sz w:val="22"/>
          </w:rPr>
          <w:t>Educación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Nacional</w:t>
          <w:tab/>
          <w:t>168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67" w:lineRule="exact" w:before="1" w:after="0"/>
        <w:ind w:left="2738" w:right="0" w:hanging="881"/>
        <w:jc w:val="left"/>
        <w:rPr>
          <w:sz w:val="22"/>
        </w:rPr>
      </w:pPr>
      <w:hyperlink w:history="true" w:anchor="_bookmark207">
        <w:r>
          <w:rPr>
            <w:sz w:val="22"/>
          </w:rPr>
          <w:t>Indicador</w:t>
        </w:r>
        <w:r>
          <w:rPr>
            <w:spacing w:val="-1"/>
            <w:sz w:val="22"/>
          </w:rPr>
          <w:t> </w:t>
        </w:r>
        <w:r>
          <w:rPr>
            <w:sz w:val="22"/>
          </w:rPr>
          <w:t>de Cobertura:</w:t>
        </w:r>
        <w:r>
          <w:rPr>
            <w:spacing w:val="-2"/>
            <w:sz w:val="22"/>
          </w:rPr>
          <w:t> </w:t>
        </w:r>
        <w:r>
          <w:rPr>
            <w:sz w:val="22"/>
          </w:rPr>
          <w:t>Tasa Neta de</w:t>
        </w:r>
        <w:r>
          <w:rPr>
            <w:spacing w:val="1"/>
            <w:sz w:val="22"/>
          </w:rPr>
          <w:t> </w:t>
        </w:r>
        <w:r>
          <w:rPr>
            <w:sz w:val="22"/>
          </w:rPr>
          <w:t>Cobertura</w:t>
          <w:tab/>
          <w:t>169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67" w:lineRule="exact" w:before="0" w:after="0"/>
        <w:ind w:left="2738" w:right="0" w:hanging="881"/>
        <w:jc w:val="left"/>
        <w:rPr>
          <w:sz w:val="22"/>
        </w:rPr>
      </w:pPr>
      <w:hyperlink w:history="true" w:anchor="_bookmark208">
        <w:r>
          <w:rPr>
            <w:sz w:val="22"/>
          </w:rPr>
          <w:t>Indicador</w:t>
        </w:r>
        <w:r>
          <w:rPr>
            <w:spacing w:val="-1"/>
            <w:sz w:val="22"/>
          </w:rPr>
          <w:t> </w:t>
        </w:r>
        <w:r>
          <w:rPr>
            <w:sz w:val="22"/>
          </w:rPr>
          <w:t>de Cobertura:</w:t>
        </w:r>
        <w:r>
          <w:rPr>
            <w:spacing w:val="-2"/>
            <w:sz w:val="22"/>
          </w:rPr>
          <w:t> </w:t>
        </w:r>
        <w:r>
          <w:rPr>
            <w:sz w:val="22"/>
          </w:rPr>
          <w:t>Tasa Bruta</w:t>
        </w:r>
        <w:r>
          <w:rPr>
            <w:spacing w:val="-2"/>
            <w:sz w:val="22"/>
          </w:rPr>
          <w:t> </w:t>
        </w:r>
        <w:r>
          <w:rPr>
            <w:sz w:val="22"/>
          </w:rPr>
          <w:t>y</w:t>
        </w:r>
        <w:r>
          <w:rPr>
            <w:spacing w:val="-3"/>
            <w:sz w:val="22"/>
          </w:rPr>
          <w:t> </w:t>
        </w:r>
        <w:r>
          <w:rPr>
            <w:sz w:val="22"/>
          </w:rPr>
          <w:t>Déficit</w:t>
        </w:r>
        <w:r>
          <w:rPr>
            <w:spacing w:val="-2"/>
            <w:sz w:val="22"/>
          </w:rPr>
          <w:t> </w:t>
        </w:r>
        <w:r>
          <w:rPr>
            <w:sz w:val="22"/>
          </w:rPr>
          <w:t>por departamento,</w:t>
        </w:r>
        <w:r>
          <w:rPr>
            <w:spacing w:val="-3"/>
            <w:sz w:val="22"/>
          </w:rPr>
          <w:t> </w:t>
        </w:r>
        <w:r>
          <w:rPr>
            <w:sz w:val="22"/>
          </w:rPr>
          <w:t>sexo</w:t>
        </w:r>
        <w:r>
          <w:rPr>
            <w:spacing w:val="-1"/>
            <w:sz w:val="22"/>
          </w:rPr>
          <w:t> </w:t>
        </w:r>
        <w:r>
          <w:rPr>
            <w:sz w:val="22"/>
          </w:rPr>
          <w:t>y</w:t>
        </w:r>
        <w:r>
          <w:rPr>
            <w:spacing w:val="-3"/>
            <w:sz w:val="22"/>
          </w:rPr>
          <w:t> </w:t>
        </w:r>
        <w:r>
          <w:rPr>
            <w:sz w:val="22"/>
          </w:rPr>
          <w:t>etnia.</w:t>
          <w:tab/>
          <w:t>170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811" w:val="right" w:leader="dot"/>
        </w:tabs>
        <w:spacing w:line="240" w:lineRule="auto" w:before="0" w:after="0"/>
        <w:ind w:left="2299" w:right="0" w:hanging="682"/>
        <w:jc w:val="left"/>
        <w:rPr>
          <w:rFonts w:ascii="Arial MT"/>
          <w:sz w:val="20"/>
        </w:rPr>
      </w:pPr>
      <w:hyperlink w:history="true" w:anchor="_bookmark209">
        <w:r>
          <w:rPr>
            <w:rFonts w:ascii="Arial MT"/>
            <w:sz w:val="20"/>
          </w:rPr>
          <w:t>Retalhuleu</w:t>
          <w:tab/>
          <w:t>172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40" w:lineRule="auto" w:before="1" w:after="0"/>
        <w:ind w:left="2738" w:right="0" w:hanging="881"/>
        <w:jc w:val="left"/>
        <w:rPr>
          <w:sz w:val="22"/>
        </w:rPr>
      </w:pPr>
      <w:hyperlink w:history="true" w:anchor="_bookmark210">
        <w:r>
          <w:rPr>
            <w:sz w:val="22"/>
          </w:rPr>
          <w:t>Información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General</w:t>
          <w:tab/>
          <w:t>172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211">
        <w:r>
          <w:rPr>
            <w:sz w:val="22"/>
          </w:rPr>
          <w:t>Situación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del Sistema de</w:t>
        </w:r>
        <w:r>
          <w:rPr>
            <w:spacing w:val="-3"/>
            <w:sz w:val="22"/>
          </w:rPr>
          <w:t> </w:t>
        </w:r>
        <w:r>
          <w:rPr>
            <w:sz w:val="22"/>
          </w:rPr>
          <w:t>Educación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Nacional</w:t>
          <w:tab/>
          <w:t>172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212">
        <w:r>
          <w:rPr>
            <w:sz w:val="22"/>
          </w:rPr>
          <w:t>Indicador</w:t>
        </w:r>
        <w:r>
          <w:rPr>
            <w:spacing w:val="-1"/>
            <w:sz w:val="22"/>
          </w:rPr>
          <w:t> </w:t>
        </w:r>
        <w:r>
          <w:rPr>
            <w:sz w:val="22"/>
          </w:rPr>
          <w:t>de Cobertura:</w:t>
        </w:r>
        <w:r>
          <w:rPr>
            <w:spacing w:val="-2"/>
            <w:sz w:val="22"/>
          </w:rPr>
          <w:t> </w:t>
        </w:r>
        <w:r>
          <w:rPr>
            <w:sz w:val="22"/>
          </w:rPr>
          <w:t>Tasa Neta de</w:t>
        </w:r>
        <w:r>
          <w:rPr>
            <w:spacing w:val="1"/>
            <w:sz w:val="22"/>
          </w:rPr>
          <w:t> </w:t>
        </w:r>
        <w:r>
          <w:rPr>
            <w:sz w:val="22"/>
          </w:rPr>
          <w:t>Cobertura</w:t>
          <w:tab/>
          <w:t>173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213">
        <w:r>
          <w:rPr>
            <w:sz w:val="22"/>
          </w:rPr>
          <w:t>Indicador</w:t>
        </w:r>
        <w:r>
          <w:rPr>
            <w:spacing w:val="-1"/>
            <w:sz w:val="22"/>
          </w:rPr>
          <w:t> </w:t>
        </w:r>
        <w:r>
          <w:rPr>
            <w:sz w:val="22"/>
          </w:rPr>
          <w:t>de Cobertura:</w:t>
        </w:r>
        <w:r>
          <w:rPr>
            <w:spacing w:val="-2"/>
            <w:sz w:val="22"/>
          </w:rPr>
          <w:t> </w:t>
        </w:r>
        <w:r>
          <w:rPr>
            <w:sz w:val="22"/>
          </w:rPr>
          <w:t>Tasa Bruta</w:t>
        </w:r>
        <w:r>
          <w:rPr>
            <w:spacing w:val="-2"/>
            <w:sz w:val="22"/>
          </w:rPr>
          <w:t> </w:t>
        </w:r>
        <w:r>
          <w:rPr>
            <w:sz w:val="22"/>
          </w:rPr>
          <w:t>y</w:t>
        </w:r>
        <w:r>
          <w:rPr>
            <w:spacing w:val="-3"/>
            <w:sz w:val="22"/>
          </w:rPr>
          <w:t> </w:t>
        </w:r>
        <w:r>
          <w:rPr>
            <w:sz w:val="22"/>
          </w:rPr>
          <w:t>Déficit</w:t>
        </w:r>
        <w:r>
          <w:rPr>
            <w:spacing w:val="-2"/>
            <w:sz w:val="22"/>
          </w:rPr>
          <w:t> </w:t>
        </w:r>
        <w:r>
          <w:rPr>
            <w:sz w:val="22"/>
          </w:rPr>
          <w:t>por departamento,</w:t>
        </w:r>
        <w:r>
          <w:rPr>
            <w:spacing w:val="-3"/>
            <w:sz w:val="22"/>
          </w:rPr>
          <w:t> </w:t>
        </w:r>
        <w:r>
          <w:rPr>
            <w:sz w:val="22"/>
          </w:rPr>
          <w:t>sexo</w:t>
        </w:r>
        <w:r>
          <w:rPr>
            <w:spacing w:val="-1"/>
            <w:sz w:val="22"/>
          </w:rPr>
          <w:t> </w:t>
        </w:r>
        <w:r>
          <w:rPr>
            <w:sz w:val="22"/>
          </w:rPr>
          <w:t>y</w:t>
        </w:r>
        <w:r>
          <w:rPr>
            <w:spacing w:val="-3"/>
            <w:sz w:val="22"/>
          </w:rPr>
          <w:t> </w:t>
        </w:r>
        <w:r>
          <w:rPr>
            <w:sz w:val="22"/>
          </w:rPr>
          <w:t>etnia.</w:t>
          <w:tab/>
          <w:t>174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811" w:val="right" w:leader="dot"/>
        </w:tabs>
        <w:spacing w:line="240" w:lineRule="auto" w:before="1" w:after="0"/>
        <w:ind w:left="2299" w:right="0" w:hanging="682"/>
        <w:jc w:val="left"/>
        <w:rPr>
          <w:rFonts w:ascii="Arial MT" w:hAnsi="Arial MT"/>
          <w:sz w:val="20"/>
        </w:rPr>
      </w:pPr>
      <w:hyperlink w:history="true" w:anchor="_bookmark214">
        <w:r>
          <w:rPr>
            <w:rFonts w:ascii="Arial MT" w:hAnsi="Arial MT"/>
            <w:sz w:val="20"/>
          </w:rPr>
          <w:t>Sacatepéquez</w:t>
          <w:tab/>
          <w:t>175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67" w:lineRule="exact" w:before="0" w:after="0"/>
        <w:ind w:left="2738" w:right="0" w:hanging="881"/>
        <w:jc w:val="left"/>
        <w:rPr>
          <w:sz w:val="22"/>
        </w:rPr>
      </w:pPr>
      <w:hyperlink w:history="true" w:anchor="_bookmark215">
        <w:r>
          <w:rPr>
            <w:sz w:val="22"/>
          </w:rPr>
          <w:t>Información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General</w:t>
          <w:tab/>
          <w:t>175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67" w:lineRule="exact" w:before="0" w:after="0"/>
        <w:ind w:left="2738" w:right="0" w:hanging="881"/>
        <w:jc w:val="left"/>
        <w:rPr>
          <w:sz w:val="22"/>
        </w:rPr>
      </w:pPr>
      <w:hyperlink w:history="true" w:anchor="_bookmark216">
        <w:r>
          <w:rPr>
            <w:sz w:val="22"/>
          </w:rPr>
          <w:t>Situación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del Sistema de</w:t>
        </w:r>
        <w:r>
          <w:rPr>
            <w:spacing w:val="-3"/>
            <w:sz w:val="22"/>
          </w:rPr>
          <w:t> </w:t>
        </w:r>
        <w:r>
          <w:rPr>
            <w:sz w:val="22"/>
          </w:rPr>
          <w:t>Educación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Nacional</w:t>
          <w:tab/>
          <w:t>175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217">
        <w:r>
          <w:rPr>
            <w:sz w:val="22"/>
          </w:rPr>
          <w:t>Indicador</w:t>
        </w:r>
        <w:r>
          <w:rPr>
            <w:spacing w:val="-1"/>
            <w:sz w:val="22"/>
          </w:rPr>
          <w:t> </w:t>
        </w:r>
        <w:r>
          <w:rPr>
            <w:sz w:val="22"/>
          </w:rPr>
          <w:t>de Cobertura:</w:t>
        </w:r>
        <w:r>
          <w:rPr>
            <w:spacing w:val="-2"/>
            <w:sz w:val="22"/>
          </w:rPr>
          <w:t> </w:t>
        </w:r>
        <w:r>
          <w:rPr>
            <w:sz w:val="22"/>
          </w:rPr>
          <w:t>Tasa Neta de</w:t>
        </w:r>
        <w:r>
          <w:rPr>
            <w:spacing w:val="1"/>
            <w:sz w:val="22"/>
          </w:rPr>
          <w:t> </w:t>
        </w:r>
        <w:r>
          <w:rPr>
            <w:sz w:val="22"/>
          </w:rPr>
          <w:t>Cobertura</w:t>
          <w:tab/>
          <w:t>175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40" w:lineRule="auto" w:before="1" w:after="0"/>
        <w:ind w:left="2738" w:right="0" w:hanging="881"/>
        <w:jc w:val="left"/>
        <w:rPr>
          <w:sz w:val="22"/>
        </w:rPr>
      </w:pPr>
      <w:hyperlink w:history="true" w:anchor="_bookmark218">
        <w:r>
          <w:rPr>
            <w:sz w:val="22"/>
          </w:rPr>
          <w:t>Indicador</w:t>
        </w:r>
        <w:r>
          <w:rPr>
            <w:spacing w:val="-1"/>
            <w:sz w:val="22"/>
          </w:rPr>
          <w:t> </w:t>
        </w:r>
        <w:r>
          <w:rPr>
            <w:sz w:val="22"/>
          </w:rPr>
          <w:t>de Cobertura:</w:t>
        </w:r>
        <w:r>
          <w:rPr>
            <w:spacing w:val="-2"/>
            <w:sz w:val="22"/>
          </w:rPr>
          <w:t> </w:t>
        </w:r>
        <w:r>
          <w:rPr>
            <w:sz w:val="22"/>
          </w:rPr>
          <w:t>Tasa Bruta</w:t>
        </w:r>
        <w:r>
          <w:rPr>
            <w:spacing w:val="-2"/>
            <w:sz w:val="22"/>
          </w:rPr>
          <w:t> </w:t>
        </w:r>
        <w:r>
          <w:rPr>
            <w:sz w:val="22"/>
          </w:rPr>
          <w:t>y</w:t>
        </w:r>
        <w:r>
          <w:rPr>
            <w:spacing w:val="-3"/>
            <w:sz w:val="22"/>
          </w:rPr>
          <w:t> </w:t>
        </w:r>
        <w:r>
          <w:rPr>
            <w:sz w:val="22"/>
          </w:rPr>
          <w:t>Déficit</w:t>
        </w:r>
        <w:r>
          <w:rPr>
            <w:spacing w:val="-2"/>
            <w:sz w:val="22"/>
          </w:rPr>
          <w:t> </w:t>
        </w:r>
        <w:r>
          <w:rPr>
            <w:sz w:val="22"/>
          </w:rPr>
          <w:t>por departamento,</w:t>
        </w:r>
        <w:r>
          <w:rPr>
            <w:spacing w:val="-3"/>
            <w:sz w:val="22"/>
          </w:rPr>
          <w:t> </w:t>
        </w:r>
        <w:r>
          <w:rPr>
            <w:sz w:val="22"/>
          </w:rPr>
          <w:t>sexo</w:t>
        </w:r>
        <w:r>
          <w:rPr>
            <w:spacing w:val="-1"/>
            <w:sz w:val="22"/>
          </w:rPr>
          <w:t> </w:t>
        </w:r>
        <w:r>
          <w:rPr>
            <w:sz w:val="22"/>
          </w:rPr>
          <w:t>y</w:t>
        </w:r>
        <w:r>
          <w:rPr>
            <w:spacing w:val="-3"/>
            <w:sz w:val="22"/>
          </w:rPr>
          <w:t> </w:t>
        </w:r>
        <w:r>
          <w:rPr>
            <w:sz w:val="22"/>
          </w:rPr>
          <w:t>etnia.</w:t>
          <w:tab/>
          <w:t>177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811" w:val="right" w:leader="dot"/>
        </w:tabs>
        <w:spacing w:line="240" w:lineRule="auto" w:before="0" w:after="0"/>
        <w:ind w:left="2299" w:right="0" w:hanging="682"/>
        <w:jc w:val="left"/>
        <w:rPr>
          <w:rFonts w:ascii="Arial MT"/>
          <w:sz w:val="20"/>
        </w:rPr>
      </w:pPr>
      <w:hyperlink w:history="true" w:anchor="_bookmark219">
        <w:r>
          <w:rPr>
            <w:rFonts w:ascii="Arial MT"/>
            <w:sz w:val="20"/>
          </w:rPr>
          <w:t>San Marcos</w:t>
          <w:tab/>
          <w:t>178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220">
        <w:r>
          <w:rPr>
            <w:sz w:val="22"/>
          </w:rPr>
          <w:t>Información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General</w:t>
          <w:tab/>
          <w:t>178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221">
        <w:r>
          <w:rPr>
            <w:sz w:val="22"/>
          </w:rPr>
          <w:t>Situación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del Sistema de</w:t>
        </w:r>
        <w:r>
          <w:rPr>
            <w:spacing w:val="-3"/>
            <w:sz w:val="22"/>
          </w:rPr>
          <w:t> </w:t>
        </w:r>
        <w:r>
          <w:rPr>
            <w:sz w:val="22"/>
          </w:rPr>
          <w:t>Educación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Nacional</w:t>
          <w:tab/>
          <w:t>178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40" w:lineRule="auto" w:before="1" w:after="0"/>
        <w:ind w:left="2738" w:right="0" w:hanging="881"/>
        <w:jc w:val="left"/>
        <w:rPr>
          <w:sz w:val="22"/>
        </w:rPr>
      </w:pPr>
      <w:hyperlink w:history="true" w:anchor="_bookmark222">
        <w:r>
          <w:rPr>
            <w:sz w:val="22"/>
          </w:rPr>
          <w:t>Indicador</w:t>
        </w:r>
        <w:r>
          <w:rPr>
            <w:spacing w:val="-1"/>
            <w:sz w:val="22"/>
          </w:rPr>
          <w:t> </w:t>
        </w:r>
        <w:r>
          <w:rPr>
            <w:sz w:val="22"/>
          </w:rPr>
          <w:t>de Cobertura:</w:t>
        </w:r>
        <w:r>
          <w:rPr>
            <w:spacing w:val="-2"/>
            <w:sz w:val="22"/>
          </w:rPr>
          <w:t> </w:t>
        </w:r>
        <w:r>
          <w:rPr>
            <w:sz w:val="22"/>
          </w:rPr>
          <w:t>Tasa Neta de</w:t>
        </w:r>
        <w:r>
          <w:rPr>
            <w:spacing w:val="1"/>
            <w:sz w:val="22"/>
          </w:rPr>
          <w:t> </w:t>
        </w:r>
        <w:r>
          <w:rPr>
            <w:sz w:val="22"/>
          </w:rPr>
          <w:t>Cobertura</w:t>
          <w:tab/>
          <w:t>179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40" w:lineRule="auto" w:before="1" w:after="0"/>
        <w:ind w:left="2738" w:right="0" w:hanging="881"/>
        <w:jc w:val="left"/>
        <w:rPr>
          <w:sz w:val="22"/>
        </w:rPr>
      </w:pPr>
      <w:hyperlink w:history="true" w:anchor="_bookmark223">
        <w:r>
          <w:rPr>
            <w:sz w:val="22"/>
          </w:rPr>
          <w:t>Indicador</w:t>
        </w:r>
        <w:r>
          <w:rPr>
            <w:spacing w:val="-1"/>
            <w:sz w:val="22"/>
          </w:rPr>
          <w:t> </w:t>
        </w:r>
        <w:r>
          <w:rPr>
            <w:sz w:val="22"/>
          </w:rPr>
          <w:t>de Cobertura:</w:t>
        </w:r>
        <w:r>
          <w:rPr>
            <w:spacing w:val="-2"/>
            <w:sz w:val="22"/>
          </w:rPr>
          <w:t> </w:t>
        </w:r>
        <w:r>
          <w:rPr>
            <w:sz w:val="22"/>
          </w:rPr>
          <w:t>Tasa Bruta</w:t>
        </w:r>
        <w:r>
          <w:rPr>
            <w:spacing w:val="-2"/>
            <w:sz w:val="22"/>
          </w:rPr>
          <w:t> </w:t>
        </w:r>
        <w:r>
          <w:rPr>
            <w:sz w:val="22"/>
          </w:rPr>
          <w:t>y</w:t>
        </w:r>
        <w:r>
          <w:rPr>
            <w:spacing w:val="-3"/>
            <w:sz w:val="22"/>
          </w:rPr>
          <w:t> </w:t>
        </w:r>
        <w:r>
          <w:rPr>
            <w:sz w:val="22"/>
          </w:rPr>
          <w:t>Déficit</w:t>
        </w:r>
        <w:r>
          <w:rPr>
            <w:spacing w:val="-2"/>
            <w:sz w:val="22"/>
          </w:rPr>
          <w:t> </w:t>
        </w:r>
        <w:r>
          <w:rPr>
            <w:sz w:val="22"/>
          </w:rPr>
          <w:t>por departamento,</w:t>
        </w:r>
        <w:r>
          <w:rPr>
            <w:spacing w:val="-3"/>
            <w:sz w:val="22"/>
          </w:rPr>
          <w:t> </w:t>
        </w:r>
        <w:r>
          <w:rPr>
            <w:sz w:val="22"/>
          </w:rPr>
          <w:t>sexo</w:t>
        </w:r>
        <w:r>
          <w:rPr>
            <w:spacing w:val="-1"/>
            <w:sz w:val="22"/>
          </w:rPr>
          <w:t> </w:t>
        </w:r>
        <w:r>
          <w:rPr>
            <w:sz w:val="22"/>
          </w:rPr>
          <w:t>y</w:t>
        </w:r>
        <w:r>
          <w:rPr>
            <w:spacing w:val="-3"/>
            <w:sz w:val="22"/>
          </w:rPr>
          <w:t> </w:t>
        </w:r>
        <w:r>
          <w:rPr>
            <w:sz w:val="22"/>
          </w:rPr>
          <w:t>etnia.</w:t>
          <w:tab/>
          <w:t>180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811" w:val="right" w:leader="dot"/>
        </w:tabs>
        <w:spacing w:line="229" w:lineRule="exact" w:before="0" w:after="0"/>
        <w:ind w:left="2299" w:right="0" w:hanging="682"/>
        <w:jc w:val="left"/>
        <w:rPr>
          <w:rFonts w:ascii="Arial MT"/>
          <w:sz w:val="20"/>
        </w:rPr>
      </w:pPr>
      <w:hyperlink w:history="true" w:anchor="_bookmark224">
        <w:r>
          <w:rPr>
            <w:rFonts w:ascii="Arial MT"/>
            <w:sz w:val="20"/>
          </w:rPr>
          <w:t>Santa</w:t>
        </w:r>
        <w:r>
          <w:rPr>
            <w:rFonts w:ascii="Arial MT"/>
            <w:spacing w:val="-2"/>
            <w:sz w:val="20"/>
          </w:rPr>
          <w:t> </w:t>
        </w:r>
        <w:r>
          <w:rPr>
            <w:rFonts w:ascii="Arial MT"/>
            <w:sz w:val="20"/>
          </w:rPr>
          <w:t>Rosa</w:t>
          <w:tab/>
          <w:t>181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67" w:lineRule="exact" w:before="0" w:after="0"/>
        <w:ind w:left="2738" w:right="0" w:hanging="881"/>
        <w:jc w:val="left"/>
        <w:rPr>
          <w:sz w:val="22"/>
        </w:rPr>
      </w:pPr>
      <w:hyperlink w:history="true" w:anchor="_bookmark225">
        <w:r>
          <w:rPr>
            <w:sz w:val="22"/>
          </w:rPr>
          <w:t>Información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General</w:t>
          <w:tab/>
          <w:t>181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226">
        <w:r>
          <w:rPr>
            <w:sz w:val="22"/>
          </w:rPr>
          <w:t>Situación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del Sistema de</w:t>
        </w:r>
        <w:r>
          <w:rPr>
            <w:spacing w:val="-3"/>
            <w:sz w:val="22"/>
          </w:rPr>
          <w:t> </w:t>
        </w:r>
        <w:r>
          <w:rPr>
            <w:sz w:val="22"/>
          </w:rPr>
          <w:t>Educación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Nacional</w:t>
          <w:tab/>
          <w:t>181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3" w:val="right" w:leader="dot"/>
        </w:tabs>
        <w:spacing w:line="240" w:lineRule="auto" w:before="1" w:after="0"/>
        <w:ind w:left="2738" w:right="0" w:hanging="881"/>
        <w:jc w:val="left"/>
        <w:rPr>
          <w:sz w:val="22"/>
        </w:rPr>
      </w:pPr>
      <w:hyperlink w:history="true" w:anchor="_bookmark227">
        <w:r>
          <w:rPr>
            <w:sz w:val="22"/>
          </w:rPr>
          <w:t>Indicador</w:t>
        </w:r>
        <w:r>
          <w:rPr>
            <w:spacing w:val="-1"/>
            <w:sz w:val="22"/>
          </w:rPr>
          <w:t> </w:t>
        </w:r>
        <w:r>
          <w:rPr>
            <w:sz w:val="22"/>
          </w:rPr>
          <w:t>de Cobertura:</w:t>
        </w:r>
        <w:r>
          <w:rPr>
            <w:spacing w:val="-2"/>
            <w:sz w:val="22"/>
          </w:rPr>
          <w:t> </w:t>
        </w:r>
        <w:r>
          <w:rPr>
            <w:sz w:val="22"/>
          </w:rPr>
          <w:t>Tasa Neta de</w:t>
        </w:r>
        <w:r>
          <w:rPr>
            <w:spacing w:val="1"/>
            <w:sz w:val="22"/>
          </w:rPr>
          <w:t> </w:t>
        </w:r>
        <w:r>
          <w:rPr>
            <w:sz w:val="22"/>
          </w:rPr>
          <w:t>Cobertura</w:t>
          <w:tab/>
          <w:t>181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815" w:val="righ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228">
        <w:r>
          <w:rPr>
            <w:sz w:val="22"/>
          </w:rPr>
          <w:t>Indicador</w:t>
        </w:r>
        <w:r>
          <w:rPr>
            <w:spacing w:val="-1"/>
            <w:sz w:val="22"/>
          </w:rPr>
          <w:t> </w:t>
        </w:r>
        <w:r>
          <w:rPr>
            <w:sz w:val="22"/>
          </w:rPr>
          <w:t>de Cobertura:</w:t>
        </w:r>
        <w:r>
          <w:rPr>
            <w:spacing w:val="-2"/>
            <w:sz w:val="22"/>
          </w:rPr>
          <w:t> </w:t>
        </w:r>
        <w:r>
          <w:rPr>
            <w:sz w:val="22"/>
          </w:rPr>
          <w:t>Tasa Bruta</w:t>
        </w:r>
        <w:r>
          <w:rPr>
            <w:spacing w:val="-3"/>
            <w:sz w:val="22"/>
          </w:rPr>
          <w:t> </w:t>
        </w:r>
        <w:r>
          <w:rPr>
            <w:sz w:val="22"/>
          </w:rPr>
          <w:t>y</w:t>
        </w:r>
        <w:r>
          <w:rPr>
            <w:spacing w:val="-2"/>
            <w:sz w:val="22"/>
          </w:rPr>
          <w:t> </w:t>
        </w:r>
        <w:r>
          <w:rPr>
            <w:sz w:val="22"/>
          </w:rPr>
          <w:t>Déficit</w:t>
        </w:r>
        <w:r>
          <w:rPr>
            <w:spacing w:val="-2"/>
            <w:sz w:val="22"/>
          </w:rPr>
          <w:t> </w:t>
        </w:r>
        <w:r>
          <w:rPr>
            <w:sz w:val="22"/>
          </w:rPr>
          <w:t>por</w:t>
        </w:r>
        <w:r>
          <w:rPr>
            <w:spacing w:val="1"/>
            <w:sz w:val="22"/>
          </w:rPr>
          <w:t> </w:t>
        </w:r>
        <w:r>
          <w:rPr>
            <w:sz w:val="22"/>
          </w:rPr>
          <w:t>departamento,</w:t>
        </w:r>
        <w:r>
          <w:rPr>
            <w:spacing w:val="-4"/>
            <w:sz w:val="22"/>
          </w:rPr>
          <w:t> </w:t>
        </w:r>
        <w:r>
          <w:rPr>
            <w:sz w:val="22"/>
          </w:rPr>
          <w:t>sexo</w:t>
        </w:r>
        <w:r>
          <w:rPr>
            <w:spacing w:val="-1"/>
            <w:sz w:val="22"/>
          </w:rPr>
          <w:t> </w:t>
        </w:r>
        <w:r>
          <w:rPr>
            <w:sz w:val="22"/>
          </w:rPr>
          <w:t>y</w:t>
        </w:r>
        <w:r>
          <w:rPr>
            <w:spacing w:val="-2"/>
            <w:sz w:val="22"/>
          </w:rPr>
          <w:t> </w:t>
        </w:r>
        <w:r>
          <w:rPr>
            <w:sz w:val="22"/>
          </w:rPr>
          <w:t>etnia.</w:t>
          <w:tab/>
          <w:t>183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811" w:val="right" w:leader="dot"/>
        </w:tabs>
        <w:spacing w:line="240" w:lineRule="auto" w:before="0" w:after="0"/>
        <w:ind w:left="2299" w:right="0" w:hanging="682"/>
        <w:jc w:val="left"/>
        <w:rPr>
          <w:rFonts w:ascii="Arial MT" w:hAnsi="Arial MT"/>
          <w:sz w:val="20"/>
        </w:rPr>
      </w:pPr>
      <w:hyperlink w:history="true" w:anchor="_bookmark229">
        <w:r>
          <w:rPr>
            <w:rFonts w:ascii="Arial MT" w:hAnsi="Arial MT"/>
            <w:sz w:val="20"/>
          </w:rPr>
          <w:t>Sololá</w:t>
          <w:tab/>
          <w:t>184</w:t>
        </w:r>
      </w:hyperlink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0"/>
        </w:rPr>
      </w:pPr>
      <w:r>
        <w:rPr/>
        <w:pict>
          <v:rect style="position:absolute;margin-left:563.880005pt;margin-top:8.189918pt;width:25.44pt;height:1.4399pt;mso-position-horizontal-relative:page;mso-position-vertical-relative:paragraph;z-index:-1572147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before="0" w:after="12"/>
        <w:ind w:left="0" w:right="629" w:firstLine="0"/>
        <w:jc w:val="right"/>
        <w:rPr>
          <w:rFonts w:ascii="Arial MT"/>
          <w:sz w:val="28"/>
        </w:rPr>
      </w:pPr>
      <w:r>
        <w:rPr>
          <w:rFonts w:ascii="Arial MT"/>
          <w:w w:val="100"/>
          <w:sz w:val="28"/>
        </w:rPr>
        <w:t>6</w:t>
      </w:r>
    </w:p>
    <w:p>
      <w:pPr>
        <w:pStyle w:val="BodyText"/>
        <w:spacing w:line="88" w:lineRule="exact"/>
        <w:ind w:left="1127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21408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1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480" w:val="left" w:leader="dot"/>
        </w:tabs>
        <w:spacing w:line="240" w:lineRule="auto" w:before="57" w:after="0"/>
        <w:ind w:left="2738" w:right="0" w:hanging="881"/>
        <w:jc w:val="left"/>
        <w:rPr>
          <w:sz w:val="22"/>
        </w:rPr>
      </w:pPr>
      <w:hyperlink w:history="true" w:anchor="_bookmark230">
        <w:r>
          <w:rPr>
            <w:sz w:val="22"/>
          </w:rPr>
          <w:t>Información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General</w:t>
          <w:tab/>
          <w:t>184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480" w:val="lef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231">
        <w:r>
          <w:rPr>
            <w:sz w:val="22"/>
          </w:rPr>
          <w:t>Situación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del</w:t>
        </w:r>
        <w:r>
          <w:rPr>
            <w:spacing w:val="-1"/>
            <w:sz w:val="22"/>
          </w:rPr>
          <w:t> </w:t>
        </w:r>
        <w:r>
          <w:rPr>
            <w:sz w:val="22"/>
          </w:rPr>
          <w:t>Sistema</w:t>
        </w:r>
        <w:r>
          <w:rPr>
            <w:spacing w:val="-1"/>
            <w:sz w:val="22"/>
          </w:rPr>
          <w:t> </w:t>
        </w:r>
        <w:r>
          <w:rPr>
            <w:sz w:val="22"/>
          </w:rPr>
          <w:t>de</w:t>
        </w:r>
        <w:r>
          <w:rPr>
            <w:spacing w:val="-4"/>
            <w:sz w:val="22"/>
          </w:rPr>
          <w:t> </w:t>
        </w:r>
        <w:r>
          <w:rPr>
            <w:sz w:val="22"/>
          </w:rPr>
          <w:t>Educación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Nacional</w:t>
          <w:tab/>
          <w:t>184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480" w:val="lef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232">
        <w:r>
          <w:rPr>
            <w:sz w:val="22"/>
          </w:rPr>
          <w:t>Indicador</w:t>
        </w:r>
        <w:r>
          <w:rPr>
            <w:spacing w:val="-1"/>
            <w:sz w:val="22"/>
          </w:rPr>
          <w:t> </w:t>
        </w:r>
        <w:r>
          <w:rPr>
            <w:sz w:val="22"/>
          </w:rPr>
          <w:t>de</w:t>
        </w:r>
        <w:r>
          <w:rPr>
            <w:spacing w:val="-1"/>
            <w:sz w:val="22"/>
          </w:rPr>
          <w:t> </w:t>
        </w:r>
        <w:r>
          <w:rPr>
            <w:sz w:val="22"/>
          </w:rPr>
          <w:t>Cobertura:</w:t>
        </w:r>
        <w:r>
          <w:rPr>
            <w:spacing w:val="-3"/>
            <w:sz w:val="22"/>
          </w:rPr>
          <w:t> </w:t>
        </w:r>
        <w:r>
          <w:rPr>
            <w:sz w:val="22"/>
          </w:rPr>
          <w:t>Tasa Neta</w:t>
        </w:r>
        <w:r>
          <w:rPr>
            <w:spacing w:val="-1"/>
            <w:sz w:val="22"/>
          </w:rPr>
          <w:t> </w:t>
        </w:r>
        <w:r>
          <w:rPr>
            <w:sz w:val="22"/>
          </w:rPr>
          <w:t>de Cobertura</w:t>
          <w:tab/>
          <w:t>185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480" w:val="left" w:leader="dot"/>
        </w:tabs>
        <w:spacing w:line="268" w:lineRule="exact" w:before="0" w:after="0"/>
        <w:ind w:left="2738" w:right="0" w:hanging="881"/>
        <w:jc w:val="left"/>
        <w:rPr>
          <w:sz w:val="22"/>
        </w:rPr>
      </w:pPr>
      <w:hyperlink w:history="true" w:anchor="_bookmark233">
        <w:r>
          <w:rPr>
            <w:sz w:val="22"/>
          </w:rPr>
          <w:t>Indicador</w:t>
        </w:r>
        <w:r>
          <w:rPr>
            <w:spacing w:val="-1"/>
            <w:sz w:val="22"/>
          </w:rPr>
          <w:t> </w:t>
        </w:r>
        <w:r>
          <w:rPr>
            <w:sz w:val="22"/>
          </w:rPr>
          <w:t>de Cobertura:</w:t>
        </w:r>
        <w:r>
          <w:rPr>
            <w:spacing w:val="-3"/>
            <w:sz w:val="22"/>
          </w:rPr>
          <w:t> </w:t>
        </w:r>
        <w:r>
          <w:rPr>
            <w:sz w:val="22"/>
          </w:rPr>
          <w:t>Tasa Bruta</w:t>
        </w:r>
        <w:r>
          <w:rPr>
            <w:spacing w:val="-2"/>
            <w:sz w:val="22"/>
          </w:rPr>
          <w:t> </w:t>
        </w:r>
        <w:r>
          <w:rPr>
            <w:sz w:val="22"/>
          </w:rPr>
          <w:t>y</w:t>
        </w:r>
        <w:r>
          <w:rPr>
            <w:spacing w:val="-3"/>
            <w:sz w:val="22"/>
          </w:rPr>
          <w:t> </w:t>
        </w:r>
        <w:r>
          <w:rPr>
            <w:sz w:val="22"/>
          </w:rPr>
          <w:t>Déficit</w:t>
        </w:r>
        <w:r>
          <w:rPr>
            <w:spacing w:val="-2"/>
            <w:sz w:val="22"/>
          </w:rPr>
          <w:t> </w:t>
        </w:r>
        <w:r>
          <w:rPr>
            <w:sz w:val="22"/>
          </w:rPr>
          <w:t>por departamento,</w:t>
        </w:r>
        <w:r>
          <w:rPr>
            <w:spacing w:val="-4"/>
            <w:sz w:val="22"/>
          </w:rPr>
          <w:t> </w:t>
        </w:r>
        <w:r>
          <w:rPr>
            <w:sz w:val="22"/>
          </w:rPr>
          <w:t>sexo</w:t>
        </w:r>
        <w:r>
          <w:rPr>
            <w:spacing w:val="-1"/>
            <w:sz w:val="22"/>
          </w:rPr>
          <w:t> </w:t>
        </w:r>
        <w:r>
          <w:rPr>
            <w:sz w:val="22"/>
          </w:rPr>
          <w:t>y</w:t>
        </w:r>
        <w:r>
          <w:rPr>
            <w:spacing w:val="-3"/>
            <w:sz w:val="22"/>
          </w:rPr>
          <w:t> </w:t>
        </w:r>
        <w:r>
          <w:rPr>
            <w:sz w:val="22"/>
          </w:rPr>
          <w:t>etnia.</w:t>
          <w:tab/>
          <w:t>186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480" w:val="left" w:leader="dot"/>
        </w:tabs>
        <w:spacing w:line="229" w:lineRule="exact" w:before="0" w:after="0"/>
        <w:ind w:left="2299" w:right="0" w:hanging="682"/>
        <w:jc w:val="left"/>
        <w:rPr>
          <w:rFonts w:ascii="Arial MT" w:hAnsi="Arial MT"/>
          <w:sz w:val="20"/>
        </w:rPr>
      </w:pPr>
      <w:hyperlink w:history="true" w:anchor="_bookmark234">
        <w:r>
          <w:rPr>
            <w:rFonts w:ascii="Arial MT" w:hAnsi="Arial MT"/>
            <w:sz w:val="20"/>
          </w:rPr>
          <w:t>Suchitepéquez</w:t>
          <w:tab/>
          <w:t>188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480" w:val="left" w:leader="dot"/>
        </w:tabs>
        <w:spacing w:line="240" w:lineRule="auto" w:before="1" w:after="0"/>
        <w:ind w:left="2738" w:right="0" w:hanging="881"/>
        <w:jc w:val="left"/>
        <w:rPr>
          <w:sz w:val="22"/>
        </w:rPr>
      </w:pPr>
      <w:hyperlink w:history="true" w:anchor="_bookmark235">
        <w:r>
          <w:rPr>
            <w:sz w:val="22"/>
          </w:rPr>
          <w:t>Información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General</w:t>
          <w:tab/>
          <w:t>188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480" w:val="lef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236">
        <w:r>
          <w:rPr>
            <w:sz w:val="22"/>
          </w:rPr>
          <w:t>Situación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del</w:t>
        </w:r>
        <w:r>
          <w:rPr>
            <w:spacing w:val="-1"/>
            <w:sz w:val="22"/>
          </w:rPr>
          <w:t> </w:t>
        </w:r>
        <w:r>
          <w:rPr>
            <w:sz w:val="22"/>
          </w:rPr>
          <w:t>Sistema</w:t>
        </w:r>
        <w:r>
          <w:rPr>
            <w:spacing w:val="-1"/>
            <w:sz w:val="22"/>
          </w:rPr>
          <w:t> </w:t>
        </w:r>
        <w:r>
          <w:rPr>
            <w:sz w:val="22"/>
          </w:rPr>
          <w:t>de</w:t>
        </w:r>
        <w:r>
          <w:rPr>
            <w:spacing w:val="-4"/>
            <w:sz w:val="22"/>
          </w:rPr>
          <w:t> </w:t>
        </w:r>
        <w:r>
          <w:rPr>
            <w:sz w:val="22"/>
          </w:rPr>
          <w:t>Educación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Nacional</w:t>
          <w:tab/>
          <w:t>188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480" w:val="lef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237">
        <w:r>
          <w:rPr>
            <w:sz w:val="22"/>
          </w:rPr>
          <w:t>Indicador</w:t>
        </w:r>
        <w:r>
          <w:rPr>
            <w:spacing w:val="-1"/>
            <w:sz w:val="22"/>
          </w:rPr>
          <w:t> </w:t>
        </w:r>
        <w:r>
          <w:rPr>
            <w:sz w:val="22"/>
          </w:rPr>
          <w:t>de</w:t>
        </w:r>
        <w:r>
          <w:rPr>
            <w:spacing w:val="-1"/>
            <w:sz w:val="22"/>
          </w:rPr>
          <w:t> </w:t>
        </w:r>
        <w:r>
          <w:rPr>
            <w:sz w:val="22"/>
          </w:rPr>
          <w:t>Cobertura:</w:t>
        </w:r>
        <w:r>
          <w:rPr>
            <w:spacing w:val="-3"/>
            <w:sz w:val="22"/>
          </w:rPr>
          <w:t> </w:t>
        </w:r>
        <w:r>
          <w:rPr>
            <w:sz w:val="22"/>
          </w:rPr>
          <w:t>Tasa Neta</w:t>
        </w:r>
        <w:r>
          <w:rPr>
            <w:spacing w:val="-1"/>
            <w:sz w:val="22"/>
          </w:rPr>
          <w:t> </w:t>
        </w:r>
        <w:r>
          <w:rPr>
            <w:sz w:val="22"/>
          </w:rPr>
          <w:t>de Cobertura</w:t>
          <w:tab/>
          <w:t>189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480" w:val="lef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238">
        <w:r>
          <w:rPr>
            <w:sz w:val="22"/>
          </w:rPr>
          <w:t>Indicador</w:t>
        </w:r>
        <w:r>
          <w:rPr>
            <w:spacing w:val="-1"/>
            <w:sz w:val="22"/>
          </w:rPr>
          <w:t> </w:t>
        </w:r>
        <w:r>
          <w:rPr>
            <w:sz w:val="22"/>
          </w:rPr>
          <w:t>de Cobertura:</w:t>
        </w:r>
        <w:r>
          <w:rPr>
            <w:spacing w:val="-3"/>
            <w:sz w:val="22"/>
          </w:rPr>
          <w:t> </w:t>
        </w:r>
        <w:r>
          <w:rPr>
            <w:sz w:val="22"/>
          </w:rPr>
          <w:t>Tasa Bruta</w:t>
        </w:r>
        <w:r>
          <w:rPr>
            <w:spacing w:val="-2"/>
            <w:sz w:val="22"/>
          </w:rPr>
          <w:t> </w:t>
        </w:r>
        <w:r>
          <w:rPr>
            <w:sz w:val="22"/>
          </w:rPr>
          <w:t>y</w:t>
        </w:r>
        <w:r>
          <w:rPr>
            <w:spacing w:val="-3"/>
            <w:sz w:val="22"/>
          </w:rPr>
          <w:t> </w:t>
        </w:r>
        <w:r>
          <w:rPr>
            <w:sz w:val="22"/>
          </w:rPr>
          <w:t>Déficit</w:t>
        </w:r>
        <w:r>
          <w:rPr>
            <w:spacing w:val="-2"/>
            <w:sz w:val="22"/>
          </w:rPr>
          <w:t> </w:t>
        </w:r>
        <w:r>
          <w:rPr>
            <w:sz w:val="22"/>
          </w:rPr>
          <w:t>por departamento,</w:t>
        </w:r>
        <w:r>
          <w:rPr>
            <w:spacing w:val="-4"/>
            <w:sz w:val="22"/>
          </w:rPr>
          <w:t> </w:t>
        </w:r>
        <w:r>
          <w:rPr>
            <w:sz w:val="22"/>
          </w:rPr>
          <w:t>sexo</w:t>
        </w:r>
        <w:r>
          <w:rPr>
            <w:spacing w:val="-1"/>
            <w:sz w:val="22"/>
          </w:rPr>
          <w:t> </w:t>
        </w:r>
        <w:r>
          <w:rPr>
            <w:sz w:val="22"/>
          </w:rPr>
          <w:t>y</w:t>
        </w:r>
        <w:r>
          <w:rPr>
            <w:spacing w:val="-3"/>
            <w:sz w:val="22"/>
          </w:rPr>
          <w:t> </w:t>
        </w:r>
        <w:r>
          <w:rPr>
            <w:sz w:val="22"/>
          </w:rPr>
          <w:t>etnia.</w:t>
          <w:tab/>
          <w:t>190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480" w:val="left" w:leader="dot"/>
        </w:tabs>
        <w:spacing w:line="240" w:lineRule="auto" w:before="1" w:after="0"/>
        <w:ind w:left="2299" w:right="0" w:hanging="682"/>
        <w:jc w:val="left"/>
        <w:rPr>
          <w:rFonts w:ascii="Arial MT" w:hAnsi="Arial MT"/>
          <w:sz w:val="20"/>
        </w:rPr>
      </w:pPr>
      <w:hyperlink w:history="true" w:anchor="_bookmark239">
        <w:r>
          <w:rPr>
            <w:rFonts w:ascii="Arial MT" w:hAnsi="Arial MT"/>
            <w:sz w:val="20"/>
          </w:rPr>
          <w:t>Totonicapán</w:t>
          <w:tab/>
          <w:t>191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480" w:val="lef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240">
        <w:r>
          <w:rPr>
            <w:sz w:val="22"/>
          </w:rPr>
          <w:t>Información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General</w:t>
          <w:tab/>
          <w:t>191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480" w:val="left" w:leader="dot"/>
        </w:tabs>
        <w:spacing w:line="240" w:lineRule="auto" w:before="1" w:after="0"/>
        <w:ind w:left="2738" w:right="0" w:hanging="881"/>
        <w:jc w:val="left"/>
        <w:rPr>
          <w:sz w:val="22"/>
        </w:rPr>
      </w:pPr>
      <w:hyperlink w:history="true" w:anchor="_bookmark241">
        <w:r>
          <w:rPr>
            <w:sz w:val="22"/>
          </w:rPr>
          <w:t>Situación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del</w:t>
        </w:r>
        <w:r>
          <w:rPr>
            <w:spacing w:val="-1"/>
            <w:sz w:val="22"/>
          </w:rPr>
          <w:t> </w:t>
        </w:r>
        <w:r>
          <w:rPr>
            <w:sz w:val="22"/>
          </w:rPr>
          <w:t>Sistema</w:t>
        </w:r>
        <w:r>
          <w:rPr>
            <w:spacing w:val="-1"/>
            <w:sz w:val="22"/>
          </w:rPr>
          <w:t> </w:t>
        </w:r>
        <w:r>
          <w:rPr>
            <w:sz w:val="22"/>
          </w:rPr>
          <w:t>de</w:t>
        </w:r>
        <w:r>
          <w:rPr>
            <w:spacing w:val="-4"/>
            <w:sz w:val="22"/>
          </w:rPr>
          <w:t> </w:t>
        </w:r>
        <w:r>
          <w:rPr>
            <w:sz w:val="22"/>
          </w:rPr>
          <w:t>Educación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Nacional</w:t>
          <w:tab/>
          <w:t>191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480" w:val="lef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242">
        <w:r>
          <w:rPr>
            <w:sz w:val="22"/>
          </w:rPr>
          <w:t>Indicador</w:t>
        </w:r>
        <w:r>
          <w:rPr>
            <w:spacing w:val="-1"/>
            <w:sz w:val="22"/>
          </w:rPr>
          <w:t> </w:t>
        </w:r>
        <w:r>
          <w:rPr>
            <w:sz w:val="22"/>
          </w:rPr>
          <w:t>de</w:t>
        </w:r>
        <w:r>
          <w:rPr>
            <w:spacing w:val="-1"/>
            <w:sz w:val="22"/>
          </w:rPr>
          <w:t> </w:t>
        </w:r>
        <w:r>
          <w:rPr>
            <w:sz w:val="22"/>
          </w:rPr>
          <w:t>Cobertura:</w:t>
        </w:r>
        <w:r>
          <w:rPr>
            <w:spacing w:val="-3"/>
            <w:sz w:val="22"/>
          </w:rPr>
          <w:t> </w:t>
        </w:r>
        <w:r>
          <w:rPr>
            <w:sz w:val="22"/>
          </w:rPr>
          <w:t>Tasa Neta</w:t>
        </w:r>
        <w:r>
          <w:rPr>
            <w:spacing w:val="-1"/>
            <w:sz w:val="22"/>
          </w:rPr>
          <w:t> </w:t>
        </w:r>
        <w:r>
          <w:rPr>
            <w:sz w:val="22"/>
          </w:rPr>
          <w:t>de Cobertura</w:t>
          <w:tab/>
          <w:t>192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480" w:val="left" w:leader="dot"/>
        </w:tabs>
        <w:spacing w:line="268" w:lineRule="exact" w:before="0" w:after="0"/>
        <w:ind w:left="2738" w:right="0" w:hanging="881"/>
        <w:jc w:val="left"/>
        <w:rPr>
          <w:sz w:val="22"/>
        </w:rPr>
      </w:pPr>
      <w:hyperlink w:history="true" w:anchor="_bookmark243">
        <w:r>
          <w:rPr>
            <w:sz w:val="22"/>
          </w:rPr>
          <w:t>Indicador</w:t>
        </w:r>
        <w:r>
          <w:rPr>
            <w:spacing w:val="-1"/>
            <w:sz w:val="22"/>
          </w:rPr>
          <w:t> </w:t>
        </w:r>
        <w:r>
          <w:rPr>
            <w:sz w:val="22"/>
          </w:rPr>
          <w:t>de Cobertura:</w:t>
        </w:r>
        <w:r>
          <w:rPr>
            <w:spacing w:val="-3"/>
            <w:sz w:val="22"/>
          </w:rPr>
          <w:t> </w:t>
        </w:r>
        <w:r>
          <w:rPr>
            <w:sz w:val="22"/>
          </w:rPr>
          <w:t>Tasa Bruta</w:t>
        </w:r>
        <w:r>
          <w:rPr>
            <w:spacing w:val="-2"/>
            <w:sz w:val="22"/>
          </w:rPr>
          <w:t> </w:t>
        </w:r>
        <w:r>
          <w:rPr>
            <w:sz w:val="22"/>
          </w:rPr>
          <w:t>y</w:t>
        </w:r>
        <w:r>
          <w:rPr>
            <w:spacing w:val="-3"/>
            <w:sz w:val="22"/>
          </w:rPr>
          <w:t> </w:t>
        </w:r>
        <w:r>
          <w:rPr>
            <w:sz w:val="22"/>
          </w:rPr>
          <w:t>Déficit</w:t>
        </w:r>
        <w:r>
          <w:rPr>
            <w:spacing w:val="-2"/>
            <w:sz w:val="22"/>
          </w:rPr>
          <w:t> </w:t>
        </w:r>
        <w:r>
          <w:rPr>
            <w:sz w:val="22"/>
          </w:rPr>
          <w:t>por departamento,</w:t>
        </w:r>
        <w:r>
          <w:rPr>
            <w:spacing w:val="-4"/>
            <w:sz w:val="22"/>
          </w:rPr>
          <w:t> </w:t>
        </w:r>
        <w:r>
          <w:rPr>
            <w:sz w:val="22"/>
          </w:rPr>
          <w:t>sexo</w:t>
        </w:r>
        <w:r>
          <w:rPr>
            <w:spacing w:val="-1"/>
            <w:sz w:val="22"/>
          </w:rPr>
          <w:t> </w:t>
        </w:r>
        <w:r>
          <w:rPr>
            <w:sz w:val="22"/>
          </w:rPr>
          <w:t>y</w:t>
        </w:r>
        <w:r>
          <w:rPr>
            <w:spacing w:val="-3"/>
            <w:sz w:val="22"/>
          </w:rPr>
          <w:t> </w:t>
        </w:r>
        <w:r>
          <w:rPr>
            <w:sz w:val="22"/>
          </w:rPr>
          <w:t>etnia.</w:t>
          <w:tab/>
          <w:t>193</w:t>
        </w:r>
      </w:hyperlink>
    </w:p>
    <w:p>
      <w:pPr>
        <w:pStyle w:val="ListParagraph"/>
        <w:numPr>
          <w:ilvl w:val="1"/>
          <w:numId w:val="1"/>
        </w:numPr>
        <w:tabs>
          <w:tab w:pos="2299" w:val="left" w:leader="none"/>
          <w:tab w:pos="2300" w:val="left" w:leader="none"/>
          <w:tab w:pos="10480" w:val="left" w:leader="dot"/>
        </w:tabs>
        <w:spacing w:line="229" w:lineRule="exact" w:before="0" w:after="0"/>
        <w:ind w:left="2299" w:right="0" w:hanging="682"/>
        <w:jc w:val="left"/>
        <w:rPr>
          <w:rFonts w:ascii="Arial MT"/>
          <w:sz w:val="20"/>
        </w:rPr>
      </w:pPr>
      <w:hyperlink w:history="true" w:anchor="_bookmark244">
        <w:r>
          <w:rPr>
            <w:rFonts w:ascii="Arial MT"/>
            <w:sz w:val="20"/>
          </w:rPr>
          <w:t>Zacapa</w:t>
          <w:tab/>
          <w:t>195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480" w:val="left" w:leader="dot"/>
        </w:tabs>
        <w:spacing w:line="240" w:lineRule="auto" w:before="1" w:after="0"/>
        <w:ind w:left="2738" w:right="0" w:hanging="881"/>
        <w:jc w:val="left"/>
        <w:rPr>
          <w:sz w:val="22"/>
        </w:rPr>
      </w:pPr>
      <w:hyperlink w:history="true" w:anchor="_bookmark245">
        <w:r>
          <w:rPr>
            <w:sz w:val="22"/>
          </w:rPr>
          <w:t>Información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General</w:t>
          <w:tab/>
          <w:t>195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480" w:val="lef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246">
        <w:r>
          <w:rPr>
            <w:sz w:val="22"/>
          </w:rPr>
          <w:t>Situación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del</w:t>
        </w:r>
        <w:r>
          <w:rPr>
            <w:spacing w:val="-1"/>
            <w:sz w:val="22"/>
          </w:rPr>
          <w:t> </w:t>
        </w:r>
        <w:r>
          <w:rPr>
            <w:sz w:val="22"/>
          </w:rPr>
          <w:t>Sistema</w:t>
        </w:r>
        <w:r>
          <w:rPr>
            <w:spacing w:val="-1"/>
            <w:sz w:val="22"/>
          </w:rPr>
          <w:t> </w:t>
        </w:r>
        <w:r>
          <w:rPr>
            <w:sz w:val="22"/>
          </w:rPr>
          <w:t>de</w:t>
        </w:r>
        <w:r>
          <w:rPr>
            <w:spacing w:val="-4"/>
            <w:sz w:val="22"/>
          </w:rPr>
          <w:t> </w:t>
        </w:r>
        <w:r>
          <w:rPr>
            <w:sz w:val="22"/>
          </w:rPr>
          <w:t>Educación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Nacional</w:t>
          <w:tab/>
          <w:t>195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480" w:val="lef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247">
        <w:r>
          <w:rPr>
            <w:sz w:val="22"/>
          </w:rPr>
          <w:t>Indicador</w:t>
        </w:r>
        <w:r>
          <w:rPr>
            <w:spacing w:val="-1"/>
            <w:sz w:val="22"/>
          </w:rPr>
          <w:t> </w:t>
        </w:r>
        <w:r>
          <w:rPr>
            <w:sz w:val="22"/>
          </w:rPr>
          <w:t>de</w:t>
        </w:r>
        <w:r>
          <w:rPr>
            <w:spacing w:val="-1"/>
            <w:sz w:val="22"/>
          </w:rPr>
          <w:t> </w:t>
        </w:r>
        <w:r>
          <w:rPr>
            <w:sz w:val="22"/>
          </w:rPr>
          <w:t>Cobertura:</w:t>
        </w:r>
        <w:r>
          <w:rPr>
            <w:spacing w:val="-3"/>
            <w:sz w:val="22"/>
          </w:rPr>
          <w:t> </w:t>
        </w:r>
        <w:r>
          <w:rPr>
            <w:sz w:val="22"/>
          </w:rPr>
          <w:t>Tasa</w:t>
        </w:r>
        <w:r>
          <w:rPr>
            <w:spacing w:val="-1"/>
            <w:sz w:val="22"/>
          </w:rPr>
          <w:t> </w:t>
        </w:r>
        <w:r>
          <w:rPr>
            <w:sz w:val="22"/>
          </w:rPr>
          <w:t>Neta</w:t>
        </w:r>
        <w:r>
          <w:rPr>
            <w:spacing w:val="-1"/>
            <w:sz w:val="22"/>
          </w:rPr>
          <w:t> </w:t>
        </w:r>
        <w:r>
          <w:rPr>
            <w:sz w:val="22"/>
          </w:rPr>
          <w:t>de Cobertura</w:t>
          <w:tab/>
          <w:t>195</w:t>
        </w:r>
      </w:hyperlink>
    </w:p>
    <w:p>
      <w:pPr>
        <w:pStyle w:val="ListParagraph"/>
        <w:numPr>
          <w:ilvl w:val="2"/>
          <w:numId w:val="1"/>
        </w:numPr>
        <w:tabs>
          <w:tab w:pos="2738" w:val="left" w:leader="none"/>
          <w:tab w:pos="2739" w:val="left" w:leader="none"/>
          <w:tab w:pos="10480" w:val="left" w:leader="dot"/>
        </w:tabs>
        <w:spacing w:line="240" w:lineRule="auto" w:before="0" w:after="0"/>
        <w:ind w:left="2738" w:right="0" w:hanging="881"/>
        <w:jc w:val="left"/>
        <w:rPr>
          <w:sz w:val="22"/>
        </w:rPr>
      </w:pPr>
      <w:hyperlink w:history="true" w:anchor="_bookmark248">
        <w:r>
          <w:rPr>
            <w:sz w:val="22"/>
          </w:rPr>
          <w:t>Indicador</w:t>
        </w:r>
        <w:r>
          <w:rPr>
            <w:spacing w:val="-1"/>
            <w:sz w:val="22"/>
          </w:rPr>
          <w:t> </w:t>
        </w:r>
        <w:r>
          <w:rPr>
            <w:sz w:val="22"/>
          </w:rPr>
          <w:t>de Cobertura:</w:t>
        </w:r>
        <w:r>
          <w:rPr>
            <w:spacing w:val="-3"/>
            <w:sz w:val="22"/>
          </w:rPr>
          <w:t> </w:t>
        </w:r>
        <w:r>
          <w:rPr>
            <w:sz w:val="22"/>
          </w:rPr>
          <w:t>Tasa Bruta</w:t>
        </w:r>
        <w:r>
          <w:rPr>
            <w:spacing w:val="-2"/>
            <w:sz w:val="22"/>
          </w:rPr>
          <w:t> </w:t>
        </w:r>
        <w:r>
          <w:rPr>
            <w:sz w:val="22"/>
          </w:rPr>
          <w:t>y</w:t>
        </w:r>
        <w:r>
          <w:rPr>
            <w:spacing w:val="-3"/>
            <w:sz w:val="22"/>
          </w:rPr>
          <w:t> </w:t>
        </w:r>
        <w:r>
          <w:rPr>
            <w:sz w:val="22"/>
          </w:rPr>
          <w:t>Déficit</w:t>
        </w:r>
        <w:r>
          <w:rPr>
            <w:spacing w:val="-2"/>
            <w:sz w:val="22"/>
          </w:rPr>
          <w:t> </w:t>
        </w:r>
        <w:r>
          <w:rPr>
            <w:sz w:val="22"/>
          </w:rPr>
          <w:t>por departamento,</w:t>
        </w:r>
        <w:r>
          <w:rPr>
            <w:spacing w:val="-4"/>
            <w:sz w:val="22"/>
          </w:rPr>
          <w:t> </w:t>
        </w:r>
        <w:r>
          <w:rPr>
            <w:sz w:val="22"/>
          </w:rPr>
          <w:t>sexo</w:t>
        </w:r>
        <w:r>
          <w:rPr>
            <w:spacing w:val="-1"/>
            <w:sz w:val="22"/>
          </w:rPr>
          <w:t> </w:t>
        </w:r>
        <w:r>
          <w:rPr>
            <w:sz w:val="22"/>
          </w:rPr>
          <w:t>y</w:t>
        </w:r>
        <w:r>
          <w:rPr>
            <w:spacing w:val="-3"/>
            <w:sz w:val="22"/>
          </w:rPr>
          <w:t> </w:t>
        </w:r>
        <w:r>
          <w:rPr>
            <w:sz w:val="22"/>
          </w:rPr>
          <w:t>etnia.</w:t>
          <w:tab/>
          <w:t>197</w:t>
        </w:r>
      </w:hyperlink>
    </w:p>
    <w:p>
      <w:pPr>
        <w:pStyle w:val="ListParagraph"/>
        <w:numPr>
          <w:ilvl w:val="0"/>
          <w:numId w:val="1"/>
        </w:numPr>
        <w:tabs>
          <w:tab w:pos="1857" w:val="left" w:leader="none"/>
          <w:tab w:pos="1859" w:val="left" w:leader="none"/>
          <w:tab w:pos="10480" w:val="left" w:leader="dot"/>
        </w:tabs>
        <w:spacing w:line="240" w:lineRule="auto" w:before="1" w:after="0"/>
        <w:ind w:left="1858" w:right="0" w:hanging="441"/>
        <w:jc w:val="left"/>
        <w:rPr>
          <w:rFonts w:ascii="Arial MT" w:hAnsi="Arial MT"/>
          <w:sz w:val="20"/>
        </w:rPr>
      </w:pPr>
      <w:hyperlink w:history="true" w:anchor="_bookmark249">
        <w:r>
          <w:rPr>
            <w:rFonts w:ascii="Arial MT" w:hAnsi="Arial MT"/>
            <w:sz w:val="20"/>
          </w:rPr>
          <w:t>Referencias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Bibliográficas</w:t>
          <w:tab/>
          <w:t>198</w:t>
        </w:r>
      </w:hyperlink>
    </w:p>
    <w:p>
      <w:pPr>
        <w:spacing w:before="245"/>
        <w:ind w:left="1418" w:right="0" w:firstLine="0"/>
        <w:jc w:val="left"/>
        <w:rPr>
          <w:b/>
          <w:sz w:val="20"/>
        </w:rPr>
      </w:pPr>
      <w:r>
        <w:rPr>
          <w:b/>
          <w:color w:val="006FC0"/>
          <w:sz w:val="20"/>
        </w:rPr>
        <w:t>Índice</w:t>
      </w:r>
      <w:r>
        <w:rPr>
          <w:b/>
          <w:color w:val="006FC0"/>
          <w:spacing w:val="-3"/>
          <w:sz w:val="20"/>
        </w:rPr>
        <w:t> </w:t>
      </w:r>
      <w:r>
        <w:rPr>
          <w:b/>
          <w:color w:val="006FC0"/>
          <w:sz w:val="20"/>
        </w:rPr>
        <w:t>de</w:t>
      </w:r>
      <w:r>
        <w:rPr>
          <w:b/>
          <w:color w:val="006FC0"/>
          <w:spacing w:val="-2"/>
          <w:sz w:val="20"/>
        </w:rPr>
        <w:t> </w:t>
      </w:r>
      <w:r>
        <w:rPr>
          <w:b/>
          <w:color w:val="006FC0"/>
          <w:sz w:val="20"/>
        </w:rPr>
        <w:t>gráficos</w:t>
      </w:r>
    </w:p>
    <w:p>
      <w:pPr>
        <w:tabs>
          <w:tab w:pos="10590" w:val="left" w:leader="dot"/>
        </w:tabs>
        <w:spacing w:before="243"/>
        <w:ind w:left="1418" w:right="1425" w:firstLine="0"/>
        <w:jc w:val="left"/>
        <w:rPr>
          <w:rFonts w:ascii="Arial MT" w:hAnsi="Arial MT"/>
          <w:sz w:val="20"/>
        </w:rPr>
      </w:pPr>
      <w:hyperlink w:history="true" w:anchor="_bookmark8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43"/>
            <w:sz w:val="20"/>
          </w:rPr>
          <w:t> </w:t>
        </w:r>
        <w:r>
          <w:rPr>
            <w:rFonts w:ascii="Arial MT" w:hAnsi="Arial MT"/>
            <w:sz w:val="20"/>
          </w:rPr>
          <w:t>1</w:t>
        </w:r>
        <w:r>
          <w:rPr>
            <w:rFonts w:ascii="Arial MT" w:hAnsi="Arial MT"/>
            <w:spacing w:val="43"/>
            <w:sz w:val="20"/>
          </w:rPr>
          <w:t> </w:t>
        </w:r>
        <w:r>
          <w:rPr>
            <w:rFonts w:ascii="Arial MT" w:hAnsi="Arial MT"/>
            <w:sz w:val="20"/>
          </w:rPr>
          <w:t>Registro</w:t>
        </w:r>
        <w:r>
          <w:rPr>
            <w:rFonts w:ascii="Arial MT" w:hAnsi="Arial MT"/>
            <w:spacing w:val="43"/>
            <w:sz w:val="20"/>
          </w:rPr>
          <w:t> </w:t>
        </w:r>
        <w:r>
          <w:rPr>
            <w:rFonts w:ascii="Arial MT" w:hAnsi="Arial MT"/>
            <w:sz w:val="20"/>
          </w:rPr>
          <w:t>histórico</w:t>
        </w:r>
        <w:r>
          <w:rPr>
            <w:rFonts w:ascii="Arial MT" w:hAnsi="Arial MT"/>
            <w:spacing w:val="43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42"/>
            <w:sz w:val="20"/>
          </w:rPr>
          <w:t> </w:t>
        </w:r>
        <w:r>
          <w:rPr>
            <w:rFonts w:ascii="Arial MT" w:hAnsi="Arial MT"/>
            <w:sz w:val="20"/>
          </w:rPr>
          <w:t>inscripción</w:t>
        </w:r>
        <w:r>
          <w:rPr>
            <w:rFonts w:ascii="Arial MT" w:hAnsi="Arial MT"/>
            <w:spacing w:val="43"/>
            <w:sz w:val="20"/>
          </w:rPr>
          <w:t> </w:t>
        </w:r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45"/>
            <w:sz w:val="20"/>
          </w:rPr>
          <w:t> </w:t>
        </w:r>
        <w:r>
          <w:rPr>
            <w:rFonts w:ascii="Arial MT" w:hAnsi="Arial MT"/>
            <w:sz w:val="20"/>
          </w:rPr>
          <w:t>el</w:t>
        </w:r>
        <w:r>
          <w:rPr>
            <w:rFonts w:ascii="Arial MT" w:hAnsi="Arial MT"/>
            <w:spacing w:val="42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42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45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45"/>
            <w:sz w:val="20"/>
          </w:rPr>
          <w:t> </w:t>
        </w:r>
        <w:r>
          <w:rPr>
            <w:rFonts w:ascii="Arial MT" w:hAnsi="Arial MT"/>
            <w:sz w:val="20"/>
          </w:rPr>
          <w:t>inicial,</w:t>
        </w:r>
        <w:r>
          <w:rPr>
            <w:rFonts w:ascii="Arial MT" w:hAnsi="Arial MT"/>
            <w:spacing w:val="43"/>
            <w:sz w:val="20"/>
          </w:rPr>
          <w:t> </w:t>
        </w:r>
        <w:r>
          <w:rPr>
            <w:rFonts w:ascii="Arial MT" w:hAnsi="Arial MT"/>
            <w:sz w:val="20"/>
          </w:rPr>
          <w:t>período</w:t>
        </w:r>
        <w:r>
          <w:rPr>
            <w:rFonts w:ascii="Arial MT" w:hAnsi="Arial MT"/>
            <w:spacing w:val="45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42"/>
            <w:sz w:val="20"/>
          </w:rPr>
          <w:t> </w:t>
        </w:r>
        <w:r>
          <w:rPr>
            <w:rFonts w:ascii="Arial MT" w:hAnsi="Arial MT"/>
            <w:sz w:val="20"/>
          </w:rPr>
          <w:t>2014</w:t>
        </w:r>
        <w:r>
          <w:rPr>
            <w:rFonts w:ascii="Arial MT" w:hAnsi="Arial MT"/>
            <w:spacing w:val="45"/>
            <w:sz w:val="20"/>
          </w:rPr>
          <w:t> </w:t>
        </w:r>
        <w:r>
          <w:rPr>
            <w:rFonts w:ascii="Arial MT" w:hAnsi="Arial MT"/>
            <w:sz w:val="20"/>
          </w:rPr>
          <w:t>a</w:t>
        </w:r>
        <w:r>
          <w:rPr>
            <w:rFonts w:ascii="Arial MT" w:hAnsi="Arial MT"/>
            <w:spacing w:val="43"/>
            <w:sz w:val="20"/>
          </w:rPr>
          <w:t> </w:t>
        </w:r>
        <w:r>
          <w:rPr>
            <w:rFonts w:ascii="Arial MT" w:hAnsi="Arial MT"/>
            <w:sz w:val="20"/>
          </w:rPr>
          <w:t>2021</w:t>
        </w:r>
      </w:hyperlink>
      <w:r>
        <w:rPr>
          <w:rFonts w:ascii="Arial MT" w:hAnsi="Arial MT"/>
          <w:spacing w:val="-53"/>
          <w:sz w:val="20"/>
        </w:rPr>
        <w:t> </w:t>
      </w:r>
      <w:hyperlink w:history="true" w:anchor="_bookmark8">
        <w:r>
          <w:rPr>
            <w:rFonts w:ascii="Arial MT" w:hAnsi="Arial MT"/>
            <w:sz w:val="20"/>
          </w:rPr>
          <w:t>(preliminar).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-4"/>
            <w:sz w:val="20"/>
          </w:rPr>
          <w:t> </w:t>
        </w:r>
        <w:r>
          <w:rPr>
            <w:rFonts w:ascii="Arial MT" w:hAnsi="Arial MT"/>
            <w:sz w:val="20"/>
          </w:rPr>
          <w:t>nacional</w:t>
          <w:tab/>
        </w:r>
        <w:r>
          <w:rPr>
            <w:rFonts w:ascii="Arial MT" w:hAnsi="Arial MT"/>
            <w:spacing w:val="-3"/>
            <w:sz w:val="20"/>
          </w:rPr>
          <w:t>13</w:t>
        </w:r>
      </w:hyperlink>
    </w:p>
    <w:p>
      <w:pPr>
        <w:tabs>
          <w:tab w:pos="10590" w:val="left" w:leader="dot"/>
        </w:tabs>
        <w:spacing w:line="228" w:lineRule="exact" w:before="0"/>
        <w:ind w:left="1418" w:right="0" w:firstLine="0"/>
        <w:jc w:val="left"/>
        <w:rPr>
          <w:rFonts w:ascii="Arial MT" w:hAnsi="Arial MT"/>
          <w:sz w:val="20"/>
        </w:rPr>
      </w:pPr>
      <w:hyperlink w:history="true" w:anchor="_bookmark9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2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Estudiantes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inscritos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en el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inicial,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0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3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años,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ciclo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2021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(preliminar)</w:t>
          <w:tab/>
          <w:t>14</w:t>
        </w:r>
      </w:hyperlink>
    </w:p>
    <w:p>
      <w:pPr>
        <w:tabs>
          <w:tab w:pos="10590" w:val="left" w:leader="dot"/>
        </w:tabs>
        <w:spacing w:before="1"/>
        <w:ind w:left="1418" w:right="1425" w:firstLine="0"/>
        <w:jc w:val="left"/>
        <w:rPr>
          <w:rFonts w:ascii="Arial MT" w:hAnsi="Arial MT"/>
          <w:sz w:val="20"/>
        </w:rPr>
      </w:pPr>
      <w:hyperlink w:history="true" w:anchor="_bookmark11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38"/>
            <w:sz w:val="20"/>
          </w:rPr>
          <w:t> </w:t>
        </w:r>
        <w:r>
          <w:rPr>
            <w:rFonts w:ascii="Arial MT" w:hAnsi="Arial MT"/>
            <w:sz w:val="20"/>
          </w:rPr>
          <w:t>3</w:t>
        </w:r>
        <w:r>
          <w:rPr>
            <w:rFonts w:ascii="Arial MT" w:hAnsi="Arial MT"/>
            <w:spacing w:val="38"/>
            <w:sz w:val="20"/>
          </w:rPr>
          <w:t> </w:t>
        </w:r>
        <w:r>
          <w:rPr>
            <w:rFonts w:ascii="Arial MT" w:hAnsi="Arial MT"/>
            <w:sz w:val="20"/>
          </w:rPr>
          <w:t>Déficit</w:t>
        </w:r>
        <w:r>
          <w:rPr>
            <w:rFonts w:ascii="Arial MT" w:hAnsi="Arial MT"/>
            <w:spacing w:val="38"/>
            <w:sz w:val="20"/>
          </w:rPr>
          <w:t> </w:t>
        </w:r>
        <w:r>
          <w:rPr>
            <w:rFonts w:ascii="Arial MT" w:hAnsi="Arial MT"/>
            <w:sz w:val="20"/>
          </w:rPr>
          <w:t>Neto</w:t>
        </w:r>
        <w:r>
          <w:rPr>
            <w:rFonts w:ascii="Arial MT" w:hAnsi="Arial MT"/>
            <w:spacing w:val="38"/>
            <w:sz w:val="20"/>
          </w:rPr>
          <w:t> </w:t>
        </w:r>
        <w:r>
          <w:rPr>
            <w:rFonts w:ascii="Arial MT" w:hAnsi="Arial MT"/>
            <w:sz w:val="20"/>
          </w:rPr>
          <w:t>%,</w:t>
        </w:r>
        <w:r>
          <w:rPr>
            <w:rFonts w:ascii="Arial MT" w:hAnsi="Arial MT"/>
            <w:spacing w:val="41"/>
            <w:sz w:val="20"/>
          </w:rPr>
          <w:t> </w:t>
        </w:r>
        <w:r>
          <w:rPr>
            <w:rFonts w:ascii="Arial MT" w:hAnsi="Arial MT"/>
            <w:sz w:val="20"/>
          </w:rPr>
          <w:t>por</w:t>
        </w:r>
        <w:r>
          <w:rPr>
            <w:rFonts w:ascii="Arial MT" w:hAnsi="Arial MT"/>
            <w:spacing w:val="39"/>
            <w:sz w:val="20"/>
          </w:rPr>
          <w:t> </w:t>
        </w:r>
        <w:r>
          <w:rPr>
            <w:rFonts w:ascii="Arial MT" w:hAnsi="Arial MT"/>
            <w:sz w:val="20"/>
          </w:rPr>
          <w:t>departamento,</w:t>
        </w:r>
        <w:r>
          <w:rPr>
            <w:rFonts w:ascii="Arial MT" w:hAnsi="Arial MT"/>
            <w:spacing w:val="42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35"/>
            <w:sz w:val="20"/>
          </w:rPr>
          <w:t> </w:t>
        </w:r>
        <w:r>
          <w:rPr>
            <w:rFonts w:ascii="Arial MT" w:hAnsi="Arial MT"/>
            <w:sz w:val="20"/>
          </w:rPr>
          <w:t>por</w:t>
        </w:r>
        <w:r>
          <w:rPr>
            <w:rFonts w:ascii="Arial MT" w:hAnsi="Arial MT"/>
            <w:spacing w:val="41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40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40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40"/>
            <w:sz w:val="20"/>
          </w:rPr>
          <w:t> </w:t>
        </w:r>
        <w:r>
          <w:rPr>
            <w:rFonts w:ascii="Arial MT" w:hAnsi="Arial MT"/>
            <w:sz w:val="20"/>
          </w:rPr>
          <w:t>Preprimaria</w:t>
        </w:r>
        <w:r>
          <w:rPr>
            <w:rFonts w:ascii="Arial MT" w:hAnsi="Arial MT"/>
            <w:spacing w:val="37"/>
            <w:sz w:val="20"/>
          </w:rPr>
          <w:t> </w:t>
        </w:r>
        <w:r>
          <w:rPr>
            <w:rFonts w:ascii="Arial MT" w:hAnsi="Arial MT"/>
            <w:sz w:val="20"/>
          </w:rPr>
          <w:t>2021</w:t>
        </w:r>
        <w:r>
          <w:rPr>
            <w:rFonts w:ascii="Arial MT" w:hAnsi="Arial MT"/>
            <w:spacing w:val="22"/>
            <w:sz w:val="20"/>
          </w:rPr>
          <w:t> </w:t>
        </w:r>
        <w:r>
          <w:rPr>
            <w:rFonts w:ascii="Arial MT" w:hAnsi="Arial MT"/>
            <w:sz w:val="20"/>
          </w:rPr>
          <w:t>(preliminar</w:t>
        </w:r>
      </w:hyperlink>
      <w:r>
        <w:rPr>
          <w:rFonts w:ascii="Arial MT" w:hAnsi="Arial MT"/>
          <w:spacing w:val="-53"/>
          <w:sz w:val="20"/>
        </w:rPr>
        <w:t> </w:t>
      </w:r>
      <w:hyperlink w:history="true" w:anchor="_bookmark11">
        <w:r>
          <w:rPr>
            <w:rFonts w:ascii="Arial MT" w:hAnsi="Arial MT"/>
            <w:sz w:val="20"/>
          </w:rPr>
          <w:t>1/6/2021)</w:t>
          <w:tab/>
        </w:r>
        <w:r>
          <w:rPr>
            <w:rFonts w:ascii="Arial MT" w:hAnsi="Arial MT"/>
            <w:spacing w:val="-3"/>
            <w:sz w:val="20"/>
          </w:rPr>
          <w:t>14</w:t>
        </w:r>
      </w:hyperlink>
    </w:p>
    <w:p>
      <w:pPr>
        <w:spacing w:before="1"/>
        <w:ind w:left="1418" w:right="0" w:firstLine="0"/>
        <w:jc w:val="left"/>
        <w:rPr>
          <w:rFonts w:ascii="Arial MT" w:hAnsi="Arial MT"/>
          <w:sz w:val="20"/>
        </w:rPr>
      </w:pPr>
      <w:hyperlink w:history="true" w:anchor="_bookmark13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4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Déficit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Neto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%,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por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departamento, y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por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Educación Primaria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2021</w:t>
        </w:r>
        <w:r>
          <w:rPr>
            <w:rFonts w:ascii="Arial MT" w:hAnsi="Arial MT"/>
            <w:spacing w:val="52"/>
            <w:sz w:val="20"/>
          </w:rPr>
          <w:t> </w:t>
        </w:r>
        <w:r>
          <w:rPr>
            <w:rFonts w:ascii="Arial MT" w:hAnsi="Arial MT"/>
            <w:sz w:val="20"/>
          </w:rPr>
          <w:t>(preliminar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1/6/2021)</w:t>
        </w:r>
      </w:hyperlink>
    </w:p>
    <w:p>
      <w:pPr>
        <w:spacing w:before="0"/>
        <w:ind w:left="1435" w:right="0" w:firstLine="0"/>
        <w:jc w:val="left"/>
        <w:rPr>
          <w:rFonts w:ascii="Arial MT"/>
          <w:sz w:val="20"/>
        </w:rPr>
      </w:pPr>
      <w:hyperlink w:history="true" w:anchor="_bookmark13">
        <w:r>
          <w:rPr>
            <w:rFonts w:ascii="Arial MT"/>
            <w:w w:val="95"/>
            <w:sz w:val="20"/>
          </w:rPr>
          <w:t>.....................................................................................................................................................................</w:t>
        </w:r>
        <w:r>
          <w:rPr>
            <w:rFonts w:ascii="Arial MT"/>
            <w:spacing w:val="70"/>
            <w:sz w:val="20"/>
          </w:rPr>
          <w:t> </w:t>
        </w:r>
        <w:r>
          <w:rPr>
            <w:rFonts w:ascii="Arial MT"/>
            <w:spacing w:val="70"/>
            <w:sz w:val="20"/>
          </w:rPr>
          <w:t> </w:t>
        </w:r>
        <w:r>
          <w:rPr>
            <w:rFonts w:ascii="Arial MT"/>
            <w:w w:val="95"/>
            <w:sz w:val="20"/>
          </w:rPr>
          <w:t>15</w:t>
        </w:r>
      </w:hyperlink>
    </w:p>
    <w:p>
      <w:pPr>
        <w:tabs>
          <w:tab w:pos="10590" w:val="left" w:leader="dot"/>
        </w:tabs>
        <w:spacing w:before="1"/>
        <w:ind w:left="1418" w:right="1425" w:firstLine="0"/>
        <w:jc w:val="left"/>
        <w:rPr>
          <w:rFonts w:ascii="Arial MT" w:hAnsi="Arial MT"/>
          <w:sz w:val="20"/>
        </w:rPr>
      </w:pPr>
      <w:hyperlink w:history="true" w:anchor="_bookmark15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4"/>
            <w:sz w:val="20"/>
          </w:rPr>
          <w:t> </w:t>
        </w:r>
        <w:r>
          <w:rPr>
            <w:rFonts w:ascii="Arial MT" w:hAnsi="Arial MT"/>
            <w:sz w:val="20"/>
          </w:rPr>
          <w:t>5</w:t>
        </w:r>
        <w:r>
          <w:rPr>
            <w:rFonts w:ascii="Arial MT" w:hAnsi="Arial MT"/>
            <w:spacing w:val="5"/>
            <w:sz w:val="20"/>
          </w:rPr>
          <w:t> </w:t>
        </w:r>
        <w:r>
          <w:rPr>
            <w:rFonts w:ascii="Arial MT" w:hAnsi="Arial MT"/>
            <w:sz w:val="20"/>
          </w:rPr>
          <w:t>Déficit</w:t>
        </w:r>
        <w:r>
          <w:rPr>
            <w:rFonts w:ascii="Arial MT" w:hAnsi="Arial MT"/>
            <w:spacing w:val="6"/>
            <w:sz w:val="20"/>
          </w:rPr>
          <w:t> </w:t>
        </w:r>
        <w:r>
          <w:rPr>
            <w:rFonts w:ascii="Arial MT" w:hAnsi="Arial MT"/>
            <w:sz w:val="20"/>
          </w:rPr>
          <w:t>Neto</w:t>
        </w:r>
        <w:r>
          <w:rPr>
            <w:rFonts w:ascii="Arial MT" w:hAnsi="Arial MT"/>
            <w:spacing w:val="5"/>
            <w:sz w:val="20"/>
          </w:rPr>
          <w:t> </w:t>
        </w:r>
        <w:r>
          <w:rPr>
            <w:rFonts w:ascii="Arial MT" w:hAnsi="Arial MT"/>
            <w:sz w:val="20"/>
          </w:rPr>
          <w:t>%,</w:t>
        </w:r>
        <w:r>
          <w:rPr>
            <w:rFonts w:ascii="Arial MT" w:hAnsi="Arial MT"/>
            <w:spacing w:val="8"/>
            <w:sz w:val="20"/>
          </w:rPr>
          <w:t> </w:t>
        </w:r>
        <w:r>
          <w:rPr>
            <w:rFonts w:ascii="Arial MT" w:hAnsi="Arial MT"/>
            <w:sz w:val="20"/>
          </w:rPr>
          <w:t>por</w:t>
        </w:r>
        <w:r>
          <w:rPr>
            <w:rFonts w:ascii="Arial MT" w:hAnsi="Arial MT"/>
            <w:spacing w:val="5"/>
            <w:sz w:val="20"/>
          </w:rPr>
          <w:t> </w:t>
        </w:r>
        <w:r>
          <w:rPr>
            <w:rFonts w:ascii="Arial MT" w:hAnsi="Arial MT"/>
            <w:sz w:val="20"/>
          </w:rPr>
          <w:t>departamento,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3"/>
            <w:sz w:val="20"/>
          </w:rPr>
          <w:t> </w:t>
        </w:r>
        <w:r>
          <w:rPr>
            <w:rFonts w:ascii="Arial MT" w:hAnsi="Arial MT"/>
            <w:sz w:val="20"/>
          </w:rPr>
          <w:t>por</w:t>
        </w:r>
        <w:r>
          <w:rPr>
            <w:rFonts w:ascii="Arial MT" w:hAnsi="Arial MT"/>
            <w:spacing w:val="6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6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6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6"/>
            <w:sz w:val="20"/>
          </w:rPr>
          <w:t> </w:t>
        </w:r>
        <w:r>
          <w:rPr>
            <w:rFonts w:ascii="Arial MT" w:hAnsi="Arial MT"/>
            <w:sz w:val="20"/>
          </w:rPr>
          <w:t>Media,</w:t>
        </w:r>
        <w:r>
          <w:rPr>
            <w:rFonts w:ascii="Arial MT" w:hAnsi="Arial MT"/>
            <w:spacing w:val="4"/>
            <w:sz w:val="20"/>
          </w:rPr>
          <w:t> </w:t>
        </w:r>
        <w:r>
          <w:rPr>
            <w:rFonts w:ascii="Arial MT" w:hAnsi="Arial MT"/>
            <w:sz w:val="20"/>
          </w:rPr>
          <w:t>Ciclo</w:t>
        </w:r>
        <w:r>
          <w:rPr>
            <w:rFonts w:ascii="Arial MT" w:hAnsi="Arial MT"/>
            <w:spacing w:val="7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6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6"/>
            <w:sz w:val="20"/>
          </w:rPr>
          <w:t> </w:t>
        </w:r>
        <w:r>
          <w:rPr>
            <w:rFonts w:ascii="Arial MT" w:hAnsi="Arial MT"/>
            <w:sz w:val="20"/>
          </w:rPr>
          <w:t>Básica,</w:t>
        </w:r>
      </w:hyperlink>
      <w:r>
        <w:rPr>
          <w:rFonts w:ascii="Arial MT" w:hAnsi="Arial MT"/>
          <w:spacing w:val="-52"/>
          <w:sz w:val="20"/>
        </w:rPr>
        <w:t> </w:t>
      </w:r>
      <w:hyperlink w:history="true" w:anchor="_bookmark15">
        <w:r>
          <w:rPr>
            <w:rFonts w:ascii="Arial MT" w:hAnsi="Arial MT"/>
            <w:sz w:val="20"/>
          </w:rPr>
          <w:t>2021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(preliminar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1/6/2021)</w:t>
          <w:tab/>
        </w:r>
        <w:r>
          <w:rPr>
            <w:rFonts w:ascii="Arial MT" w:hAnsi="Arial MT"/>
            <w:spacing w:val="-3"/>
            <w:sz w:val="20"/>
          </w:rPr>
          <w:t>15</w:t>
        </w:r>
      </w:hyperlink>
    </w:p>
    <w:p>
      <w:pPr>
        <w:tabs>
          <w:tab w:pos="10590" w:val="left" w:leader="dot"/>
        </w:tabs>
        <w:spacing w:before="0"/>
        <w:ind w:left="1418" w:right="1426" w:firstLine="0"/>
        <w:jc w:val="left"/>
        <w:rPr>
          <w:rFonts w:ascii="Arial MT" w:hAnsi="Arial MT"/>
          <w:sz w:val="20"/>
        </w:rPr>
      </w:pPr>
      <w:hyperlink w:history="true" w:anchor="_bookmark17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52"/>
            <w:sz w:val="20"/>
          </w:rPr>
          <w:t> </w:t>
        </w:r>
        <w:r>
          <w:rPr>
            <w:rFonts w:ascii="Arial MT" w:hAnsi="Arial MT"/>
            <w:sz w:val="20"/>
          </w:rPr>
          <w:t>6</w:t>
        </w:r>
        <w:r>
          <w:rPr>
            <w:rFonts w:ascii="Arial MT" w:hAnsi="Arial MT"/>
            <w:spacing w:val="54"/>
            <w:sz w:val="20"/>
          </w:rPr>
          <w:t> </w:t>
        </w:r>
        <w:r>
          <w:rPr>
            <w:rFonts w:ascii="Arial MT" w:hAnsi="Arial MT"/>
            <w:sz w:val="20"/>
          </w:rPr>
          <w:t>Déficit</w:t>
        </w:r>
        <w:r>
          <w:rPr>
            <w:rFonts w:ascii="Arial MT" w:hAnsi="Arial MT"/>
            <w:spacing w:val="55"/>
            <w:sz w:val="20"/>
          </w:rPr>
          <w:t> </w:t>
        </w:r>
        <w:r>
          <w:rPr>
            <w:rFonts w:ascii="Arial MT" w:hAnsi="Arial MT"/>
            <w:sz w:val="20"/>
          </w:rPr>
          <w:t>Neto</w:t>
        </w:r>
        <w:r>
          <w:rPr>
            <w:rFonts w:ascii="Arial MT" w:hAnsi="Arial MT"/>
            <w:spacing w:val="54"/>
            <w:sz w:val="20"/>
          </w:rPr>
          <w:t> </w:t>
        </w:r>
        <w:r>
          <w:rPr>
            <w:rFonts w:ascii="Arial MT" w:hAnsi="Arial MT"/>
            <w:sz w:val="20"/>
          </w:rPr>
          <w:t>%,  por</w:t>
        </w:r>
        <w:r>
          <w:rPr>
            <w:rFonts w:ascii="Arial MT" w:hAnsi="Arial MT"/>
            <w:spacing w:val="53"/>
            <w:sz w:val="20"/>
          </w:rPr>
          <w:t> </w:t>
        </w:r>
        <w:r>
          <w:rPr>
            <w:rFonts w:ascii="Arial MT" w:hAnsi="Arial MT"/>
            <w:sz w:val="20"/>
          </w:rPr>
          <w:t>departamento,</w:t>
        </w:r>
        <w:r>
          <w:rPr>
            <w:rFonts w:ascii="Arial MT" w:hAnsi="Arial MT"/>
            <w:spacing w:val="54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51"/>
            <w:sz w:val="20"/>
          </w:rPr>
          <w:t> </w:t>
        </w:r>
        <w:r>
          <w:rPr>
            <w:rFonts w:ascii="Arial MT" w:hAnsi="Arial MT"/>
            <w:sz w:val="20"/>
          </w:rPr>
          <w:t>por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52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53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54"/>
            <w:sz w:val="20"/>
          </w:rPr>
          <w:t> </w:t>
        </w:r>
        <w:r>
          <w:rPr>
            <w:rFonts w:ascii="Arial MT" w:hAnsi="Arial MT"/>
            <w:sz w:val="20"/>
          </w:rPr>
          <w:t>Media,</w:t>
        </w:r>
        <w:r>
          <w:rPr>
            <w:rFonts w:ascii="Arial MT" w:hAnsi="Arial MT"/>
            <w:spacing w:val="52"/>
            <w:sz w:val="20"/>
          </w:rPr>
          <w:t> </w:t>
        </w:r>
        <w:r>
          <w:rPr>
            <w:rFonts w:ascii="Arial MT" w:hAnsi="Arial MT"/>
            <w:sz w:val="20"/>
          </w:rPr>
          <w:t>Ciclo</w:t>
        </w:r>
        <w:r>
          <w:rPr>
            <w:rFonts w:ascii="Arial MT" w:hAnsi="Arial MT"/>
            <w:spacing w:val="52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52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</w:hyperlink>
      <w:r>
        <w:rPr>
          <w:rFonts w:ascii="Arial MT" w:hAnsi="Arial MT"/>
          <w:spacing w:val="-53"/>
          <w:sz w:val="20"/>
        </w:rPr>
        <w:t> </w:t>
      </w:r>
      <w:hyperlink w:history="true" w:anchor="_bookmark17">
        <w:r>
          <w:rPr>
            <w:rFonts w:ascii="Arial MT" w:hAnsi="Arial MT"/>
            <w:sz w:val="20"/>
          </w:rPr>
          <w:t>Diversificada,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2021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(preliminar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1/6/2021)</w:t>
          <w:tab/>
        </w:r>
        <w:r>
          <w:rPr>
            <w:rFonts w:ascii="Arial MT" w:hAnsi="Arial MT"/>
            <w:spacing w:val="-3"/>
            <w:sz w:val="20"/>
          </w:rPr>
          <w:t>16</w:t>
        </w:r>
      </w:hyperlink>
    </w:p>
    <w:p>
      <w:pPr>
        <w:tabs>
          <w:tab w:pos="10590" w:val="left" w:leader="dot"/>
        </w:tabs>
        <w:spacing w:before="0"/>
        <w:ind w:left="1418" w:right="0" w:firstLine="0"/>
        <w:jc w:val="left"/>
        <w:rPr>
          <w:rFonts w:ascii="Arial MT" w:hAnsi="Arial MT"/>
          <w:sz w:val="20"/>
        </w:rPr>
      </w:pPr>
      <w:hyperlink w:history="true" w:anchor="_bookmark22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7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estudios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más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alto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aprobado,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según el</w:t>
        </w:r>
        <w:r>
          <w:rPr>
            <w:rFonts w:ascii="Arial MT" w:hAnsi="Arial MT"/>
            <w:spacing w:val="-4"/>
            <w:sz w:val="20"/>
          </w:rPr>
          <w:t> </w:t>
        </w:r>
        <w:r>
          <w:rPr>
            <w:rFonts w:ascii="Arial MT" w:hAnsi="Arial MT"/>
            <w:sz w:val="20"/>
          </w:rPr>
          <w:t>sexo.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Guatemala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2018.</w:t>
          <w:tab/>
          <w:t>18</w:t>
        </w:r>
      </w:hyperlink>
    </w:p>
    <w:p>
      <w:pPr>
        <w:tabs>
          <w:tab w:pos="10590" w:val="left" w:leader="dot"/>
        </w:tabs>
        <w:spacing w:line="229" w:lineRule="exact" w:before="0"/>
        <w:ind w:left="1418" w:right="0" w:firstLine="0"/>
        <w:jc w:val="left"/>
        <w:rPr>
          <w:rFonts w:ascii="Arial MT" w:hAnsi="Arial MT"/>
          <w:sz w:val="20"/>
        </w:rPr>
      </w:pPr>
      <w:hyperlink w:history="true" w:anchor="_bookmark24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8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-4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estudios más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alto aprobado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por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pueblo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pertenencia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-6"/>
            <w:sz w:val="20"/>
          </w:rPr>
          <w:t> </w:t>
        </w:r>
        <w:r>
          <w:rPr>
            <w:rFonts w:ascii="Arial MT" w:hAnsi="Arial MT"/>
            <w:sz w:val="20"/>
          </w:rPr>
          <w:t>sexo.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Guatemala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2018.</w:t>
          <w:tab/>
          <w:t>19</w:t>
        </w:r>
      </w:hyperlink>
    </w:p>
    <w:p>
      <w:pPr>
        <w:tabs>
          <w:tab w:pos="10590" w:val="left" w:leader="dot"/>
        </w:tabs>
        <w:spacing w:line="229" w:lineRule="exact" w:before="0"/>
        <w:ind w:left="1418" w:right="0" w:firstLine="0"/>
        <w:jc w:val="left"/>
        <w:rPr>
          <w:rFonts w:ascii="Arial MT" w:hAnsi="Arial MT"/>
          <w:sz w:val="20"/>
        </w:rPr>
      </w:pPr>
      <w:hyperlink w:history="true" w:anchor="_bookmark25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9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de educación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más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alto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aprobado,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según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sexo y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área de ubicación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(urbano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-5"/>
            <w:sz w:val="20"/>
          </w:rPr>
          <w:t> </w:t>
        </w:r>
        <w:r>
          <w:rPr>
            <w:rFonts w:ascii="Arial MT" w:hAnsi="Arial MT"/>
            <w:sz w:val="20"/>
          </w:rPr>
          <w:t>rural)</w:t>
          <w:tab/>
          <w:t>20</w:t>
        </w:r>
      </w:hyperlink>
    </w:p>
    <w:p>
      <w:pPr>
        <w:tabs>
          <w:tab w:pos="10590" w:val="left" w:leader="dot"/>
        </w:tabs>
        <w:spacing w:before="0"/>
        <w:ind w:left="1418" w:right="1426" w:firstLine="0"/>
        <w:jc w:val="left"/>
        <w:rPr>
          <w:rFonts w:ascii="Arial MT" w:hAnsi="Arial MT"/>
          <w:sz w:val="20"/>
        </w:rPr>
      </w:pPr>
      <w:hyperlink w:history="true" w:anchor="_bookmark26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10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8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10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7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10"/>
            <w:sz w:val="20"/>
          </w:rPr>
          <w:t> </w:t>
        </w:r>
        <w:r>
          <w:rPr>
            <w:rFonts w:ascii="Arial MT" w:hAnsi="Arial MT"/>
            <w:sz w:val="20"/>
          </w:rPr>
          <w:t>estudio</w:t>
        </w:r>
        <w:r>
          <w:rPr>
            <w:rFonts w:ascii="Arial MT" w:hAnsi="Arial MT"/>
            <w:spacing w:val="10"/>
            <w:sz w:val="20"/>
          </w:rPr>
          <w:t> </w:t>
        </w:r>
        <w:r>
          <w:rPr>
            <w:rFonts w:ascii="Arial MT" w:hAnsi="Arial MT"/>
            <w:sz w:val="20"/>
          </w:rPr>
          <w:t>más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alto</w:t>
        </w:r>
        <w:r>
          <w:rPr>
            <w:rFonts w:ascii="Arial MT" w:hAnsi="Arial MT"/>
            <w:spacing w:val="12"/>
            <w:sz w:val="20"/>
          </w:rPr>
          <w:t> </w:t>
        </w:r>
        <w:r>
          <w:rPr>
            <w:rFonts w:ascii="Arial MT" w:hAnsi="Arial MT"/>
            <w:sz w:val="20"/>
          </w:rPr>
          <w:t>aprobado,</w:t>
        </w:r>
        <w:r>
          <w:rPr>
            <w:rFonts w:ascii="Arial MT" w:hAnsi="Arial MT"/>
            <w:spacing w:val="8"/>
            <w:sz w:val="20"/>
          </w:rPr>
          <w:t> </w:t>
        </w:r>
        <w:r>
          <w:rPr>
            <w:rFonts w:ascii="Arial MT" w:hAnsi="Arial MT"/>
            <w:sz w:val="20"/>
          </w:rPr>
          <w:t>según</w:t>
        </w:r>
        <w:r>
          <w:rPr>
            <w:rFonts w:ascii="Arial MT" w:hAnsi="Arial MT"/>
            <w:spacing w:val="10"/>
            <w:sz w:val="20"/>
          </w:rPr>
          <w:t> </w:t>
        </w:r>
        <w:r>
          <w:rPr>
            <w:rFonts w:ascii="Arial MT" w:hAnsi="Arial MT"/>
            <w:sz w:val="20"/>
          </w:rPr>
          <w:t>el</w:t>
        </w:r>
        <w:r>
          <w:rPr>
            <w:rFonts w:ascii="Arial MT" w:hAnsi="Arial MT"/>
            <w:spacing w:val="8"/>
            <w:sz w:val="20"/>
          </w:rPr>
          <w:t> </w:t>
        </w:r>
        <w:r>
          <w:rPr>
            <w:rFonts w:ascii="Arial MT" w:hAnsi="Arial MT"/>
            <w:sz w:val="20"/>
          </w:rPr>
          <w:t>área</w:t>
        </w:r>
        <w:r>
          <w:rPr>
            <w:rFonts w:ascii="Arial MT" w:hAnsi="Arial MT"/>
            <w:spacing w:val="12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8"/>
            <w:sz w:val="20"/>
          </w:rPr>
          <w:t> </w:t>
        </w:r>
        <w:r>
          <w:rPr>
            <w:rFonts w:ascii="Arial MT" w:hAnsi="Arial MT"/>
            <w:sz w:val="20"/>
          </w:rPr>
          <w:t>ubicación</w:t>
        </w:r>
        <w:r>
          <w:rPr>
            <w:rFonts w:ascii="Arial MT" w:hAnsi="Arial MT"/>
            <w:spacing w:val="12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8"/>
            <w:sz w:val="20"/>
          </w:rPr>
          <w:t> </w:t>
        </w:r>
        <w:r>
          <w:rPr>
            <w:rFonts w:ascii="Arial MT" w:hAnsi="Arial MT"/>
            <w:sz w:val="20"/>
          </w:rPr>
          <w:t>el</w:t>
        </w:r>
        <w:r>
          <w:rPr>
            <w:rFonts w:ascii="Arial MT" w:hAnsi="Arial MT"/>
            <w:spacing w:val="11"/>
            <w:sz w:val="20"/>
          </w:rPr>
          <w:t> </w:t>
        </w:r>
        <w:r>
          <w:rPr>
            <w:rFonts w:ascii="Arial MT" w:hAnsi="Arial MT"/>
            <w:sz w:val="20"/>
          </w:rPr>
          <w:t>pueblo</w:t>
        </w:r>
        <w:r>
          <w:rPr>
            <w:rFonts w:ascii="Arial MT" w:hAnsi="Arial MT"/>
            <w:spacing w:val="10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</w:hyperlink>
      <w:r>
        <w:rPr>
          <w:rFonts w:ascii="Arial MT" w:hAnsi="Arial MT"/>
          <w:spacing w:val="-53"/>
          <w:sz w:val="20"/>
        </w:rPr>
        <w:t> </w:t>
      </w:r>
      <w:hyperlink w:history="true" w:anchor="_bookmark26">
        <w:r>
          <w:rPr>
            <w:rFonts w:ascii="Arial MT" w:hAnsi="Arial MT"/>
            <w:sz w:val="20"/>
          </w:rPr>
          <w:t>pertenencia</w:t>
          <w:tab/>
        </w:r>
        <w:r>
          <w:rPr>
            <w:rFonts w:ascii="Arial MT" w:hAnsi="Arial MT"/>
            <w:spacing w:val="-3"/>
            <w:sz w:val="20"/>
          </w:rPr>
          <w:t>21</w:t>
        </w:r>
      </w:hyperlink>
    </w:p>
    <w:p>
      <w:pPr>
        <w:tabs>
          <w:tab w:pos="10590" w:val="left" w:leader="dot"/>
        </w:tabs>
        <w:spacing w:before="1"/>
        <w:ind w:left="1418" w:right="1426" w:firstLine="0"/>
        <w:jc w:val="left"/>
        <w:rPr>
          <w:rFonts w:ascii="Arial MT" w:hAnsi="Arial MT"/>
          <w:sz w:val="20"/>
        </w:rPr>
      </w:pPr>
      <w:hyperlink w:history="true" w:anchor="_bookmark28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4"/>
            <w:sz w:val="20"/>
          </w:rPr>
          <w:t> </w:t>
        </w:r>
        <w:r>
          <w:rPr>
            <w:rFonts w:ascii="Arial MT" w:hAnsi="Arial MT"/>
            <w:sz w:val="20"/>
          </w:rPr>
          <w:t>11</w:t>
        </w:r>
        <w:r>
          <w:rPr>
            <w:rFonts w:ascii="Arial MT" w:hAnsi="Arial MT"/>
            <w:spacing w:val="4"/>
            <w:sz w:val="20"/>
          </w:rPr>
          <w:t> </w:t>
        </w:r>
        <w:r>
          <w:rPr>
            <w:rFonts w:ascii="Arial MT" w:hAnsi="Arial MT"/>
            <w:sz w:val="20"/>
          </w:rPr>
          <w:t>Departamentos</w:t>
        </w:r>
        <w:r>
          <w:rPr>
            <w:rFonts w:ascii="Arial MT" w:hAnsi="Arial MT"/>
            <w:spacing w:val="4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4"/>
            <w:sz w:val="20"/>
          </w:rPr>
          <w:t> </w:t>
        </w:r>
        <w:r>
          <w:rPr>
            <w:rFonts w:ascii="Arial MT" w:hAnsi="Arial MT"/>
            <w:sz w:val="20"/>
          </w:rPr>
          <w:t>mayor</w:t>
        </w:r>
        <w:r>
          <w:rPr>
            <w:rFonts w:ascii="Arial MT" w:hAnsi="Arial MT"/>
            <w:spacing w:val="5"/>
            <w:sz w:val="20"/>
          </w:rPr>
          <w:t> </w:t>
        </w:r>
        <w:r>
          <w:rPr>
            <w:rFonts w:ascii="Arial MT" w:hAnsi="Arial MT"/>
            <w:sz w:val="20"/>
          </w:rPr>
          <w:t>porcentaje</w:t>
        </w:r>
        <w:r>
          <w:rPr>
            <w:rFonts w:ascii="Arial MT" w:hAnsi="Arial MT"/>
            <w:spacing w:val="7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6"/>
            <w:sz w:val="20"/>
          </w:rPr>
          <w:t> </w:t>
        </w:r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6"/>
            <w:sz w:val="20"/>
          </w:rPr>
          <w:t> </w:t>
        </w:r>
        <w:r>
          <w:rPr>
            <w:rFonts w:ascii="Arial MT" w:hAnsi="Arial MT"/>
            <w:sz w:val="20"/>
          </w:rPr>
          <w:t>Maya</w:t>
        </w:r>
        <w:r>
          <w:rPr>
            <w:rFonts w:ascii="Arial MT" w:hAnsi="Arial MT"/>
            <w:spacing w:val="6"/>
            <w:sz w:val="20"/>
          </w:rPr>
          <w:t> </w:t>
        </w:r>
        <w:r>
          <w:rPr>
            <w:rFonts w:ascii="Arial MT" w:hAnsi="Arial MT"/>
            <w:sz w:val="20"/>
          </w:rPr>
          <w:t>afectada</w:t>
        </w:r>
        <w:r>
          <w:rPr>
            <w:rFonts w:ascii="Arial MT" w:hAnsi="Arial MT"/>
            <w:spacing w:val="5"/>
            <w:sz w:val="20"/>
          </w:rPr>
          <w:t> </w:t>
        </w:r>
        <w:r>
          <w:rPr>
            <w:rFonts w:ascii="Arial MT" w:hAnsi="Arial MT"/>
            <w:sz w:val="20"/>
          </w:rPr>
          <w:t>sin</w:t>
        </w:r>
        <w:r>
          <w:rPr>
            <w:rFonts w:ascii="Arial MT" w:hAnsi="Arial MT"/>
            <w:spacing w:val="6"/>
            <w:sz w:val="20"/>
          </w:rPr>
          <w:t> </w:t>
        </w:r>
        <w:r>
          <w:rPr>
            <w:rFonts w:ascii="Arial MT" w:hAnsi="Arial MT"/>
            <w:sz w:val="20"/>
          </w:rPr>
          <w:t>ningún</w:t>
        </w:r>
        <w:r>
          <w:rPr>
            <w:rFonts w:ascii="Arial MT" w:hAnsi="Arial MT"/>
            <w:spacing w:val="5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5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5"/>
            <w:sz w:val="20"/>
          </w:rPr>
          <w:t> </w:t>
        </w:r>
        <w:r>
          <w:rPr>
            <w:rFonts w:ascii="Arial MT" w:hAnsi="Arial MT"/>
            <w:sz w:val="20"/>
          </w:rPr>
          <w:t>estudio</w:t>
        </w:r>
      </w:hyperlink>
      <w:r>
        <w:rPr>
          <w:rFonts w:ascii="Arial MT" w:hAnsi="Arial MT"/>
          <w:spacing w:val="-53"/>
          <w:sz w:val="20"/>
        </w:rPr>
        <w:t> </w:t>
      </w:r>
      <w:hyperlink w:history="true" w:anchor="_bookmark28">
        <w:r>
          <w:rPr>
            <w:rFonts w:ascii="Arial MT" w:hAnsi="Arial MT"/>
            <w:sz w:val="20"/>
          </w:rPr>
          <w:t>aprobado,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según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área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urbana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rural</w:t>
          <w:tab/>
        </w:r>
        <w:r>
          <w:rPr>
            <w:rFonts w:ascii="Arial MT" w:hAnsi="Arial MT"/>
            <w:spacing w:val="-3"/>
            <w:sz w:val="20"/>
          </w:rPr>
          <w:t>22</w:t>
        </w:r>
      </w:hyperlink>
    </w:p>
    <w:p>
      <w:pPr>
        <w:tabs>
          <w:tab w:pos="10590" w:val="left" w:leader="dot"/>
        </w:tabs>
        <w:spacing w:before="1"/>
        <w:ind w:left="1418" w:right="1421" w:firstLine="0"/>
        <w:jc w:val="left"/>
        <w:rPr>
          <w:rFonts w:ascii="Arial MT" w:hAnsi="Arial MT"/>
          <w:sz w:val="20"/>
        </w:rPr>
      </w:pPr>
      <w:hyperlink w:history="true" w:anchor="_bookmark29">
        <w:r>
          <w:rPr>
            <w:rFonts w:ascii="Arial MT" w:hAnsi="Arial MT"/>
            <w:w w:val="95"/>
            <w:sz w:val="20"/>
          </w:rPr>
          <w:t>Gráfico</w:t>
        </w:r>
        <w:r>
          <w:rPr>
            <w:rFonts w:ascii="Arial MT" w:hAnsi="Arial MT"/>
            <w:spacing w:val="17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12</w:t>
        </w:r>
        <w:r>
          <w:rPr>
            <w:rFonts w:ascii="Arial MT" w:hAnsi="Arial MT"/>
            <w:spacing w:val="16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Departamentos</w:t>
        </w:r>
        <w:r>
          <w:rPr>
            <w:rFonts w:ascii="Arial MT" w:hAnsi="Arial MT"/>
            <w:spacing w:val="23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con</w:t>
        </w:r>
        <w:r>
          <w:rPr>
            <w:rFonts w:ascii="Arial MT" w:hAnsi="Arial MT"/>
            <w:spacing w:val="16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mayor</w:t>
        </w:r>
        <w:r>
          <w:rPr>
            <w:rFonts w:ascii="Arial MT" w:hAnsi="Arial MT"/>
            <w:spacing w:val="20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porcentaje</w:t>
        </w:r>
        <w:r>
          <w:rPr>
            <w:rFonts w:ascii="Arial MT" w:hAnsi="Arial MT"/>
            <w:spacing w:val="17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de</w:t>
        </w:r>
        <w:r>
          <w:rPr>
            <w:rFonts w:ascii="Arial MT" w:hAnsi="Arial MT"/>
            <w:spacing w:val="16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población</w:t>
        </w:r>
        <w:r>
          <w:rPr>
            <w:rFonts w:ascii="Arial MT" w:hAnsi="Arial MT"/>
            <w:spacing w:val="16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Garífuna</w:t>
        </w:r>
        <w:r>
          <w:rPr>
            <w:rFonts w:ascii="Arial MT" w:hAnsi="Arial MT"/>
            <w:spacing w:val="18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afectada</w:t>
        </w:r>
        <w:r>
          <w:rPr>
            <w:rFonts w:ascii="Arial MT" w:hAnsi="Arial MT"/>
            <w:spacing w:val="18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sin</w:t>
        </w:r>
        <w:r>
          <w:rPr>
            <w:rFonts w:ascii="Arial MT" w:hAnsi="Arial MT"/>
            <w:spacing w:val="18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ningún</w:t>
        </w:r>
        <w:r>
          <w:rPr>
            <w:rFonts w:ascii="Arial MT" w:hAnsi="Arial MT"/>
            <w:spacing w:val="21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nivel</w:t>
        </w:r>
        <w:r>
          <w:rPr>
            <w:rFonts w:ascii="Arial MT" w:hAnsi="Arial MT"/>
            <w:spacing w:val="16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de</w:t>
        </w:r>
        <w:r>
          <w:rPr>
            <w:rFonts w:ascii="Arial MT" w:hAnsi="Arial MT"/>
            <w:spacing w:val="16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estudio</w:t>
        </w:r>
      </w:hyperlink>
      <w:r>
        <w:rPr>
          <w:rFonts w:ascii="Arial MT" w:hAnsi="Arial MT"/>
          <w:spacing w:val="-50"/>
          <w:w w:val="95"/>
          <w:sz w:val="20"/>
        </w:rPr>
        <w:t> </w:t>
      </w:r>
      <w:hyperlink w:history="true" w:anchor="_bookmark29">
        <w:r>
          <w:rPr>
            <w:rFonts w:ascii="Arial MT" w:hAnsi="Arial MT"/>
            <w:sz w:val="20"/>
          </w:rPr>
          <w:t>aprobado,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según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área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urbana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rural</w:t>
          <w:tab/>
        </w:r>
        <w:r>
          <w:rPr>
            <w:rFonts w:ascii="Arial MT" w:hAnsi="Arial MT"/>
            <w:spacing w:val="-1"/>
            <w:sz w:val="20"/>
          </w:rPr>
          <w:t>23</w:t>
        </w:r>
      </w:hyperlink>
    </w:p>
    <w:p>
      <w:pPr>
        <w:tabs>
          <w:tab w:pos="10590" w:val="left" w:leader="dot"/>
        </w:tabs>
        <w:spacing w:before="0"/>
        <w:ind w:left="1418" w:right="1419" w:firstLine="0"/>
        <w:jc w:val="left"/>
        <w:rPr>
          <w:rFonts w:ascii="Arial MT" w:hAnsi="Arial MT"/>
          <w:sz w:val="20"/>
        </w:rPr>
      </w:pPr>
      <w:hyperlink w:history="true" w:anchor="_bookmark30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3"/>
            <w:sz w:val="20"/>
          </w:rPr>
          <w:t> </w:t>
        </w:r>
        <w:r>
          <w:rPr>
            <w:rFonts w:ascii="Arial MT" w:hAnsi="Arial MT"/>
            <w:sz w:val="20"/>
          </w:rPr>
          <w:t>13</w:t>
        </w:r>
        <w:r>
          <w:rPr>
            <w:rFonts w:ascii="Arial MT" w:hAnsi="Arial MT"/>
            <w:spacing w:val="3"/>
            <w:sz w:val="20"/>
          </w:rPr>
          <w:t> </w:t>
        </w:r>
        <w:r>
          <w:rPr>
            <w:rFonts w:ascii="Arial MT" w:hAnsi="Arial MT"/>
            <w:sz w:val="20"/>
          </w:rPr>
          <w:t>Departamentos</w:t>
        </w:r>
        <w:r>
          <w:rPr>
            <w:rFonts w:ascii="Arial MT" w:hAnsi="Arial MT"/>
            <w:spacing w:val="4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3"/>
            <w:sz w:val="20"/>
          </w:rPr>
          <w:t> </w:t>
        </w:r>
        <w:r>
          <w:rPr>
            <w:rFonts w:ascii="Arial MT" w:hAnsi="Arial MT"/>
            <w:sz w:val="20"/>
          </w:rPr>
          <w:t>mayor</w:t>
        </w:r>
        <w:r>
          <w:rPr>
            <w:rFonts w:ascii="Arial MT" w:hAnsi="Arial MT"/>
            <w:spacing w:val="5"/>
            <w:sz w:val="20"/>
          </w:rPr>
          <w:t> </w:t>
        </w:r>
        <w:r>
          <w:rPr>
            <w:rFonts w:ascii="Arial MT" w:hAnsi="Arial MT"/>
            <w:sz w:val="20"/>
          </w:rPr>
          <w:t>porcentaje</w:t>
        </w:r>
        <w:r>
          <w:rPr>
            <w:rFonts w:ascii="Arial MT" w:hAnsi="Arial MT"/>
            <w:spacing w:val="6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3"/>
            <w:sz w:val="20"/>
          </w:rPr>
          <w:t> </w:t>
        </w:r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5"/>
            <w:sz w:val="20"/>
          </w:rPr>
          <w:t> </w:t>
        </w:r>
        <w:r>
          <w:rPr>
            <w:rFonts w:ascii="Arial MT" w:hAnsi="Arial MT"/>
            <w:sz w:val="20"/>
          </w:rPr>
          <w:t>Xinca</w:t>
        </w:r>
        <w:r>
          <w:rPr>
            <w:rFonts w:ascii="Arial MT" w:hAnsi="Arial MT"/>
            <w:spacing w:val="4"/>
            <w:sz w:val="20"/>
          </w:rPr>
          <w:t> </w:t>
        </w:r>
        <w:r>
          <w:rPr>
            <w:rFonts w:ascii="Arial MT" w:hAnsi="Arial MT"/>
            <w:sz w:val="20"/>
          </w:rPr>
          <w:t>afectada</w:t>
        </w:r>
        <w:r>
          <w:rPr>
            <w:rFonts w:ascii="Arial MT" w:hAnsi="Arial MT"/>
            <w:spacing w:val="4"/>
            <w:sz w:val="20"/>
          </w:rPr>
          <w:t> </w:t>
        </w:r>
        <w:r>
          <w:rPr>
            <w:rFonts w:ascii="Arial MT" w:hAnsi="Arial MT"/>
            <w:sz w:val="20"/>
          </w:rPr>
          <w:t>sin</w:t>
        </w:r>
        <w:r>
          <w:rPr>
            <w:rFonts w:ascii="Arial MT" w:hAnsi="Arial MT"/>
            <w:spacing w:val="5"/>
            <w:sz w:val="20"/>
          </w:rPr>
          <w:t> </w:t>
        </w:r>
        <w:r>
          <w:rPr>
            <w:rFonts w:ascii="Arial MT" w:hAnsi="Arial MT"/>
            <w:sz w:val="20"/>
          </w:rPr>
          <w:t>ningún</w:t>
        </w:r>
        <w:r>
          <w:rPr>
            <w:rFonts w:ascii="Arial MT" w:hAnsi="Arial MT"/>
            <w:spacing w:val="6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3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16"/>
            <w:sz w:val="20"/>
          </w:rPr>
          <w:t> </w:t>
        </w:r>
        <w:r>
          <w:rPr>
            <w:rFonts w:ascii="Arial MT" w:hAnsi="Arial MT"/>
            <w:sz w:val="20"/>
          </w:rPr>
          <w:t>estudio</w:t>
        </w:r>
      </w:hyperlink>
      <w:r>
        <w:rPr>
          <w:rFonts w:ascii="Arial MT" w:hAnsi="Arial MT"/>
          <w:spacing w:val="-53"/>
          <w:sz w:val="20"/>
        </w:rPr>
        <w:t> </w:t>
      </w:r>
      <w:hyperlink w:history="true" w:anchor="_bookmark30">
        <w:r>
          <w:rPr>
            <w:rFonts w:ascii="Arial MT" w:hAnsi="Arial MT"/>
            <w:sz w:val="20"/>
          </w:rPr>
          <w:t>aprobado,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según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área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urbana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rural</w:t>
          <w:tab/>
          <w:t>24</w:t>
        </w:r>
      </w:hyperlink>
    </w:p>
    <w:p>
      <w:pPr>
        <w:tabs>
          <w:tab w:pos="10590" w:val="left" w:leader="dot"/>
        </w:tabs>
        <w:spacing w:before="0"/>
        <w:ind w:left="1418" w:right="1412" w:firstLine="0"/>
        <w:jc w:val="left"/>
        <w:rPr>
          <w:rFonts w:ascii="Arial MT" w:hAnsi="Arial MT"/>
          <w:sz w:val="20"/>
        </w:rPr>
      </w:pPr>
      <w:hyperlink w:history="true" w:anchor="_bookmark31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14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Departamentos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mayor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porcentaje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Afrodescendiente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afectada sin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ningún nivel</w:t>
        </w:r>
      </w:hyperlink>
      <w:r>
        <w:rPr>
          <w:rFonts w:ascii="Arial MT" w:hAnsi="Arial MT"/>
          <w:spacing w:val="-53"/>
          <w:sz w:val="20"/>
        </w:rPr>
        <w:t> </w:t>
      </w:r>
      <w:hyperlink w:history="true" w:anchor="_bookmark31"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estudio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aprobado,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según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área urbana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o rural</w:t>
          <w:tab/>
          <w:t>25</w:t>
        </w:r>
      </w:hyperlink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0"/>
        </w:rPr>
      </w:pPr>
      <w:r>
        <w:rPr/>
        <w:pict>
          <v:rect style="position:absolute;margin-left:563.880005pt;margin-top:8.158381pt;width:25.44pt;height:1.4399pt;mso-position-horizontal-relative:page;mso-position-vertical-relative:paragraph;z-index:-1571993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240" w:lineRule="auto" w:after="12"/>
        <w:ind w:right="629"/>
      </w:pPr>
      <w:r>
        <w:rPr>
          <w:w w:val="100"/>
        </w:rPr>
        <w:t>7</w:t>
      </w:r>
    </w:p>
    <w:p>
      <w:pPr>
        <w:pStyle w:val="BodyText"/>
        <w:spacing w:line="88" w:lineRule="exact"/>
        <w:ind w:left="1127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22944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1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0590" w:val="left" w:leader="dot"/>
        </w:tabs>
        <w:spacing w:before="255"/>
        <w:ind w:left="1418" w:right="1421" w:firstLine="0"/>
        <w:jc w:val="left"/>
        <w:rPr>
          <w:rFonts w:ascii="Arial MT" w:hAnsi="Arial MT"/>
          <w:sz w:val="20"/>
        </w:rPr>
      </w:pPr>
      <w:hyperlink w:history="true" w:anchor="_bookmark32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15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Departamentos</w:t>
        </w:r>
        <w:r>
          <w:rPr>
            <w:rFonts w:ascii="Arial MT" w:hAnsi="Arial MT"/>
            <w:spacing w:val="3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mayor</w:t>
        </w:r>
        <w:r>
          <w:rPr>
            <w:rFonts w:ascii="Arial MT" w:hAnsi="Arial MT"/>
            <w:spacing w:val="3"/>
            <w:sz w:val="20"/>
          </w:rPr>
          <w:t> </w:t>
        </w:r>
        <w:r>
          <w:rPr>
            <w:rFonts w:ascii="Arial MT" w:hAnsi="Arial MT"/>
            <w:sz w:val="20"/>
          </w:rPr>
          <w:t>porcentaje</w:t>
        </w:r>
        <w:r>
          <w:rPr>
            <w:rFonts w:ascii="Arial MT" w:hAnsi="Arial MT"/>
            <w:spacing w:val="4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4"/>
            <w:sz w:val="20"/>
          </w:rPr>
          <w:t> </w:t>
        </w:r>
        <w:r>
          <w:rPr>
            <w:rFonts w:ascii="Arial MT" w:hAnsi="Arial MT"/>
            <w:sz w:val="20"/>
          </w:rPr>
          <w:t>ladina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afectada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sin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ningún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4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estudio</w:t>
        </w:r>
      </w:hyperlink>
      <w:r>
        <w:rPr>
          <w:rFonts w:ascii="Arial MT" w:hAnsi="Arial MT"/>
          <w:spacing w:val="-52"/>
          <w:sz w:val="20"/>
        </w:rPr>
        <w:t> </w:t>
      </w:r>
      <w:hyperlink w:history="true" w:anchor="_bookmark32">
        <w:r>
          <w:rPr>
            <w:rFonts w:ascii="Arial MT" w:hAnsi="Arial MT"/>
            <w:sz w:val="20"/>
          </w:rPr>
          <w:t>aprobado,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según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área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urbana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rural</w:t>
          <w:tab/>
        </w:r>
        <w:r>
          <w:rPr>
            <w:rFonts w:ascii="Arial MT" w:hAnsi="Arial MT"/>
            <w:spacing w:val="-1"/>
            <w:sz w:val="20"/>
          </w:rPr>
          <w:t>26</w:t>
        </w:r>
      </w:hyperlink>
    </w:p>
    <w:p>
      <w:pPr>
        <w:tabs>
          <w:tab w:pos="10590" w:val="left" w:leader="dot"/>
        </w:tabs>
        <w:spacing w:before="0"/>
        <w:ind w:left="1418" w:right="1420" w:firstLine="0"/>
        <w:jc w:val="left"/>
        <w:rPr>
          <w:rFonts w:ascii="Arial MT" w:hAnsi="Arial MT"/>
          <w:sz w:val="20"/>
        </w:rPr>
      </w:pPr>
      <w:hyperlink w:history="true" w:anchor="_bookmark33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11"/>
            <w:sz w:val="20"/>
          </w:rPr>
          <w:t> </w:t>
        </w:r>
        <w:r>
          <w:rPr>
            <w:rFonts w:ascii="Arial MT" w:hAnsi="Arial MT"/>
            <w:sz w:val="20"/>
          </w:rPr>
          <w:t>16</w:t>
        </w:r>
        <w:r>
          <w:rPr>
            <w:rFonts w:ascii="Arial MT" w:hAnsi="Arial MT"/>
            <w:spacing w:val="13"/>
            <w:sz w:val="20"/>
          </w:rPr>
          <w:t> </w:t>
        </w:r>
        <w:r>
          <w:rPr>
            <w:rFonts w:ascii="Arial MT" w:hAnsi="Arial MT"/>
            <w:sz w:val="20"/>
          </w:rPr>
          <w:t>Departamentos</w:t>
        </w:r>
        <w:r>
          <w:rPr>
            <w:rFonts w:ascii="Arial MT" w:hAnsi="Arial MT"/>
            <w:spacing w:val="14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10"/>
            <w:sz w:val="20"/>
          </w:rPr>
          <w:t> </w:t>
        </w:r>
        <w:r>
          <w:rPr>
            <w:rFonts w:ascii="Arial MT" w:hAnsi="Arial MT"/>
            <w:sz w:val="20"/>
          </w:rPr>
          <w:t>mayor</w:t>
        </w:r>
        <w:r>
          <w:rPr>
            <w:rFonts w:ascii="Arial MT" w:hAnsi="Arial MT"/>
            <w:spacing w:val="14"/>
            <w:sz w:val="20"/>
          </w:rPr>
          <w:t> </w:t>
        </w:r>
        <w:r>
          <w:rPr>
            <w:rFonts w:ascii="Arial MT" w:hAnsi="Arial MT"/>
            <w:sz w:val="20"/>
          </w:rPr>
          <w:t>porcentaje</w:t>
        </w:r>
        <w:r>
          <w:rPr>
            <w:rFonts w:ascii="Arial MT" w:hAnsi="Arial MT"/>
            <w:spacing w:val="11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20"/>
            <w:sz w:val="20"/>
          </w:rPr>
          <w:t> </w:t>
        </w:r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13"/>
            <w:sz w:val="20"/>
          </w:rPr>
          <w:t> </w:t>
        </w:r>
        <w:r>
          <w:rPr>
            <w:rFonts w:ascii="Arial MT" w:hAnsi="Arial MT"/>
            <w:sz w:val="20"/>
          </w:rPr>
          <w:t>por</w:t>
        </w:r>
        <w:r>
          <w:rPr>
            <w:rFonts w:ascii="Arial MT" w:hAnsi="Arial MT"/>
            <w:spacing w:val="14"/>
            <w:sz w:val="20"/>
          </w:rPr>
          <w:t> </w:t>
        </w:r>
        <w:r>
          <w:rPr>
            <w:rFonts w:ascii="Arial MT" w:hAnsi="Arial MT"/>
            <w:sz w:val="20"/>
          </w:rPr>
          <w:t>autoidentificación</w:t>
        </w:r>
        <w:r>
          <w:rPr>
            <w:rFonts w:ascii="Arial MT" w:hAnsi="Arial MT"/>
            <w:spacing w:val="13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13"/>
            <w:sz w:val="20"/>
          </w:rPr>
          <w:t> </w:t>
        </w:r>
        <w:r>
          <w:rPr>
            <w:rFonts w:ascii="Arial MT" w:hAnsi="Arial MT"/>
            <w:sz w:val="20"/>
          </w:rPr>
          <w:t>pueblo</w:t>
        </w:r>
        <w:r>
          <w:rPr>
            <w:rFonts w:ascii="Arial MT" w:hAnsi="Arial MT"/>
            <w:spacing w:val="13"/>
            <w:sz w:val="20"/>
          </w:rPr>
          <w:t> </w:t>
        </w:r>
        <w:r>
          <w:rPr>
            <w:rFonts w:ascii="Arial MT" w:hAnsi="Arial MT"/>
            <w:sz w:val="20"/>
          </w:rPr>
          <w:t>afectada</w:t>
        </w:r>
      </w:hyperlink>
      <w:r>
        <w:rPr>
          <w:rFonts w:ascii="Arial MT" w:hAnsi="Arial MT"/>
          <w:spacing w:val="-52"/>
          <w:sz w:val="20"/>
        </w:rPr>
        <w:t> </w:t>
      </w:r>
      <w:hyperlink w:history="true" w:anchor="_bookmark33">
        <w:r>
          <w:rPr>
            <w:rFonts w:ascii="Arial MT" w:hAnsi="Arial MT"/>
            <w:sz w:val="20"/>
          </w:rPr>
          <w:t>sin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ningún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estudio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aprobado</w:t>
          <w:tab/>
          <w:t>27</w:t>
        </w:r>
      </w:hyperlink>
    </w:p>
    <w:p>
      <w:pPr>
        <w:tabs>
          <w:tab w:pos="10590" w:val="left" w:leader="dot"/>
        </w:tabs>
        <w:spacing w:before="0"/>
        <w:ind w:left="1418" w:right="1421" w:firstLine="0"/>
        <w:jc w:val="left"/>
        <w:rPr>
          <w:rFonts w:ascii="Arial MT" w:hAnsi="Arial MT"/>
          <w:sz w:val="20"/>
        </w:rPr>
      </w:pPr>
      <w:hyperlink w:history="true" w:anchor="_bookmark34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11"/>
            <w:sz w:val="20"/>
          </w:rPr>
          <w:t> </w:t>
        </w:r>
        <w:r>
          <w:rPr>
            <w:rFonts w:ascii="Arial MT" w:hAnsi="Arial MT"/>
            <w:sz w:val="20"/>
          </w:rPr>
          <w:t>17</w:t>
        </w:r>
        <w:r>
          <w:rPr>
            <w:rFonts w:ascii="Arial MT" w:hAnsi="Arial MT"/>
            <w:spacing w:val="13"/>
            <w:sz w:val="20"/>
          </w:rPr>
          <w:t> </w:t>
        </w:r>
        <w:r>
          <w:rPr>
            <w:rFonts w:ascii="Arial MT" w:hAnsi="Arial MT"/>
            <w:sz w:val="20"/>
          </w:rPr>
          <w:t>Departamentos</w:t>
        </w:r>
        <w:r>
          <w:rPr>
            <w:rFonts w:ascii="Arial MT" w:hAnsi="Arial MT"/>
            <w:spacing w:val="15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10"/>
            <w:sz w:val="20"/>
          </w:rPr>
          <w:t> </w:t>
        </w:r>
        <w:r>
          <w:rPr>
            <w:rFonts w:ascii="Arial MT" w:hAnsi="Arial MT"/>
            <w:sz w:val="20"/>
          </w:rPr>
          <w:t>mayor</w:t>
        </w:r>
        <w:r>
          <w:rPr>
            <w:rFonts w:ascii="Arial MT" w:hAnsi="Arial MT"/>
            <w:spacing w:val="15"/>
            <w:sz w:val="20"/>
          </w:rPr>
          <w:t> </w:t>
        </w:r>
        <w:r>
          <w:rPr>
            <w:rFonts w:ascii="Arial MT" w:hAnsi="Arial MT"/>
            <w:sz w:val="20"/>
          </w:rPr>
          <w:t>porcentaje</w:t>
        </w:r>
        <w:r>
          <w:rPr>
            <w:rFonts w:ascii="Arial MT" w:hAnsi="Arial MT"/>
            <w:spacing w:val="11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13"/>
            <w:sz w:val="20"/>
          </w:rPr>
          <w:t> </w:t>
        </w:r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14"/>
            <w:sz w:val="20"/>
          </w:rPr>
          <w:t> </w:t>
        </w:r>
        <w:r>
          <w:rPr>
            <w:rFonts w:ascii="Arial MT" w:hAnsi="Arial MT"/>
            <w:sz w:val="20"/>
          </w:rPr>
          <w:t>por</w:t>
        </w:r>
        <w:r>
          <w:rPr>
            <w:rFonts w:ascii="Arial MT" w:hAnsi="Arial MT"/>
            <w:spacing w:val="14"/>
            <w:sz w:val="20"/>
          </w:rPr>
          <w:t> </w:t>
        </w:r>
        <w:r>
          <w:rPr>
            <w:rFonts w:ascii="Arial MT" w:hAnsi="Arial MT"/>
            <w:sz w:val="20"/>
          </w:rPr>
          <w:t>autoidentificación</w:t>
        </w:r>
        <w:r>
          <w:rPr>
            <w:rFonts w:ascii="Arial MT" w:hAnsi="Arial MT"/>
            <w:spacing w:val="14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13"/>
            <w:sz w:val="20"/>
          </w:rPr>
          <w:t> </w:t>
        </w:r>
        <w:r>
          <w:rPr>
            <w:rFonts w:ascii="Arial MT" w:hAnsi="Arial MT"/>
            <w:sz w:val="20"/>
          </w:rPr>
          <w:t>pueblo</w:t>
        </w:r>
        <w:r>
          <w:rPr>
            <w:rFonts w:ascii="Arial MT" w:hAnsi="Arial MT"/>
            <w:spacing w:val="13"/>
            <w:sz w:val="20"/>
          </w:rPr>
          <w:t> </w:t>
        </w:r>
        <w:r>
          <w:rPr>
            <w:rFonts w:ascii="Arial MT" w:hAnsi="Arial MT"/>
            <w:sz w:val="20"/>
          </w:rPr>
          <w:t>afectada</w:t>
        </w:r>
      </w:hyperlink>
      <w:r>
        <w:rPr>
          <w:rFonts w:ascii="Arial MT" w:hAnsi="Arial MT"/>
          <w:spacing w:val="-52"/>
          <w:sz w:val="20"/>
        </w:rPr>
        <w:t> </w:t>
      </w:r>
      <w:hyperlink w:history="true" w:anchor="_bookmark34">
        <w:r>
          <w:rPr>
            <w:rFonts w:ascii="Arial MT" w:hAnsi="Arial MT"/>
            <w:sz w:val="20"/>
          </w:rPr>
          <w:t>sin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ningún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-4"/>
            <w:sz w:val="20"/>
          </w:rPr>
          <w:t> </w:t>
        </w:r>
        <w:r>
          <w:rPr>
            <w:rFonts w:ascii="Arial MT" w:hAnsi="Arial MT"/>
            <w:sz w:val="20"/>
          </w:rPr>
          <w:t>de estudio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aprobado,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según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área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rural</w:t>
          <w:tab/>
        </w:r>
        <w:r>
          <w:rPr>
            <w:rFonts w:ascii="Arial MT" w:hAnsi="Arial MT"/>
            <w:spacing w:val="-1"/>
            <w:sz w:val="20"/>
          </w:rPr>
          <w:t>28</w:t>
        </w:r>
      </w:hyperlink>
    </w:p>
    <w:p>
      <w:pPr>
        <w:tabs>
          <w:tab w:pos="10590" w:val="left" w:leader="dot"/>
        </w:tabs>
        <w:spacing w:before="0"/>
        <w:ind w:left="1418" w:right="1422" w:firstLine="0"/>
        <w:jc w:val="left"/>
        <w:rPr>
          <w:rFonts w:ascii="Arial MT" w:hAnsi="Arial MT"/>
          <w:sz w:val="20"/>
        </w:rPr>
      </w:pPr>
      <w:hyperlink w:history="true" w:anchor="_bookmark36">
        <w:r>
          <w:rPr>
            <w:rFonts w:ascii="Arial MT" w:hAnsi="Arial MT"/>
            <w:w w:val="95"/>
            <w:sz w:val="20"/>
          </w:rPr>
          <w:t>Gráfico</w:t>
        </w:r>
        <w:r>
          <w:rPr>
            <w:rFonts w:ascii="Arial MT" w:hAnsi="Arial MT"/>
            <w:spacing w:val="14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18</w:t>
        </w:r>
        <w:r>
          <w:rPr>
            <w:rFonts w:ascii="Arial MT" w:hAnsi="Arial MT"/>
            <w:spacing w:val="15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Departamentos</w:t>
        </w:r>
        <w:r>
          <w:rPr>
            <w:rFonts w:ascii="Arial MT" w:hAnsi="Arial MT"/>
            <w:spacing w:val="21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con</w:t>
        </w:r>
        <w:r>
          <w:rPr>
            <w:rFonts w:ascii="Arial MT" w:hAnsi="Arial MT"/>
            <w:spacing w:val="15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menor</w:t>
        </w:r>
        <w:r>
          <w:rPr>
            <w:rFonts w:ascii="Arial MT" w:hAnsi="Arial MT"/>
            <w:spacing w:val="16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porcentaje</w:t>
        </w:r>
        <w:r>
          <w:rPr>
            <w:rFonts w:ascii="Arial MT" w:hAnsi="Arial MT"/>
            <w:spacing w:val="20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de</w:t>
        </w:r>
        <w:r>
          <w:rPr>
            <w:rFonts w:ascii="Arial MT" w:hAnsi="Arial MT"/>
            <w:spacing w:val="18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población</w:t>
        </w:r>
        <w:r>
          <w:rPr>
            <w:rFonts w:ascii="Arial MT" w:hAnsi="Arial MT"/>
            <w:spacing w:val="18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Maya</w:t>
        </w:r>
        <w:r>
          <w:rPr>
            <w:rFonts w:ascii="Arial MT" w:hAnsi="Arial MT"/>
            <w:spacing w:val="20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con</w:t>
        </w:r>
        <w:r>
          <w:rPr>
            <w:rFonts w:ascii="Arial MT" w:hAnsi="Arial MT"/>
            <w:spacing w:val="18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nivel</w:t>
        </w:r>
        <w:r>
          <w:rPr>
            <w:rFonts w:ascii="Arial MT" w:hAnsi="Arial MT"/>
            <w:spacing w:val="18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inicial</w:t>
        </w:r>
        <w:r>
          <w:rPr>
            <w:rFonts w:ascii="Arial MT" w:hAnsi="Arial MT"/>
            <w:spacing w:val="22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y</w:t>
        </w:r>
        <w:r>
          <w:rPr>
            <w:rFonts w:ascii="Arial MT" w:hAnsi="Arial MT"/>
            <w:spacing w:val="15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preprimaria</w:t>
        </w:r>
        <w:r>
          <w:rPr>
            <w:rFonts w:ascii="Arial MT" w:hAnsi="Arial MT"/>
            <w:spacing w:val="14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aprobado</w:t>
        </w:r>
      </w:hyperlink>
      <w:r>
        <w:rPr>
          <w:rFonts w:ascii="Arial MT" w:hAnsi="Arial MT"/>
          <w:spacing w:val="-50"/>
          <w:w w:val="95"/>
          <w:sz w:val="20"/>
        </w:rPr>
        <w:t> </w:t>
      </w:r>
      <w:hyperlink w:history="true" w:anchor="_bookmark36">
        <w:r>
          <w:rPr>
            <w:rFonts w:ascii="Arial MT" w:hAnsi="Arial MT"/>
            <w:sz w:val="20"/>
          </w:rPr>
          <w:t>según el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área urbana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rural</w:t>
          <w:tab/>
        </w:r>
        <w:r>
          <w:rPr>
            <w:rFonts w:ascii="Arial MT" w:hAnsi="Arial MT"/>
            <w:spacing w:val="-1"/>
            <w:sz w:val="20"/>
          </w:rPr>
          <w:t>29</w:t>
        </w:r>
      </w:hyperlink>
    </w:p>
    <w:p>
      <w:pPr>
        <w:tabs>
          <w:tab w:pos="10590" w:val="left" w:leader="dot"/>
        </w:tabs>
        <w:spacing w:before="0"/>
        <w:ind w:left="1418" w:right="1425" w:firstLine="0"/>
        <w:jc w:val="left"/>
        <w:rPr>
          <w:rFonts w:ascii="Arial MT" w:hAnsi="Arial MT"/>
          <w:sz w:val="20"/>
        </w:rPr>
      </w:pPr>
      <w:hyperlink w:history="true" w:anchor="_bookmark37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30"/>
            <w:sz w:val="20"/>
          </w:rPr>
          <w:t> </w:t>
        </w:r>
        <w:r>
          <w:rPr>
            <w:rFonts w:ascii="Arial MT" w:hAnsi="Arial MT"/>
            <w:sz w:val="20"/>
          </w:rPr>
          <w:t>19</w:t>
        </w:r>
        <w:r>
          <w:rPr>
            <w:rFonts w:ascii="Arial MT" w:hAnsi="Arial MT"/>
            <w:spacing w:val="32"/>
            <w:sz w:val="20"/>
          </w:rPr>
          <w:t> </w:t>
        </w:r>
        <w:r>
          <w:rPr>
            <w:rFonts w:ascii="Arial MT" w:hAnsi="Arial MT"/>
            <w:sz w:val="20"/>
          </w:rPr>
          <w:t>Departamentos</w:t>
        </w:r>
        <w:r>
          <w:rPr>
            <w:rFonts w:ascii="Arial MT" w:hAnsi="Arial MT"/>
            <w:spacing w:val="31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28"/>
            <w:sz w:val="20"/>
          </w:rPr>
          <w:t> </w:t>
        </w:r>
        <w:r>
          <w:rPr>
            <w:rFonts w:ascii="Arial MT" w:hAnsi="Arial MT"/>
            <w:sz w:val="20"/>
          </w:rPr>
          <w:t>menor</w:t>
        </w:r>
        <w:r>
          <w:rPr>
            <w:rFonts w:ascii="Arial MT" w:hAnsi="Arial MT"/>
            <w:spacing w:val="30"/>
            <w:sz w:val="20"/>
          </w:rPr>
          <w:t> </w:t>
        </w:r>
        <w:r>
          <w:rPr>
            <w:rFonts w:ascii="Arial MT" w:hAnsi="Arial MT"/>
            <w:sz w:val="20"/>
          </w:rPr>
          <w:t>porcentaje</w:t>
        </w:r>
        <w:r>
          <w:rPr>
            <w:rFonts w:ascii="Arial MT" w:hAnsi="Arial MT"/>
            <w:spacing w:val="31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32"/>
            <w:sz w:val="20"/>
          </w:rPr>
          <w:t> </w:t>
        </w:r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30"/>
            <w:sz w:val="20"/>
          </w:rPr>
          <w:t> </w:t>
        </w:r>
        <w:r>
          <w:rPr>
            <w:rFonts w:ascii="Arial MT" w:hAnsi="Arial MT"/>
            <w:sz w:val="20"/>
          </w:rPr>
          <w:t>Garífuna</w:t>
        </w:r>
        <w:r>
          <w:rPr>
            <w:rFonts w:ascii="Arial MT" w:hAnsi="Arial MT"/>
            <w:spacing w:val="31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29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30"/>
            <w:sz w:val="20"/>
          </w:rPr>
          <w:t> </w:t>
        </w:r>
        <w:r>
          <w:rPr>
            <w:rFonts w:ascii="Arial MT" w:hAnsi="Arial MT"/>
            <w:sz w:val="20"/>
          </w:rPr>
          <w:t>inicial</w:t>
        </w:r>
        <w:r>
          <w:rPr>
            <w:rFonts w:ascii="Arial MT" w:hAnsi="Arial MT"/>
            <w:spacing w:val="32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27"/>
            <w:sz w:val="20"/>
          </w:rPr>
          <w:t> </w:t>
        </w:r>
        <w:r>
          <w:rPr>
            <w:rFonts w:ascii="Arial MT" w:hAnsi="Arial MT"/>
            <w:sz w:val="20"/>
          </w:rPr>
          <w:t>preprimaria</w:t>
        </w:r>
      </w:hyperlink>
      <w:r>
        <w:rPr>
          <w:rFonts w:ascii="Arial MT" w:hAnsi="Arial MT"/>
          <w:spacing w:val="-53"/>
          <w:sz w:val="20"/>
        </w:rPr>
        <w:t> </w:t>
      </w:r>
      <w:hyperlink w:history="true" w:anchor="_bookmark37">
        <w:r>
          <w:rPr>
            <w:rFonts w:ascii="Arial MT" w:hAnsi="Arial MT"/>
            <w:sz w:val="20"/>
          </w:rPr>
          <w:t>aprobado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según el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área urbana 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rural</w:t>
          <w:tab/>
        </w:r>
        <w:r>
          <w:rPr>
            <w:rFonts w:ascii="Arial MT" w:hAnsi="Arial MT"/>
            <w:spacing w:val="-3"/>
            <w:sz w:val="20"/>
          </w:rPr>
          <w:t>30</w:t>
        </w:r>
      </w:hyperlink>
    </w:p>
    <w:p>
      <w:pPr>
        <w:tabs>
          <w:tab w:pos="10590" w:val="left" w:leader="dot"/>
        </w:tabs>
        <w:spacing w:before="0"/>
        <w:ind w:left="1418" w:right="1426" w:firstLine="0"/>
        <w:jc w:val="left"/>
        <w:rPr>
          <w:rFonts w:ascii="Arial MT" w:hAnsi="Arial MT"/>
          <w:sz w:val="20"/>
        </w:rPr>
      </w:pPr>
      <w:hyperlink w:history="true" w:anchor="_bookmark38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50"/>
            <w:sz w:val="20"/>
          </w:rPr>
          <w:t> </w:t>
        </w:r>
        <w:r>
          <w:rPr>
            <w:rFonts w:ascii="Arial MT" w:hAnsi="Arial MT"/>
            <w:sz w:val="20"/>
          </w:rPr>
          <w:t>20</w:t>
        </w:r>
        <w:r>
          <w:rPr>
            <w:rFonts w:ascii="Arial MT" w:hAnsi="Arial MT"/>
            <w:spacing w:val="52"/>
            <w:sz w:val="20"/>
          </w:rPr>
          <w:t> </w:t>
        </w:r>
        <w:r>
          <w:rPr>
            <w:rFonts w:ascii="Arial MT" w:hAnsi="Arial MT"/>
            <w:sz w:val="20"/>
          </w:rPr>
          <w:t>Departamentos</w:t>
        </w:r>
        <w:r>
          <w:rPr>
            <w:rFonts w:ascii="Arial MT" w:hAnsi="Arial MT"/>
            <w:spacing w:val="52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52"/>
            <w:sz w:val="20"/>
          </w:rPr>
          <w:t> </w:t>
        </w:r>
        <w:r>
          <w:rPr>
            <w:rFonts w:ascii="Arial MT" w:hAnsi="Arial MT"/>
            <w:sz w:val="20"/>
          </w:rPr>
          <w:t>menor</w:t>
        </w:r>
        <w:r>
          <w:rPr>
            <w:rFonts w:ascii="Arial MT" w:hAnsi="Arial MT"/>
            <w:spacing w:val="51"/>
            <w:sz w:val="20"/>
          </w:rPr>
          <w:t> </w:t>
        </w:r>
        <w:r>
          <w:rPr>
            <w:rFonts w:ascii="Arial MT" w:hAnsi="Arial MT"/>
            <w:sz w:val="20"/>
          </w:rPr>
          <w:t>porcentaje</w:t>
        </w:r>
        <w:r>
          <w:rPr>
            <w:rFonts w:ascii="Arial MT" w:hAnsi="Arial MT"/>
            <w:spacing w:val="51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50"/>
            <w:sz w:val="20"/>
          </w:rPr>
          <w:t> </w:t>
        </w:r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51"/>
            <w:sz w:val="20"/>
          </w:rPr>
          <w:t> </w:t>
        </w:r>
        <w:r>
          <w:rPr>
            <w:rFonts w:ascii="Arial MT" w:hAnsi="Arial MT"/>
            <w:sz w:val="20"/>
          </w:rPr>
          <w:t>Xinca</w:t>
        </w:r>
        <w:r>
          <w:rPr>
            <w:rFonts w:ascii="Arial MT" w:hAnsi="Arial MT"/>
            <w:spacing w:val="50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52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53"/>
            <w:sz w:val="20"/>
          </w:rPr>
          <w:t> </w:t>
        </w:r>
        <w:r>
          <w:rPr>
            <w:rFonts w:ascii="Arial MT" w:hAnsi="Arial MT"/>
            <w:sz w:val="20"/>
          </w:rPr>
          <w:t>inicial</w:t>
        </w:r>
        <w:r>
          <w:rPr>
            <w:rFonts w:ascii="Arial MT" w:hAnsi="Arial MT"/>
            <w:spacing w:val="54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50"/>
            <w:sz w:val="20"/>
          </w:rPr>
          <w:t> </w:t>
        </w:r>
        <w:r>
          <w:rPr>
            <w:rFonts w:ascii="Arial MT" w:hAnsi="Arial MT"/>
            <w:sz w:val="20"/>
          </w:rPr>
          <w:t>preprimaria</w:t>
        </w:r>
      </w:hyperlink>
      <w:r>
        <w:rPr>
          <w:rFonts w:ascii="Arial MT" w:hAnsi="Arial MT"/>
          <w:spacing w:val="-53"/>
          <w:sz w:val="20"/>
        </w:rPr>
        <w:t> </w:t>
      </w:r>
      <w:hyperlink w:history="true" w:anchor="_bookmark38">
        <w:r>
          <w:rPr>
            <w:rFonts w:ascii="Arial MT" w:hAnsi="Arial MT"/>
            <w:sz w:val="20"/>
          </w:rPr>
          <w:t>aprobado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según el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área urbana 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rural</w:t>
          <w:tab/>
        </w:r>
        <w:r>
          <w:rPr>
            <w:rFonts w:ascii="Arial MT" w:hAnsi="Arial MT"/>
            <w:spacing w:val="-3"/>
            <w:sz w:val="20"/>
          </w:rPr>
          <w:t>31</w:t>
        </w:r>
      </w:hyperlink>
    </w:p>
    <w:p>
      <w:pPr>
        <w:tabs>
          <w:tab w:pos="10590" w:val="left" w:leader="dot"/>
        </w:tabs>
        <w:spacing w:before="0"/>
        <w:ind w:left="1418" w:right="1422" w:firstLine="0"/>
        <w:jc w:val="left"/>
        <w:rPr>
          <w:rFonts w:ascii="Arial MT" w:hAnsi="Arial MT"/>
          <w:sz w:val="20"/>
        </w:rPr>
      </w:pPr>
      <w:hyperlink w:history="true" w:anchor="_bookmark39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21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Departamentos</w:t>
        </w:r>
        <w:r>
          <w:rPr>
            <w:rFonts w:ascii="Arial MT" w:hAnsi="Arial MT"/>
            <w:spacing w:val="3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53"/>
            <w:sz w:val="20"/>
          </w:rPr>
          <w:t> </w:t>
        </w:r>
        <w:r>
          <w:rPr>
            <w:rFonts w:ascii="Arial MT" w:hAnsi="Arial MT"/>
            <w:sz w:val="20"/>
          </w:rPr>
          <w:t>menor</w:t>
        </w:r>
        <w:r>
          <w:rPr>
            <w:rFonts w:ascii="Arial MT" w:hAnsi="Arial MT"/>
            <w:spacing w:val="3"/>
            <w:sz w:val="20"/>
          </w:rPr>
          <w:t> </w:t>
        </w:r>
        <w:r>
          <w:rPr>
            <w:rFonts w:ascii="Arial MT" w:hAnsi="Arial MT"/>
            <w:sz w:val="20"/>
          </w:rPr>
          <w:t>porcentaje</w:t>
        </w:r>
        <w:r>
          <w:rPr>
            <w:rFonts w:ascii="Arial MT" w:hAnsi="Arial MT"/>
            <w:spacing w:val="5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4"/>
            <w:sz w:val="20"/>
          </w:rPr>
          <w:t> </w:t>
        </w:r>
        <w:r>
          <w:rPr>
            <w:rFonts w:ascii="Arial MT" w:hAnsi="Arial MT"/>
            <w:sz w:val="20"/>
          </w:rPr>
          <w:t>Afrodescendiente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inicial</w:t>
        </w:r>
        <w:r>
          <w:rPr>
            <w:rFonts w:ascii="Arial MT" w:hAnsi="Arial MT"/>
            <w:spacing w:val="6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</w:hyperlink>
      <w:r>
        <w:rPr>
          <w:rFonts w:ascii="Arial MT" w:hAnsi="Arial MT"/>
          <w:spacing w:val="-53"/>
          <w:sz w:val="20"/>
        </w:rPr>
        <w:t> </w:t>
      </w:r>
      <w:hyperlink w:history="true" w:anchor="_bookmark39">
        <w:r>
          <w:rPr>
            <w:rFonts w:ascii="Arial MT" w:hAnsi="Arial MT"/>
            <w:sz w:val="20"/>
          </w:rPr>
          <w:t>preprimaria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aprobado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según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el área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urbana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o rural</w:t>
          <w:tab/>
        </w:r>
        <w:r>
          <w:rPr>
            <w:rFonts w:ascii="Arial MT" w:hAnsi="Arial MT"/>
            <w:spacing w:val="-1"/>
            <w:sz w:val="20"/>
          </w:rPr>
          <w:t>32</w:t>
        </w:r>
      </w:hyperlink>
    </w:p>
    <w:p>
      <w:pPr>
        <w:tabs>
          <w:tab w:pos="10590" w:val="left" w:leader="dot"/>
        </w:tabs>
        <w:spacing w:before="0"/>
        <w:ind w:left="1418" w:right="1425" w:firstLine="0"/>
        <w:jc w:val="left"/>
        <w:rPr>
          <w:rFonts w:ascii="Arial MT" w:hAnsi="Arial MT"/>
          <w:sz w:val="20"/>
        </w:rPr>
      </w:pPr>
      <w:hyperlink w:history="true" w:anchor="_bookmark40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8"/>
            <w:sz w:val="20"/>
          </w:rPr>
          <w:t> </w:t>
        </w:r>
        <w:r>
          <w:rPr>
            <w:rFonts w:ascii="Arial MT" w:hAnsi="Arial MT"/>
            <w:sz w:val="20"/>
          </w:rPr>
          <w:t>22</w:t>
        </w:r>
        <w:r>
          <w:rPr>
            <w:rFonts w:ascii="Arial MT" w:hAnsi="Arial MT"/>
            <w:spacing w:val="8"/>
            <w:sz w:val="20"/>
          </w:rPr>
          <w:t> </w:t>
        </w:r>
        <w:r>
          <w:rPr>
            <w:rFonts w:ascii="Arial MT" w:hAnsi="Arial MT"/>
            <w:sz w:val="20"/>
          </w:rPr>
          <w:t>Departamentos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8"/>
            <w:sz w:val="20"/>
          </w:rPr>
          <w:t> </w:t>
        </w:r>
        <w:r>
          <w:rPr>
            <w:rFonts w:ascii="Arial MT" w:hAnsi="Arial MT"/>
            <w:sz w:val="20"/>
          </w:rPr>
          <w:t>menor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porcentaje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7"/>
            <w:sz w:val="20"/>
          </w:rPr>
          <w:t> </w:t>
        </w:r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10"/>
            <w:sz w:val="20"/>
          </w:rPr>
          <w:t> </w:t>
        </w:r>
        <w:r>
          <w:rPr>
            <w:rFonts w:ascii="Arial MT" w:hAnsi="Arial MT"/>
            <w:sz w:val="20"/>
          </w:rPr>
          <w:t>ladina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8"/>
            <w:sz w:val="20"/>
          </w:rPr>
          <w:t> </w:t>
        </w:r>
        <w:r>
          <w:rPr>
            <w:rFonts w:ascii="Arial MT" w:hAnsi="Arial MT"/>
            <w:sz w:val="20"/>
          </w:rPr>
          <w:t>inicial</w:t>
        </w:r>
        <w:r>
          <w:rPr>
            <w:rFonts w:ascii="Arial MT" w:hAnsi="Arial MT"/>
            <w:spacing w:val="12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5"/>
            <w:sz w:val="20"/>
          </w:rPr>
          <w:t> </w:t>
        </w:r>
        <w:r>
          <w:rPr>
            <w:rFonts w:ascii="Arial MT" w:hAnsi="Arial MT"/>
            <w:sz w:val="20"/>
          </w:rPr>
          <w:t>preprimaria</w:t>
        </w:r>
        <w:r>
          <w:rPr>
            <w:rFonts w:ascii="Arial MT" w:hAnsi="Arial MT"/>
            <w:spacing w:val="7"/>
            <w:sz w:val="20"/>
          </w:rPr>
          <w:t> </w:t>
        </w:r>
        <w:r>
          <w:rPr>
            <w:rFonts w:ascii="Arial MT" w:hAnsi="Arial MT"/>
            <w:sz w:val="20"/>
          </w:rPr>
          <w:t>aprobado</w:t>
        </w:r>
      </w:hyperlink>
      <w:r>
        <w:rPr>
          <w:rFonts w:ascii="Arial MT" w:hAnsi="Arial MT"/>
          <w:spacing w:val="-52"/>
          <w:sz w:val="20"/>
        </w:rPr>
        <w:t> </w:t>
      </w:r>
      <w:hyperlink w:history="true" w:anchor="_bookmark40">
        <w:r>
          <w:rPr>
            <w:rFonts w:ascii="Arial MT" w:hAnsi="Arial MT"/>
            <w:sz w:val="20"/>
          </w:rPr>
          <w:t>según el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área urbana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rural</w:t>
          <w:tab/>
        </w:r>
        <w:r>
          <w:rPr>
            <w:rFonts w:ascii="Arial MT" w:hAnsi="Arial MT"/>
            <w:spacing w:val="-3"/>
            <w:sz w:val="20"/>
          </w:rPr>
          <w:t>33</w:t>
        </w:r>
      </w:hyperlink>
    </w:p>
    <w:p>
      <w:pPr>
        <w:tabs>
          <w:tab w:pos="10590" w:val="left" w:leader="dot"/>
        </w:tabs>
        <w:spacing w:before="0"/>
        <w:ind w:left="1418" w:right="1426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Gráfico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23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Departamentos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con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menor porcentaje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población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por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autoidentificación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por pueblo,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con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nivel</w:t>
      </w:r>
      <w:r>
        <w:rPr>
          <w:rFonts w:ascii="Arial MT" w:hAnsi="Arial MT"/>
          <w:spacing w:val="-53"/>
          <w:sz w:val="20"/>
        </w:rPr>
        <w:t> </w:t>
      </w:r>
      <w:r>
        <w:rPr>
          <w:rFonts w:ascii="Arial MT" w:hAnsi="Arial MT"/>
          <w:sz w:val="20"/>
        </w:rPr>
        <w:t>inicial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preprimaria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aprobado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según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el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área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urbana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o rural</w:t>
        <w:tab/>
      </w:r>
      <w:r>
        <w:rPr>
          <w:rFonts w:ascii="Arial MT" w:hAnsi="Arial MT"/>
          <w:spacing w:val="-3"/>
          <w:sz w:val="20"/>
        </w:rPr>
        <w:t>34</w:t>
      </w:r>
    </w:p>
    <w:p>
      <w:pPr>
        <w:tabs>
          <w:tab w:pos="10590" w:val="left" w:leader="dot"/>
        </w:tabs>
        <w:spacing w:before="0"/>
        <w:ind w:left="1418" w:right="1415" w:firstLine="0"/>
        <w:jc w:val="left"/>
        <w:rPr>
          <w:rFonts w:ascii="Arial MT" w:hAnsi="Arial MT"/>
          <w:sz w:val="20"/>
        </w:rPr>
      </w:pPr>
      <w:hyperlink w:history="true" w:anchor="_bookmark41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24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Departamentos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menor porcentaje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por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autoidentificación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por</w:t>
        </w:r>
        <w:r>
          <w:rPr>
            <w:rFonts w:ascii="Arial MT" w:hAnsi="Arial MT"/>
            <w:spacing w:val="10"/>
            <w:sz w:val="20"/>
          </w:rPr>
          <w:t> </w:t>
        </w:r>
        <w:r>
          <w:rPr>
            <w:rFonts w:ascii="Arial MT" w:hAnsi="Arial MT"/>
            <w:sz w:val="20"/>
          </w:rPr>
          <w:t>pueblo,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</w:hyperlink>
      <w:r>
        <w:rPr>
          <w:rFonts w:ascii="Arial MT" w:hAnsi="Arial MT"/>
          <w:spacing w:val="-53"/>
          <w:sz w:val="20"/>
        </w:rPr>
        <w:t> </w:t>
      </w:r>
      <w:hyperlink w:history="true" w:anchor="_bookmark41">
        <w:r>
          <w:rPr>
            <w:rFonts w:ascii="Arial MT" w:hAnsi="Arial MT"/>
            <w:sz w:val="20"/>
          </w:rPr>
          <w:t>inicial y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preprimaria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aprobado,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ubicada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área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rural</w:t>
          <w:tab/>
          <w:t>35</w:t>
        </w:r>
      </w:hyperlink>
    </w:p>
    <w:p>
      <w:pPr>
        <w:tabs>
          <w:tab w:pos="10590" w:val="left" w:leader="dot"/>
        </w:tabs>
        <w:spacing w:before="0"/>
        <w:ind w:left="1418" w:right="1417" w:firstLine="0"/>
        <w:jc w:val="left"/>
        <w:rPr>
          <w:rFonts w:ascii="Arial MT" w:hAnsi="Arial MT"/>
          <w:sz w:val="20"/>
        </w:rPr>
      </w:pPr>
      <w:hyperlink w:history="true" w:anchor="_bookmark43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25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Departamentos</w:t>
        </w:r>
        <w:r>
          <w:rPr>
            <w:rFonts w:ascii="Arial MT" w:hAnsi="Arial MT"/>
            <w:spacing w:val="10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menores</w:t>
        </w:r>
        <w:r>
          <w:rPr>
            <w:rFonts w:ascii="Arial MT" w:hAnsi="Arial MT"/>
            <w:spacing w:val="11"/>
            <w:sz w:val="20"/>
          </w:rPr>
          <w:t> </w:t>
        </w:r>
        <w:r>
          <w:rPr>
            <w:rFonts w:ascii="Arial MT" w:hAnsi="Arial MT"/>
            <w:sz w:val="20"/>
          </w:rPr>
          <w:t>porcentajes</w:t>
        </w:r>
        <w:r>
          <w:rPr>
            <w:rFonts w:ascii="Arial MT" w:hAnsi="Arial MT"/>
            <w:spacing w:val="10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10"/>
            <w:sz w:val="20"/>
          </w:rPr>
          <w:t> </w:t>
        </w:r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11"/>
            <w:sz w:val="20"/>
          </w:rPr>
          <w:t> </w:t>
        </w:r>
        <w:r>
          <w:rPr>
            <w:rFonts w:ascii="Arial MT" w:hAnsi="Arial MT"/>
            <w:sz w:val="20"/>
          </w:rPr>
          <w:t>Maya</w:t>
        </w:r>
        <w:r>
          <w:rPr>
            <w:rFonts w:ascii="Arial MT" w:hAnsi="Arial MT"/>
            <w:spacing w:val="10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10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11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11"/>
            <w:sz w:val="20"/>
          </w:rPr>
          <w:t> </w:t>
        </w:r>
        <w:r>
          <w:rPr>
            <w:rFonts w:ascii="Arial MT" w:hAnsi="Arial MT"/>
            <w:sz w:val="20"/>
          </w:rPr>
          <w:t>primaria</w:t>
        </w:r>
      </w:hyperlink>
      <w:r>
        <w:rPr>
          <w:rFonts w:ascii="Arial MT" w:hAnsi="Arial MT"/>
          <w:spacing w:val="-52"/>
          <w:sz w:val="20"/>
        </w:rPr>
        <w:t> </w:t>
      </w:r>
      <w:hyperlink w:history="true" w:anchor="_bookmark43">
        <w:r>
          <w:rPr>
            <w:rFonts w:ascii="Arial MT" w:hAnsi="Arial MT"/>
            <w:sz w:val="20"/>
          </w:rPr>
          <w:t>aprobado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según el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área urbana 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rural</w:t>
          <w:tab/>
          <w:t>36</w:t>
        </w:r>
      </w:hyperlink>
    </w:p>
    <w:p>
      <w:pPr>
        <w:tabs>
          <w:tab w:pos="10590" w:val="left" w:leader="dot"/>
        </w:tabs>
        <w:spacing w:before="0"/>
        <w:ind w:left="1418" w:right="1417" w:firstLine="0"/>
        <w:jc w:val="left"/>
        <w:rPr>
          <w:rFonts w:ascii="Arial MT" w:hAnsi="Arial MT"/>
          <w:sz w:val="20"/>
        </w:rPr>
      </w:pPr>
      <w:hyperlink w:history="true" w:anchor="_bookmark44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-13"/>
            <w:sz w:val="20"/>
          </w:rPr>
          <w:t> </w:t>
        </w:r>
        <w:r>
          <w:rPr>
            <w:rFonts w:ascii="Arial MT" w:hAnsi="Arial MT"/>
            <w:sz w:val="20"/>
          </w:rPr>
          <w:t>26</w:t>
        </w:r>
        <w:r>
          <w:rPr>
            <w:rFonts w:ascii="Arial MT" w:hAnsi="Arial MT"/>
            <w:spacing w:val="-13"/>
            <w:sz w:val="20"/>
          </w:rPr>
          <w:t> </w:t>
        </w:r>
        <w:r>
          <w:rPr>
            <w:rFonts w:ascii="Arial MT" w:hAnsi="Arial MT"/>
            <w:sz w:val="20"/>
          </w:rPr>
          <w:t>Departamentos</w:t>
        </w:r>
        <w:r>
          <w:rPr>
            <w:rFonts w:ascii="Arial MT" w:hAnsi="Arial MT"/>
            <w:spacing w:val="-10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-13"/>
            <w:sz w:val="20"/>
          </w:rPr>
          <w:t> </w:t>
        </w:r>
        <w:r>
          <w:rPr>
            <w:rFonts w:ascii="Arial MT" w:hAnsi="Arial MT"/>
            <w:sz w:val="20"/>
          </w:rPr>
          <w:t>menores</w:t>
        </w:r>
        <w:r>
          <w:rPr>
            <w:rFonts w:ascii="Arial MT" w:hAnsi="Arial MT"/>
            <w:spacing w:val="-10"/>
            <w:sz w:val="20"/>
          </w:rPr>
          <w:t> </w:t>
        </w:r>
        <w:r>
          <w:rPr>
            <w:rFonts w:ascii="Arial MT" w:hAnsi="Arial MT"/>
            <w:sz w:val="20"/>
          </w:rPr>
          <w:t>porcentajes</w:t>
        </w:r>
        <w:r>
          <w:rPr>
            <w:rFonts w:ascii="Arial MT" w:hAnsi="Arial MT"/>
            <w:spacing w:val="-7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13"/>
            <w:sz w:val="20"/>
          </w:rPr>
          <w:t> </w:t>
        </w:r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-13"/>
            <w:sz w:val="20"/>
          </w:rPr>
          <w:t> </w:t>
        </w:r>
        <w:r>
          <w:rPr>
            <w:rFonts w:ascii="Arial MT" w:hAnsi="Arial MT"/>
            <w:sz w:val="20"/>
          </w:rPr>
          <w:t>Garífuna</w:t>
        </w:r>
        <w:r>
          <w:rPr>
            <w:rFonts w:ascii="Arial MT" w:hAnsi="Arial MT"/>
            <w:spacing w:val="-13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-12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-13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13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12"/>
            <w:sz w:val="20"/>
          </w:rPr>
          <w:t> </w:t>
        </w:r>
        <w:r>
          <w:rPr>
            <w:rFonts w:ascii="Arial MT" w:hAnsi="Arial MT"/>
            <w:sz w:val="20"/>
          </w:rPr>
          <w:t>primaria</w:t>
        </w:r>
      </w:hyperlink>
      <w:r>
        <w:rPr>
          <w:rFonts w:ascii="Arial MT" w:hAnsi="Arial MT"/>
          <w:spacing w:val="-53"/>
          <w:sz w:val="20"/>
        </w:rPr>
        <w:t> </w:t>
      </w:r>
      <w:hyperlink w:history="true" w:anchor="_bookmark44">
        <w:r>
          <w:rPr>
            <w:rFonts w:ascii="Arial MT" w:hAnsi="Arial MT"/>
            <w:sz w:val="20"/>
          </w:rPr>
          <w:t>aprobado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según el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área urbana 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rural</w:t>
          <w:tab/>
          <w:t>37</w:t>
        </w:r>
      </w:hyperlink>
    </w:p>
    <w:p>
      <w:pPr>
        <w:tabs>
          <w:tab w:pos="10590" w:val="left" w:leader="dot"/>
        </w:tabs>
        <w:spacing w:before="1"/>
        <w:ind w:left="1418" w:right="1421" w:firstLine="0"/>
        <w:jc w:val="left"/>
        <w:rPr>
          <w:rFonts w:ascii="Arial MT" w:hAnsi="Arial MT"/>
          <w:sz w:val="20"/>
        </w:rPr>
      </w:pPr>
      <w:hyperlink w:history="true" w:anchor="_bookmark45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27</w:t>
        </w:r>
        <w:r>
          <w:rPr>
            <w:rFonts w:ascii="Arial MT" w:hAnsi="Arial MT"/>
            <w:spacing w:val="8"/>
            <w:sz w:val="20"/>
          </w:rPr>
          <w:t> </w:t>
        </w:r>
        <w:r>
          <w:rPr>
            <w:rFonts w:ascii="Arial MT" w:hAnsi="Arial MT"/>
            <w:sz w:val="20"/>
          </w:rPr>
          <w:t>Departamentos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8"/>
            <w:sz w:val="20"/>
          </w:rPr>
          <w:t> </w:t>
        </w:r>
        <w:r>
          <w:rPr>
            <w:rFonts w:ascii="Arial MT" w:hAnsi="Arial MT"/>
            <w:sz w:val="20"/>
          </w:rPr>
          <w:t>menores</w:t>
        </w:r>
        <w:r>
          <w:rPr>
            <w:rFonts w:ascii="Arial MT" w:hAnsi="Arial MT"/>
            <w:spacing w:val="14"/>
            <w:sz w:val="20"/>
          </w:rPr>
          <w:t> </w:t>
        </w:r>
        <w:r>
          <w:rPr>
            <w:rFonts w:ascii="Arial MT" w:hAnsi="Arial MT"/>
            <w:sz w:val="20"/>
          </w:rPr>
          <w:t>porcentajes</w:t>
        </w:r>
        <w:r>
          <w:rPr>
            <w:rFonts w:ascii="Arial MT" w:hAnsi="Arial MT"/>
            <w:spacing w:val="10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8"/>
            <w:sz w:val="20"/>
          </w:rPr>
          <w:t> </w:t>
        </w:r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8"/>
            <w:sz w:val="20"/>
          </w:rPr>
          <w:t> </w:t>
        </w:r>
        <w:r>
          <w:rPr>
            <w:rFonts w:ascii="Arial MT" w:hAnsi="Arial MT"/>
            <w:sz w:val="20"/>
          </w:rPr>
          <w:t>Xinca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8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8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primaria</w:t>
        </w:r>
      </w:hyperlink>
      <w:r>
        <w:rPr>
          <w:rFonts w:ascii="Arial MT" w:hAnsi="Arial MT"/>
          <w:spacing w:val="-52"/>
          <w:sz w:val="20"/>
        </w:rPr>
        <w:t> </w:t>
      </w:r>
      <w:hyperlink w:history="true" w:anchor="_bookmark45">
        <w:r>
          <w:rPr>
            <w:rFonts w:ascii="Arial MT" w:hAnsi="Arial MT"/>
            <w:sz w:val="20"/>
          </w:rPr>
          <w:t>aprobado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según el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área urbana 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rural</w:t>
          <w:tab/>
        </w:r>
        <w:r>
          <w:rPr>
            <w:rFonts w:ascii="Arial MT" w:hAnsi="Arial MT"/>
            <w:spacing w:val="-1"/>
            <w:sz w:val="20"/>
          </w:rPr>
          <w:t>38</w:t>
        </w:r>
      </w:hyperlink>
    </w:p>
    <w:p>
      <w:pPr>
        <w:tabs>
          <w:tab w:pos="10590" w:val="left" w:leader="dot"/>
        </w:tabs>
        <w:spacing w:before="0"/>
        <w:ind w:left="1418" w:right="1422" w:firstLine="0"/>
        <w:jc w:val="left"/>
        <w:rPr>
          <w:rFonts w:ascii="Arial MT" w:hAnsi="Arial MT"/>
          <w:sz w:val="20"/>
        </w:rPr>
      </w:pPr>
      <w:hyperlink w:history="true" w:anchor="_bookmark46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8"/>
            <w:sz w:val="20"/>
          </w:rPr>
          <w:t> </w:t>
        </w:r>
        <w:r>
          <w:rPr>
            <w:rFonts w:ascii="Arial MT" w:hAnsi="Arial MT"/>
            <w:sz w:val="20"/>
          </w:rPr>
          <w:t>28</w:t>
        </w:r>
        <w:r>
          <w:rPr>
            <w:rFonts w:ascii="Arial MT" w:hAnsi="Arial MT"/>
            <w:spacing w:val="8"/>
            <w:sz w:val="20"/>
          </w:rPr>
          <w:t> </w:t>
        </w:r>
        <w:r>
          <w:rPr>
            <w:rFonts w:ascii="Arial MT" w:hAnsi="Arial MT"/>
            <w:sz w:val="20"/>
          </w:rPr>
          <w:t>Departamentos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menores</w:t>
        </w:r>
        <w:r>
          <w:rPr>
            <w:rFonts w:ascii="Arial MT" w:hAnsi="Arial MT"/>
            <w:spacing w:val="10"/>
            <w:sz w:val="20"/>
          </w:rPr>
          <w:t> </w:t>
        </w:r>
        <w:r>
          <w:rPr>
            <w:rFonts w:ascii="Arial MT" w:hAnsi="Arial MT"/>
            <w:sz w:val="20"/>
          </w:rPr>
          <w:t>porcentajes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8"/>
            <w:sz w:val="20"/>
          </w:rPr>
          <w:t> </w:t>
        </w:r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10"/>
            <w:sz w:val="20"/>
          </w:rPr>
          <w:t> </w:t>
        </w:r>
        <w:r>
          <w:rPr>
            <w:rFonts w:ascii="Arial MT" w:hAnsi="Arial MT"/>
            <w:sz w:val="20"/>
          </w:rPr>
          <w:t>Afrodescendientes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8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8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</w:hyperlink>
      <w:r>
        <w:rPr>
          <w:rFonts w:ascii="Arial MT" w:hAnsi="Arial MT"/>
          <w:spacing w:val="-53"/>
          <w:sz w:val="20"/>
        </w:rPr>
        <w:t> </w:t>
      </w:r>
      <w:hyperlink w:history="true" w:anchor="_bookmark46"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primaria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aprobado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según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el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área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urbana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o rural</w:t>
          <w:tab/>
        </w:r>
        <w:r>
          <w:rPr>
            <w:rFonts w:ascii="Arial MT" w:hAnsi="Arial MT"/>
            <w:spacing w:val="-1"/>
            <w:sz w:val="20"/>
          </w:rPr>
          <w:t>39</w:t>
        </w:r>
      </w:hyperlink>
    </w:p>
    <w:p>
      <w:pPr>
        <w:tabs>
          <w:tab w:pos="10590" w:val="left" w:leader="dot"/>
        </w:tabs>
        <w:spacing w:before="0"/>
        <w:ind w:left="1418" w:right="1421" w:firstLine="0"/>
        <w:jc w:val="left"/>
        <w:rPr>
          <w:rFonts w:ascii="Arial MT" w:hAnsi="Arial MT"/>
          <w:sz w:val="20"/>
        </w:rPr>
      </w:pPr>
      <w:hyperlink w:history="true" w:anchor="_bookmark47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7"/>
            <w:sz w:val="20"/>
          </w:rPr>
          <w:t> </w:t>
        </w:r>
        <w:r>
          <w:rPr>
            <w:rFonts w:ascii="Arial MT" w:hAnsi="Arial MT"/>
            <w:sz w:val="20"/>
          </w:rPr>
          <w:t>29</w:t>
        </w:r>
        <w:r>
          <w:rPr>
            <w:rFonts w:ascii="Arial MT" w:hAnsi="Arial MT"/>
            <w:spacing w:val="6"/>
            <w:sz w:val="20"/>
          </w:rPr>
          <w:t> </w:t>
        </w:r>
        <w:r>
          <w:rPr>
            <w:rFonts w:ascii="Arial MT" w:hAnsi="Arial MT"/>
            <w:sz w:val="20"/>
          </w:rPr>
          <w:t>Departamentos</w:t>
        </w:r>
        <w:r>
          <w:rPr>
            <w:rFonts w:ascii="Arial MT" w:hAnsi="Arial MT"/>
            <w:spacing w:val="7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3"/>
            <w:sz w:val="20"/>
          </w:rPr>
          <w:t> </w:t>
        </w:r>
        <w:r>
          <w:rPr>
            <w:rFonts w:ascii="Arial MT" w:hAnsi="Arial MT"/>
            <w:sz w:val="20"/>
          </w:rPr>
          <w:t>menores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porcentajes</w:t>
        </w:r>
        <w:r>
          <w:rPr>
            <w:rFonts w:ascii="Arial MT" w:hAnsi="Arial MT"/>
            <w:spacing w:val="7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6"/>
            <w:sz w:val="20"/>
          </w:rPr>
          <w:t> </w:t>
        </w:r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6"/>
            <w:sz w:val="20"/>
          </w:rPr>
          <w:t> </w:t>
        </w:r>
        <w:r>
          <w:rPr>
            <w:rFonts w:ascii="Arial MT" w:hAnsi="Arial MT"/>
            <w:sz w:val="20"/>
          </w:rPr>
          <w:t>ladina</w:t>
        </w:r>
        <w:r>
          <w:rPr>
            <w:rFonts w:ascii="Arial MT" w:hAnsi="Arial MT"/>
            <w:spacing w:val="6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7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5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6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6"/>
            <w:sz w:val="20"/>
          </w:rPr>
          <w:t> </w:t>
        </w:r>
        <w:r>
          <w:rPr>
            <w:rFonts w:ascii="Arial MT" w:hAnsi="Arial MT"/>
            <w:sz w:val="20"/>
          </w:rPr>
          <w:t>primaria</w:t>
        </w:r>
      </w:hyperlink>
      <w:r>
        <w:rPr>
          <w:rFonts w:ascii="Arial MT" w:hAnsi="Arial MT"/>
          <w:spacing w:val="-52"/>
          <w:sz w:val="20"/>
        </w:rPr>
        <w:t> </w:t>
      </w:r>
      <w:hyperlink w:history="true" w:anchor="_bookmark47">
        <w:r>
          <w:rPr>
            <w:rFonts w:ascii="Arial MT" w:hAnsi="Arial MT"/>
            <w:sz w:val="20"/>
          </w:rPr>
          <w:t>aprobado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según el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área urbana 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rural</w:t>
          <w:tab/>
        </w:r>
        <w:r>
          <w:rPr>
            <w:rFonts w:ascii="Arial MT" w:hAnsi="Arial MT"/>
            <w:spacing w:val="-1"/>
            <w:sz w:val="20"/>
          </w:rPr>
          <w:t>40</w:t>
        </w:r>
      </w:hyperlink>
    </w:p>
    <w:p>
      <w:pPr>
        <w:tabs>
          <w:tab w:pos="10590" w:val="left" w:leader="dot"/>
        </w:tabs>
        <w:spacing w:before="0"/>
        <w:ind w:left="1418" w:right="1422" w:firstLine="0"/>
        <w:jc w:val="left"/>
        <w:rPr>
          <w:rFonts w:ascii="Arial MT" w:hAnsi="Arial MT"/>
          <w:sz w:val="20"/>
        </w:rPr>
      </w:pPr>
      <w:hyperlink w:history="true" w:anchor="_bookmark48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-8"/>
            <w:sz w:val="20"/>
          </w:rPr>
          <w:t> </w:t>
        </w:r>
        <w:r>
          <w:rPr>
            <w:rFonts w:ascii="Arial MT" w:hAnsi="Arial MT"/>
            <w:sz w:val="20"/>
          </w:rPr>
          <w:t>30</w:t>
        </w:r>
        <w:r>
          <w:rPr>
            <w:rFonts w:ascii="Arial MT" w:hAnsi="Arial MT"/>
            <w:spacing w:val="-8"/>
            <w:sz w:val="20"/>
          </w:rPr>
          <w:t> </w:t>
        </w:r>
        <w:r>
          <w:rPr>
            <w:rFonts w:ascii="Arial MT" w:hAnsi="Arial MT"/>
            <w:sz w:val="20"/>
          </w:rPr>
          <w:t>Departamentos</w:t>
        </w:r>
        <w:r>
          <w:rPr>
            <w:rFonts w:ascii="Arial MT" w:hAnsi="Arial MT"/>
            <w:spacing w:val="-7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-8"/>
            <w:sz w:val="20"/>
          </w:rPr>
          <w:t> </w:t>
        </w:r>
        <w:r>
          <w:rPr>
            <w:rFonts w:ascii="Arial MT" w:hAnsi="Arial MT"/>
            <w:sz w:val="20"/>
          </w:rPr>
          <w:t>menor</w:t>
        </w:r>
        <w:r>
          <w:rPr>
            <w:rFonts w:ascii="Arial MT" w:hAnsi="Arial MT"/>
            <w:spacing w:val="-6"/>
            <w:sz w:val="20"/>
          </w:rPr>
          <w:t> </w:t>
        </w:r>
        <w:r>
          <w:rPr>
            <w:rFonts w:ascii="Arial MT" w:hAnsi="Arial MT"/>
            <w:sz w:val="20"/>
          </w:rPr>
          <w:t>porcentaje</w:t>
        </w:r>
        <w:r>
          <w:rPr>
            <w:rFonts w:ascii="Arial MT" w:hAnsi="Arial MT"/>
            <w:spacing w:val="-8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6"/>
            <w:sz w:val="20"/>
          </w:rPr>
          <w:t> </w:t>
        </w:r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-6"/>
            <w:sz w:val="20"/>
          </w:rPr>
          <w:t> </w:t>
        </w:r>
        <w:r>
          <w:rPr>
            <w:rFonts w:ascii="Arial MT" w:hAnsi="Arial MT"/>
            <w:sz w:val="20"/>
          </w:rPr>
          <w:t>por</w:t>
        </w:r>
        <w:r>
          <w:rPr>
            <w:rFonts w:ascii="Arial MT" w:hAnsi="Arial MT"/>
            <w:spacing w:val="-6"/>
            <w:sz w:val="20"/>
          </w:rPr>
          <w:t> </w:t>
        </w:r>
        <w:r>
          <w:rPr>
            <w:rFonts w:ascii="Arial MT" w:hAnsi="Arial MT"/>
            <w:sz w:val="20"/>
          </w:rPr>
          <w:t>autodeterminación</w:t>
        </w:r>
        <w:r>
          <w:rPr>
            <w:rFonts w:ascii="Arial MT" w:hAnsi="Arial MT"/>
            <w:spacing w:val="-8"/>
            <w:sz w:val="20"/>
          </w:rPr>
          <w:t> </w:t>
        </w:r>
        <w:r>
          <w:rPr>
            <w:rFonts w:ascii="Arial MT" w:hAnsi="Arial MT"/>
            <w:sz w:val="20"/>
          </w:rPr>
          <w:t>por</w:t>
        </w:r>
        <w:r>
          <w:rPr>
            <w:rFonts w:ascii="Arial MT" w:hAnsi="Arial MT"/>
            <w:spacing w:val="-7"/>
            <w:sz w:val="20"/>
          </w:rPr>
          <w:t> </w:t>
        </w:r>
        <w:r>
          <w:rPr>
            <w:rFonts w:ascii="Arial MT" w:hAnsi="Arial MT"/>
            <w:sz w:val="20"/>
          </w:rPr>
          <w:t>pueblo,</w:t>
        </w:r>
        <w:r>
          <w:rPr>
            <w:rFonts w:ascii="Arial MT" w:hAnsi="Arial MT"/>
            <w:spacing w:val="-8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-7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</w:hyperlink>
      <w:r>
        <w:rPr>
          <w:rFonts w:ascii="Arial MT" w:hAnsi="Arial MT"/>
          <w:spacing w:val="-53"/>
          <w:sz w:val="20"/>
        </w:rPr>
        <w:t> </w:t>
      </w:r>
      <w:hyperlink w:history="true" w:anchor="_bookmark48"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primaria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aprobado,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ubicada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área urbana</w:t>
          <w:tab/>
        </w:r>
        <w:r>
          <w:rPr>
            <w:rFonts w:ascii="Arial MT" w:hAnsi="Arial MT"/>
            <w:spacing w:val="-1"/>
            <w:sz w:val="20"/>
          </w:rPr>
          <w:t>41</w:t>
        </w:r>
      </w:hyperlink>
    </w:p>
    <w:p>
      <w:pPr>
        <w:tabs>
          <w:tab w:pos="10590" w:val="left" w:leader="dot"/>
        </w:tabs>
        <w:spacing w:before="0"/>
        <w:ind w:left="1418" w:right="1425" w:firstLine="0"/>
        <w:jc w:val="left"/>
        <w:rPr>
          <w:rFonts w:ascii="Arial MT" w:hAnsi="Arial MT"/>
          <w:sz w:val="20"/>
        </w:rPr>
      </w:pPr>
      <w:hyperlink w:history="true" w:anchor="_bookmark49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31</w:t>
        </w:r>
        <w:r>
          <w:rPr>
            <w:rFonts w:ascii="Arial MT" w:hAnsi="Arial MT"/>
            <w:spacing w:val="10"/>
            <w:sz w:val="20"/>
          </w:rPr>
          <w:t> </w:t>
        </w:r>
        <w:r>
          <w:rPr>
            <w:rFonts w:ascii="Arial MT" w:hAnsi="Arial MT"/>
            <w:sz w:val="20"/>
          </w:rPr>
          <w:t>Departamentos</w:t>
        </w:r>
        <w:r>
          <w:rPr>
            <w:rFonts w:ascii="Arial MT" w:hAnsi="Arial MT"/>
            <w:spacing w:val="12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8"/>
            <w:sz w:val="20"/>
          </w:rPr>
          <w:t> </w:t>
        </w:r>
        <w:r>
          <w:rPr>
            <w:rFonts w:ascii="Arial MT" w:hAnsi="Arial MT"/>
            <w:sz w:val="20"/>
          </w:rPr>
          <w:t>menores</w:t>
        </w:r>
        <w:r>
          <w:rPr>
            <w:rFonts w:ascii="Arial MT" w:hAnsi="Arial MT"/>
            <w:spacing w:val="10"/>
            <w:sz w:val="20"/>
          </w:rPr>
          <w:t> </w:t>
        </w:r>
        <w:r>
          <w:rPr>
            <w:rFonts w:ascii="Arial MT" w:hAnsi="Arial MT"/>
            <w:sz w:val="20"/>
          </w:rPr>
          <w:t>porcentajes</w:t>
        </w:r>
        <w:r>
          <w:rPr>
            <w:rFonts w:ascii="Arial MT" w:hAnsi="Arial MT"/>
            <w:spacing w:val="12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12"/>
            <w:sz w:val="20"/>
          </w:rPr>
          <w:t> </w:t>
        </w:r>
        <w:r>
          <w:rPr>
            <w:rFonts w:ascii="Arial MT" w:hAnsi="Arial MT"/>
            <w:sz w:val="20"/>
          </w:rPr>
          <w:t>por</w:t>
        </w:r>
        <w:r>
          <w:rPr>
            <w:rFonts w:ascii="Arial MT" w:hAnsi="Arial MT"/>
            <w:spacing w:val="12"/>
            <w:sz w:val="20"/>
          </w:rPr>
          <w:t> </w:t>
        </w:r>
        <w:r>
          <w:rPr>
            <w:rFonts w:ascii="Arial MT" w:hAnsi="Arial MT"/>
            <w:sz w:val="20"/>
          </w:rPr>
          <w:t>autodeterminación</w:t>
        </w:r>
        <w:r>
          <w:rPr>
            <w:rFonts w:ascii="Arial MT" w:hAnsi="Arial MT"/>
            <w:spacing w:val="8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11"/>
            <w:sz w:val="20"/>
          </w:rPr>
          <w:t> </w:t>
        </w:r>
        <w:r>
          <w:rPr>
            <w:rFonts w:ascii="Arial MT" w:hAnsi="Arial MT"/>
            <w:sz w:val="20"/>
          </w:rPr>
          <w:t>pertenencia</w:t>
        </w:r>
      </w:hyperlink>
      <w:r>
        <w:rPr>
          <w:rFonts w:ascii="Arial MT" w:hAnsi="Arial MT"/>
          <w:spacing w:val="-53"/>
          <w:sz w:val="20"/>
        </w:rPr>
        <w:t> </w:t>
      </w:r>
      <w:hyperlink w:history="true" w:anchor="_bookmark49"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primaria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aprobado,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ubicado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el área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rural</w:t>
          <w:tab/>
        </w:r>
        <w:r>
          <w:rPr>
            <w:rFonts w:ascii="Arial MT" w:hAnsi="Arial MT"/>
            <w:spacing w:val="-3"/>
            <w:sz w:val="20"/>
          </w:rPr>
          <w:t>42</w:t>
        </w:r>
      </w:hyperlink>
    </w:p>
    <w:p>
      <w:pPr>
        <w:tabs>
          <w:tab w:pos="10590" w:val="left" w:leader="dot"/>
        </w:tabs>
        <w:spacing w:before="0"/>
        <w:ind w:left="1418" w:right="1415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Gráfico</w:t>
      </w:r>
      <w:r>
        <w:rPr>
          <w:rFonts w:ascii="Arial MT" w:hAnsi="Arial MT"/>
          <w:spacing w:val="18"/>
          <w:sz w:val="20"/>
        </w:rPr>
        <w:t> </w:t>
      </w:r>
      <w:r>
        <w:rPr>
          <w:rFonts w:ascii="Arial MT" w:hAnsi="Arial MT"/>
          <w:sz w:val="20"/>
        </w:rPr>
        <w:t>32</w:t>
      </w:r>
      <w:r>
        <w:rPr>
          <w:rFonts w:ascii="Arial MT" w:hAnsi="Arial MT"/>
          <w:spacing w:val="19"/>
          <w:sz w:val="20"/>
        </w:rPr>
        <w:t> </w:t>
      </w:r>
      <w:r>
        <w:rPr>
          <w:rFonts w:ascii="Arial MT" w:hAnsi="Arial MT"/>
          <w:sz w:val="20"/>
        </w:rPr>
        <w:t>Departamentos</w:t>
      </w:r>
      <w:r>
        <w:rPr>
          <w:rFonts w:ascii="Arial MT" w:hAnsi="Arial MT"/>
          <w:spacing w:val="19"/>
          <w:sz w:val="20"/>
        </w:rPr>
        <w:t> </w:t>
      </w:r>
      <w:r>
        <w:rPr>
          <w:rFonts w:ascii="Arial MT" w:hAnsi="Arial MT"/>
          <w:sz w:val="20"/>
        </w:rPr>
        <w:t>con</w:t>
      </w:r>
      <w:r>
        <w:rPr>
          <w:rFonts w:ascii="Arial MT" w:hAnsi="Arial MT"/>
          <w:spacing w:val="19"/>
          <w:sz w:val="20"/>
        </w:rPr>
        <w:t> </w:t>
      </w:r>
      <w:r>
        <w:rPr>
          <w:rFonts w:ascii="Arial MT" w:hAnsi="Arial MT"/>
          <w:sz w:val="20"/>
        </w:rPr>
        <w:t>menores</w:t>
      </w:r>
      <w:r>
        <w:rPr>
          <w:rFonts w:ascii="Arial MT" w:hAnsi="Arial MT"/>
          <w:spacing w:val="20"/>
          <w:sz w:val="20"/>
        </w:rPr>
        <w:t> </w:t>
      </w:r>
      <w:r>
        <w:rPr>
          <w:rFonts w:ascii="Arial MT" w:hAnsi="Arial MT"/>
          <w:sz w:val="20"/>
        </w:rPr>
        <w:t>porcentajes</w:t>
      </w:r>
      <w:r>
        <w:rPr>
          <w:rFonts w:ascii="Arial MT" w:hAnsi="Arial MT"/>
          <w:spacing w:val="22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9"/>
          <w:sz w:val="20"/>
        </w:rPr>
        <w:t> </w:t>
      </w:r>
      <w:r>
        <w:rPr>
          <w:rFonts w:ascii="Arial MT" w:hAnsi="Arial MT"/>
          <w:sz w:val="20"/>
        </w:rPr>
        <w:t>población</w:t>
      </w:r>
      <w:r>
        <w:rPr>
          <w:rFonts w:ascii="Arial MT" w:hAnsi="Arial MT"/>
          <w:spacing w:val="18"/>
          <w:sz w:val="20"/>
        </w:rPr>
        <w:t> </w:t>
      </w:r>
      <w:r>
        <w:rPr>
          <w:rFonts w:ascii="Arial MT" w:hAnsi="Arial MT"/>
          <w:sz w:val="20"/>
        </w:rPr>
        <w:t>Maya</w:t>
      </w:r>
      <w:r>
        <w:rPr>
          <w:rFonts w:ascii="Arial MT" w:hAnsi="Arial MT"/>
          <w:spacing w:val="19"/>
          <w:sz w:val="20"/>
        </w:rPr>
        <w:t> </w:t>
      </w:r>
      <w:r>
        <w:rPr>
          <w:rFonts w:ascii="Arial MT" w:hAnsi="Arial MT"/>
          <w:sz w:val="20"/>
        </w:rPr>
        <w:t>con</w:t>
      </w:r>
      <w:r>
        <w:rPr>
          <w:rFonts w:ascii="Arial MT" w:hAnsi="Arial MT"/>
          <w:spacing w:val="18"/>
          <w:sz w:val="20"/>
        </w:rPr>
        <w:t> </w:t>
      </w:r>
      <w:r>
        <w:rPr>
          <w:rFonts w:ascii="Arial MT" w:hAnsi="Arial MT"/>
          <w:sz w:val="20"/>
        </w:rPr>
        <w:t>nivel</w:t>
      </w:r>
      <w:r>
        <w:rPr>
          <w:rFonts w:ascii="Arial MT" w:hAnsi="Arial MT"/>
          <w:spacing w:val="18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28"/>
          <w:sz w:val="20"/>
        </w:rPr>
        <w:t> </w:t>
      </w:r>
      <w:r>
        <w:rPr>
          <w:rFonts w:ascii="Arial MT" w:hAnsi="Arial MT"/>
          <w:sz w:val="20"/>
        </w:rPr>
        <w:t>educación</w:t>
      </w:r>
      <w:r>
        <w:rPr>
          <w:rFonts w:ascii="Arial MT" w:hAnsi="Arial MT"/>
          <w:spacing w:val="18"/>
          <w:sz w:val="20"/>
        </w:rPr>
        <w:t> </w:t>
      </w:r>
      <w:r>
        <w:rPr>
          <w:rFonts w:ascii="Arial MT" w:hAnsi="Arial MT"/>
          <w:sz w:val="20"/>
        </w:rPr>
        <w:t>media,</w:t>
      </w:r>
      <w:r>
        <w:rPr>
          <w:rFonts w:ascii="Arial MT" w:hAnsi="Arial MT"/>
          <w:spacing w:val="-52"/>
          <w:sz w:val="20"/>
        </w:rPr>
        <w:t> </w:t>
      </w:r>
      <w:r>
        <w:rPr>
          <w:rFonts w:ascii="Arial MT" w:hAnsi="Arial MT"/>
          <w:sz w:val="20"/>
        </w:rPr>
        <w:t>ciclo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educación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básica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ciclo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educación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diversificada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aprobado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según el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área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urbana o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rural</w:t>
        <w:tab/>
        <w:t>43</w:t>
      </w:r>
    </w:p>
    <w:p>
      <w:pPr>
        <w:tabs>
          <w:tab w:pos="10590" w:val="left" w:leader="dot"/>
        </w:tabs>
        <w:spacing w:before="0"/>
        <w:ind w:left="1418" w:right="1420" w:firstLine="0"/>
        <w:jc w:val="left"/>
        <w:rPr>
          <w:rFonts w:ascii="Arial MT" w:hAnsi="Arial MT"/>
          <w:sz w:val="20"/>
        </w:rPr>
      </w:pPr>
      <w:hyperlink w:history="true" w:anchor="_bookmark51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-4"/>
            <w:sz w:val="20"/>
          </w:rPr>
          <w:t> </w:t>
        </w:r>
        <w:r>
          <w:rPr>
            <w:rFonts w:ascii="Arial MT" w:hAnsi="Arial MT"/>
            <w:sz w:val="20"/>
          </w:rPr>
          <w:t>33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Departamentos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menores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porcentajes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Garífuna</w:t>
        </w:r>
        <w:r>
          <w:rPr>
            <w:rFonts w:ascii="Arial MT" w:hAnsi="Arial MT"/>
            <w:spacing w:val="-4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-4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media,</w:t>
        </w:r>
      </w:hyperlink>
      <w:r>
        <w:rPr>
          <w:rFonts w:ascii="Arial MT" w:hAnsi="Arial MT"/>
          <w:spacing w:val="-52"/>
          <w:sz w:val="20"/>
        </w:rPr>
        <w:t> </w:t>
      </w:r>
      <w:hyperlink w:history="true" w:anchor="_bookmark51">
        <w:r>
          <w:rPr>
            <w:rFonts w:ascii="Arial MT" w:hAnsi="Arial MT"/>
            <w:sz w:val="20"/>
          </w:rPr>
          <w:t>ciclo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básica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ciclo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diversificada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aprobado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según el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área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urbana 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rural</w:t>
          <w:tab/>
          <w:t>44</w:t>
        </w:r>
      </w:hyperlink>
    </w:p>
    <w:p>
      <w:pPr>
        <w:tabs>
          <w:tab w:pos="10590" w:val="left" w:leader="dot"/>
        </w:tabs>
        <w:spacing w:before="0"/>
        <w:ind w:left="1418" w:right="1414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Gráfico</w:t>
      </w:r>
      <w:r>
        <w:rPr>
          <w:rFonts w:ascii="Arial MT" w:hAnsi="Arial MT"/>
          <w:spacing w:val="18"/>
          <w:sz w:val="20"/>
        </w:rPr>
        <w:t> </w:t>
      </w:r>
      <w:r>
        <w:rPr>
          <w:rFonts w:ascii="Arial MT" w:hAnsi="Arial MT"/>
          <w:sz w:val="20"/>
        </w:rPr>
        <w:t>34</w:t>
      </w:r>
      <w:r>
        <w:rPr>
          <w:rFonts w:ascii="Arial MT" w:hAnsi="Arial MT"/>
          <w:spacing w:val="18"/>
          <w:sz w:val="20"/>
        </w:rPr>
        <w:t> </w:t>
      </w:r>
      <w:r>
        <w:rPr>
          <w:rFonts w:ascii="Arial MT" w:hAnsi="Arial MT"/>
          <w:sz w:val="20"/>
        </w:rPr>
        <w:t>Departamentos</w:t>
      </w:r>
      <w:r>
        <w:rPr>
          <w:rFonts w:ascii="Arial MT" w:hAnsi="Arial MT"/>
          <w:spacing w:val="19"/>
          <w:sz w:val="20"/>
        </w:rPr>
        <w:t> </w:t>
      </w:r>
      <w:r>
        <w:rPr>
          <w:rFonts w:ascii="Arial MT" w:hAnsi="Arial MT"/>
          <w:sz w:val="20"/>
        </w:rPr>
        <w:t>con</w:t>
      </w:r>
      <w:r>
        <w:rPr>
          <w:rFonts w:ascii="Arial MT" w:hAnsi="Arial MT"/>
          <w:spacing w:val="15"/>
          <w:sz w:val="20"/>
        </w:rPr>
        <w:t> </w:t>
      </w:r>
      <w:r>
        <w:rPr>
          <w:rFonts w:ascii="Arial MT" w:hAnsi="Arial MT"/>
          <w:sz w:val="20"/>
        </w:rPr>
        <w:t>menores</w:t>
      </w:r>
      <w:r>
        <w:rPr>
          <w:rFonts w:ascii="Arial MT" w:hAnsi="Arial MT"/>
          <w:spacing w:val="20"/>
          <w:sz w:val="20"/>
        </w:rPr>
        <w:t> </w:t>
      </w:r>
      <w:r>
        <w:rPr>
          <w:rFonts w:ascii="Arial MT" w:hAnsi="Arial MT"/>
          <w:sz w:val="20"/>
        </w:rPr>
        <w:t>porcentajes</w:t>
      </w:r>
      <w:r>
        <w:rPr>
          <w:rFonts w:ascii="Arial MT" w:hAnsi="Arial MT"/>
          <w:spacing w:val="19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8"/>
          <w:sz w:val="20"/>
        </w:rPr>
        <w:t> </w:t>
      </w:r>
      <w:r>
        <w:rPr>
          <w:rFonts w:ascii="Arial MT" w:hAnsi="Arial MT"/>
          <w:sz w:val="20"/>
        </w:rPr>
        <w:t>población</w:t>
      </w:r>
      <w:r>
        <w:rPr>
          <w:rFonts w:ascii="Arial MT" w:hAnsi="Arial MT"/>
          <w:spacing w:val="18"/>
          <w:sz w:val="20"/>
        </w:rPr>
        <w:t> </w:t>
      </w:r>
      <w:r>
        <w:rPr>
          <w:rFonts w:ascii="Arial MT" w:hAnsi="Arial MT"/>
          <w:sz w:val="20"/>
        </w:rPr>
        <w:t>Xinca</w:t>
      </w:r>
      <w:r>
        <w:rPr>
          <w:rFonts w:ascii="Arial MT" w:hAnsi="Arial MT"/>
          <w:spacing w:val="19"/>
          <w:sz w:val="20"/>
        </w:rPr>
        <w:t> </w:t>
      </w:r>
      <w:r>
        <w:rPr>
          <w:rFonts w:ascii="Arial MT" w:hAnsi="Arial MT"/>
          <w:sz w:val="20"/>
        </w:rPr>
        <w:t>con</w:t>
      </w:r>
      <w:r>
        <w:rPr>
          <w:rFonts w:ascii="Arial MT" w:hAnsi="Arial MT"/>
          <w:spacing w:val="18"/>
          <w:sz w:val="20"/>
        </w:rPr>
        <w:t> </w:t>
      </w:r>
      <w:r>
        <w:rPr>
          <w:rFonts w:ascii="Arial MT" w:hAnsi="Arial MT"/>
          <w:sz w:val="20"/>
        </w:rPr>
        <w:t>nivel</w:t>
      </w:r>
      <w:r>
        <w:rPr>
          <w:rFonts w:ascii="Arial MT" w:hAnsi="Arial MT"/>
          <w:spacing w:val="18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8"/>
          <w:sz w:val="20"/>
        </w:rPr>
        <w:t> </w:t>
      </w:r>
      <w:r>
        <w:rPr>
          <w:rFonts w:ascii="Arial MT" w:hAnsi="Arial MT"/>
          <w:sz w:val="20"/>
        </w:rPr>
        <w:t>educación</w:t>
      </w:r>
      <w:r>
        <w:rPr>
          <w:rFonts w:ascii="Arial MT" w:hAnsi="Arial MT"/>
          <w:spacing w:val="28"/>
          <w:sz w:val="20"/>
        </w:rPr>
        <w:t> </w:t>
      </w:r>
      <w:r>
        <w:rPr>
          <w:rFonts w:ascii="Arial MT" w:hAnsi="Arial MT"/>
          <w:sz w:val="20"/>
        </w:rPr>
        <w:t>media,</w:t>
      </w:r>
      <w:r>
        <w:rPr>
          <w:rFonts w:ascii="Arial MT" w:hAnsi="Arial MT"/>
          <w:spacing w:val="-52"/>
          <w:sz w:val="20"/>
        </w:rPr>
        <w:t> </w:t>
      </w:r>
      <w:r>
        <w:rPr>
          <w:rFonts w:ascii="Arial MT" w:hAnsi="Arial MT"/>
          <w:sz w:val="20"/>
        </w:rPr>
        <w:t>ciclo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educación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básica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ciclo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educación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diversificada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aprobado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según el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área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urbana o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rural</w:t>
        <w:tab/>
        <w:t>45</w:t>
      </w:r>
    </w:p>
    <w:p>
      <w:pPr>
        <w:spacing w:before="0"/>
        <w:ind w:left="1418" w:right="1421" w:firstLine="0"/>
        <w:jc w:val="left"/>
        <w:rPr>
          <w:rFonts w:ascii="Arial MT" w:hAnsi="Arial MT"/>
          <w:sz w:val="20"/>
        </w:rPr>
      </w:pPr>
      <w:hyperlink w:history="true" w:anchor="_bookmark52">
        <w:r>
          <w:rPr>
            <w:rFonts w:ascii="Arial MT" w:hAnsi="Arial MT"/>
            <w:w w:val="95"/>
            <w:sz w:val="20"/>
          </w:rPr>
          <w:t>Gráfico</w:t>
        </w:r>
        <w:r>
          <w:rPr>
            <w:rFonts w:ascii="Arial MT" w:hAnsi="Arial MT"/>
            <w:spacing w:val="22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35</w:t>
        </w:r>
        <w:r>
          <w:rPr>
            <w:rFonts w:ascii="Arial MT" w:hAnsi="Arial MT"/>
            <w:spacing w:val="22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Departamentos</w:t>
        </w:r>
        <w:r>
          <w:rPr>
            <w:rFonts w:ascii="Arial MT" w:hAnsi="Arial MT"/>
            <w:spacing w:val="24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con</w:t>
        </w:r>
        <w:r>
          <w:rPr>
            <w:rFonts w:ascii="Arial MT" w:hAnsi="Arial MT"/>
            <w:spacing w:val="22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menores</w:t>
        </w:r>
        <w:r>
          <w:rPr>
            <w:rFonts w:ascii="Arial MT" w:hAnsi="Arial MT"/>
            <w:spacing w:val="24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porcentajes</w:t>
        </w:r>
        <w:r>
          <w:rPr>
            <w:rFonts w:ascii="Arial MT" w:hAnsi="Arial MT"/>
            <w:spacing w:val="25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de</w:t>
        </w:r>
        <w:r>
          <w:rPr>
            <w:rFonts w:ascii="Arial MT" w:hAnsi="Arial MT"/>
            <w:spacing w:val="23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población</w:t>
        </w:r>
        <w:r>
          <w:rPr>
            <w:rFonts w:ascii="Arial MT" w:hAnsi="Arial MT"/>
            <w:spacing w:val="26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Afrodescendiente</w:t>
        </w:r>
        <w:r>
          <w:rPr>
            <w:rFonts w:ascii="Arial MT" w:hAnsi="Arial MT"/>
            <w:spacing w:val="23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con</w:t>
        </w:r>
        <w:r>
          <w:rPr>
            <w:rFonts w:ascii="Arial MT" w:hAnsi="Arial MT"/>
            <w:spacing w:val="27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nivel</w:t>
        </w:r>
        <w:r>
          <w:rPr>
            <w:rFonts w:ascii="Arial MT" w:hAnsi="Arial MT"/>
            <w:spacing w:val="25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de</w:t>
        </w:r>
        <w:r>
          <w:rPr>
            <w:rFonts w:ascii="Arial MT" w:hAnsi="Arial MT"/>
            <w:spacing w:val="26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educación</w:t>
        </w:r>
      </w:hyperlink>
      <w:r>
        <w:rPr>
          <w:rFonts w:ascii="Arial MT" w:hAnsi="Arial MT"/>
          <w:spacing w:val="-50"/>
          <w:w w:val="95"/>
          <w:sz w:val="20"/>
        </w:rPr>
        <w:t> </w:t>
      </w:r>
      <w:hyperlink w:history="true" w:anchor="_bookmark52">
        <w:r>
          <w:rPr>
            <w:rFonts w:ascii="Arial MT" w:hAnsi="Arial MT"/>
            <w:sz w:val="20"/>
          </w:rPr>
          <w:t>media,</w:t>
        </w:r>
        <w:r>
          <w:rPr>
            <w:rFonts w:ascii="Arial MT" w:hAnsi="Arial MT"/>
            <w:spacing w:val="-6"/>
            <w:sz w:val="20"/>
          </w:rPr>
          <w:t> </w:t>
        </w:r>
        <w:r>
          <w:rPr>
            <w:rFonts w:ascii="Arial MT" w:hAnsi="Arial MT"/>
            <w:sz w:val="20"/>
          </w:rPr>
          <w:t>ciclo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5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básica y</w:t>
        </w:r>
        <w:r>
          <w:rPr>
            <w:rFonts w:ascii="Arial MT" w:hAnsi="Arial MT"/>
            <w:spacing w:val="-8"/>
            <w:sz w:val="20"/>
          </w:rPr>
          <w:t> </w:t>
        </w:r>
        <w:r>
          <w:rPr>
            <w:rFonts w:ascii="Arial MT" w:hAnsi="Arial MT"/>
            <w:sz w:val="20"/>
          </w:rPr>
          <w:t>ciclo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5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4"/>
            <w:sz w:val="20"/>
          </w:rPr>
          <w:t> </w:t>
        </w:r>
        <w:r>
          <w:rPr>
            <w:rFonts w:ascii="Arial MT" w:hAnsi="Arial MT"/>
            <w:sz w:val="20"/>
          </w:rPr>
          <w:t>diversificada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aprobado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según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el</w:t>
        </w:r>
        <w:r>
          <w:rPr>
            <w:rFonts w:ascii="Arial MT" w:hAnsi="Arial MT"/>
            <w:spacing w:val="-4"/>
            <w:sz w:val="20"/>
          </w:rPr>
          <w:t> </w:t>
        </w:r>
        <w:r>
          <w:rPr>
            <w:rFonts w:ascii="Arial MT" w:hAnsi="Arial MT"/>
            <w:sz w:val="20"/>
          </w:rPr>
          <w:t>área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urbana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rural</w:t>
        </w:r>
      </w:hyperlink>
    </w:p>
    <w:p>
      <w:pPr>
        <w:spacing w:line="229" w:lineRule="exact" w:before="1"/>
        <w:ind w:left="1435" w:right="0" w:firstLine="0"/>
        <w:jc w:val="left"/>
        <w:rPr>
          <w:rFonts w:ascii="Arial MT"/>
          <w:sz w:val="20"/>
        </w:rPr>
      </w:pPr>
      <w:hyperlink w:history="true" w:anchor="_bookmark52">
        <w:r>
          <w:rPr>
            <w:rFonts w:ascii="Arial MT"/>
            <w:w w:val="95"/>
            <w:sz w:val="20"/>
          </w:rPr>
          <w:t>.....................................................................................................................................................................</w:t>
        </w:r>
        <w:r>
          <w:rPr>
            <w:rFonts w:ascii="Arial MT"/>
            <w:spacing w:val="70"/>
            <w:sz w:val="20"/>
          </w:rPr>
          <w:t> </w:t>
        </w:r>
        <w:r>
          <w:rPr>
            <w:rFonts w:ascii="Arial MT"/>
            <w:spacing w:val="70"/>
            <w:sz w:val="20"/>
          </w:rPr>
          <w:t> </w:t>
        </w:r>
        <w:r>
          <w:rPr>
            <w:rFonts w:ascii="Arial MT"/>
            <w:w w:val="95"/>
            <w:sz w:val="20"/>
          </w:rPr>
          <w:t>46</w:t>
        </w:r>
      </w:hyperlink>
    </w:p>
    <w:p>
      <w:pPr>
        <w:tabs>
          <w:tab w:pos="10590" w:val="left" w:leader="dot"/>
        </w:tabs>
        <w:spacing w:before="0"/>
        <w:ind w:left="1418" w:right="1417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Gráfico</w:t>
      </w:r>
      <w:r>
        <w:rPr>
          <w:rFonts w:ascii="Arial MT" w:hAnsi="Arial MT"/>
          <w:spacing w:val="13"/>
          <w:sz w:val="20"/>
        </w:rPr>
        <w:t> </w:t>
      </w:r>
      <w:r>
        <w:rPr>
          <w:rFonts w:ascii="Arial MT" w:hAnsi="Arial MT"/>
          <w:sz w:val="20"/>
        </w:rPr>
        <w:t>36</w:t>
      </w:r>
      <w:r>
        <w:rPr>
          <w:rFonts w:ascii="Arial MT" w:hAnsi="Arial MT"/>
          <w:spacing w:val="15"/>
          <w:sz w:val="20"/>
        </w:rPr>
        <w:t> </w:t>
      </w:r>
      <w:r>
        <w:rPr>
          <w:rFonts w:ascii="Arial MT" w:hAnsi="Arial MT"/>
          <w:sz w:val="20"/>
        </w:rPr>
        <w:t>Departamentos</w:t>
      </w:r>
      <w:r>
        <w:rPr>
          <w:rFonts w:ascii="Arial MT" w:hAnsi="Arial MT"/>
          <w:spacing w:val="17"/>
          <w:sz w:val="20"/>
        </w:rPr>
        <w:t> </w:t>
      </w:r>
      <w:r>
        <w:rPr>
          <w:rFonts w:ascii="Arial MT" w:hAnsi="Arial MT"/>
          <w:sz w:val="20"/>
        </w:rPr>
        <w:t>con</w:t>
      </w:r>
      <w:r>
        <w:rPr>
          <w:rFonts w:ascii="Arial MT" w:hAnsi="Arial MT"/>
          <w:spacing w:val="13"/>
          <w:sz w:val="20"/>
        </w:rPr>
        <w:t> </w:t>
      </w:r>
      <w:r>
        <w:rPr>
          <w:rFonts w:ascii="Arial MT" w:hAnsi="Arial MT"/>
          <w:sz w:val="20"/>
        </w:rPr>
        <w:t>menores</w:t>
      </w:r>
      <w:r>
        <w:rPr>
          <w:rFonts w:ascii="Arial MT" w:hAnsi="Arial MT"/>
          <w:spacing w:val="16"/>
          <w:sz w:val="20"/>
        </w:rPr>
        <w:t> </w:t>
      </w:r>
      <w:r>
        <w:rPr>
          <w:rFonts w:ascii="Arial MT" w:hAnsi="Arial MT"/>
          <w:sz w:val="20"/>
        </w:rPr>
        <w:t>porcentajes</w:t>
      </w:r>
      <w:r>
        <w:rPr>
          <w:rFonts w:ascii="Arial MT" w:hAnsi="Arial MT"/>
          <w:spacing w:val="17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5"/>
          <w:sz w:val="20"/>
        </w:rPr>
        <w:t> </w:t>
      </w:r>
      <w:r>
        <w:rPr>
          <w:rFonts w:ascii="Arial MT" w:hAnsi="Arial MT"/>
          <w:sz w:val="20"/>
        </w:rPr>
        <w:t>población</w:t>
      </w:r>
      <w:r>
        <w:rPr>
          <w:rFonts w:ascii="Arial MT" w:hAnsi="Arial MT"/>
          <w:spacing w:val="16"/>
          <w:sz w:val="20"/>
        </w:rPr>
        <w:t> </w:t>
      </w:r>
      <w:r>
        <w:rPr>
          <w:rFonts w:ascii="Arial MT" w:hAnsi="Arial MT"/>
          <w:sz w:val="20"/>
        </w:rPr>
        <w:t>ladina</w:t>
      </w:r>
      <w:r>
        <w:rPr>
          <w:rFonts w:ascii="Arial MT" w:hAnsi="Arial MT"/>
          <w:spacing w:val="15"/>
          <w:sz w:val="20"/>
        </w:rPr>
        <w:t> </w:t>
      </w:r>
      <w:r>
        <w:rPr>
          <w:rFonts w:ascii="Arial MT" w:hAnsi="Arial MT"/>
          <w:sz w:val="20"/>
        </w:rPr>
        <w:t>con</w:t>
      </w:r>
      <w:r>
        <w:rPr>
          <w:rFonts w:ascii="Arial MT" w:hAnsi="Arial MT"/>
          <w:spacing w:val="16"/>
          <w:sz w:val="20"/>
        </w:rPr>
        <w:t> </w:t>
      </w:r>
      <w:r>
        <w:rPr>
          <w:rFonts w:ascii="Arial MT" w:hAnsi="Arial MT"/>
          <w:sz w:val="20"/>
        </w:rPr>
        <w:t>nivel</w:t>
      </w:r>
      <w:r>
        <w:rPr>
          <w:rFonts w:ascii="Arial MT" w:hAnsi="Arial MT"/>
          <w:spacing w:val="13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28"/>
          <w:sz w:val="20"/>
        </w:rPr>
        <w:t> </w:t>
      </w:r>
      <w:r>
        <w:rPr>
          <w:rFonts w:ascii="Arial MT" w:hAnsi="Arial MT"/>
          <w:sz w:val="20"/>
        </w:rPr>
        <w:t>educación</w:t>
      </w:r>
      <w:r>
        <w:rPr>
          <w:rFonts w:ascii="Arial MT" w:hAnsi="Arial MT"/>
          <w:spacing w:val="15"/>
          <w:sz w:val="20"/>
        </w:rPr>
        <w:t> </w:t>
      </w:r>
      <w:r>
        <w:rPr>
          <w:rFonts w:ascii="Arial MT" w:hAnsi="Arial MT"/>
          <w:sz w:val="20"/>
        </w:rPr>
        <w:t>media,</w:t>
      </w:r>
      <w:r>
        <w:rPr>
          <w:rFonts w:ascii="Arial MT" w:hAnsi="Arial MT"/>
          <w:spacing w:val="-52"/>
          <w:sz w:val="20"/>
        </w:rPr>
        <w:t> </w:t>
      </w:r>
      <w:r>
        <w:rPr>
          <w:rFonts w:ascii="Arial MT" w:hAnsi="Arial MT"/>
          <w:sz w:val="20"/>
        </w:rPr>
        <w:t>ciclo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educación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básica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ciclo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educación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diversificada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aprobado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según el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área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urbana o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rural</w:t>
        <w:tab/>
        <w:t>47</w:t>
      </w:r>
    </w:p>
    <w:p>
      <w:pPr>
        <w:tabs>
          <w:tab w:pos="10590" w:val="left" w:leader="dot"/>
        </w:tabs>
        <w:spacing w:before="0"/>
        <w:ind w:left="1418" w:right="1421" w:firstLine="0"/>
        <w:jc w:val="left"/>
        <w:rPr>
          <w:rFonts w:ascii="Arial MT" w:hAnsi="Arial MT"/>
          <w:sz w:val="20"/>
        </w:rPr>
      </w:pPr>
      <w:hyperlink w:history="true" w:anchor="_bookmark53">
        <w:r>
          <w:rPr>
            <w:rFonts w:ascii="Arial MT" w:hAnsi="Arial MT"/>
            <w:w w:val="95"/>
            <w:sz w:val="20"/>
          </w:rPr>
          <w:t>Gráfico</w:t>
        </w:r>
        <w:r>
          <w:rPr>
            <w:rFonts w:ascii="Arial MT" w:hAnsi="Arial MT"/>
            <w:spacing w:val="17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37</w:t>
        </w:r>
        <w:r>
          <w:rPr>
            <w:rFonts w:ascii="Arial MT" w:hAnsi="Arial MT"/>
            <w:spacing w:val="17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Departamentos</w:t>
        </w:r>
        <w:r>
          <w:rPr>
            <w:rFonts w:ascii="Arial MT" w:hAnsi="Arial MT"/>
            <w:spacing w:val="22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con</w:t>
        </w:r>
        <w:r>
          <w:rPr>
            <w:rFonts w:ascii="Arial MT" w:hAnsi="Arial MT"/>
            <w:spacing w:val="16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menores</w:t>
        </w:r>
        <w:r>
          <w:rPr>
            <w:rFonts w:ascii="Arial MT" w:hAnsi="Arial MT"/>
            <w:spacing w:val="20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porcentajes</w:t>
        </w:r>
        <w:r>
          <w:rPr>
            <w:rFonts w:ascii="Arial MT" w:hAnsi="Arial MT"/>
            <w:spacing w:val="19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de</w:t>
        </w:r>
        <w:r>
          <w:rPr>
            <w:rFonts w:ascii="Arial MT" w:hAnsi="Arial MT"/>
            <w:spacing w:val="17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población</w:t>
        </w:r>
        <w:r>
          <w:rPr>
            <w:rFonts w:ascii="Arial MT" w:hAnsi="Arial MT"/>
            <w:spacing w:val="16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por</w:t>
        </w:r>
        <w:r>
          <w:rPr>
            <w:rFonts w:ascii="Arial MT" w:hAnsi="Arial MT"/>
            <w:spacing w:val="19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pueblo</w:t>
        </w:r>
        <w:r>
          <w:rPr>
            <w:rFonts w:ascii="Arial MT" w:hAnsi="Arial MT"/>
            <w:spacing w:val="18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con</w:t>
        </w:r>
        <w:r>
          <w:rPr>
            <w:rFonts w:ascii="Arial MT" w:hAnsi="Arial MT"/>
            <w:spacing w:val="21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nivel</w:t>
        </w:r>
        <w:r>
          <w:rPr>
            <w:rFonts w:ascii="Arial MT" w:hAnsi="Arial MT"/>
            <w:spacing w:val="20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de</w:t>
        </w:r>
        <w:r>
          <w:rPr>
            <w:rFonts w:ascii="Arial MT" w:hAnsi="Arial MT"/>
            <w:spacing w:val="16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educación</w:t>
        </w:r>
        <w:r>
          <w:rPr>
            <w:rFonts w:ascii="Arial MT" w:hAnsi="Arial MT"/>
            <w:spacing w:val="18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media,</w:t>
        </w:r>
      </w:hyperlink>
      <w:r>
        <w:rPr>
          <w:rFonts w:ascii="Arial MT" w:hAnsi="Arial MT"/>
          <w:spacing w:val="-50"/>
          <w:w w:val="95"/>
          <w:sz w:val="20"/>
        </w:rPr>
        <w:t> </w:t>
      </w:r>
      <w:hyperlink w:history="true" w:anchor="_bookmark53">
        <w:r>
          <w:rPr>
            <w:rFonts w:ascii="Arial MT" w:hAnsi="Arial MT"/>
            <w:sz w:val="20"/>
          </w:rPr>
          <w:t>ciclo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básica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-4"/>
            <w:sz w:val="20"/>
          </w:rPr>
          <w:t> </w:t>
        </w:r>
        <w:r>
          <w:rPr>
            <w:rFonts w:ascii="Arial MT" w:hAnsi="Arial MT"/>
            <w:sz w:val="20"/>
          </w:rPr>
          <w:t>ciclo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diversificada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aprobado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según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el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área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urbana</w:t>
          <w:tab/>
        </w:r>
        <w:r>
          <w:rPr>
            <w:rFonts w:ascii="Arial MT" w:hAnsi="Arial MT"/>
            <w:spacing w:val="-1"/>
            <w:sz w:val="20"/>
          </w:rPr>
          <w:t>48</w:t>
        </w:r>
      </w:hyperlink>
    </w:p>
    <w:p>
      <w:pPr>
        <w:tabs>
          <w:tab w:pos="10590" w:val="left" w:leader="dot"/>
        </w:tabs>
        <w:spacing w:before="1"/>
        <w:ind w:left="1418" w:right="1422" w:firstLine="0"/>
        <w:jc w:val="left"/>
        <w:rPr>
          <w:rFonts w:ascii="Arial MT" w:hAnsi="Arial MT"/>
          <w:sz w:val="20"/>
        </w:rPr>
      </w:pPr>
      <w:hyperlink w:history="true" w:anchor="_bookmark54">
        <w:r>
          <w:rPr>
            <w:rFonts w:ascii="Arial MT" w:hAnsi="Arial MT"/>
            <w:w w:val="95"/>
            <w:sz w:val="20"/>
          </w:rPr>
          <w:t>Gráfico</w:t>
        </w:r>
        <w:r>
          <w:rPr>
            <w:rFonts w:ascii="Arial MT" w:hAnsi="Arial MT"/>
            <w:spacing w:val="17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38</w:t>
        </w:r>
        <w:r>
          <w:rPr>
            <w:rFonts w:ascii="Arial MT" w:hAnsi="Arial MT"/>
            <w:spacing w:val="16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Departamentos</w:t>
        </w:r>
        <w:r>
          <w:rPr>
            <w:rFonts w:ascii="Arial MT" w:hAnsi="Arial MT"/>
            <w:spacing w:val="23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con</w:t>
        </w:r>
        <w:r>
          <w:rPr>
            <w:rFonts w:ascii="Arial MT" w:hAnsi="Arial MT"/>
            <w:spacing w:val="16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menores</w:t>
        </w:r>
        <w:r>
          <w:rPr>
            <w:rFonts w:ascii="Arial MT" w:hAnsi="Arial MT"/>
            <w:spacing w:val="19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porcentajes</w:t>
        </w:r>
        <w:r>
          <w:rPr>
            <w:rFonts w:ascii="Arial MT" w:hAnsi="Arial MT"/>
            <w:spacing w:val="19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de</w:t>
        </w:r>
        <w:r>
          <w:rPr>
            <w:rFonts w:ascii="Arial MT" w:hAnsi="Arial MT"/>
            <w:spacing w:val="16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población</w:t>
        </w:r>
        <w:r>
          <w:rPr>
            <w:rFonts w:ascii="Arial MT" w:hAnsi="Arial MT"/>
            <w:spacing w:val="16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por</w:t>
        </w:r>
        <w:r>
          <w:rPr>
            <w:rFonts w:ascii="Arial MT" w:hAnsi="Arial MT"/>
            <w:spacing w:val="20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pueblo</w:t>
        </w:r>
        <w:r>
          <w:rPr>
            <w:rFonts w:ascii="Arial MT" w:hAnsi="Arial MT"/>
            <w:spacing w:val="17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con</w:t>
        </w:r>
        <w:r>
          <w:rPr>
            <w:rFonts w:ascii="Arial MT" w:hAnsi="Arial MT"/>
            <w:spacing w:val="21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nivel</w:t>
        </w:r>
        <w:r>
          <w:rPr>
            <w:rFonts w:ascii="Arial MT" w:hAnsi="Arial MT"/>
            <w:spacing w:val="20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de</w:t>
        </w:r>
        <w:r>
          <w:rPr>
            <w:rFonts w:ascii="Arial MT" w:hAnsi="Arial MT"/>
            <w:spacing w:val="16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educación</w:t>
        </w:r>
        <w:r>
          <w:rPr>
            <w:rFonts w:ascii="Arial MT" w:hAnsi="Arial MT"/>
            <w:spacing w:val="17"/>
            <w:w w:val="95"/>
            <w:sz w:val="20"/>
          </w:rPr>
          <w:t> </w:t>
        </w:r>
        <w:r>
          <w:rPr>
            <w:rFonts w:ascii="Arial MT" w:hAnsi="Arial MT"/>
            <w:w w:val="95"/>
            <w:sz w:val="20"/>
          </w:rPr>
          <w:t>media,</w:t>
        </w:r>
      </w:hyperlink>
      <w:r>
        <w:rPr>
          <w:rFonts w:ascii="Arial MT" w:hAnsi="Arial MT"/>
          <w:spacing w:val="-50"/>
          <w:w w:val="95"/>
          <w:sz w:val="20"/>
        </w:rPr>
        <w:t> </w:t>
      </w:r>
      <w:hyperlink w:history="true" w:anchor="_bookmark54">
        <w:r>
          <w:rPr>
            <w:rFonts w:ascii="Arial MT" w:hAnsi="Arial MT"/>
            <w:sz w:val="20"/>
          </w:rPr>
          <w:t>ciclo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básica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-4"/>
            <w:sz w:val="20"/>
          </w:rPr>
          <w:t> </w:t>
        </w:r>
        <w:r>
          <w:rPr>
            <w:rFonts w:ascii="Arial MT" w:hAnsi="Arial MT"/>
            <w:sz w:val="20"/>
          </w:rPr>
          <w:t>ciclo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diversificada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aprobado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ubicada en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área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rural</w:t>
          <w:tab/>
        </w:r>
        <w:r>
          <w:rPr>
            <w:rFonts w:ascii="Arial MT" w:hAnsi="Arial MT"/>
            <w:spacing w:val="-1"/>
            <w:sz w:val="20"/>
          </w:rPr>
          <w:t>49</w:t>
        </w:r>
      </w:hyperlink>
    </w:p>
    <w:p>
      <w:pPr>
        <w:tabs>
          <w:tab w:pos="10590" w:val="left" w:leader="dot"/>
        </w:tabs>
        <w:spacing w:line="228" w:lineRule="exact" w:before="0"/>
        <w:ind w:left="1418" w:right="0" w:firstLine="0"/>
        <w:jc w:val="left"/>
        <w:rPr>
          <w:rFonts w:ascii="Arial MT" w:hAnsi="Arial MT"/>
          <w:sz w:val="20"/>
        </w:rPr>
      </w:pPr>
      <w:hyperlink w:history="true" w:anchor="_bookmark57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39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por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departamentos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acceso y</w:t>
        </w:r>
        <w:r>
          <w:rPr>
            <w:rFonts w:ascii="Arial MT" w:hAnsi="Arial MT"/>
            <w:spacing w:val="-4"/>
            <w:sz w:val="20"/>
          </w:rPr>
          <w:t> </w:t>
        </w:r>
        <w:r>
          <w:rPr>
            <w:rFonts w:ascii="Arial MT" w:hAnsi="Arial MT"/>
            <w:sz w:val="20"/>
          </w:rPr>
          <w:t>uso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computadora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internet</w:t>
          <w:tab/>
          <w:t>50</w:t>
        </w:r>
      </w:hyperlink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8"/>
        </w:rPr>
      </w:pPr>
      <w:r>
        <w:rPr/>
        <w:pict>
          <v:rect style="position:absolute;margin-left:563.880005pt;margin-top:18.216383pt;width:25.44pt;height:1.4399pt;mso-position-horizontal-relative:page;mso-position-vertical-relative:paragraph;z-index:-1571840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before="0" w:after="12"/>
        <w:ind w:left="0" w:right="629" w:firstLine="0"/>
        <w:jc w:val="right"/>
        <w:rPr>
          <w:rFonts w:ascii="Arial MT"/>
          <w:sz w:val="28"/>
        </w:rPr>
      </w:pPr>
      <w:r>
        <w:rPr>
          <w:rFonts w:ascii="Arial MT"/>
          <w:w w:val="100"/>
          <w:sz w:val="28"/>
        </w:rPr>
        <w:t>8</w:t>
      </w:r>
    </w:p>
    <w:p>
      <w:pPr>
        <w:pStyle w:val="BodyText"/>
        <w:spacing w:line="88" w:lineRule="exact"/>
        <w:ind w:left="1127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24480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1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Arial MT"/>
        </w:rPr>
      </w:pPr>
    </w:p>
    <w:p>
      <w:pPr>
        <w:spacing w:before="1"/>
        <w:ind w:left="1418" w:right="0" w:firstLine="0"/>
        <w:jc w:val="left"/>
        <w:rPr>
          <w:rFonts w:ascii="Arial MT" w:hAnsi="Arial MT"/>
          <w:sz w:val="20"/>
        </w:rPr>
      </w:pPr>
      <w:hyperlink w:history="true" w:anchor="_bookmark58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4"/>
            <w:sz w:val="20"/>
          </w:rPr>
          <w:t> </w:t>
        </w:r>
        <w:r>
          <w:rPr>
            <w:rFonts w:ascii="Arial MT" w:hAnsi="Arial MT"/>
            <w:sz w:val="20"/>
          </w:rPr>
          <w:t>40</w:t>
        </w:r>
        <w:r>
          <w:rPr>
            <w:rFonts w:ascii="Arial MT" w:hAnsi="Arial MT"/>
            <w:spacing w:val="4"/>
            <w:sz w:val="20"/>
          </w:rPr>
          <w:t> </w:t>
        </w:r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6"/>
            <w:sz w:val="20"/>
          </w:rPr>
          <w:t> </w:t>
        </w:r>
        <w:r>
          <w:rPr>
            <w:rFonts w:ascii="Arial MT" w:hAnsi="Arial MT"/>
            <w:sz w:val="20"/>
          </w:rPr>
          <w:t>por</w:t>
        </w:r>
        <w:r>
          <w:rPr>
            <w:rFonts w:ascii="Arial MT" w:hAnsi="Arial MT"/>
            <w:spacing w:val="6"/>
            <w:sz w:val="20"/>
          </w:rPr>
          <w:t> </w:t>
        </w:r>
        <w:r>
          <w:rPr>
            <w:rFonts w:ascii="Arial MT" w:hAnsi="Arial MT"/>
            <w:sz w:val="20"/>
          </w:rPr>
          <w:t>pueblo,</w:t>
        </w:r>
        <w:r>
          <w:rPr>
            <w:rFonts w:ascii="Arial MT" w:hAnsi="Arial MT"/>
            <w:spacing w:val="4"/>
            <w:sz w:val="20"/>
          </w:rPr>
          <w:t> </w:t>
        </w:r>
        <w:r>
          <w:rPr>
            <w:rFonts w:ascii="Arial MT" w:hAnsi="Arial MT"/>
            <w:sz w:val="20"/>
          </w:rPr>
          <w:t>según</w:t>
        </w:r>
        <w:r>
          <w:rPr>
            <w:rFonts w:ascii="Arial MT" w:hAnsi="Arial MT"/>
            <w:spacing w:val="4"/>
            <w:sz w:val="20"/>
          </w:rPr>
          <w:t> </w:t>
        </w:r>
        <w:r>
          <w:rPr>
            <w:rFonts w:ascii="Arial MT" w:hAnsi="Arial MT"/>
            <w:sz w:val="20"/>
          </w:rPr>
          <w:t>su</w:t>
        </w:r>
        <w:r>
          <w:rPr>
            <w:rFonts w:ascii="Arial MT" w:hAnsi="Arial MT"/>
            <w:spacing w:val="6"/>
            <w:sz w:val="20"/>
          </w:rPr>
          <w:t> </w:t>
        </w:r>
        <w:r>
          <w:rPr>
            <w:rFonts w:ascii="Arial MT" w:hAnsi="Arial MT"/>
            <w:sz w:val="20"/>
          </w:rPr>
          <w:t>ubicación</w:t>
        </w:r>
        <w:r>
          <w:rPr>
            <w:rFonts w:ascii="Arial MT" w:hAnsi="Arial MT"/>
            <w:spacing w:val="7"/>
            <w:sz w:val="20"/>
          </w:rPr>
          <w:t> </w:t>
        </w:r>
        <w:r>
          <w:rPr>
            <w:rFonts w:ascii="Arial MT" w:hAnsi="Arial MT"/>
            <w:sz w:val="20"/>
          </w:rPr>
          <w:t>urbana</w:t>
        </w:r>
        <w:r>
          <w:rPr>
            <w:rFonts w:ascii="Arial MT" w:hAnsi="Arial MT"/>
            <w:spacing w:val="4"/>
            <w:sz w:val="20"/>
          </w:rPr>
          <w:t> </w:t>
        </w:r>
        <w:r>
          <w:rPr>
            <w:rFonts w:ascii="Arial MT" w:hAnsi="Arial MT"/>
            <w:sz w:val="20"/>
          </w:rPr>
          <w:t>o</w:t>
        </w:r>
        <w:r>
          <w:rPr>
            <w:rFonts w:ascii="Arial MT" w:hAnsi="Arial MT"/>
            <w:spacing w:val="5"/>
            <w:sz w:val="20"/>
          </w:rPr>
          <w:t> </w:t>
        </w:r>
        <w:r>
          <w:rPr>
            <w:rFonts w:ascii="Arial MT" w:hAnsi="Arial MT"/>
            <w:sz w:val="20"/>
          </w:rPr>
          <w:t>rural,</w:t>
        </w:r>
        <w:r>
          <w:rPr>
            <w:rFonts w:ascii="Arial MT" w:hAnsi="Arial MT"/>
            <w:spacing w:val="4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4"/>
            <w:sz w:val="20"/>
          </w:rPr>
          <w:t> </w:t>
        </w:r>
        <w:r>
          <w:rPr>
            <w:rFonts w:ascii="Arial MT" w:hAnsi="Arial MT"/>
            <w:sz w:val="20"/>
          </w:rPr>
          <w:t>acceso</w:t>
        </w:r>
        <w:r>
          <w:rPr>
            <w:rFonts w:ascii="Arial MT" w:hAnsi="Arial MT"/>
            <w:spacing w:val="8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uso</w:t>
        </w:r>
        <w:r>
          <w:rPr>
            <w:rFonts w:ascii="Arial MT" w:hAnsi="Arial MT"/>
            <w:spacing w:val="4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5"/>
            <w:sz w:val="20"/>
          </w:rPr>
          <w:t> </w:t>
        </w:r>
        <w:r>
          <w:rPr>
            <w:rFonts w:ascii="Arial MT" w:hAnsi="Arial MT"/>
            <w:sz w:val="20"/>
          </w:rPr>
          <w:t>computadoras.</w:t>
        </w:r>
      </w:hyperlink>
    </w:p>
    <w:p>
      <w:pPr>
        <w:spacing w:before="0"/>
        <w:ind w:left="1435" w:right="0" w:firstLine="0"/>
        <w:jc w:val="left"/>
        <w:rPr>
          <w:rFonts w:ascii="Arial MT"/>
          <w:sz w:val="20"/>
        </w:rPr>
      </w:pPr>
      <w:hyperlink w:history="true" w:anchor="_bookmark58">
        <w:r>
          <w:rPr>
            <w:rFonts w:ascii="Arial MT"/>
            <w:w w:val="95"/>
            <w:sz w:val="20"/>
          </w:rPr>
          <w:t>.....................................................................................................................................................................</w:t>
        </w:r>
        <w:r>
          <w:rPr>
            <w:rFonts w:ascii="Arial MT"/>
            <w:spacing w:val="70"/>
            <w:sz w:val="20"/>
          </w:rPr>
          <w:t> </w:t>
        </w:r>
        <w:r>
          <w:rPr>
            <w:rFonts w:ascii="Arial MT"/>
            <w:spacing w:val="70"/>
            <w:sz w:val="20"/>
          </w:rPr>
          <w:t> </w:t>
        </w:r>
        <w:r>
          <w:rPr>
            <w:rFonts w:ascii="Arial MT"/>
            <w:w w:val="95"/>
            <w:sz w:val="20"/>
          </w:rPr>
          <w:t>51</w:t>
        </w:r>
      </w:hyperlink>
    </w:p>
    <w:p>
      <w:pPr>
        <w:tabs>
          <w:tab w:pos="10590" w:val="left" w:leader="dot"/>
        </w:tabs>
        <w:spacing w:line="229" w:lineRule="exact" w:before="0"/>
        <w:ind w:left="1418" w:right="0" w:firstLine="0"/>
        <w:jc w:val="left"/>
        <w:rPr>
          <w:rFonts w:ascii="Arial MT" w:hAnsi="Arial MT"/>
          <w:sz w:val="20"/>
        </w:rPr>
      </w:pPr>
      <w:hyperlink w:history="true" w:anchor="_bookmark60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41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Uso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internet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por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departamentos</w:t>
          <w:tab/>
          <w:t>52</w:t>
        </w:r>
      </w:hyperlink>
    </w:p>
    <w:p>
      <w:pPr>
        <w:tabs>
          <w:tab w:pos="10590" w:val="left" w:leader="dot"/>
        </w:tabs>
        <w:spacing w:line="229" w:lineRule="exact" w:before="0"/>
        <w:ind w:left="1418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Gráfico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42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Población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por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pueblo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autodeterminación y</w:t>
      </w:r>
      <w:r>
        <w:rPr>
          <w:rFonts w:ascii="Arial MT" w:hAnsi="Arial MT"/>
          <w:spacing w:val="-6"/>
          <w:sz w:val="20"/>
        </w:rPr>
        <w:t> </w:t>
      </w:r>
      <w:r>
        <w:rPr>
          <w:rFonts w:ascii="Arial MT" w:hAnsi="Arial MT"/>
          <w:sz w:val="20"/>
        </w:rPr>
        <w:t>sexo con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acceso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5"/>
          <w:sz w:val="20"/>
        </w:rPr>
        <w:t> </w:t>
      </w:r>
      <w:r>
        <w:rPr>
          <w:rFonts w:ascii="Arial MT" w:hAnsi="Arial MT"/>
          <w:sz w:val="20"/>
        </w:rPr>
        <w:t>uso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internet</w:t>
        <w:tab/>
        <w:t>52</w:t>
      </w:r>
    </w:p>
    <w:p>
      <w:pPr>
        <w:tabs>
          <w:tab w:pos="10590" w:val="left" w:leader="dot"/>
        </w:tabs>
        <w:spacing w:before="1"/>
        <w:ind w:left="1418" w:right="0" w:firstLine="0"/>
        <w:jc w:val="left"/>
        <w:rPr>
          <w:rFonts w:ascii="Arial MT" w:hAnsi="Arial MT"/>
          <w:sz w:val="20"/>
        </w:rPr>
      </w:pPr>
      <w:hyperlink w:history="true" w:anchor="_bookmark61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43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por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pueblo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-5"/>
            <w:sz w:val="20"/>
          </w:rPr>
          <w:t> </w:t>
        </w:r>
        <w:r>
          <w:rPr>
            <w:rFonts w:ascii="Arial MT" w:hAnsi="Arial MT"/>
            <w:sz w:val="20"/>
          </w:rPr>
          <w:t>área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ubicación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urbana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-5"/>
            <w:sz w:val="20"/>
          </w:rPr>
          <w:t> </w:t>
        </w:r>
        <w:r>
          <w:rPr>
            <w:rFonts w:ascii="Arial MT" w:hAnsi="Arial MT"/>
            <w:sz w:val="20"/>
          </w:rPr>
          <w:t>rural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con acceso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uso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internet</w:t>
          <w:tab/>
          <w:t>53</w:t>
        </w:r>
      </w:hyperlink>
    </w:p>
    <w:p>
      <w:pPr>
        <w:tabs>
          <w:tab w:pos="10590" w:val="left" w:leader="dot"/>
        </w:tabs>
        <w:spacing w:before="0"/>
        <w:ind w:left="1418" w:right="1421" w:firstLine="0"/>
        <w:jc w:val="left"/>
        <w:rPr>
          <w:rFonts w:ascii="Arial MT" w:hAnsi="Arial MT"/>
          <w:sz w:val="20"/>
        </w:rPr>
      </w:pPr>
      <w:hyperlink w:history="true" w:anchor="_bookmark64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26"/>
            <w:sz w:val="20"/>
          </w:rPr>
          <w:t> </w:t>
        </w:r>
        <w:r>
          <w:rPr>
            <w:rFonts w:ascii="Arial MT" w:hAnsi="Arial MT"/>
            <w:sz w:val="20"/>
          </w:rPr>
          <w:t>44</w:t>
        </w:r>
        <w:r>
          <w:rPr>
            <w:rFonts w:ascii="Arial MT" w:hAnsi="Arial MT"/>
            <w:spacing w:val="25"/>
            <w:sz w:val="20"/>
          </w:rPr>
          <w:t> </w:t>
        </w:r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26"/>
            <w:sz w:val="20"/>
          </w:rPr>
          <w:t> </w:t>
        </w:r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28"/>
            <w:sz w:val="20"/>
          </w:rPr>
          <w:t> </w:t>
        </w:r>
        <w:r>
          <w:rPr>
            <w:rFonts w:ascii="Arial MT" w:hAnsi="Arial MT"/>
            <w:sz w:val="20"/>
          </w:rPr>
          <w:t>edades</w:t>
        </w:r>
        <w:r>
          <w:rPr>
            <w:rFonts w:ascii="Arial MT" w:hAnsi="Arial MT"/>
            <w:spacing w:val="27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26"/>
            <w:sz w:val="20"/>
          </w:rPr>
          <w:t> </w:t>
        </w:r>
        <w:r>
          <w:rPr>
            <w:rFonts w:ascii="Arial MT" w:hAnsi="Arial MT"/>
            <w:sz w:val="20"/>
          </w:rPr>
          <w:t>0</w:t>
        </w:r>
        <w:r>
          <w:rPr>
            <w:rFonts w:ascii="Arial MT" w:hAnsi="Arial MT"/>
            <w:spacing w:val="26"/>
            <w:sz w:val="20"/>
          </w:rPr>
          <w:t> </w:t>
        </w:r>
        <w:r>
          <w:rPr>
            <w:rFonts w:ascii="Arial MT" w:hAnsi="Arial MT"/>
            <w:sz w:val="20"/>
          </w:rPr>
          <w:t>a</w:t>
        </w:r>
        <w:r>
          <w:rPr>
            <w:rFonts w:ascii="Arial MT" w:hAnsi="Arial MT"/>
            <w:spacing w:val="26"/>
            <w:sz w:val="20"/>
          </w:rPr>
          <w:t> </w:t>
        </w:r>
        <w:r>
          <w:rPr>
            <w:rFonts w:ascii="Arial MT" w:hAnsi="Arial MT"/>
            <w:sz w:val="20"/>
          </w:rPr>
          <w:t>3</w:t>
        </w:r>
        <w:r>
          <w:rPr>
            <w:rFonts w:ascii="Arial MT" w:hAnsi="Arial MT"/>
            <w:spacing w:val="26"/>
            <w:sz w:val="20"/>
          </w:rPr>
          <w:t> </w:t>
        </w:r>
        <w:r>
          <w:rPr>
            <w:rFonts w:ascii="Arial MT" w:hAnsi="Arial MT"/>
            <w:sz w:val="20"/>
          </w:rPr>
          <w:t>años</w:t>
        </w:r>
        <w:r>
          <w:rPr>
            <w:rFonts w:ascii="Arial MT" w:hAnsi="Arial MT"/>
            <w:spacing w:val="28"/>
            <w:sz w:val="20"/>
          </w:rPr>
          <w:t> </w:t>
        </w:r>
        <w:r>
          <w:rPr>
            <w:rFonts w:ascii="Arial MT" w:hAnsi="Arial MT"/>
            <w:sz w:val="20"/>
          </w:rPr>
          <w:t>2021,</w:t>
        </w:r>
        <w:r>
          <w:rPr>
            <w:rFonts w:ascii="Arial MT" w:hAnsi="Arial MT"/>
            <w:spacing w:val="25"/>
            <w:sz w:val="20"/>
          </w:rPr>
          <w:t> </w:t>
        </w:r>
        <w:r>
          <w:rPr>
            <w:rFonts w:ascii="Arial MT" w:hAnsi="Arial MT"/>
            <w:sz w:val="20"/>
          </w:rPr>
          <w:t>inscritos</w:t>
        </w:r>
        <w:r>
          <w:rPr>
            <w:rFonts w:ascii="Arial MT" w:hAnsi="Arial MT"/>
            <w:spacing w:val="27"/>
            <w:sz w:val="20"/>
          </w:rPr>
          <w:t> </w:t>
        </w:r>
        <w:r>
          <w:rPr>
            <w:rFonts w:ascii="Arial MT" w:hAnsi="Arial MT"/>
            <w:sz w:val="20"/>
          </w:rPr>
          <w:t>2021</w:t>
        </w:r>
        <w:r>
          <w:rPr>
            <w:rFonts w:ascii="Arial MT" w:hAnsi="Arial MT"/>
            <w:spacing w:val="26"/>
            <w:sz w:val="20"/>
          </w:rPr>
          <w:t> </w:t>
        </w:r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26"/>
            <w:sz w:val="20"/>
          </w:rPr>
          <w:t> </w:t>
        </w:r>
        <w:r>
          <w:rPr>
            <w:rFonts w:ascii="Arial MT" w:hAnsi="Arial MT"/>
            <w:sz w:val="20"/>
          </w:rPr>
          <w:t>el</w:t>
        </w:r>
        <w:r>
          <w:rPr>
            <w:rFonts w:ascii="Arial MT" w:hAnsi="Arial MT"/>
            <w:spacing w:val="27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25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28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25"/>
            <w:sz w:val="20"/>
          </w:rPr>
          <w:t> </w:t>
        </w:r>
        <w:r>
          <w:rPr>
            <w:rFonts w:ascii="Arial MT" w:hAnsi="Arial MT"/>
            <w:sz w:val="20"/>
          </w:rPr>
          <w:t>inicial</w:t>
        </w:r>
        <w:r>
          <w:rPr>
            <w:rFonts w:ascii="Arial MT" w:hAnsi="Arial MT"/>
            <w:spacing w:val="30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</w:hyperlink>
      <w:r>
        <w:rPr>
          <w:rFonts w:ascii="Arial MT" w:hAnsi="Arial MT"/>
          <w:spacing w:val="-52"/>
          <w:sz w:val="20"/>
        </w:rPr>
        <w:t> </w:t>
      </w:r>
      <w:hyperlink w:history="true" w:anchor="_bookmark64"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afectada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ciclo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2021</w:t>
          <w:tab/>
        </w:r>
        <w:r>
          <w:rPr>
            <w:rFonts w:ascii="Arial MT" w:hAnsi="Arial MT"/>
            <w:spacing w:val="-1"/>
            <w:sz w:val="20"/>
          </w:rPr>
          <w:t>54</w:t>
        </w:r>
      </w:hyperlink>
    </w:p>
    <w:p>
      <w:pPr>
        <w:tabs>
          <w:tab w:pos="10590" w:val="left" w:leader="dot"/>
        </w:tabs>
        <w:spacing w:before="1"/>
        <w:ind w:left="1418" w:right="1424" w:firstLine="0"/>
        <w:jc w:val="left"/>
        <w:rPr>
          <w:rFonts w:ascii="Arial MT" w:hAnsi="Arial MT"/>
          <w:sz w:val="20"/>
        </w:rPr>
      </w:pPr>
      <w:hyperlink w:history="true" w:anchor="_bookmark66">
        <w:r>
          <w:rPr>
            <w:rFonts w:ascii="Arial MT" w:hAnsi="Arial MT"/>
            <w:sz w:val="20"/>
          </w:rPr>
          <w:t>Gráfico 45 Población en edades de 4 a 6 años 2021, inscritos 2021 en el nivel de educación preprimaria y</w:t>
        </w:r>
      </w:hyperlink>
      <w:r>
        <w:rPr>
          <w:rFonts w:ascii="Arial MT" w:hAnsi="Arial MT"/>
          <w:spacing w:val="-53"/>
          <w:sz w:val="20"/>
        </w:rPr>
        <w:t> </w:t>
      </w:r>
      <w:hyperlink w:history="true" w:anchor="_bookmark66"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afectada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ciclo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2021</w:t>
          <w:tab/>
        </w:r>
        <w:r>
          <w:rPr>
            <w:rFonts w:ascii="Arial MT" w:hAnsi="Arial MT"/>
            <w:spacing w:val="-2"/>
            <w:sz w:val="20"/>
          </w:rPr>
          <w:t>55</w:t>
        </w:r>
      </w:hyperlink>
    </w:p>
    <w:p>
      <w:pPr>
        <w:tabs>
          <w:tab w:pos="10590" w:val="left" w:leader="dot"/>
        </w:tabs>
        <w:spacing w:before="0"/>
        <w:ind w:left="1418" w:right="1423" w:firstLine="0"/>
        <w:jc w:val="left"/>
        <w:rPr>
          <w:rFonts w:ascii="Arial MT" w:hAnsi="Arial MT"/>
          <w:sz w:val="20"/>
        </w:rPr>
      </w:pPr>
      <w:hyperlink w:history="true" w:anchor="_bookmark68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6"/>
            <w:sz w:val="20"/>
          </w:rPr>
          <w:t> </w:t>
        </w:r>
        <w:r>
          <w:rPr>
            <w:rFonts w:ascii="Arial MT" w:hAnsi="Arial MT"/>
            <w:sz w:val="20"/>
          </w:rPr>
          <w:t>46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8"/>
            <w:sz w:val="20"/>
          </w:rPr>
          <w:t> </w:t>
        </w:r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7"/>
            <w:sz w:val="20"/>
          </w:rPr>
          <w:t> </w:t>
        </w:r>
        <w:r>
          <w:rPr>
            <w:rFonts w:ascii="Arial MT" w:hAnsi="Arial MT"/>
            <w:sz w:val="20"/>
          </w:rPr>
          <w:t>edades</w:t>
        </w:r>
        <w:r>
          <w:rPr>
            <w:rFonts w:ascii="Arial MT" w:hAnsi="Arial MT"/>
            <w:spacing w:val="10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8"/>
            <w:sz w:val="20"/>
          </w:rPr>
          <w:t> </w:t>
        </w:r>
        <w:r>
          <w:rPr>
            <w:rFonts w:ascii="Arial MT" w:hAnsi="Arial MT"/>
            <w:sz w:val="20"/>
          </w:rPr>
          <w:t>7</w:t>
        </w:r>
        <w:r>
          <w:rPr>
            <w:rFonts w:ascii="Arial MT" w:hAnsi="Arial MT"/>
            <w:spacing w:val="10"/>
            <w:sz w:val="20"/>
          </w:rPr>
          <w:t> </w:t>
        </w:r>
        <w:r>
          <w:rPr>
            <w:rFonts w:ascii="Arial MT" w:hAnsi="Arial MT"/>
            <w:sz w:val="20"/>
          </w:rPr>
          <w:t>a</w:t>
        </w:r>
        <w:r>
          <w:rPr>
            <w:rFonts w:ascii="Arial MT" w:hAnsi="Arial MT"/>
            <w:spacing w:val="7"/>
            <w:sz w:val="20"/>
          </w:rPr>
          <w:t> </w:t>
        </w:r>
        <w:r>
          <w:rPr>
            <w:rFonts w:ascii="Arial MT" w:hAnsi="Arial MT"/>
            <w:sz w:val="20"/>
          </w:rPr>
          <w:t>12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años</w:t>
        </w:r>
        <w:r>
          <w:rPr>
            <w:rFonts w:ascii="Arial MT" w:hAnsi="Arial MT"/>
            <w:spacing w:val="10"/>
            <w:sz w:val="20"/>
          </w:rPr>
          <w:t> </w:t>
        </w:r>
        <w:r>
          <w:rPr>
            <w:rFonts w:ascii="Arial MT" w:hAnsi="Arial MT"/>
            <w:sz w:val="20"/>
          </w:rPr>
          <w:t>2021,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inscritos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2021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el</w:t>
        </w:r>
        <w:r>
          <w:rPr>
            <w:rFonts w:ascii="Arial MT" w:hAnsi="Arial MT"/>
            <w:spacing w:val="5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9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8"/>
            <w:sz w:val="20"/>
          </w:rPr>
          <w:t> </w:t>
        </w:r>
        <w:r>
          <w:rPr>
            <w:rFonts w:ascii="Arial MT" w:hAnsi="Arial MT"/>
            <w:sz w:val="20"/>
          </w:rPr>
          <w:t>primaria</w:t>
        </w:r>
        <w:r>
          <w:rPr>
            <w:rFonts w:ascii="Arial MT" w:hAnsi="Arial MT"/>
            <w:spacing w:val="11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</w:hyperlink>
      <w:r>
        <w:rPr>
          <w:rFonts w:ascii="Arial MT" w:hAnsi="Arial MT"/>
          <w:spacing w:val="-53"/>
          <w:sz w:val="20"/>
        </w:rPr>
        <w:t> </w:t>
      </w:r>
      <w:hyperlink w:history="true" w:anchor="_bookmark68"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afectada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ciclo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2021</w:t>
          <w:tab/>
        </w:r>
        <w:r>
          <w:rPr>
            <w:rFonts w:ascii="Arial MT" w:hAnsi="Arial MT"/>
            <w:spacing w:val="-2"/>
            <w:sz w:val="20"/>
          </w:rPr>
          <w:t>56</w:t>
        </w:r>
      </w:hyperlink>
    </w:p>
    <w:p>
      <w:pPr>
        <w:tabs>
          <w:tab w:pos="10590" w:val="left" w:leader="dot"/>
        </w:tabs>
        <w:spacing w:before="0"/>
        <w:ind w:left="1418" w:right="1426" w:firstLine="0"/>
        <w:jc w:val="left"/>
        <w:rPr>
          <w:rFonts w:ascii="Arial MT" w:hAnsi="Arial MT"/>
          <w:sz w:val="20"/>
        </w:rPr>
      </w:pPr>
      <w:hyperlink w:history="true" w:anchor="_bookmark70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-8"/>
            <w:sz w:val="20"/>
          </w:rPr>
          <w:t> </w:t>
        </w:r>
        <w:r>
          <w:rPr>
            <w:rFonts w:ascii="Arial MT" w:hAnsi="Arial MT"/>
            <w:sz w:val="20"/>
          </w:rPr>
          <w:t>47</w:t>
        </w:r>
        <w:r>
          <w:rPr>
            <w:rFonts w:ascii="Arial MT" w:hAnsi="Arial MT"/>
            <w:spacing w:val="-7"/>
            <w:sz w:val="20"/>
          </w:rPr>
          <w:t> </w:t>
        </w:r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-8"/>
            <w:sz w:val="20"/>
          </w:rPr>
          <w:t> </w:t>
        </w:r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-7"/>
            <w:sz w:val="20"/>
          </w:rPr>
          <w:t> </w:t>
        </w:r>
        <w:r>
          <w:rPr>
            <w:rFonts w:ascii="Arial MT" w:hAnsi="Arial MT"/>
            <w:sz w:val="20"/>
          </w:rPr>
          <w:t>edades</w:t>
        </w:r>
        <w:r>
          <w:rPr>
            <w:rFonts w:ascii="Arial MT" w:hAnsi="Arial MT"/>
            <w:spacing w:val="-6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8"/>
            <w:sz w:val="20"/>
          </w:rPr>
          <w:t> </w:t>
        </w:r>
        <w:r>
          <w:rPr>
            <w:rFonts w:ascii="Arial MT" w:hAnsi="Arial MT"/>
            <w:sz w:val="20"/>
          </w:rPr>
          <w:t>13</w:t>
        </w:r>
        <w:r>
          <w:rPr>
            <w:rFonts w:ascii="Arial MT" w:hAnsi="Arial MT"/>
            <w:spacing w:val="-5"/>
            <w:sz w:val="20"/>
          </w:rPr>
          <w:t> </w:t>
        </w:r>
        <w:r>
          <w:rPr>
            <w:rFonts w:ascii="Arial MT" w:hAnsi="Arial MT"/>
            <w:sz w:val="20"/>
          </w:rPr>
          <w:t>a</w:t>
        </w:r>
        <w:r>
          <w:rPr>
            <w:rFonts w:ascii="Arial MT" w:hAnsi="Arial MT"/>
            <w:spacing w:val="-7"/>
            <w:sz w:val="20"/>
          </w:rPr>
          <w:t> </w:t>
        </w:r>
        <w:r>
          <w:rPr>
            <w:rFonts w:ascii="Arial MT" w:hAnsi="Arial MT"/>
            <w:sz w:val="20"/>
          </w:rPr>
          <w:t>15</w:t>
        </w:r>
        <w:r>
          <w:rPr>
            <w:rFonts w:ascii="Arial MT" w:hAnsi="Arial MT"/>
            <w:spacing w:val="-8"/>
            <w:sz w:val="20"/>
          </w:rPr>
          <w:t> </w:t>
        </w:r>
        <w:r>
          <w:rPr>
            <w:rFonts w:ascii="Arial MT" w:hAnsi="Arial MT"/>
            <w:sz w:val="20"/>
          </w:rPr>
          <w:t>años</w:t>
        </w:r>
        <w:r>
          <w:rPr>
            <w:rFonts w:ascii="Arial MT" w:hAnsi="Arial MT"/>
            <w:spacing w:val="-6"/>
            <w:sz w:val="20"/>
          </w:rPr>
          <w:t> </w:t>
        </w:r>
        <w:r>
          <w:rPr>
            <w:rFonts w:ascii="Arial MT" w:hAnsi="Arial MT"/>
            <w:sz w:val="20"/>
          </w:rPr>
          <w:t>2021,</w:t>
        </w:r>
        <w:r>
          <w:rPr>
            <w:rFonts w:ascii="Arial MT" w:hAnsi="Arial MT"/>
            <w:spacing w:val="-5"/>
            <w:sz w:val="20"/>
          </w:rPr>
          <w:t> </w:t>
        </w:r>
        <w:r>
          <w:rPr>
            <w:rFonts w:ascii="Arial MT" w:hAnsi="Arial MT"/>
            <w:sz w:val="20"/>
          </w:rPr>
          <w:t>inscritos</w:t>
        </w:r>
        <w:r>
          <w:rPr>
            <w:rFonts w:ascii="Arial MT" w:hAnsi="Arial MT"/>
            <w:spacing w:val="-7"/>
            <w:sz w:val="20"/>
          </w:rPr>
          <w:t> </w:t>
        </w:r>
        <w:r>
          <w:rPr>
            <w:rFonts w:ascii="Arial MT" w:hAnsi="Arial MT"/>
            <w:sz w:val="20"/>
          </w:rPr>
          <w:t>2021</w:t>
        </w:r>
        <w:r>
          <w:rPr>
            <w:rFonts w:ascii="Arial MT" w:hAnsi="Arial MT"/>
            <w:spacing w:val="-5"/>
            <w:sz w:val="20"/>
          </w:rPr>
          <w:t> </w:t>
        </w:r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-6"/>
            <w:sz w:val="20"/>
          </w:rPr>
          <w:t> </w:t>
        </w:r>
        <w:r>
          <w:rPr>
            <w:rFonts w:ascii="Arial MT" w:hAnsi="Arial MT"/>
            <w:sz w:val="20"/>
          </w:rPr>
          <w:t>el</w:t>
        </w:r>
        <w:r>
          <w:rPr>
            <w:rFonts w:ascii="Arial MT" w:hAnsi="Arial MT"/>
            <w:spacing w:val="-6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-8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8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5"/>
            <w:sz w:val="20"/>
          </w:rPr>
          <w:t> </w:t>
        </w:r>
        <w:r>
          <w:rPr>
            <w:rFonts w:ascii="Arial MT" w:hAnsi="Arial MT"/>
            <w:sz w:val="20"/>
          </w:rPr>
          <w:t>media,</w:t>
        </w:r>
        <w:r>
          <w:rPr>
            <w:rFonts w:ascii="Arial MT" w:hAnsi="Arial MT"/>
            <w:spacing w:val="-7"/>
            <w:sz w:val="20"/>
          </w:rPr>
          <w:t> </w:t>
        </w:r>
        <w:r>
          <w:rPr>
            <w:rFonts w:ascii="Arial MT" w:hAnsi="Arial MT"/>
            <w:sz w:val="20"/>
          </w:rPr>
          <w:t>ciclo</w:t>
        </w:r>
      </w:hyperlink>
      <w:r>
        <w:rPr>
          <w:rFonts w:ascii="Arial MT" w:hAnsi="Arial MT"/>
          <w:spacing w:val="-53"/>
          <w:sz w:val="20"/>
        </w:rPr>
        <w:t> </w:t>
      </w:r>
      <w:hyperlink w:history="true" w:anchor="_bookmark70"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básica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-5"/>
            <w:sz w:val="20"/>
          </w:rPr>
          <w:t> </w:t>
        </w:r>
        <w:r>
          <w:rPr>
            <w:rFonts w:ascii="Arial MT" w:hAnsi="Arial MT"/>
            <w:sz w:val="20"/>
          </w:rPr>
          <w:t>población afectada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ciclo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2021.</w:t>
          <w:tab/>
        </w:r>
        <w:r>
          <w:rPr>
            <w:rFonts w:ascii="Arial MT" w:hAnsi="Arial MT"/>
            <w:spacing w:val="-3"/>
            <w:sz w:val="20"/>
          </w:rPr>
          <w:t>56</w:t>
        </w:r>
      </w:hyperlink>
    </w:p>
    <w:p>
      <w:pPr>
        <w:tabs>
          <w:tab w:pos="10590" w:val="left" w:leader="dot"/>
        </w:tabs>
        <w:spacing w:before="1"/>
        <w:ind w:left="1418" w:right="1426" w:firstLine="0"/>
        <w:jc w:val="left"/>
        <w:rPr>
          <w:rFonts w:ascii="Arial MT" w:hAnsi="Arial MT"/>
          <w:sz w:val="20"/>
        </w:rPr>
      </w:pPr>
      <w:hyperlink w:history="true" w:anchor="_bookmark72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-8"/>
            <w:sz w:val="20"/>
          </w:rPr>
          <w:t> </w:t>
        </w:r>
        <w:r>
          <w:rPr>
            <w:rFonts w:ascii="Arial MT" w:hAnsi="Arial MT"/>
            <w:sz w:val="20"/>
          </w:rPr>
          <w:t>48</w:t>
        </w:r>
        <w:r>
          <w:rPr>
            <w:rFonts w:ascii="Arial MT" w:hAnsi="Arial MT"/>
            <w:spacing w:val="-7"/>
            <w:sz w:val="20"/>
          </w:rPr>
          <w:t> </w:t>
        </w:r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-8"/>
            <w:sz w:val="20"/>
          </w:rPr>
          <w:t> </w:t>
        </w:r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-7"/>
            <w:sz w:val="20"/>
          </w:rPr>
          <w:t> </w:t>
        </w:r>
        <w:r>
          <w:rPr>
            <w:rFonts w:ascii="Arial MT" w:hAnsi="Arial MT"/>
            <w:sz w:val="20"/>
          </w:rPr>
          <w:t>edades</w:t>
        </w:r>
        <w:r>
          <w:rPr>
            <w:rFonts w:ascii="Arial MT" w:hAnsi="Arial MT"/>
            <w:spacing w:val="-6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8"/>
            <w:sz w:val="20"/>
          </w:rPr>
          <w:t> </w:t>
        </w:r>
        <w:r>
          <w:rPr>
            <w:rFonts w:ascii="Arial MT" w:hAnsi="Arial MT"/>
            <w:sz w:val="20"/>
          </w:rPr>
          <w:t>16</w:t>
        </w:r>
        <w:r>
          <w:rPr>
            <w:rFonts w:ascii="Arial MT" w:hAnsi="Arial MT"/>
            <w:spacing w:val="-5"/>
            <w:sz w:val="20"/>
          </w:rPr>
          <w:t> </w:t>
        </w:r>
        <w:r>
          <w:rPr>
            <w:rFonts w:ascii="Arial MT" w:hAnsi="Arial MT"/>
            <w:sz w:val="20"/>
          </w:rPr>
          <w:t>a</w:t>
        </w:r>
        <w:r>
          <w:rPr>
            <w:rFonts w:ascii="Arial MT" w:hAnsi="Arial MT"/>
            <w:spacing w:val="-7"/>
            <w:sz w:val="20"/>
          </w:rPr>
          <w:t> </w:t>
        </w:r>
        <w:r>
          <w:rPr>
            <w:rFonts w:ascii="Arial MT" w:hAnsi="Arial MT"/>
            <w:sz w:val="20"/>
          </w:rPr>
          <w:t>18</w:t>
        </w:r>
        <w:r>
          <w:rPr>
            <w:rFonts w:ascii="Arial MT" w:hAnsi="Arial MT"/>
            <w:spacing w:val="-8"/>
            <w:sz w:val="20"/>
          </w:rPr>
          <w:t> </w:t>
        </w:r>
        <w:r>
          <w:rPr>
            <w:rFonts w:ascii="Arial MT" w:hAnsi="Arial MT"/>
            <w:sz w:val="20"/>
          </w:rPr>
          <w:t>años</w:t>
        </w:r>
        <w:r>
          <w:rPr>
            <w:rFonts w:ascii="Arial MT" w:hAnsi="Arial MT"/>
            <w:spacing w:val="-6"/>
            <w:sz w:val="20"/>
          </w:rPr>
          <w:t> </w:t>
        </w:r>
        <w:r>
          <w:rPr>
            <w:rFonts w:ascii="Arial MT" w:hAnsi="Arial MT"/>
            <w:sz w:val="20"/>
          </w:rPr>
          <w:t>2021,</w:t>
        </w:r>
        <w:r>
          <w:rPr>
            <w:rFonts w:ascii="Arial MT" w:hAnsi="Arial MT"/>
            <w:spacing w:val="-5"/>
            <w:sz w:val="20"/>
          </w:rPr>
          <w:t> </w:t>
        </w:r>
        <w:r>
          <w:rPr>
            <w:rFonts w:ascii="Arial MT" w:hAnsi="Arial MT"/>
            <w:sz w:val="20"/>
          </w:rPr>
          <w:t>inscritos</w:t>
        </w:r>
        <w:r>
          <w:rPr>
            <w:rFonts w:ascii="Arial MT" w:hAnsi="Arial MT"/>
            <w:spacing w:val="-7"/>
            <w:sz w:val="20"/>
          </w:rPr>
          <w:t> </w:t>
        </w:r>
        <w:r>
          <w:rPr>
            <w:rFonts w:ascii="Arial MT" w:hAnsi="Arial MT"/>
            <w:sz w:val="20"/>
          </w:rPr>
          <w:t>2021</w:t>
        </w:r>
        <w:r>
          <w:rPr>
            <w:rFonts w:ascii="Arial MT" w:hAnsi="Arial MT"/>
            <w:spacing w:val="-5"/>
            <w:sz w:val="20"/>
          </w:rPr>
          <w:t> </w:t>
        </w:r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-6"/>
            <w:sz w:val="20"/>
          </w:rPr>
          <w:t> </w:t>
        </w:r>
        <w:r>
          <w:rPr>
            <w:rFonts w:ascii="Arial MT" w:hAnsi="Arial MT"/>
            <w:sz w:val="20"/>
          </w:rPr>
          <w:t>el</w:t>
        </w:r>
        <w:r>
          <w:rPr>
            <w:rFonts w:ascii="Arial MT" w:hAnsi="Arial MT"/>
            <w:spacing w:val="-6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-8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8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5"/>
            <w:sz w:val="20"/>
          </w:rPr>
          <w:t> </w:t>
        </w:r>
        <w:r>
          <w:rPr>
            <w:rFonts w:ascii="Arial MT" w:hAnsi="Arial MT"/>
            <w:sz w:val="20"/>
          </w:rPr>
          <w:t>media,</w:t>
        </w:r>
        <w:r>
          <w:rPr>
            <w:rFonts w:ascii="Arial MT" w:hAnsi="Arial MT"/>
            <w:spacing w:val="-7"/>
            <w:sz w:val="20"/>
          </w:rPr>
          <w:t> </w:t>
        </w:r>
        <w:r>
          <w:rPr>
            <w:rFonts w:ascii="Arial MT" w:hAnsi="Arial MT"/>
            <w:sz w:val="20"/>
          </w:rPr>
          <w:t>ciclo</w:t>
        </w:r>
      </w:hyperlink>
      <w:r>
        <w:rPr>
          <w:rFonts w:ascii="Arial MT" w:hAnsi="Arial MT"/>
          <w:spacing w:val="-53"/>
          <w:sz w:val="20"/>
        </w:rPr>
        <w:t> </w:t>
      </w:r>
      <w:hyperlink w:history="true" w:anchor="_bookmark72"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diversificada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-4"/>
            <w:sz w:val="20"/>
          </w:rPr>
          <w:t> </w:t>
        </w:r>
        <w:r>
          <w:rPr>
            <w:rFonts w:ascii="Arial MT" w:hAnsi="Arial MT"/>
            <w:sz w:val="20"/>
          </w:rPr>
          <w:t>población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afectada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ciclo</w:t>
        </w:r>
        <w:r>
          <w:rPr>
            <w:rFonts w:ascii="Arial MT" w:hAnsi="Arial MT"/>
            <w:spacing w:val="7"/>
            <w:sz w:val="20"/>
          </w:rPr>
          <w:t> </w:t>
        </w:r>
        <w:r>
          <w:rPr>
            <w:rFonts w:ascii="Arial MT" w:hAnsi="Arial MT"/>
            <w:sz w:val="20"/>
          </w:rPr>
          <w:t>2021</w:t>
          <w:tab/>
        </w:r>
        <w:r>
          <w:rPr>
            <w:rFonts w:ascii="Arial MT" w:hAnsi="Arial MT"/>
            <w:spacing w:val="-3"/>
            <w:sz w:val="20"/>
          </w:rPr>
          <w:t>57</w:t>
        </w:r>
      </w:hyperlink>
    </w:p>
    <w:p>
      <w:pPr>
        <w:tabs>
          <w:tab w:pos="10590" w:val="left" w:leader="dot"/>
        </w:tabs>
        <w:spacing w:before="0"/>
        <w:ind w:left="1418" w:right="1421" w:firstLine="0"/>
        <w:jc w:val="left"/>
        <w:rPr>
          <w:rFonts w:ascii="Arial MT" w:hAnsi="Arial MT"/>
          <w:sz w:val="20"/>
        </w:rPr>
      </w:pPr>
      <w:hyperlink w:history="true" w:anchor="_bookmark74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27"/>
            <w:sz w:val="20"/>
          </w:rPr>
          <w:t> </w:t>
        </w:r>
        <w:r>
          <w:rPr>
            <w:rFonts w:ascii="Arial MT" w:hAnsi="Arial MT"/>
            <w:sz w:val="20"/>
          </w:rPr>
          <w:t>49</w:t>
        </w:r>
        <w:r>
          <w:rPr>
            <w:rFonts w:ascii="Arial MT" w:hAnsi="Arial MT"/>
            <w:spacing w:val="27"/>
            <w:sz w:val="20"/>
          </w:rPr>
          <w:t> </w:t>
        </w:r>
        <w:r>
          <w:rPr>
            <w:rFonts w:ascii="Arial MT" w:hAnsi="Arial MT"/>
            <w:sz w:val="20"/>
          </w:rPr>
          <w:t>Matrícula</w:t>
        </w:r>
        <w:r>
          <w:rPr>
            <w:rFonts w:ascii="Arial MT" w:hAnsi="Arial MT"/>
            <w:spacing w:val="28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27"/>
            <w:sz w:val="20"/>
          </w:rPr>
          <w:t> </w:t>
        </w:r>
        <w:r>
          <w:rPr>
            <w:rFonts w:ascii="Arial MT" w:hAnsi="Arial MT"/>
            <w:sz w:val="20"/>
          </w:rPr>
          <w:t>estudiantes</w:t>
        </w:r>
        <w:r>
          <w:rPr>
            <w:rFonts w:ascii="Arial MT" w:hAnsi="Arial MT"/>
            <w:spacing w:val="29"/>
            <w:sz w:val="20"/>
          </w:rPr>
          <w:t> </w:t>
        </w:r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30"/>
            <w:sz w:val="20"/>
          </w:rPr>
          <w:t> </w:t>
        </w:r>
        <w:r>
          <w:rPr>
            <w:rFonts w:ascii="Arial MT" w:hAnsi="Arial MT"/>
            <w:sz w:val="20"/>
          </w:rPr>
          <w:t>los</w:t>
        </w:r>
        <w:r>
          <w:rPr>
            <w:rFonts w:ascii="Arial MT" w:hAnsi="Arial MT"/>
            <w:spacing w:val="28"/>
            <w:sz w:val="20"/>
          </w:rPr>
          <w:t> </w:t>
        </w:r>
        <w:r>
          <w:rPr>
            <w:rFonts w:ascii="Arial MT" w:hAnsi="Arial MT"/>
            <w:sz w:val="20"/>
          </w:rPr>
          <w:t>programas</w:t>
        </w:r>
        <w:r>
          <w:rPr>
            <w:rFonts w:ascii="Arial MT" w:hAnsi="Arial MT"/>
            <w:spacing w:val="29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27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27"/>
            <w:sz w:val="20"/>
          </w:rPr>
          <w:t> </w:t>
        </w:r>
        <w:r>
          <w:rPr>
            <w:rFonts w:ascii="Arial MT" w:hAnsi="Arial MT"/>
            <w:sz w:val="20"/>
          </w:rPr>
          <w:t>extraescolar,</w:t>
        </w:r>
        <w:r>
          <w:rPr>
            <w:rFonts w:ascii="Arial MT" w:hAnsi="Arial MT"/>
            <w:spacing w:val="29"/>
            <w:sz w:val="20"/>
          </w:rPr>
          <w:t> </w:t>
        </w:r>
        <w:r>
          <w:rPr>
            <w:rFonts w:ascii="Arial MT" w:hAnsi="Arial MT"/>
            <w:sz w:val="20"/>
          </w:rPr>
          <w:t>según</w:t>
        </w:r>
        <w:r>
          <w:rPr>
            <w:rFonts w:ascii="Arial MT" w:hAnsi="Arial MT"/>
            <w:spacing w:val="27"/>
            <w:sz w:val="20"/>
          </w:rPr>
          <w:t> </w:t>
        </w:r>
        <w:r>
          <w:rPr>
            <w:rFonts w:ascii="Arial MT" w:hAnsi="Arial MT"/>
            <w:sz w:val="20"/>
          </w:rPr>
          <w:t>etnia,</w:t>
        </w:r>
        <w:r>
          <w:rPr>
            <w:rFonts w:ascii="Arial MT" w:hAnsi="Arial MT"/>
            <w:spacing w:val="28"/>
            <w:sz w:val="20"/>
          </w:rPr>
          <w:t> </w:t>
        </w:r>
        <w:r>
          <w:rPr>
            <w:rFonts w:ascii="Arial MT" w:hAnsi="Arial MT"/>
            <w:sz w:val="20"/>
          </w:rPr>
          <w:t>a</w:t>
        </w:r>
        <w:r>
          <w:rPr>
            <w:rFonts w:ascii="Arial MT" w:hAnsi="Arial MT"/>
            <w:spacing w:val="30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</w:hyperlink>
      <w:r>
        <w:rPr>
          <w:rFonts w:ascii="Arial MT" w:hAnsi="Arial MT"/>
          <w:spacing w:val="-53"/>
          <w:sz w:val="20"/>
        </w:rPr>
        <w:t> </w:t>
      </w:r>
      <w:hyperlink w:history="true" w:anchor="_bookmark74">
        <w:r>
          <w:rPr>
            <w:rFonts w:ascii="Arial MT" w:hAnsi="Arial MT"/>
            <w:sz w:val="20"/>
          </w:rPr>
          <w:t>nacional</w:t>
          <w:tab/>
        </w:r>
        <w:r>
          <w:rPr>
            <w:rFonts w:ascii="Arial MT" w:hAnsi="Arial MT"/>
            <w:spacing w:val="-1"/>
            <w:sz w:val="20"/>
          </w:rPr>
          <w:t>60</w:t>
        </w:r>
      </w:hyperlink>
    </w:p>
    <w:p>
      <w:pPr>
        <w:tabs>
          <w:tab w:pos="10590" w:val="left" w:leader="dot"/>
        </w:tabs>
        <w:spacing w:before="0"/>
        <w:ind w:left="1418" w:right="1424" w:firstLine="0"/>
        <w:jc w:val="left"/>
        <w:rPr>
          <w:rFonts w:ascii="Arial MT" w:hAnsi="Arial MT"/>
          <w:sz w:val="20"/>
        </w:rPr>
      </w:pPr>
      <w:hyperlink w:history="true" w:anchor="_bookmark75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27"/>
            <w:sz w:val="20"/>
          </w:rPr>
          <w:t> </w:t>
        </w:r>
        <w:r>
          <w:rPr>
            <w:rFonts w:ascii="Arial MT" w:hAnsi="Arial MT"/>
            <w:sz w:val="20"/>
          </w:rPr>
          <w:t>50</w:t>
        </w:r>
        <w:r>
          <w:rPr>
            <w:rFonts w:ascii="Arial MT" w:hAnsi="Arial MT"/>
            <w:spacing w:val="28"/>
            <w:sz w:val="20"/>
          </w:rPr>
          <w:t> </w:t>
        </w:r>
        <w:r>
          <w:rPr>
            <w:rFonts w:ascii="Arial MT" w:hAnsi="Arial MT"/>
            <w:sz w:val="20"/>
          </w:rPr>
          <w:t>Matrícula</w:t>
        </w:r>
        <w:r>
          <w:rPr>
            <w:rFonts w:ascii="Arial MT" w:hAnsi="Arial MT"/>
            <w:spacing w:val="28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28"/>
            <w:sz w:val="20"/>
          </w:rPr>
          <w:t> </w:t>
        </w:r>
        <w:r>
          <w:rPr>
            <w:rFonts w:ascii="Arial MT" w:hAnsi="Arial MT"/>
            <w:sz w:val="20"/>
          </w:rPr>
          <w:t>estudiantes</w:t>
        </w:r>
        <w:r>
          <w:rPr>
            <w:rFonts w:ascii="Arial MT" w:hAnsi="Arial MT"/>
            <w:spacing w:val="30"/>
            <w:sz w:val="20"/>
          </w:rPr>
          <w:t> </w:t>
        </w:r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28"/>
            <w:sz w:val="20"/>
          </w:rPr>
          <w:t> </w:t>
        </w:r>
        <w:r>
          <w:rPr>
            <w:rFonts w:ascii="Arial MT" w:hAnsi="Arial MT"/>
            <w:sz w:val="20"/>
          </w:rPr>
          <w:t>los</w:t>
        </w:r>
        <w:r>
          <w:rPr>
            <w:rFonts w:ascii="Arial MT" w:hAnsi="Arial MT"/>
            <w:spacing w:val="29"/>
            <w:sz w:val="20"/>
          </w:rPr>
          <w:t> </w:t>
        </w:r>
        <w:r>
          <w:rPr>
            <w:rFonts w:ascii="Arial MT" w:hAnsi="Arial MT"/>
            <w:sz w:val="20"/>
          </w:rPr>
          <w:t>programas</w:t>
        </w:r>
        <w:r>
          <w:rPr>
            <w:rFonts w:ascii="Arial MT" w:hAnsi="Arial MT"/>
            <w:spacing w:val="29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28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28"/>
            <w:sz w:val="20"/>
          </w:rPr>
          <w:t> </w:t>
        </w:r>
        <w:r>
          <w:rPr>
            <w:rFonts w:ascii="Arial MT" w:hAnsi="Arial MT"/>
            <w:sz w:val="20"/>
          </w:rPr>
          <w:t>extraescolar,</w:t>
        </w:r>
        <w:r>
          <w:rPr>
            <w:rFonts w:ascii="Arial MT" w:hAnsi="Arial MT"/>
            <w:spacing w:val="29"/>
            <w:sz w:val="20"/>
          </w:rPr>
          <w:t> </w:t>
        </w:r>
        <w:r>
          <w:rPr>
            <w:rFonts w:ascii="Arial MT" w:hAnsi="Arial MT"/>
            <w:sz w:val="20"/>
          </w:rPr>
          <w:t>según</w:t>
        </w:r>
        <w:r>
          <w:rPr>
            <w:rFonts w:ascii="Arial MT" w:hAnsi="Arial MT"/>
            <w:spacing w:val="28"/>
            <w:sz w:val="20"/>
          </w:rPr>
          <w:t> </w:t>
        </w:r>
        <w:r>
          <w:rPr>
            <w:rFonts w:ascii="Arial MT" w:hAnsi="Arial MT"/>
            <w:sz w:val="20"/>
          </w:rPr>
          <w:t>sexo,</w:t>
        </w:r>
        <w:r>
          <w:rPr>
            <w:rFonts w:ascii="Arial MT" w:hAnsi="Arial MT"/>
            <w:spacing w:val="30"/>
            <w:sz w:val="20"/>
          </w:rPr>
          <w:t> </w:t>
        </w:r>
        <w:r>
          <w:rPr>
            <w:rFonts w:ascii="Arial MT" w:hAnsi="Arial MT"/>
            <w:sz w:val="20"/>
          </w:rPr>
          <w:t>a</w:t>
        </w:r>
        <w:r>
          <w:rPr>
            <w:rFonts w:ascii="Arial MT" w:hAnsi="Arial MT"/>
            <w:spacing w:val="28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</w:hyperlink>
      <w:r>
        <w:rPr>
          <w:rFonts w:ascii="Arial MT" w:hAnsi="Arial MT"/>
          <w:spacing w:val="-53"/>
          <w:sz w:val="20"/>
        </w:rPr>
        <w:t> </w:t>
      </w:r>
      <w:hyperlink w:history="true" w:anchor="_bookmark75">
        <w:r>
          <w:rPr>
            <w:rFonts w:ascii="Arial MT" w:hAnsi="Arial MT"/>
            <w:sz w:val="20"/>
          </w:rPr>
          <w:t>nacional</w:t>
          <w:tab/>
        </w:r>
        <w:r>
          <w:rPr>
            <w:rFonts w:ascii="Arial MT" w:hAnsi="Arial MT"/>
            <w:spacing w:val="-2"/>
            <w:sz w:val="20"/>
          </w:rPr>
          <w:t>61</w:t>
        </w:r>
      </w:hyperlink>
    </w:p>
    <w:p>
      <w:pPr>
        <w:tabs>
          <w:tab w:pos="10590" w:val="left" w:leader="dot"/>
        </w:tabs>
        <w:spacing w:line="229" w:lineRule="exact" w:before="0"/>
        <w:ind w:left="1418" w:right="0" w:firstLine="0"/>
        <w:jc w:val="left"/>
        <w:rPr>
          <w:rFonts w:ascii="Arial MT" w:hAnsi="Arial MT"/>
          <w:sz w:val="20"/>
        </w:rPr>
      </w:pPr>
      <w:hyperlink w:history="true" w:anchor="_bookmark76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51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Matrícula de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estudiantes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según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grupo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etario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nacional,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año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2021</w:t>
          <w:tab/>
          <w:t>61</w:t>
        </w:r>
      </w:hyperlink>
    </w:p>
    <w:p>
      <w:pPr>
        <w:tabs>
          <w:tab w:pos="10590" w:val="left" w:leader="dot"/>
        </w:tabs>
        <w:spacing w:before="0"/>
        <w:ind w:left="1418" w:right="1426" w:firstLine="0"/>
        <w:jc w:val="left"/>
        <w:rPr>
          <w:rFonts w:ascii="Arial MT" w:hAnsi="Arial MT"/>
          <w:sz w:val="20"/>
        </w:rPr>
      </w:pPr>
      <w:hyperlink w:history="true" w:anchor="_bookmark77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52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Matrícula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estudiantes 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nacional,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según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el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área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geográfica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atención.</w:t>
        </w:r>
        <w:r>
          <w:rPr>
            <w:rFonts w:ascii="Arial MT" w:hAnsi="Arial MT"/>
            <w:spacing w:val="52"/>
            <w:sz w:val="20"/>
          </w:rPr>
          <w:t> </w:t>
        </w:r>
        <w:r>
          <w:rPr>
            <w:rFonts w:ascii="Arial MT" w:hAnsi="Arial MT"/>
            <w:sz w:val="20"/>
          </w:rPr>
          <w:t>Año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2021</w:t>
        </w:r>
        <w:r>
          <w:rPr>
            <w:rFonts w:ascii="Arial MT" w:hAnsi="Arial MT"/>
            <w:spacing w:val="3"/>
            <w:sz w:val="20"/>
          </w:rPr>
          <w:t> </w:t>
        </w:r>
        <w:r>
          <w:rPr>
            <w:rFonts w:ascii="Arial MT" w:hAnsi="Arial MT"/>
            <w:sz w:val="20"/>
          </w:rPr>
          <w:t>.</w:t>
        </w:r>
        <w:r>
          <w:rPr>
            <w:rFonts w:ascii="Arial MT" w:hAnsi="Arial MT"/>
            <w:spacing w:val="-12"/>
            <w:sz w:val="20"/>
          </w:rPr>
          <w:t> </w:t>
        </w:r>
        <w:r>
          <w:rPr>
            <w:rFonts w:ascii="Arial MT" w:hAnsi="Arial MT"/>
            <w:sz w:val="20"/>
          </w:rPr>
          <w:t>62</w:t>
        </w:r>
      </w:hyperlink>
      <w:r>
        <w:rPr>
          <w:rFonts w:ascii="Arial MT" w:hAnsi="Arial MT"/>
          <w:spacing w:val="-53"/>
          <w:sz w:val="20"/>
        </w:rPr>
        <w:t> </w:t>
      </w:r>
      <w:hyperlink w:history="true" w:anchor="_bookmark79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53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Matrícula del</w:t>
        </w:r>
        <w:r>
          <w:rPr>
            <w:rFonts w:ascii="Arial MT" w:hAnsi="Arial MT"/>
            <w:spacing w:val="-4"/>
            <w:sz w:val="20"/>
          </w:rPr>
          <w:t> </w:t>
        </w:r>
        <w:r>
          <w:rPr>
            <w:rFonts w:ascii="Arial MT" w:hAnsi="Arial MT"/>
            <w:sz w:val="20"/>
          </w:rPr>
          <w:t>programa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PEAC,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según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DIDEDUC.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2021</w:t>
          <w:tab/>
        </w:r>
        <w:r>
          <w:rPr>
            <w:rFonts w:ascii="Arial MT" w:hAnsi="Arial MT"/>
            <w:spacing w:val="-3"/>
            <w:sz w:val="20"/>
          </w:rPr>
          <w:t>63</w:t>
        </w:r>
      </w:hyperlink>
    </w:p>
    <w:p>
      <w:pPr>
        <w:tabs>
          <w:tab w:pos="10590" w:val="left" w:leader="dot"/>
        </w:tabs>
        <w:spacing w:before="0"/>
        <w:ind w:left="1418" w:right="0" w:firstLine="0"/>
        <w:jc w:val="left"/>
        <w:rPr>
          <w:rFonts w:ascii="Arial MT" w:hAnsi="Arial MT"/>
          <w:sz w:val="20"/>
        </w:rPr>
      </w:pPr>
      <w:hyperlink w:history="true" w:anchor="_bookmark80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54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Matrícula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estudiantes del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programa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PEAC,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según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grupo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etario.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Año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2021</w:t>
          <w:tab/>
          <w:t>63</w:t>
        </w:r>
      </w:hyperlink>
    </w:p>
    <w:p>
      <w:pPr>
        <w:tabs>
          <w:tab w:pos="10590" w:val="left" w:leader="dot"/>
        </w:tabs>
        <w:spacing w:before="0"/>
        <w:ind w:left="1418" w:right="1420" w:firstLine="0"/>
        <w:jc w:val="left"/>
        <w:rPr>
          <w:rFonts w:ascii="Arial MT" w:hAnsi="Arial MT"/>
          <w:sz w:val="20"/>
        </w:rPr>
      </w:pPr>
      <w:hyperlink w:history="true" w:anchor="_bookmark82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10"/>
            <w:sz w:val="20"/>
          </w:rPr>
          <w:t> </w:t>
        </w:r>
        <w:r>
          <w:rPr>
            <w:rFonts w:ascii="Arial MT" w:hAnsi="Arial MT"/>
            <w:sz w:val="20"/>
          </w:rPr>
          <w:t>55</w:t>
        </w:r>
        <w:r>
          <w:rPr>
            <w:rFonts w:ascii="Arial MT" w:hAnsi="Arial MT"/>
            <w:spacing w:val="11"/>
            <w:sz w:val="20"/>
          </w:rPr>
          <w:t> </w:t>
        </w:r>
        <w:r>
          <w:rPr>
            <w:rFonts w:ascii="Arial MT" w:hAnsi="Arial MT"/>
            <w:sz w:val="20"/>
          </w:rPr>
          <w:t>Matrícula</w:t>
        </w:r>
        <w:r>
          <w:rPr>
            <w:rFonts w:ascii="Arial MT" w:hAnsi="Arial MT"/>
            <w:spacing w:val="12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13"/>
            <w:sz w:val="20"/>
          </w:rPr>
          <w:t> </w:t>
        </w:r>
        <w:r>
          <w:rPr>
            <w:rFonts w:ascii="Arial MT" w:hAnsi="Arial MT"/>
            <w:sz w:val="20"/>
          </w:rPr>
          <w:t>estudiantes</w:t>
        </w:r>
        <w:r>
          <w:rPr>
            <w:rFonts w:ascii="Arial MT" w:hAnsi="Arial MT"/>
            <w:spacing w:val="12"/>
            <w:sz w:val="20"/>
          </w:rPr>
          <w:t> </w:t>
        </w:r>
        <w:r>
          <w:rPr>
            <w:rFonts w:ascii="Arial MT" w:hAnsi="Arial MT"/>
            <w:sz w:val="20"/>
          </w:rPr>
          <w:t>del</w:t>
        </w:r>
        <w:r>
          <w:rPr>
            <w:rFonts w:ascii="Arial MT" w:hAnsi="Arial MT"/>
            <w:spacing w:val="10"/>
            <w:sz w:val="20"/>
          </w:rPr>
          <w:t> </w:t>
        </w:r>
        <w:r>
          <w:rPr>
            <w:rFonts w:ascii="Arial MT" w:hAnsi="Arial MT"/>
            <w:sz w:val="20"/>
          </w:rPr>
          <w:t>Programa</w:t>
        </w:r>
        <w:r>
          <w:rPr>
            <w:rFonts w:ascii="Arial MT" w:hAnsi="Arial MT"/>
            <w:spacing w:val="18"/>
            <w:sz w:val="20"/>
          </w:rPr>
          <w:t> </w:t>
        </w:r>
        <w:r>
          <w:rPr>
            <w:rFonts w:ascii="Arial MT" w:hAnsi="Arial MT"/>
            <w:sz w:val="20"/>
          </w:rPr>
          <w:t>Modalidades</w:t>
        </w:r>
        <w:r>
          <w:rPr>
            <w:rFonts w:ascii="Arial MT" w:hAnsi="Arial MT"/>
            <w:spacing w:val="12"/>
            <w:sz w:val="20"/>
          </w:rPr>
          <w:t> </w:t>
        </w:r>
        <w:r>
          <w:rPr>
            <w:rFonts w:ascii="Arial MT" w:hAnsi="Arial MT"/>
            <w:sz w:val="20"/>
          </w:rPr>
          <w:t>Flexibles</w:t>
        </w:r>
        <w:r>
          <w:rPr>
            <w:rFonts w:ascii="Arial MT" w:hAnsi="Arial MT"/>
            <w:spacing w:val="12"/>
            <w:sz w:val="20"/>
          </w:rPr>
          <w:t> </w:t>
        </w:r>
        <w:r>
          <w:rPr>
            <w:rFonts w:ascii="Arial MT" w:hAnsi="Arial MT"/>
            <w:sz w:val="20"/>
          </w:rPr>
          <w:t>para</w:t>
        </w:r>
        <w:r>
          <w:rPr>
            <w:rFonts w:ascii="Arial MT" w:hAnsi="Arial MT"/>
            <w:spacing w:val="14"/>
            <w:sz w:val="20"/>
          </w:rPr>
          <w:t> </w:t>
        </w:r>
        <w:r>
          <w:rPr>
            <w:rFonts w:ascii="Arial MT" w:hAnsi="Arial MT"/>
            <w:sz w:val="20"/>
          </w:rPr>
          <w:t>la</w:t>
        </w:r>
        <w:r>
          <w:rPr>
            <w:rFonts w:ascii="Arial MT" w:hAnsi="Arial MT"/>
            <w:spacing w:val="13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13"/>
            <w:sz w:val="20"/>
          </w:rPr>
          <w:t> </w:t>
        </w:r>
        <w:r>
          <w:rPr>
            <w:rFonts w:ascii="Arial MT" w:hAnsi="Arial MT"/>
            <w:sz w:val="20"/>
          </w:rPr>
          <w:t>Media,</w:t>
        </w:r>
        <w:r>
          <w:rPr>
            <w:rFonts w:ascii="Arial MT" w:hAnsi="Arial MT"/>
            <w:spacing w:val="11"/>
            <w:sz w:val="20"/>
          </w:rPr>
          <w:t> </w:t>
        </w:r>
        <w:r>
          <w:rPr>
            <w:rFonts w:ascii="Arial MT" w:hAnsi="Arial MT"/>
            <w:sz w:val="20"/>
          </w:rPr>
          <w:t>ciclo</w:t>
        </w:r>
      </w:hyperlink>
      <w:r>
        <w:rPr>
          <w:rFonts w:ascii="Arial MT" w:hAnsi="Arial MT"/>
          <w:spacing w:val="-53"/>
          <w:sz w:val="20"/>
        </w:rPr>
        <w:t> </w:t>
      </w:r>
      <w:hyperlink w:history="true" w:anchor="_bookmark82">
        <w:r>
          <w:rPr>
            <w:rFonts w:ascii="Arial MT" w:hAnsi="Arial MT"/>
            <w:sz w:val="20"/>
          </w:rPr>
          <w:t>básico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-6"/>
            <w:sz w:val="20"/>
          </w:rPr>
          <w:t> </w:t>
        </w:r>
        <w:r>
          <w:rPr>
            <w:rFonts w:ascii="Arial MT" w:hAnsi="Arial MT"/>
            <w:sz w:val="20"/>
          </w:rPr>
          <w:t>diversificado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según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DIDEDUC. Año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2021</w:t>
          <w:tab/>
          <w:t>64</w:t>
        </w:r>
      </w:hyperlink>
    </w:p>
    <w:p>
      <w:pPr>
        <w:tabs>
          <w:tab w:pos="10590" w:val="left" w:leader="dot"/>
        </w:tabs>
        <w:spacing w:before="1"/>
        <w:ind w:left="1418" w:right="1423" w:firstLine="0"/>
        <w:jc w:val="left"/>
        <w:rPr>
          <w:rFonts w:ascii="Arial MT" w:hAnsi="Arial MT"/>
          <w:sz w:val="20"/>
        </w:rPr>
      </w:pPr>
      <w:hyperlink w:history="true" w:anchor="_bookmark83">
        <w:r>
          <w:rPr>
            <w:rFonts w:ascii="Arial MT" w:hAnsi="Arial MT"/>
            <w:sz w:val="20"/>
          </w:rPr>
          <w:t>Gráfico 56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Matrícula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6"/>
            <w:sz w:val="20"/>
          </w:rPr>
          <w:t> </w:t>
        </w:r>
        <w:r>
          <w:rPr>
            <w:rFonts w:ascii="Arial MT" w:hAnsi="Arial MT"/>
            <w:sz w:val="20"/>
          </w:rPr>
          <w:t>estudiantes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del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Programa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Modalidades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Flexibles,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por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grupo etario,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nacional,</w:t>
        </w:r>
      </w:hyperlink>
      <w:r>
        <w:rPr>
          <w:rFonts w:ascii="Arial MT" w:hAnsi="Arial MT"/>
          <w:spacing w:val="-53"/>
          <w:sz w:val="20"/>
        </w:rPr>
        <w:t> </w:t>
      </w:r>
      <w:hyperlink w:history="true" w:anchor="_bookmark83">
        <w:r>
          <w:rPr>
            <w:rFonts w:ascii="Arial MT" w:hAnsi="Arial MT"/>
            <w:sz w:val="20"/>
          </w:rPr>
          <w:t>año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2021</w:t>
          <w:tab/>
        </w:r>
        <w:r>
          <w:rPr>
            <w:rFonts w:ascii="Arial MT" w:hAnsi="Arial MT"/>
            <w:spacing w:val="-2"/>
            <w:sz w:val="20"/>
          </w:rPr>
          <w:t>65</w:t>
        </w:r>
      </w:hyperlink>
    </w:p>
    <w:p>
      <w:pPr>
        <w:tabs>
          <w:tab w:pos="10590" w:val="left" w:leader="dot"/>
        </w:tabs>
        <w:spacing w:line="229" w:lineRule="exact" w:before="0"/>
        <w:ind w:left="1418" w:right="0" w:firstLine="0"/>
        <w:jc w:val="left"/>
        <w:rPr>
          <w:rFonts w:ascii="Arial MT" w:hAnsi="Arial MT"/>
          <w:sz w:val="20"/>
        </w:rPr>
      </w:pPr>
      <w:hyperlink w:history="true" w:anchor="_bookmark85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-4"/>
            <w:sz w:val="20"/>
          </w:rPr>
          <w:t> </w:t>
        </w:r>
        <w:r>
          <w:rPr>
            <w:rFonts w:ascii="Arial MT" w:hAnsi="Arial MT"/>
            <w:sz w:val="20"/>
          </w:rPr>
          <w:t>57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Matrícula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estudiantes</w:t>
        </w:r>
        <w:r>
          <w:rPr>
            <w:rFonts w:ascii="Arial MT" w:hAnsi="Arial MT"/>
            <w:spacing w:val="4"/>
            <w:sz w:val="20"/>
          </w:rPr>
          <w:t> </w:t>
        </w:r>
        <w:r>
          <w:rPr>
            <w:rFonts w:ascii="Arial MT" w:hAnsi="Arial MT"/>
            <w:sz w:val="20"/>
          </w:rPr>
          <w:t>del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Programa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CEMUCAF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según</w:t>
        </w:r>
        <w:r>
          <w:rPr>
            <w:rFonts w:ascii="Arial MT" w:hAnsi="Arial MT"/>
            <w:spacing w:val="-4"/>
            <w:sz w:val="20"/>
          </w:rPr>
          <w:t> </w:t>
        </w:r>
        <w:r>
          <w:rPr>
            <w:rFonts w:ascii="Arial MT" w:hAnsi="Arial MT"/>
            <w:sz w:val="20"/>
          </w:rPr>
          <w:t>DIDEDUC.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Año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2021.</w:t>
          <w:tab/>
          <w:t>66</w:t>
        </w:r>
      </w:hyperlink>
    </w:p>
    <w:p>
      <w:pPr>
        <w:tabs>
          <w:tab w:pos="10590" w:val="left" w:leader="dot"/>
        </w:tabs>
        <w:spacing w:before="0"/>
        <w:ind w:left="1418" w:right="0" w:firstLine="0"/>
        <w:jc w:val="left"/>
        <w:rPr>
          <w:rFonts w:ascii="Arial MT" w:hAnsi="Arial MT"/>
          <w:sz w:val="20"/>
        </w:rPr>
      </w:pPr>
      <w:hyperlink w:history="true" w:anchor="_bookmark86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58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Matrícula del</w:t>
        </w:r>
        <w:r>
          <w:rPr>
            <w:rFonts w:ascii="Arial MT" w:hAnsi="Arial MT"/>
            <w:spacing w:val="-4"/>
            <w:sz w:val="20"/>
          </w:rPr>
          <w:t> </w:t>
        </w:r>
        <w:r>
          <w:rPr>
            <w:rFonts w:ascii="Arial MT" w:hAnsi="Arial MT"/>
            <w:sz w:val="20"/>
          </w:rPr>
          <w:t>Programa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CEMUCAF,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según grupo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etario,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nacional,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año 2021.</w:t>
          <w:tab/>
          <w:t>66</w:t>
        </w:r>
      </w:hyperlink>
    </w:p>
    <w:p>
      <w:pPr>
        <w:tabs>
          <w:tab w:pos="10590" w:val="left" w:leader="dot"/>
        </w:tabs>
        <w:spacing w:before="1"/>
        <w:ind w:left="1418" w:right="0" w:firstLine="0"/>
        <w:jc w:val="left"/>
        <w:rPr>
          <w:rFonts w:ascii="Arial MT" w:hAnsi="Arial MT"/>
          <w:sz w:val="20"/>
        </w:rPr>
      </w:pPr>
      <w:hyperlink w:history="true" w:anchor="_bookmark88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59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Matrícula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del</w:t>
        </w:r>
        <w:r>
          <w:rPr>
            <w:rFonts w:ascii="Arial MT" w:hAnsi="Arial MT"/>
            <w:spacing w:val="-4"/>
            <w:sz w:val="20"/>
          </w:rPr>
          <w:t> </w:t>
        </w:r>
        <w:r>
          <w:rPr>
            <w:rFonts w:ascii="Arial MT" w:hAnsi="Arial MT"/>
            <w:sz w:val="20"/>
          </w:rPr>
          <w:t>Programa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PRONEA,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por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nivel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educativo,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según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DIDEDUC.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Año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2021.</w:t>
          <w:tab/>
          <w:t>67</w:t>
        </w:r>
      </w:hyperlink>
    </w:p>
    <w:p>
      <w:pPr>
        <w:tabs>
          <w:tab w:pos="10590" w:val="left" w:leader="dot"/>
        </w:tabs>
        <w:spacing w:line="229" w:lineRule="exact" w:before="0"/>
        <w:ind w:left="1418" w:right="0" w:firstLine="0"/>
        <w:jc w:val="left"/>
        <w:rPr>
          <w:rFonts w:ascii="Arial MT" w:hAnsi="Arial MT"/>
          <w:sz w:val="20"/>
        </w:rPr>
      </w:pPr>
      <w:hyperlink w:history="true" w:anchor="_bookmark89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60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Matrícula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nacional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PRONEA,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según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grupo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etario.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Año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2021</w:t>
          <w:tab/>
          <w:t>68</w:t>
        </w:r>
      </w:hyperlink>
    </w:p>
    <w:p>
      <w:pPr>
        <w:tabs>
          <w:tab w:pos="10590" w:val="left" w:leader="dot"/>
        </w:tabs>
        <w:spacing w:line="229" w:lineRule="exact" w:before="0"/>
        <w:ind w:left="1418" w:right="0" w:firstLine="0"/>
        <w:jc w:val="left"/>
        <w:rPr>
          <w:rFonts w:ascii="Arial MT" w:hAnsi="Arial MT"/>
          <w:sz w:val="20"/>
        </w:rPr>
      </w:pPr>
      <w:hyperlink w:history="true" w:anchor="_bookmark95">
        <w:r>
          <w:rPr>
            <w:rFonts w:ascii="Arial MT" w:hAnsi="Arial MT"/>
            <w:sz w:val="20"/>
          </w:rPr>
          <w:t>Gráfico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61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Estudiantes inscritos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SIREEX,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Academias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Cursos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Libres, Año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2021</w:t>
          <w:tab/>
          <w:t>70</w:t>
        </w:r>
      </w:hyperlink>
    </w:p>
    <w:p>
      <w:pPr>
        <w:spacing w:before="247"/>
        <w:ind w:left="1418" w:right="0" w:firstLine="0"/>
        <w:jc w:val="left"/>
        <w:rPr>
          <w:b/>
          <w:sz w:val="20"/>
        </w:rPr>
      </w:pPr>
      <w:r>
        <w:rPr>
          <w:b/>
          <w:color w:val="006FC0"/>
          <w:sz w:val="20"/>
        </w:rPr>
        <w:t>Índice</w:t>
      </w:r>
      <w:r>
        <w:rPr>
          <w:b/>
          <w:color w:val="006FC0"/>
          <w:spacing w:val="-2"/>
          <w:sz w:val="20"/>
        </w:rPr>
        <w:t> </w:t>
      </w:r>
      <w:r>
        <w:rPr>
          <w:b/>
          <w:color w:val="006FC0"/>
          <w:sz w:val="20"/>
        </w:rPr>
        <w:t>de</w:t>
      </w:r>
      <w:r>
        <w:rPr>
          <w:b/>
          <w:color w:val="006FC0"/>
          <w:spacing w:val="-2"/>
          <w:sz w:val="20"/>
        </w:rPr>
        <w:t> </w:t>
      </w:r>
      <w:r>
        <w:rPr>
          <w:b/>
          <w:color w:val="006FC0"/>
          <w:sz w:val="20"/>
        </w:rPr>
        <w:t>tablas</w:t>
      </w:r>
    </w:p>
    <w:p>
      <w:pPr>
        <w:tabs>
          <w:tab w:pos="10590" w:val="left" w:leader="dot"/>
        </w:tabs>
        <w:spacing w:before="242"/>
        <w:ind w:left="1418" w:right="0" w:firstLine="0"/>
        <w:jc w:val="left"/>
        <w:rPr>
          <w:rFonts w:ascii="Arial MT"/>
          <w:sz w:val="20"/>
        </w:rPr>
      </w:pPr>
      <w:hyperlink w:history="true" w:anchor="_bookmark2">
        <w:r>
          <w:rPr>
            <w:rFonts w:ascii="Arial MT"/>
            <w:sz w:val="20"/>
          </w:rPr>
          <w:t>Tabla</w:t>
        </w:r>
        <w:r>
          <w:rPr>
            <w:rFonts w:ascii="Arial MT"/>
            <w:spacing w:val="-4"/>
            <w:sz w:val="20"/>
          </w:rPr>
          <w:t> </w:t>
        </w:r>
        <w:r>
          <w:rPr>
            <w:rFonts w:ascii="Arial MT"/>
            <w:sz w:val="20"/>
          </w:rPr>
          <w:t>1</w:t>
        </w:r>
        <w:r>
          <w:rPr>
            <w:rFonts w:ascii="Arial MT"/>
            <w:spacing w:val="-1"/>
            <w:sz w:val="20"/>
          </w:rPr>
          <w:t> </w:t>
        </w:r>
        <w:r>
          <w:rPr>
            <w:rFonts w:ascii="Arial MT"/>
            <w:sz w:val="20"/>
          </w:rPr>
          <w:t>Principales</w:t>
        </w:r>
        <w:r>
          <w:rPr>
            <w:rFonts w:ascii="Arial MT"/>
            <w:spacing w:val="-2"/>
            <w:sz w:val="20"/>
          </w:rPr>
          <w:t> </w:t>
        </w:r>
        <w:r>
          <w:rPr>
            <w:rFonts w:ascii="Arial MT"/>
            <w:sz w:val="20"/>
          </w:rPr>
          <w:t>cifras</w:t>
        </w:r>
        <w:r>
          <w:rPr>
            <w:rFonts w:ascii="Arial MT"/>
            <w:spacing w:val="-2"/>
            <w:sz w:val="20"/>
          </w:rPr>
          <w:t> </w:t>
        </w:r>
        <w:r>
          <w:rPr>
            <w:rFonts w:ascii="Arial MT"/>
            <w:sz w:val="20"/>
          </w:rPr>
          <w:t>educativas 2020</w:t>
          <w:tab/>
          <w:t>11</w:t>
        </w:r>
      </w:hyperlink>
    </w:p>
    <w:p>
      <w:pPr>
        <w:tabs>
          <w:tab w:pos="10590" w:val="left" w:leader="dot"/>
        </w:tabs>
        <w:spacing w:before="0"/>
        <w:ind w:left="1418" w:right="0" w:firstLine="0"/>
        <w:jc w:val="left"/>
        <w:rPr>
          <w:rFonts w:ascii="Arial MT" w:hAnsi="Arial MT"/>
          <w:sz w:val="20"/>
        </w:rPr>
      </w:pPr>
      <w:hyperlink w:history="true" w:anchor="_bookmark3">
        <w:r>
          <w:rPr>
            <w:rFonts w:ascii="Arial MT" w:hAnsi="Arial MT"/>
            <w:sz w:val="20"/>
          </w:rPr>
          <w:t>Tabla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2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Principales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indicadores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educación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Guatemala.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2020</w:t>
          <w:tab/>
          <w:t>11</w:t>
        </w:r>
      </w:hyperlink>
    </w:p>
    <w:p>
      <w:pPr>
        <w:tabs>
          <w:tab w:pos="10590" w:val="left" w:leader="dot"/>
        </w:tabs>
        <w:spacing w:before="0"/>
        <w:ind w:left="1418" w:right="0" w:firstLine="0"/>
        <w:jc w:val="left"/>
        <w:rPr>
          <w:rFonts w:ascii="Arial MT"/>
          <w:sz w:val="20"/>
        </w:rPr>
      </w:pPr>
      <w:hyperlink w:history="true" w:anchor="_bookmark4">
        <w:r>
          <w:rPr>
            <w:rFonts w:ascii="Arial MT"/>
            <w:sz w:val="20"/>
          </w:rPr>
          <w:t>Tabla</w:t>
        </w:r>
        <w:r>
          <w:rPr>
            <w:rFonts w:ascii="Arial MT"/>
            <w:spacing w:val="-2"/>
            <w:sz w:val="20"/>
          </w:rPr>
          <w:t> </w:t>
        </w:r>
        <w:r>
          <w:rPr>
            <w:rFonts w:ascii="Arial MT"/>
            <w:sz w:val="20"/>
          </w:rPr>
          <w:t>3</w:t>
        </w:r>
        <w:r>
          <w:rPr>
            <w:rFonts w:ascii="Arial MT"/>
            <w:spacing w:val="-2"/>
            <w:sz w:val="20"/>
          </w:rPr>
          <w:t> </w:t>
        </w:r>
        <w:r>
          <w:rPr>
            <w:rFonts w:ascii="Arial MT"/>
            <w:sz w:val="20"/>
          </w:rPr>
          <w:t>Cantidad</w:t>
        </w:r>
        <w:r>
          <w:rPr>
            <w:rFonts w:ascii="Arial MT"/>
            <w:spacing w:val="-2"/>
            <w:sz w:val="20"/>
          </w:rPr>
          <w:t> </w:t>
        </w:r>
        <w:r>
          <w:rPr>
            <w:rFonts w:ascii="Arial MT"/>
            <w:sz w:val="20"/>
          </w:rPr>
          <w:t>de</w:t>
        </w:r>
        <w:r>
          <w:rPr>
            <w:rFonts w:ascii="Arial MT"/>
            <w:spacing w:val="-2"/>
            <w:sz w:val="20"/>
          </w:rPr>
          <w:t> </w:t>
        </w:r>
        <w:r>
          <w:rPr>
            <w:rFonts w:ascii="Arial MT"/>
            <w:sz w:val="20"/>
          </w:rPr>
          <w:t>docentes</w:t>
        </w:r>
        <w:r>
          <w:rPr>
            <w:rFonts w:ascii="Arial MT"/>
            <w:spacing w:val="-1"/>
            <w:sz w:val="20"/>
          </w:rPr>
          <w:t> </w:t>
        </w:r>
        <w:r>
          <w:rPr>
            <w:rFonts w:ascii="Arial MT"/>
            <w:sz w:val="20"/>
          </w:rPr>
          <w:t>por</w:t>
        </w:r>
        <w:r>
          <w:rPr>
            <w:rFonts w:ascii="Arial MT"/>
            <w:spacing w:val="-2"/>
            <w:sz w:val="20"/>
          </w:rPr>
          <w:t> </w:t>
        </w:r>
        <w:r>
          <w:rPr>
            <w:rFonts w:ascii="Arial MT"/>
            <w:sz w:val="20"/>
          </w:rPr>
          <w:t>nivel</w:t>
        </w:r>
        <w:r>
          <w:rPr>
            <w:rFonts w:ascii="Arial MT"/>
            <w:spacing w:val="1"/>
            <w:sz w:val="20"/>
          </w:rPr>
          <w:t> </w:t>
        </w:r>
        <w:r>
          <w:rPr>
            <w:rFonts w:ascii="Arial MT"/>
            <w:sz w:val="20"/>
          </w:rPr>
          <w:t>y</w:t>
        </w:r>
        <w:r>
          <w:rPr>
            <w:rFonts w:ascii="Arial MT"/>
            <w:spacing w:val="-4"/>
            <w:sz w:val="20"/>
          </w:rPr>
          <w:t> </w:t>
        </w:r>
        <w:r>
          <w:rPr>
            <w:rFonts w:ascii="Arial MT"/>
            <w:sz w:val="20"/>
          </w:rPr>
          <w:t>sector,</w:t>
        </w:r>
        <w:r>
          <w:rPr>
            <w:rFonts w:ascii="Arial MT"/>
            <w:spacing w:val="-2"/>
            <w:sz w:val="20"/>
          </w:rPr>
          <w:t> </w:t>
        </w:r>
        <w:r>
          <w:rPr>
            <w:rFonts w:ascii="Arial MT"/>
            <w:sz w:val="20"/>
          </w:rPr>
          <w:t>Mineduc</w:t>
        </w:r>
        <w:r>
          <w:rPr>
            <w:rFonts w:ascii="Arial MT"/>
            <w:spacing w:val="-2"/>
            <w:sz w:val="20"/>
          </w:rPr>
          <w:t> </w:t>
        </w:r>
        <w:r>
          <w:rPr>
            <w:rFonts w:ascii="Arial MT"/>
            <w:sz w:val="20"/>
          </w:rPr>
          <w:t>2020</w:t>
          <w:tab/>
          <w:t>12</w:t>
        </w:r>
      </w:hyperlink>
    </w:p>
    <w:p>
      <w:pPr>
        <w:tabs>
          <w:tab w:pos="10590" w:val="left" w:leader="dot"/>
        </w:tabs>
        <w:spacing w:before="1"/>
        <w:ind w:left="1418" w:right="0" w:firstLine="0"/>
        <w:jc w:val="left"/>
        <w:rPr>
          <w:rFonts w:ascii="Arial MT"/>
          <w:sz w:val="20"/>
        </w:rPr>
      </w:pPr>
      <w:hyperlink w:history="true" w:anchor="_bookmark5">
        <w:r>
          <w:rPr>
            <w:rFonts w:ascii="Arial MT"/>
            <w:sz w:val="20"/>
          </w:rPr>
          <w:t>Tabla</w:t>
        </w:r>
        <w:r>
          <w:rPr>
            <w:rFonts w:ascii="Arial MT"/>
            <w:spacing w:val="-3"/>
            <w:sz w:val="20"/>
          </w:rPr>
          <w:t> </w:t>
        </w:r>
        <w:r>
          <w:rPr>
            <w:rFonts w:ascii="Arial MT"/>
            <w:sz w:val="20"/>
          </w:rPr>
          <w:t>4 Establecimientos</w:t>
        </w:r>
        <w:r>
          <w:rPr>
            <w:rFonts w:ascii="Arial MT"/>
            <w:spacing w:val="1"/>
            <w:sz w:val="20"/>
          </w:rPr>
          <w:t> </w:t>
        </w:r>
        <w:r>
          <w:rPr>
            <w:rFonts w:ascii="Arial MT"/>
            <w:sz w:val="20"/>
          </w:rPr>
          <w:t>por</w:t>
        </w:r>
        <w:r>
          <w:rPr>
            <w:rFonts w:ascii="Arial MT"/>
            <w:spacing w:val="-2"/>
            <w:sz w:val="20"/>
          </w:rPr>
          <w:t> </w:t>
        </w:r>
        <w:r>
          <w:rPr>
            <w:rFonts w:ascii="Arial MT"/>
            <w:sz w:val="20"/>
          </w:rPr>
          <w:t>nivel</w:t>
        </w:r>
        <w:r>
          <w:rPr>
            <w:rFonts w:ascii="Arial MT"/>
            <w:spacing w:val="-1"/>
            <w:sz w:val="20"/>
          </w:rPr>
          <w:t> </w:t>
        </w:r>
        <w:r>
          <w:rPr>
            <w:rFonts w:ascii="Arial MT"/>
            <w:sz w:val="20"/>
          </w:rPr>
          <w:t>y</w:t>
        </w:r>
        <w:r>
          <w:rPr>
            <w:rFonts w:ascii="Arial MT"/>
            <w:spacing w:val="-2"/>
            <w:sz w:val="20"/>
          </w:rPr>
          <w:t> </w:t>
        </w:r>
        <w:r>
          <w:rPr>
            <w:rFonts w:ascii="Arial MT"/>
            <w:sz w:val="20"/>
          </w:rPr>
          <w:t>sector</w:t>
        </w:r>
        <w:r>
          <w:rPr>
            <w:rFonts w:ascii="Arial MT"/>
            <w:spacing w:val="-2"/>
            <w:sz w:val="20"/>
          </w:rPr>
          <w:t> </w:t>
        </w:r>
        <w:r>
          <w:rPr>
            <w:rFonts w:ascii="Arial MT"/>
            <w:sz w:val="20"/>
          </w:rPr>
          <w:t>2020</w:t>
          <w:tab/>
          <w:t>12</w:t>
        </w:r>
      </w:hyperlink>
    </w:p>
    <w:p>
      <w:pPr>
        <w:tabs>
          <w:tab w:pos="10590" w:val="left" w:leader="dot"/>
        </w:tabs>
        <w:spacing w:before="0"/>
        <w:ind w:left="1418" w:right="0" w:firstLine="0"/>
        <w:jc w:val="left"/>
        <w:rPr>
          <w:rFonts w:ascii="Arial MT" w:hAnsi="Arial MT"/>
          <w:sz w:val="20"/>
        </w:rPr>
      </w:pPr>
      <w:hyperlink w:history="true" w:anchor="_bookmark19">
        <w:r>
          <w:rPr>
            <w:rFonts w:ascii="Arial MT" w:hAnsi="Arial MT"/>
            <w:sz w:val="20"/>
          </w:rPr>
          <w:t>Tabla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5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Departamentos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con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menor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cantidad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inscritos</w:t>
        </w:r>
        <w:r>
          <w:rPr>
            <w:rFonts w:ascii="Arial MT" w:hAnsi="Arial MT"/>
            <w:spacing w:val="1"/>
            <w:sz w:val="20"/>
          </w:rPr>
          <w:t> </w:t>
        </w:r>
        <w:r>
          <w:rPr>
            <w:rFonts w:ascii="Arial MT" w:hAnsi="Arial MT"/>
            <w:sz w:val="20"/>
          </w:rPr>
          <w:t>y</w:t>
        </w:r>
        <w:r>
          <w:rPr>
            <w:rFonts w:ascii="Arial MT" w:hAnsi="Arial MT"/>
            <w:spacing w:val="-5"/>
            <w:sz w:val="20"/>
          </w:rPr>
          <w:t> </w:t>
        </w:r>
        <w:r>
          <w:rPr>
            <w:rFonts w:ascii="Arial MT" w:hAnsi="Arial MT"/>
            <w:sz w:val="20"/>
          </w:rPr>
          <w:t>mayor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%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déficit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cobertura 2021</w:t>
          <w:tab/>
          <w:t>17</w:t>
        </w:r>
      </w:hyperlink>
    </w:p>
    <w:p>
      <w:pPr>
        <w:tabs>
          <w:tab w:pos="10590" w:val="left" w:leader="dot"/>
        </w:tabs>
        <w:spacing w:line="229" w:lineRule="exact" w:before="1"/>
        <w:ind w:left="1418" w:right="0" w:firstLine="0"/>
        <w:jc w:val="left"/>
        <w:rPr>
          <w:rFonts w:ascii="Arial MT" w:hAnsi="Arial MT"/>
          <w:sz w:val="20"/>
        </w:rPr>
      </w:pPr>
      <w:hyperlink w:history="true" w:anchor="_bookmark91">
        <w:r>
          <w:rPr>
            <w:rFonts w:ascii="Arial MT" w:hAnsi="Arial MT"/>
            <w:sz w:val="20"/>
          </w:rPr>
          <w:t>Tabla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6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Jornadas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del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SCC</w:t>
        </w:r>
        <w:r>
          <w:rPr>
            <w:rFonts w:ascii="Arial MT" w:hAnsi="Arial MT"/>
            <w:spacing w:val="3"/>
            <w:sz w:val="20"/>
          </w:rPr>
          <w:t> </w:t>
        </w:r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Guatemala.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Año 2021.</w:t>
          <w:tab/>
          <w:t>68</w:t>
        </w:r>
      </w:hyperlink>
    </w:p>
    <w:p>
      <w:pPr>
        <w:tabs>
          <w:tab w:pos="10590" w:val="left" w:leader="dot"/>
        </w:tabs>
        <w:spacing w:line="229" w:lineRule="exact" w:before="0"/>
        <w:ind w:left="1418" w:right="0" w:firstLine="0"/>
        <w:jc w:val="left"/>
        <w:rPr>
          <w:rFonts w:ascii="Arial MT" w:hAnsi="Arial MT"/>
          <w:sz w:val="20"/>
        </w:rPr>
      </w:pPr>
      <w:hyperlink w:history="true" w:anchor="_bookmark92">
        <w:r>
          <w:rPr>
            <w:rFonts w:ascii="Arial MT" w:hAnsi="Arial MT"/>
            <w:sz w:val="20"/>
          </w:rPr>
          <w:t>Tabla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7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Jornadas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del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SCC</w:t>
        </w:r>
        <w:r>
          <w:rPr>
            <w:rFonts w:ascii="Arial MT" w:hAnsi="Arial MT"/>
            <w:spacing w:val="2"/>
            <w:sz w:val="20"/>
          </w:rPr>
          <w:t> </w:t>
        </w:r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Estados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Unidos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de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América.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Año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2021</w:t>
          <w:tab/>
          <w:t>69</w:t>
        </w:r>
      </w:hyperlink>
    </w:p>
    <w:p>
      <w:pPr>
        <w:tabs>
          <w:tab w:pos="10590" w:val="left" w:leader="dot"/>
        </w:tabs>
        <w:spacing w:before="1"/>
        <w:ind w:left="1418" w:right="0" w:firstLine="0"/>
        <w:jc w:val="left"/>
        <w:rPr>
          <w:rFonts w:ascii="Arial MT" w:hAnsi="Arial MT"/>
          <w:sz w:val="20"/>
        </w:rPr>
      </w:pPr>
      <w:hyperlink w:history="true" w:anchor="_bookmark93">
        <w:r>
          <w:rPr>
            <w:rFonts w:ascii="Arial MT" w:hAnsi="Arial MT"/>
            <w:sz w:val="20"/>
          </w:rPr>
          <w:t>Tabla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8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Áreas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ocupacionales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evaluadas,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SCC,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Año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2021</w:t>
          <w:tab/>
          <w:t>69</w:t>
        </w:r>
      </w:hyperlink>
    </w:p>
    <w:p>
      <w:pPr>
        <w:tabs>
          <w:tab w:pos="10590" w:val="left" w:leader="dot"/>
        </w:tabs>
        <w:spacing w:before="0"/>
        <w:ind w:left="1418" w:right="0" w:firstLine="0"/>
        <w:jc w:val="left"/>
        <w:rPr>
          <w:rFonts w:ascii="Arial MT" w:hAnsi="Arial MT"/>
          <w:sz w:val="20"/>
        </w:rPr>
      </w:pPr>
      <w:hyperlink w:history="true" w:anchor="_bookmark96">
        <w:r>
          <w:rPr>
            <w:rFonts w:ascii="Arial MT" w:hAnsi="Arial MT"/>
            <w:sz w:val="20"/>
          </w:rPr>
          <w:t>Tabla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4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Estudiantes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inscritos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en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SIREEX.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Academias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Cursos</w:t>
        </w:r>
        <w:r>
          <w:rPr>
            <w:rFonts w:ascii="Arial MT" w:hAnsi="Arial MT"/>
            <w:spacing w:val="-2"/>
            <w:sz w:val="20"/>
          </w:rPr>
          <w:t> </w:t>
        </w:r>
        <w:r>
          <w:rPr>
            <w:rFonts w:ascii="Arial MT" w:hAnsi="Arial MT"/>
            <w:sz w:val="20"/>
          </w:rPr>
          <w:t>Libres.</w:t>
        </w:r>
        <w:r>
          <w:rPr>
            <w:rFonts w:ascii="Arial MT" w:hAnsi="Arial MT"/>
            <w:spacing w:val="-1"/>
            <w:sz w:val="20"/>
          </w:rPr>
          <w:t> </w:t>
        </w:r>
        <w:r>
          <w:rPr>
            <w:rFonts w:ascii="Arial MT" w:hAnsi="Arial MT"/>
            <w:sz w:val="20"/>
          </w:rPr>
          <w:t>Año</w:t>
        </w:r>
        <w:r>
          <w:rPr>
            <w:rFonts w:ascii="Arial MT" w:hAnsi="Arial MT"/>
            <w:spacing w:val="-3"/>
            <w:sz w:val="20"/>
          </w:rPr>
          <w:t> </w:t>
        </w:r>
        <w:r>
          <w:rPr>
            <w:rFonts w:ascii="Arial MT" w:hAnsi="Arial MT"/>
            <w:sz w:val="20"/>
          </w:rPr>
          <w:t>2021</w:t>
          <w:tab/>
          <w:t>70</w:t>
        </w:r>
      </w:hyperlink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4"/>
        </w:rPr>
      </w:pPr>
      <w:r>
        <w:rPr/>
        <w:pict>
          <v:rect style="position:absolute;margin-left:563.880005pt;margin-top:16.084595pt;width:25.44pt;height:1.4399pt;mso-position-horizontal-relative:page;mso-position-vertical-relative:paragraph;z-index:-1571686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240" w:lineRule="auto" w:after="12"/>
        <w:ind w:right="629"/>
      </w:pPr>
      <w:bookmarkStart w:name="_bookmark0" w:id="1"/>
      <w:bookmarkEnd w:id="1"/>
      <w:r>
        <w:rPr/>
      </w:r>
      <w:r>
        <w:rPr>
          <w:w w:val="100"/>
        </w:rPr>
        <w:t>9</w:t>
      </w:r>
    </w:p>
    <w:p>
      <w:pPr>
        <w:pStyle w:val="BodyText"/>
        <w:spacing w:line="88" w:lineRule="exact"/>
        <w:ind w:left="1127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2601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1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ind w:left="1778" w:firstLine="0"/>
      </w:pPr>
      <w:r>
        <w:rPr>
          <w:color w:val="1F4E79"/>
        </w:rPr>
        <w:t>Acrónimos</w:t>
      </w:r>
      <w:r>
        <w:rPr>
          <w:color w:val="1F4E79"/>
          <w:spacing w:val="-3"/>
        </w:rPr>
        <w:t> </w:t>
      </w:r>
      <w:r>
        <w:rPr>
          <w:color w:val="1F4E79"/>
        </w:rPr>
        <w:t>y</w:t>
      </w:r>
      <w:r>
        <w:rPr>
          <w:color w:val="1F4E79"/>
          <w:spacing w:val="-7"/>
        </w:rPr>
        <w:t> </w:t>
      </w:r>
      <w:r>
        <w:rPr>
          <w:color w:val="1F4E79"/>
        </w:rPr>
        <w:t>Abreviaturas</w:t>
      </w:r>
    </w:p>
    <w:p>
      <w:pPr>
        <w:pStyle w:val="BodyText"/>
        <w:spacing w:before="8"/>
        <w:rPr>
          <w:b/>
          <w:sz w:val="29"/>
        </w:rPr>
      </w:pPr>
    </w:p>
    <w:p>
      <w:pPr>
        <w:spacing w:before="0"/>
        <w:ind w:left="1418" w:right="7203" w:firstLine="0"/>
        <w:jc w:val="left"/>
        <w:rPr>
          <w:sz w:val="20"/>
        </w:rPr>
      </w:pPr>
      <w:r>
        <w:rPr>
          <w:sz w:val="20"/>
        </w:rPr>
        <w:t>COVID-19-</w:t>
      </w:r>
      <w:r>
        <w:rPr>
          <w:spacing w:val="-5"/>
          <w:sz w:val="20"/>
        </w:rPr>
        <w:t> </w:t>
      </w:r>
      <w:r>
        <w:rPr>
          <w:sz w:val="20"/>
        </w:rPr>
        <w:t>Enfermedad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Coronavirus</w:t>
      </w:r>
      <w:r>
        <w:rPr>
          <w:spacing w:val="-6"/>
          <w:sz w:val="20"/>
        </w:rPr>
        <w:t> </w:t>
      </w:r>
      <w:r>
        <w:rPr>
          <w:sz w:val="20"/>
        </w:rPr>
        <w:t>2019</w:t>
      </w:r>
      <w:r>
        <w:rPr>
          <w:spacing w:val="-42"/>
          <w:sz w:val="20"/>
        </w:rPr>
        <w:t> </w:t>
      </w:r>
      <w:r>
        <w:rPr>
          <w:sz w:val="20"/>
        </w:rPr>
        <w:t>CNB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44"/>
          <w:sz w:val="20"/>
        </w:rPr>
        <w:t> </w:t>
      </w:r>
      <w:r>
        <w:rPr>
          <w:sz w:val="20"/>
        </w:rPr>
        <w:t>Currículo</w:t>
      </w:r>
      <w:r>
        <w:rPr>
          <w:spacing w:val="-1"/>
          <w:sz w:val="20"/>
        </w:rPr>
        <w:t> </w:t>
      </w:r>
      <w:r>
        <w:rPr>
          <w:sz w:val="20"/>
        </w:rPr>
        <w:t>Nacional Base</w:t>
      </w:r>
    </w:p>
    <w:p>
      <w:pPr>
        <w:spacing w:before="0"/>
        <w:ind w:left="1418" w:right="6330" w:firstLine="0"/>
        <w:jc w:val="left"/>
        <w:rPr>
          <w:sz w:val="20"/>
        </w:rPr>
      </w:pPr>
      <w:r>
        <w:rPr>
          <w:sz w:val="20"/>
        </w:rPr>
        <w:t>CV</w:t>
      </w:r>
      <w:r>
        <w:rPr>
          <w:spacing w:val="-5"/>
          <w:sz w:val="20"/>
        </w:rPr>
        <w:t> </w:t>
      </w:r>
      <w:r>
        <w:rPr>
          <w:sz w:val="20"/>
        </w:rPr>
        <w:t>(Coeficiente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Variación)</w:t>
      </w:r>
      <w:r>
        <w:rPr>
          <w:spacing w:val="-1"/>
          <w:sz w:val="20"/>
        </w:rPr>
        <w:t> </w:t>
      </w:r>
      <w:r>
        <w:rPr>
          <w:sz w:val="20"/>
        </w:rPr>
        <w:t>Forma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ver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3"/>
          <w:sz w:val="20"/>
        </w:rPr>
        <w:t> </w:t>
      </w:r>
      <w:r>
        <w:rPr>
          <w:sz w:val="20"/>
        </w:rPr>
        <w:t>datos</w:t>
      </w:r>
      <w:r>
        <w:rPr>
          <w:spacing w:val="-42"/>
          <w:sz w:val="20"/>
        </w:rPr>
        <w:t> </w:t>
      </w:r>
      <w:r>
        <w:rPr>
          <w:sz w:val="20"/>
        </w:rPr>
        <w:t>INE</w:t>
      </w:r>
      <w:r>
        <w:rPr>
          <w:spacing w:val="2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Instituto Nacional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Estadística</w:t>
      </w:r>
    </w:p>
    <w:p>
      <w:pPr>
        <w:spacing w:before="0"/>
        <w:ind w:left="1418" w:right="7614" w:firstLine="0"/>
        <w:jc w:val="left"/>
        <w:rPr>
          <w:sz w:val="20"/>
        </w:rPr>
      </w:pPr>
      <w:r>
        <w:rPr>
          <w:sz w:val="20"/>
        </w:rPr>
        <w:t>MED</w:t>
      </w:r>
      <w:r>
        <w:rPr>
          <w:spacing w:val="-2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Metas</w:t>
      </w:r>
      <w:r>
        <w:rPr>
          <w:spacing w:val="-4"/>
          <w:sz w:val="20"/>
        </w:rPr>
        <w:t> </w:t>
      </w:r>
      <w:r>
        <w:rPr>
          <w:sz w:val="20"/>
        </w:rPr>
        <w:t>Estratégicas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Desarrollo</w:t>
      </w:r>
      <w:r>
        <w:rPr>
          <w:spacing w:val="-42"/>
          <w:sz w:val="20"/>
        </w:rPr>
        <w:t> </w:t>
      </w:r>
      <w:r>
        <w:rPr>
          <w:sz w:val="20"/>
        </w:rPr>
        <w:t>MINEDUC-Ministerio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Educación</w:t>
      </w:r>
    </w:p>
    <w:p>
      <w:pPr>
        <w:spacing w:before="0"/>
        <w:ind w:left="1418" w:right="4626" w:firstLine="0"/>
        <w:jc w:val="left"/>
        <w:rPr>
          <w:sz w:val="20"/>
        </w:rPr>
      </w:pPr>
      <w:r>
        <w:rPr>
          <w:sz w:val="20"/>
        </w:rPr>
        <w:t>OPF</w:t>
      </w:r>
      <w:r>
        <w:rPr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Programa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Cuidados</w:t>
      </w:r>
      <w:r>
        <w:rPr>
          <w:spacing w:val="-4"/>
          <w:sz w:val="20"/>
        </w:rPr>
        <w:t> </w:t>
      </w:r>
      <w:r>
        <w:rPr>
          <w:sz w:val="20"/>
        </w:rPr>
        <w:t>Infantiles</w:t>
      </w:r>
      <w:r>
        <w:rPr>
          <w:spacing w:val="-4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Aprendizaje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MINEDUC</w:t>
      </w:r>
      <w:r>
        <w:rPr>
          <w:spacing w:val="-42"/>
          <w:sz w:val="20"/>
        </w:rPr>
        <w:t> </w:t>
      </w:r>
      <w:r>
        <w:rPr>
          <w:sz w:val="20"/>
        </w:rPr>
        <w:t>OPS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Organización Panamericana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 Salud</w:t>
      </w:r>
    </w:p>
    <w:p>
      <w:pPr>
        <w:spacing w:line="244" w:lineRule="exact" w:before="0"/>
        <w:ind w:left="1418" w:right="0" w:firstLine="0"/>
        <w:jc w:val="left"/>
        <w:rPr>
          <w:sz w:val="20"/>
        </w:rPr>
      </w:pPr>
      <w:r>
        <w:rPr>
          <w:sz w:val="20"/>
        </w:rPr>
        <w:t>PEA</w:t>
      </w:r>
      <w:r>
        <w:rPr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Plan Estratégico</w:t>
      </w:r>
      <w:r>
        <w:rPr>
          <w:spacing w:val="-2"/>
          <w:sz w:val="20"/>
        </w:rPr>
        <w:t> </w:t>
      </w:r>
      <w:r>
        <w:rPr>
          <w:sz w:val="20"/>
        </w:rPr>
        <w:t>Anual</w:t>
      </w:r>
    </w:p>
    <w:p>
      <w:pPr>
        <w:spacing w:line="244" w:lineRule="exact" w:before="0"/>
        <w:ind w:left="1418" w:right="0" w:firstLine="0"/>
        <w:jc w:val="left"/>
        <w:rPr>
          <w:sz w:val="20"/>
        </w:rPr>
      </w:pPr>
      <w:r>
        <w:rPr>
          <w:sz w:val="20"/>
        </w:rPr>
        <w:t>PEI</w:t>
      </w:r>
      <w:r>
        <w:rPr>
          <w:spacing w:val="-2"/>
          <w:sz w:val="20"/>
        </w:rPr>
        <w:t> </w:t>
      </w:r>
      <w:r>
        <w:rPr>
          <w:sz w:val="20"/>
        </w:rPr>
        <w:t>-</w:t>
      </w:r>
      <w:r>
        <w:rPr>
          <w:spacing w:val="41"/>
          <w:sz w:val="20"/>
        </w:rPr>
        <w:t> </w:t>
      </w:r>
      <w:r>
        <w:rPr>
          <w:sz w:val="20"/>
        </w:rPr>
        <w:t>Plan</w:t>
      </w:r>
      <w:r>
        <w:rPr>
          <w:spacing w:val="-1"/>
          <w:sz w:val="20"/>
        </w:rPr>
        <w:t> </w:t>
      </w:r>
      <w:r>
        <w:rPr>
          <w:sz w:val="20"/>
        </w:rPr>
        <w:t>Estratégico Institucional</w:t>
      </w:r>
    </w:p>
    <w:p>
      <w:pPr>
        <w:spacing w:before="1"/>
        <w:ind w:left="1418" w:right="0" w:firstLine="0"/>
        <w:jc w:val="left"/>
        <w:rPr>
          <w:sz w:val="20"/>
        </w:rPr>
      </w:pPr>
      <w:r>
        <w:rPr>
          <w:sz w:val="20"/>
        </w:rPr>
        <w:t>RED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Resultados</w:t>
      </w:r>
      <w:r>
        <w:rPr>
          <w:spacing w:val="-4"/>
          <w:sz w:val="20"/>
        </w:rPr>
        <w:t> </w:t>
      </w:r>
      <w:r>
        <w:rPr>
          <w:sz w:val="20"/>
        </w:rPr>
        <w:t>Estratégicos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Desarrollo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rect style="position:absolute;margin-left:563.880005pt;margin-top:9.033781pt;width:25.44pt;height:1.4399pt;mso-position-horizontal-relative:page;mso-position-vertical-relative:paragraph;z-index:-1571532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ind w:right="551"/>
      </w:pPr>
      <w:r>
        <w:rPr/>
        <w:t>10</w:t>
      </w:r>
    </w:p>
    <w:p>
      <w:pPr>
        <w:pStyle w:val="BodyText"/>
        <w:spacing w:line="88" w:lineRule="exact"/>
        <w:ind w:left="1127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27552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2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0"/>
          <w:numId w:val="4"/>
        </w:numPr>
        <w:tabs>
          <w:tab w:pos="1850" w:val="left" w:leader="none"/>
          <w:tab w:pos="1851" w:val="left" w:leader="none"/>
        </w:tabs>
        <w:spacing w:line="240" w:lineRule="auto" w:before="52" w:after="0"/>
        <w:ind w:left="1850" w:right="0" w:hanging="433"/>
        <w:jc w:val="left"/>
      </w:pPr>
      <w:bookmarkStart w:name="_bookmark1" w:id="2"/>
      <w:bookmarkEnd w:id="2"/>
      <w:r>
        <w:rPr>
          <w:b w:val="0"/>
        </w:rPr>
      </w:r>
      <w:bookmarkStart w:name="_bookmark1" w:id="3"/>
      <w:bookmarkEnd w:id="3"/>
      <w:r>
        <w:rPr>
          <w:color w:val="1F4E79"/>
        </w:rPr>
        <w:t>P</w:t>
      </w:r>
      <w:r>
        <w:rPr>
          <w:color w:val="1F4E79"/>
        </w:rPr>
        <w:t>rincipales</w:t>
      </w:r>
      <w:r>
        <w:rPr>
          <w:color w:val="1F4E79"/>
          <w:spacing w:val="-3"/>
        </w:rPr>
        <w:t> </w:t>
      </w:r>
      <w:r>
        <w:rPr>
          <w:color w:val="1F4E79"/>
        </w:rPr>
        <w:t>cifras</w:t>
      </w:r>
      <w:r>
        <w:rPr>
          <w:color w:val="1F4E79"/>
          <w:spacing w:val="-3"/>
        </w:rPr>
        <w:t> </w:t>
      </w:r>
      <w:r>
        <w:rPr>
          <w:color w:val="1F4E79"/>
        </w:rPr>
        <w:t>e</w:t>
      </w:r>
      <w:r>
        <w:rPr>
          <w:color w:val="1F4E79"/>
          <w:spacing w:val="-3"/>
        </w:rPr>
        <w:t> </w:t>
      </w:r>
      <w:r>
        <w:rPr>
          <w:color w:val="1F4E79"/>
        </w:rPr>
        <w:t>indicadores</w:t>
      </w:r>
      <w:r>
        <w:rPr>
          <w:color w:val="1F4E79"/>
          <w:spacing w:val="-4"/>
        </w:rPr>
        <w:t> </w:t>
      </w:r>
      <w:r>
        <w:rPr>
          <w:color w:val="1F4E79"/>
        </w:rPr>
        <w:t>de</w:t>
      </w:r>
      <w:r>
        <w:rPr>
          <w:color w:val="1F4E79"/>
          <w:spacing w:val="-5"/>
        </w:rPr>
        <w:t> </w:t>
      </w:r>
      <w:r>
        <w:rPr>
          <w:color w:val="1F4E79"/>
        </w:rPr>
        <w:t>educación</w:t>
      </w:r>
      <w:r>
        <w:rPr>
          <w:color w:val="1F4E79"/>
          <w:spacing w:val="-5"/>
        </w:rPr>
        <w:t> </w:t>
      </w:r>
      <w:r>
        <w:rPr>
          <w:color w:val="1F4E79"/>
        </w:rPr>
        <w:t>y</w:t>
      </w:r>
      <w:r>
        <w:rPr>
          <w:color w:val="1F4E79"/>
          <w:spacing w:val="-6"/>
        </w:rPr>
        <w:t> </w:t>
      </w:r>
      <w:r>
        <w:rPr>
          <w:color w:val="1F4E79"/>
        </w:rPr>
        <w:t>magnitudes</w:t>
      </w:r>
    </w:p>
    <w:p>
      <w:pPr>
        <w:pStyle w:val="BodyText"/>
        <w:spacing w:before="6"/>
        <w:rPr>
          <w:b/>
          <w:sz w:val="29"/>
        </w:rPr>
      </w:pPr>
    </w:p>
    <w:p>
      <w:pPr>
        <w:spacing w:before="0"/>
        <w:ind w:left="1418" w:right="343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continuación,</w:t>
      </w:r>
      <w:r>
        <w:rPr>
          <w:spacing w:val="-14"/>
          <w:sz w:val="24"/>
        </w:rPr>
        <w:t> </w:t>
      </w:r>
      <w:r>
        <w:rPr>
          <w:sz w:val="24"/>
        </w:rPr>
        <w:t>presentan</w:t>
      </w:r>
      <w:r>
        <w:rPr>
          <w:spacing w:val="-9"/>
          <w:sz w:val="24"/>
        </w:rPr>
        <w:t> </w:t>
      </w:r>
      <w:r>
        <w:rPr>
          <w:sz w:val="24"/>
        </w:rPr>
        <w:t>las</w:t>
      </w:r>
      <w:r>
        <w:rPr>
          <w:spacing w:val="-11"/>
          <w:sz w:val="24"/>
        </w:rPr>
        <w:t> </w:t>
      </w:r>
      <w:r>
        <w:rPr>
          <w:sz w:val="24"/>
        </w:rPr>
        <w:t>principales</w:t>
      </w:r>
      <w:r>
        <w:rPr>
          <w:spacing w:val="-7"/>
          <w:sz w:val="24"/>
        </w:rPr>
        <w:t> </w:t>
      </w:r>
      <w:r>
        <w:rPr>
          <w:sz w:val="24"/>
        </w:rPr>
        <w:t>cifras</w:t>
      </w:r>
      <w:r>
        <w:rPr>
          <w:spacing w:val="-12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indicadores</w:t>
      </w:r>
      <w:r>
        <w:rPr>
          <w:spacing w:val="-12"/>
          <w:sz w:val="24"/>
        </w:rPr>
        <w:t> </w:t>
      </w:r>
      <w:r>
        <w:rPr>
          <w:sz w:val="24"/>
        </w:rPr>
        <w:t>educativos</w:t>
      </w:r>
      <w:r>
        <w:rPr>
          <w:spacing w:val="-12"/>
          <w:sz w:val="24"/>
        </w:rPr>
        <w:t> </w:t>
      </w:r>
      <w:r>
        <w:rPr>
          <w:sz w:val="24"/>
        </w:rPr>
        <w:t>obtenidos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través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las</w:t>
      </w:r>
      <w:r>
        <w:rPr>
          <w:spacing w:val="-51"/>
          <w:sz w:val="24"/>
        </w:rPr>
        <w:t> </w:t>
      </w:r>
      <w:r>
        <w:rPr>
          <w:sz w:val="24"/>
        </w:rPr>
        <w:t>estadísticas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Mineduc</w:t>
      </w:r>
      <w:r>
        <w:rPr>
          <w:spacing w:val="-3"/>
          <w:sz w:val="24"/>
        </w:rPr>
        <w:t> </w:t>
      </w:r>
      <w:r>
        <w:rPr>
          <w:sz w:val="24"/>
        </w:rPr>
        <w:t>de los</w:t>
      </w:r>
      <w:r>
        <w:rPr>
          <w:spacing w:val="1"/>
          <w:sz w:val="24"/>
        </w:rPr>
        <w:t> </w:t>
      </w:r>
      <w:r>
        <w:rPr>
          <w:sz w:val="24"/>
        </w:rPr>
        <w:t>años</w:t>
      </w:r>
      <w:r>
        <w:rPr>
          <w:spacing w:val="-2"/>
          <w:sz w:val="24"/>
        </w:rPr>
        <w:t> </w:t>
      </w:r>
      <w:r>
        <w:rPr>
          <w:sz w:val="24"/>
        </w:rPr>
        <w:t>2020 y</w:t>
      </w:r>
      <w:r>
        <w:rPr>
          <w:spacing w:val="-3"/>
          <w:sz w:val="24"/>
        </w:rPr>
        <w:t> </w:t>
      </w:r>
      <w:r>
        <w:rPr>
          <w:sz w:val="24"/>
        </w:rPr>
        <w:t>2021,</w:t>
      </w:r>
      <w:r>
        <w:rPr>
          <w:spacing w:val="-1"/>
          <w:sz w:val="24"/>
        </w:rPr>
        <w:t> </w:t>
      </w:r>
      <w:r>
        <w:rPr>
          <w:sz w:val="24"/>
        </w:rPr>
        <w:t>actualizados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junio.</w:t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1839" w:right="1990" w:firstLine="0"/>
        <w:jc w:val="center"/>
        <w:rPr>
          <w:sz w:val="20"/>
        </w:rPr>
      </w:pPr>
      <w:bookmarkStart w:name="_bookmark2" w:id="4"/>
      <w:bookmarkEnd w:id="4"/>
      <w:r>
        <w:rPr/>
      </w:r>
      <w:r>
        <w:rPr>
          <w:sz w:val="20"/>
        </w:rPr>
        <w:t>Tabla</w:t>
      </w:r>
      <w:r>
        <w:rPr>
          <w:spacing w:val="-2"/>
          <w:sz w:val="20"/>
        </w:rPr>
        <w:t> </w:t>
      </w:r>
      <w:r>
        <w:rPr>
          <w:sz w:val="20"/>
        </w:rPr>
        <w:t>1</w:t>
      </w:r>
      <w:r>
        <w:rPr>
          <w:spacing w:val="-2"/>
          <w:sz w:val="20"/>
        </w:rPr>
        <w:t> </w:t>
      </w:r>
      <w:r>
        <w:rPr>
          <w:sz w:val="20"/>
        </w:rPr>
        <w:t>Principales</w:t>
      </w:r>
      <w:r>
        <w:rPr>
          <w:spacing w:val="-4"/>
          <w:sz w:val="20"/>
        </w:rPr>
        <w:t> </w:t>
      </w:r>
      <w:r>
        <w:rPr>
          <w:sz w:val="20"/>
        </w:rPr>
        <w:t>cifras</w:t>
      </w:r>
      <w:r>
        <w:rPr>
          <w:spacing w:val="-3"/>
          <w:sz w:val="20"/>
        </w:rPr>
        <w:t> </w:t>
      </w:r>
      <w:r>
        <w:rPr>
          <w:sz w:val="20"/>
        </w:rPr>
        <w:t>educativas</w:t>
      </w:r>
      <w:r>
        <w:rPr>
          <w:spacing w:val="-1"/>
          <w:sz w:val="20"/>
        </w:rPr>
        <w:t> </w:t>
      </w:r>
      <w:r>
        <w:rPr>
          <w:sz w:val="20"/>
        </w:rPr>
        <w:t>2020</w:t>
      </w:r>
    </w:p>
    <w:tbl>
      <w:tblPr>
        <w:tblW w:w="0" w:type="auto"/>
        <w:jc w:val="left"/>
        <w:tblInd w:w="142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0"/>
        <w:gridCol w:w="785"/>
        <w:gridCol w:w="934"/>
        <w:gridCol w:w="902"/>
        <w:gridCol w:w="857"/>
        <w:gridCol w:w="1011"/>
        <w:gridCol w:w="1013"/>
        <w:gridCol w:w="855"/>
        <w:gridCol w:w="938"/>
        <w:gridCol w:w="1346"/>
      </w:tblGrid>
      <w:tr>
        <w:trPr>
          <w:trHeight w:val="542" w:hRule="atLeast"/>
        </w:trPr>
        <w:tc>
          <w:tcPr>
            <w:tcW w:w="1080" w:type="dxa"/>
            <w:tcBorders>
              <w:top w:val="nil"/>
              <w:left w:val="nil"/>
            </w:tcBorders>
            <w:shd w:val="clear" w:color="auto" w:fill="5B9B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5" w:type="dxa"/>
            <w:tcBorders>
              <w:top w:val="nil"/>
            </w:tcBorders>
            <w:shd w:val="clear" w:color="auto" w:fill="5B9BD4"/>
          </w:tcPr>
          <w:p>
            <w:pPr>
              <w:pStyle w:val="TableParagraph"/>
              <w:spacing w:line="194" w:lineRule="exact"/>
              <w:ind w:left="86" w:right="7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Inscritos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5B9BD4"/>
          </w:tcPr>
          <w:p>
            <w:pPr>
              <w:pStyle w:val="TableParagraph"/>
              <w:spacing w:line="194" w:lineRule="exact"/>
              <w:ind w:left="87" w:right="7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Repitentes</w:t>
            </w:r>
          </w:p>
        </w:tc>
        <w:tc>
          <w:tcPr>
            <w:tcW w:w="902" w:type="dxa"/>
            <w:tcBorders>
              <w:top w:val="nil"/>
            </w:tcBorders>
            <w:shd w:val="clear" w:color="auto" w:fill="5B9BD4"/>
          </w:tcPr>
          <w:p>
            <w:pPr>
              <w:pStyle w:val="TableParagraph"/>
              <w:ind w:left="107" w:right="80" w:firstLine="24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repitentes</w:t>
            </w:r>
          </w:p>
        </w:tc>
        <w:tc>
          <w:tcPr>
            <w:tcW w:w="857" w:type="dxa"/>
            <w:tcBorders>
              <w:top w:val="nil"/>
              <w:right w:val="single" w:sz="6" w:space="0" w:color="FFFFFF"/>
            </w:tcBorders>
            <w:shd w:val="clear" w:color="auto" w:fill="5B9BD4"/>
          </w:tcPr>
          <w:p>
            <w:pPr>
              <w:pStyle w:val="TableParagraph"/>
              <w:ind w:left="278" w:right="77" w:hanging="17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Matricula</w:t>
            </w:r>
            <w:r>
              <w:rPr>
                <w:b/>
                <w:color w:val="FFFFFF"/>
                <w:spacing w:val="-3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final</w:t>
            </w:r>
          </w:p>
        </w:tc>
        <w:tc>
          <w:tcPr>
            <w:tcW w:w="1011" w:type="dxa"/>
            <w:tcBorders>
              <w:top w:val="nil"/>
              <w:left w:val="single" w:sz="6" w:space="0" w:color="FFFFFF"/>
            </w:tcBorders>
            <w:shd w:val="clear" w:color="auto" w:fill="5B9BD4"/>
          </w:tcPr>
          <w:p>
            <w:pPr>
              <w:pStyle w:val="TableParagraph"/>
              <w:spacing w:line="194" w:lineRule="exact"/>
              <w:ind w:left="85" w:right="7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Promovidos</w:t>
            </w:r>
          </w:p>
        </w:tc>
        <w:tc>
          <w:tcPr>
            <w:tcW w:w="1013" w:type="dxa"/>
            <w:tcBorders>
              <w:top w:val="nil"/>
            </w:tcBorders>
            <w:shd w:val="clear" w:color="auto" w:fill="5B9BD4"/>
          </w:tcPr>
          <w:p>
            <w:pPr>
              <w:pStyle w:val="TableParagraph"/>
              <w:ind w:left="107" w:right="80" w:firstLine="30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promovidos</w:t>
            </w:r>
          </w:p>
        </w:tc>
        <w:tc>
          <w:tcPr>
            <w:tcW w:w="855" w:type="dxa"/>
            <w:tcBorders>
              <w:top w:val="nil"/>
            </w:tcBorders>
            <w:shd w:val="clear" w:color="auto" w:fill="5B9BD4"/>
          </w:tcPr>
          <w:p>
            <w:pPr>
              <w:pStyle w:val="TableParagraph"/>
              <w:spacing w:line="194" w:lineRule="exact"/>
              <w:ind w:left="87" w:right="8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Retirados</w:t>
            </w:r>
          </w:p>
        </w:tc>
        <w:tc>
          <w:tcPr>
            <w:tcW w:w="938" w:type="dxa"/>
            <w:tcBorders>
              <w:top w:val="nil"/>
            </w:tcBorders>
            <w:shd w:val="clear" w:color="auto" w:fill="5B9BD4"/>
          </w:tcPr>
          <w:p>
            <w:pPr>
              <w:pStyle w:val="TableParagraph"/>
              <w:spacing w:line="194" w:lineRule="exact"/>
              <w:ind w:left="135" w:right="13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Docentes</w:t>
            </w:r>
          </w:p>
        </w:tc>
        <w:tc>
          <w:tcPr>
            <w:tcW w:w="1346" w:type="dxa"/>
            <w:tcBorders>
              <w:top w:val="nil"/>
            </w:tcBorders>
            <w:shd w:val="clear" w:color="auto" w:fill="5B9BD4"/>
          </w:tcPr>
          <w:p>
            <w:pPr>
              <w:pStyle w:val="TableParagraph"/>
              <w:spacing w:line="194" w:lineRule="exact"/>
              <w:ind w:left="88" w:right="7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Establecimientos</w:t>
            </w:r>
          </w:p>
        </w:tc>
      </w:tr>
      <w:tr>
        <w:trPr>
          <w:trHeight w:val="278" w:hRule="atLeast"/>
        </w:trPr>
        <w:tc>
          <w:tcPr>
            <w:tcW w:w="1080" w:type="dxa"/>
            <w:shd w:val="clear" w:color="auto" w:fill="5B9BD4"/>
          </w:tcPr>
          <w:p>
            <w:pPr>
              <w:pStyle w:val="TableParagraph"/>
              <w:spacing w:before="1"/>
              <w:ind w:left="1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</w:p>
        </w:tc>
        <w:tc>
          <w:tcPr>
            <w:tcW w:w="785" w:type="dxa"/>
            <w:shd w:val="clear" w:color="auto" w:fill="BCD5ED"/>
          </w:tcPr>
          <w:p>
            <w:pPr>
              <w:pStyle w:val="TableParagraph"/>
              <w:spacing w:before="1"/>
              <w:ind w:left="89" w:right="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4138868</w:t>
            </w:r>
          </w:p>
        </w:tc>
        <w:tc>
          <w:tcPr>
            <w:tcW w:w="934" w:type="dxa"/>
            <w:shd w:val="clear" w:color="auto" w:fill="BCD5ED"/>
          </w:tcPr>
          <w:p>
            <w:pPr>
              <w:pStyle w:val="TableParagraph"/>
              <w:spacing w:before="1"/>
              <w:ind w:left="87" w:right="7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252.350</w:t>
            </w:r>
          </w:p>
        </w:tc>
        <w:tc>
          <w:tcPr>
            <w:tcW w:w="902" w:type="dxa"/>
            <w:shd w:val="clear" w:color="auto" w:fill="BCD5ED"/>
          </w:tcPr>
          <w:p>
            <w:pPr>
              <w:pStyle w:val="TableParagraph"/>
              <w:spacing w:before="1"/>
              <w:ind w:left="165"/>
              <w:rPr>
                <w:b/>
                <w:sz w:val="16"/>
              </w:rPr>
            </w:pPr>
            <w:r>
              <w:rPr>
                <w:b/>
                <w:sz w:val="16"/>
              </w:rPr>
              <w:t>3886518</w:t>
            </w:r>
          </w:p>
        </w:tc>
        <w:tc>
          <w:tcPr>
            <w:tcW w:w="857" w:type="dxa"/>
            <w:tcBorders>
              <w:right w:val="single" w:sz="6" w:space="0" w:color="FFFFFF"/>
            </w:tcBorders>
            <w:shd w:val="clear" w:color="auto" w:fill="BCD5ED"/>
          </w:tcPr>
          <w:p>
            <w:pPr>
              <w:pStyle w:val="TableParagraph"/>
              <w:spacing w:before="1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4030077</w:t>
            </w:r>
          </w:p>
        </w:tc>
        <w:tc>
          <w:tcPr>
            <w:tcW w:w="1011" w:type="dxa"/>
            <w:tcBorders>
              <w:left w:val="single" w:sz="6" w:space="0" w:color="FFFFFF"/>
            </w:tcBorders>
            <w:shd w:val="clear" w:color="auto" w:fill="BCD5ED"/>
          </w:tcPr>
          <w:p>
            <w:pPr>
              <w:pStyle w:val="TableParagraph"/>
              <w:spacing w:before="1"/>
              <w:ind w:left="85" w:right="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3842379</w:t>
            </w:r>
          </w:p>
        </w:tc>
        <w:tc>
          <w:tcPr>
            <w:tcW w:w="1013" w:type="dxa"/>
            <w:shd w:val="clear" w:color="auto" w:fill="BCD5ED"/>
          </w:tcPr>
          <w:p>
            <w:pPr>
              <w:pStyle w:val="TableParagraph"/>
              <w:spacing w:before="1"/>
              <w:ind w:left="242" w:right="2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187698</w:t>
            </w:r>
          </w:p>
        </w:tc>
        <w:tc>
          <w:tcPr>
            <w:tcW w:w="855" w:type="dxa"/>
            <w:shd w:val="clear" w:color="auto" w:fill="BCD5ED"/>
          </w:tcPr>
          <w:p>
            <w:pPr>
              <w:pStyle w:val="TableParagraph"/>
              <w:spacing w:before="1"/>
              <w:ind w:left="87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108791</w:t>
            </w:r>
          </w:p>
        </w:tc>
        <w:tc>
          <w:tcPr>
            <w:tcW w:w="938" w:type="dxa"/>
            <w:shd w:val="clear" w:color="auto" w:fill="BCD5ED"/>
          </w:tcPr>
          <w:p>
            <w:pPr>
              <w:pStyle w:val="TableParagraph"/>
              <w:spacing w:before="1"/>
              <w:ind w:left="135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285289</w:t>
            </w:r>
          </w:p>
        </w:tc>
        <w:tc>
          <w:tcPr>
            <w:tcW w:w="1346" w:type="dxa"/>
            <w:shd w:val="clear" w:color="auto" w:fill="BCD5ED"/>
          </w:tcPr>
          <w:p>
            <w:pPr>
              <w:pStyle w:val="TableParagraph"/>
              <w:spacing w:before="1"/>
              <w:ind w:left="88" w:right="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49660</w:t>
            </w:r>
          </w:p>
        </w:tc>
      </w:tr>
      <w:tr>
        <w:trPr>
          <w:trHeight w:val="269" w:hRule="atLeast"/>
        </w:trPr>
        <w:tc>
          <w:tcPr>
            <w:tcW w:w="1080" w:type="dxa"/>
            <w:shd w:val="clear" w:color="auto" w:fill="5B9BD4"/>
          </w:tcPr>
          <w:p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Preprimaria</w:t>
            </w:r>
          </w:p>
        </w:tc>
        <w:tc>
          <w:tcPr>
            <w:tcW w:w="785" w:type="dxa"/>
            <w:shd w:val="clear" w:color="auto" w:fill="DEEAF6"/>
          </w:tcPr>
          <w:p>
            <w:pPr>
              <w:pStyle w:val="TableParagraph"/>
              <w:spacing w:line="194" w:lineRule="exact"/>
              <w:ind w:left="89" w:right="78"/>
              <w:jc w:val="center"/>
              <w:rPr>
                <w:sz w:val="16"/>
              </w:rPr>
            </w:pPr>
            <w:r>
              <w:rPr>
                <w:sz w:val="16"/>
              </w:rPr>
              <w:t>597195</w:t>
            </w:r>
          </w:p>
        </w:tc>
        <w:tc>
          <w:tcPr>
            <w:tcW w:w="934" w:type="dxa"/>
            <w:shd w:val="clear" w:color="auto" w:fill="DEEAF6"/>
          </w:tcPr>
          <w:p>
            <w:pPr>
              <w:pStyle w:val="TableParagraph"/>
              <w:spacing w:line="194" w:lineRule="exact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02" w:type="dxa"/>
            <w:shd w:val="clear" w:color="auto" w:fill="DEEAF6"/>
          </w:tcPr>
          <w:p>
            <w:pPr>
              <w:pStyle w:val="TableParagraph"/>
              <w:spacing w:line="194" w:lineRule="exact"/>
              <w:ind w:left="206"/>
              <w:rPr>
                <w:sz w:val="16"/>
              </w:rPr>
            </w:pPr>
            <w:r>
              <w:rPr>
                <w:sz w:val="16"/>
              </w:rPr>
              <w:t>597192</w:t>
            </w:r>
          </w:p>
        </w:tc>
        <w:tc>
          <w:tcPr>
            <w:tcW w:w="857" w:type="dxa"/>
            <w:tcBorders>
              <w:right w:val="single" w:sz="6" w:space="0" w:color="FFFFFF"/>
            </w:tcBorders>
            <w:shd w:val="clear" w:color="auto" w:fill="DEEAF6"/>
          </w:tcPr>
          <w:p>
            <w:pPr>
              <w:pStyle w:val="TableParagraph"/>
              <w:spacing w:line="194" w:lineRule="exact"/>
              <w:ind w:left="182"/>
              <w:rPr>
                <w:sz w:val="16"/>
              </w:rPr>
            </w:pPr>
            <w:r>
              <w:rPr>
                <w:sz w:val="16"/>
              </w:rPr>
              <w:t>581265</w:t>
            </w:r>
          </w:p>
        </w:tc>
        <w:tc>
          <w:tcPr>
            <w:tcW w:w="1011" w:type="dxa"/>
            <w:tcBorders>
              <w:left w:val="single" w:sz="6" w:space="0" w:color="FFFFFF"/>
            </w:tcBorders>
            <w:shd w:val="clear" w:color="auto" w:fill="DEEAF6"/>
          </w:tcPr>
          <w:p>
            <w:pPr>
              <w:pStyle w:val="TableParagraph"/>
              <w:spacing w:line="194" w:lineRule="exact"/>
              <w:ind w:left="85" w:right="76"/>
              <w:jc w:val="center"/>
              <w:rPr>
                <w:sz w:val="16"/>
              </w:rPr>
            </w:pPr>
            <w:r>
              <w:rPr>
                <w:sz w:val="16"/>
              </w:rPr>
              <w:t>581265</w:t>
            </w:r>
          </w:p>
        </w:tc>
        <w:tc>
          <w:tcPr>
            <w:tcW w:w="1013" w:type="dxa"/>
            <w:shd w:val="clear" w:color="auto" w:fill="DEEAF6"/>
          </w:tcPr>
          <w:p>
            <w:pPr>
              <w:pStyle w:val="TableParagraph"/>
              <w:spacing w:line="194" w:lineRule="exact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5" w:type="dxa"/>
            <w:shd w:val="clear" w:color="auto" w:fill="DEEAF6"/>
          </w:tcPr>
          <w:p>
            <w:pPr>
              <w:pStyle w:val="TableParagraph"/>
              <w:spacing w:line="194" w:lineRule="exact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15930</w:t>
            </w:r>
          </w:p>
        </w:tc>
        <w:tc>
          <w:tcPr>
            <w:tcW w:w="938" w:type="dxa"/>
            <w:shd w:val="clear" w:color="auto" w:fill="DEEAF6"/>
          </w:tcPr>
          <w:p>
            <w:pPr>
              <w:pStyle w:val="TableParagraph"/>
              <w:spacing w:line="194" w:lineRule="exact"/>
              <w:ind w:left="135" w:right="128"/>
              <w:jc w:val="center"/>
              <w:rPr>
                <w:sz w:val="16"/>
              </w:rPr>
            </w:pPr>
            <w:r>
              <w:rPr>
                <w:sz w:val="16"/>
              </w:rPr>
              <w:t>47699</w:t>
            </w:r>
          </w:p>
        </w:tc>
        <w:tc>
          <w:tcPr>
            <w:tcW w:w="1346" w:type="dxa"/>
            <w:shd w:val="clear" w:color="auto" w:fill="DEEAF6"/>
          </w:tcPr>
          <w:p>
            <w:pPr>
              <w:pStyle w:val="TableParagraph"/>
              <w:spacing w:line="194" w:lineRule="exact"/>
              <w:ind w:left="88" w:right="76"/>
              <w:jc w:val="center"/>
              <w:rPr>
                <w:sz w:val="16"/>
              </w:rPr>
            </w:pPr>
            <w:r>
              <w:rPr>
                <w:sz w:val="16"/>
              </w:rPr>
              <w:t>16301</w:t>
            </w:r>
          </w:p>
        </w:tc>
      </w:tr>
      <w:tr>
        <w:trPr>
          <w:trHeight w:val="258" w:hRule="atLeast"/>
        </w:trPr>
        <w:tc>
          <w:tcPr>
            <w:tcW w:w="1080" w:type="dxa"/>
            <w:shd w:val="clear" w:color="auto" w:fill="5B9BD4"/>
          </w:tcPr>
          <w:p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Primaria</w:t>
            </w:r>
          </w:p>
        </w:tc>
        <w:tc>
          <w:tcPr>
            <w:tcW w:w="785" w:type="dxa"/>
            <w:shd w:val="clear" w:color="auto" w:fill="BCD5ED"/>
          </w:tcPr>
          <w:p>
            <w:pPr>
              <w:pStyle w:val="TableParagraph"/>
              <w:spacing w:line="194" w:lineRule="exact"/>
              <w:ind w:left="89" w:right="78"/>
              <w:jc w:val="center"/>
              <w:rPr>
                <w:sz w:val="16"/>
              </w:rPr>
            </w:pPr>
            <w:r>
              <w:rPr>
                <w:sz w:val="16"/>
              </w:rPr>
              <w:t>2348398</w:t>
            </w:r>
          </w:p>
        </w:tc>
        <w:tc>
          <w:tcPr>
            <w:tcW w:w="934" w:type="dxa"/>
            <w:shd w:val="clear" w:color="auto" w:fill="BCD5ED"/>
          </w:tcPr>
          <w:p>
            <w:pPr>
              <w:pStyle w:val="TableParagraph"/>
              <w:spacing w:line="194" w:lineRule="exact"/>
              <w:ind w:left="86" w:right="78"/>
              <w:jc w:val="center"/>
              <w:rPr>
                <w:sz w:val="16"/>
              </w:rPr>
            </w:pPr>
            <w:r>
              <w:rPr>
                <w:sz w:val="16"/>
              </w:rPr>
              <w:t>207.139</w:t>
            </w:r>
          </w:p>
        </w:tc>
        <w:tc>
          <w:tcPr>
            <w:tcW w:w="902" w:type="dxa"/>
            <w:shd w:val="clear" w:color="auto" w:fill="BCD5ED"/>
          </w:tcPr>
          <w:p>
            <w:pPr>
              <w:pStyle w:val="TableParagraph"/>
              <w:spacing w:line="194" w:lineRule="exact"/>
              <w:ind w:left="165"/>
              <w:rPr>
                <w:sz w:val="16"/>
              </w:rPr>
            </w:pPr>
            <w:r>
              <w:rPr>
                <w:sz w:val="16"/>
              </w:rPr>
              <w:t>2141259</w:t>
            </w:r>
          </w:p>
        </w:tc>
        <w:tc>
          <w:tcPr>
            <w:tcW w:w="857" w:type="dxa"/>
            <w:tcBorders>
              <w:right w:val="single" w:sz="6" w:space="0" w:color="FFFFFF"/>
            </w:tcBorders>
            <w:shd w:val="clear" w:color="auto" w:fill="BCD5ED"/>
          </w:tcPr>
          <w:p>
            <w:pPr>
              <w:pStyle w:val="TableParagraph"/>
              <w:spacing w:line="194" w:lineRule="exact"/>
              <w:ind w:left="141"/>
              <w:rPr>
                <w:sz w:val="16"/>
              </w:rPr>
            </w:pPr>
            <w:r>
              <w:rPr>
                <w:sz w:val="16"/>
              </w:rPr>
              <w:t>2315213</w:t>
            </w:r>
          </w:p>
        </w:tc>
        <w:tc>
          <w:tcPr>
            <w:tcW w:w="1011" w:type="dxa"/>
            <w:tcBorders>
              <w:left w:val="single" w:sz="6" w:space="0" w:color="FFFFFF"/>
            </w:tcBorders>
            <w:shd w:val="clear" w:color="auto" w:fill="BCD5ED"/>
          </w:tcPr>
          <w:p>
            <w:pPr>
              <w:pStyle w:val="TableParagraph"/>
              <w:spacing w:line="194" w:lineRule="exact"/>
              <w:ind w:left="85" w:right="76"/>
              <w:jc w:val="center"/>
              <w:rPr>
                <w:sz w:val="16"/>
              </w:rPr>
            </w:pPr>
            <w:r>
              <w:rPr>
                <w:sz w:val="16"/>
              </w:rPr>
              <w:t>2275709</w:t>
            </w:r>
          </w:p>
        </w:tc>
        <w:tc>
          <w:tcPr>
            <w:tcW w:w="1013" w:type="dxa"/>
            <w:shd w:val="clear" w:color="auto" w:fill="BCD5ED"/>
          </w:tcPr>
          <w:p>
            <w:pPr>
              <w:pStyle w:val="TableParagraph"/>
              <w:spacing w:line="194" w:lineRule="exact"/>
              <w:ind w:left="242" w:right="233"/>
              <w:jc w:val="center"/>
              <w:rPr>
                <w:sz w:val="16"/>
              </w:rPr>
            </w:pPr>
            <w:r>
              <w:rPr>
                <w:sz w:val="16"/>
              </w:rPr>
              <w:t>39504</w:t>
            </w:r>
          </w:p>
        </w:tc>
        <w:tc>
          <w:tcPr>
            <w:tcW w:w="855" w:type="dxa"/>
            <w:shd w:val="clear" w:color="auto" w:fill="BCD5ED"/>
          </w:tcPr>
          <w:p>
            <w:pPr>
              <w:pStyle w:val="TableParagraph"/>
              <w:spacing w:line="194" w:lineRule="exact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33185</w:t>
            </w:r>
          </w:p>
        </w:tc>
        <w:tc>
          <w:tcPr>
            <w:tcW w:w="938" w:type="dxa"/>
            <w:shd w:val="clear" w:color="auto" w:fill="BCD5ED"/>
          </w:tcPr>
          <w:p>
            <w:pPr>
              <w:pStyle w:val="TableParagraph"/>
              <w:spacing w:line="194" w:lineRule="exact"/>
              <w:ind w:left="135" w:right="128"/>
              <w:jc w:val="center"/>
              <w:rPr>
                <w:sz w:val="16"/>
              </w:rPr>
            </w:pPr>
            <w:r>
              <w:rPr>
                <w:sz w:val="16"/>
              </w:rPr>
              <w:t>115969</w:t>
            </w:r>
          </w:p>
        </w:tc>
        <w:tc>
          <w:tcPr>
            <w:tcW w:w="1346" w:type="dxa"/>
            <w:shd w:val="clear" w:color="auto" w:fill="BCD5ED"/>
          </w:tcPr>
          <w:p>
            <w:pPr>
              <w:pStyle w:val="TableParagraph"/>
              <w:spacing w:line="194" w:lineRule="exact"/>
              <w:ind w:left="88" w:right="76"/>
              <w:jc w:val="center"/>
              <w:rPr>
                <w:sz w:val="16"/>
              </w:rPr>
            </w:pPr>
            <w:r>
              <w:rPr>
                <w:sz w:val="16"/>
              </w:rPr>
              <w:t>19420</w:t>
            </w:r>
          </w:p>
        </w:tc>
      </w:tr>
      <w:tr>
        <w:trPr>
          <w:trHeight w:val="390" w:hRule="atLeast"/>
        </w:trPr>
        <w:tc>
          <w:tcPr>
            <w:tcW w:w="1080" w:type="dxa"/>
            <w:shd w:val="clear" w:color="auto" w:fill="5B9BD4"/>
          </w:tcPr>
          <w:p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Primaria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de</w:t>
            </w:r>
          </w:p>
          <w:p>
            <w:pPr>
              <w:pStyle w:val="TableParagraph"/>
              <w:spacing w:line="175" w:lineRule="exact" w:before="1"/>
              <w:ind w:left="1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adultos</w:t>
            </w:r>
          </w:p>
        </w:tc>
        <w:tc>
          <w:tcPr>
            <w:tcW w:w="785" w:type="dxa"/>
            <w:shd w:val="clear" w:color="auto" w:fill="DEEAF6"/>
          </w:tcPr>
          <w:p>
            <w:pPr>
              <w:pStyle w:val="TableParagraph"/>
              <w:spacing w:line="194" w:lineRule="exact"/>
              <w:ind w:left="89" w:right="78"/>
              <w:jc w:val="center"/>
              <w:rPr>
                <w:sz w:val="16"/>
              </w:rPr>
            </w:pPr>
            <w:r>
              <w:rPr>
                <w:sz w:val="16"/>
              </w:rPr>
              <w:t>15420</w:t>
            </w:r>
          </w:p>
        </w:tc>
        <w:tc>
          <w:tcPr>
            <w:tcW w:w="934" w:type="dxa"/>
            <w:shd w:val="clear" w:color="auto" w:fill="DEEAF6"/>
          </w:tcPr>
          <w:p>
            <w:pPr>
              <w:pStyle w:val="TableParagraph"/>
              <w:spacing w:line="194" w:lineRule="exact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1.109</w:t>
            </w:r>
          </w:p>
        </w:tc>
        <w:tc>
          <w:tcPr>
            <w:tcW w:w="902" w:type="dxa"/>
            <w:shd w:val="clear" w:color="auto" w:fill="DEEAF6"/>
          </w:tcPr>
          <w:p>
            <w:pPr>
              <w:pStyle w:val="TableParagraph"/>
              <w:spacing w:line="194" w:lineRule="exact"/>
              <w:ind w:left="246"/>
              <w:rPr>
                <w:sz w:val="16"/>
              </w:rPr>
            </w:pPr>
            <w:r>
              <w:rPr>
                <w:sz w:val="16"/>
              </w:rPr>
              <w:t>14311</w:t>
            </w:r>
          </w:p>
        </w:tc>
        <w:tc>
          <w:tcPr>
            <w:tcW w:w="857" w:type="dxa"/>
            <w:tcBorders>
              <w:right w:val="single" w:sz="6" w:space="0" w:color="FFFFFF"/>
            </w:tcBorders>
            <w:shd w:val="clear" w:color="auto" w:fill="DEEAF6"/>
          </w:tcPr>
          <w:p>
            <w:pPr>
              <w:pStyle w:val="TableParagraph"/>
              <w:spacing w:line="194" w:lineRule="exact"/>
              <w:ind w:left="223"/>
              <w:rPr>
                <w:sz w:val="16"/>
              </w:rPr>
            </w:pPr>
            <w:r>
              <w:rPr>
                <w:sz w:val="16"/>
              </w:rPr>
              <w:t>13437</w:t>
            </w:r>
          </w:p>
        </w:tc>
        <w:tc>
          <w:tcPr>
            <w:tcW w:w="1011" w:type="dxa"/>
            <w:tcBorders>
              <w:left w:val="single" w:sz="6" w:space="0" w:color="FFFFFF"/>
            </w:tcBorders>
            <w:shd w:val="clear" w:color="auto" w:fill="DEEAF6"/>
          </w:tcPr>
          <w:p>
            <w:pPr>
              <w:pStyle w:val="TableParagraph"/>
              <w:spacing w:line="194" w:lineRule="exact"/>
              <w:ind w:left="85" w:right="76"/>
              <w:jc w:val="center"/>
              <w:rPr>
                <w:sz w:val="16"/>
              </w:rPr>
            </w:pPr>
            <w:r>
              <w:rPr>
                <w:sz w:val="16"/>
              </w:rPr>
              <w:t>12051</w:t>
            </w:r>
          </w:p>
        </w:tc>
        <w:tc>
          <w:tcPr>
            <w:tcW w:w="1013" w:type="dxa"/>
            <w:shd w:val="clear" w:color="auto" w:fill="DEEAF6"/>
          </w:tcPr>
          <w:p>
            <w:pPr>
              <w:pStyle w:val="TableParagraph"/>
              <w:spacing w:line="194" w:lineRule="exact"/>
              <w:ind w:left="242" w:right="233"/>
              <w:jc w:val="center"/>
              <w:rPr>
                <w:sz w:val="16"/>
              </w:rPr>
            </w:pPr>
            <w:r>
              <w:rPr>
                <w:sz w:val="16"/>
              </w:rPr>
              <w:t>1386</w:t>
            </w:r>
          </w:p>
        </w:tc>
        <w:tc>
          <w:tcPr>
            <w:tcW w:w="855" w:type="dxa"/>
            <w:shd w:val="clear" w:color="auto" w:fill="DEEAF6"/>
          </w:tcPr>
          <w:p>
            <w:pPr>
              <w:pStyle w:val="TableParagraph"/>
              <w:spacing w:line="194" w:lineRule="exact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1983</w:t>
            </w:r>
          </w:p>
        </w:tc>
        <w:tc>
          <w:tcPr>
            <w:tcW w:w="938" w:type="dxa"/>
            <w:shd w:val="clear" w:color="auto" w:fill="DEEAF6"/>
          </w:tcPr>
          <w:p>
            <w:pPr>
              <w:pStyle w:val="TableParagraph"/>
              <w:spacing w:line="194" w:lineRule="exact"/>
              <w:ind w:left="135" w:right="128"/>
              <w:jc w:val="center"/>
              <w:rPr>
                <w:sz w:val="16"/>
              </w:rPr>
            </w:pPr>
            <w:r>
              <w:rPr>
                <w:sz w:val="16"/>
              </w:rPr>
              <w:t>1147</w:t>
            </w:r>
          </w:p>
        </w:tc>
        <w:tc>
          <w:tcPr>
            <w:tcW w:w="1346" w:type="dxa"/>
            <w:shd w:val="clear" w:color="auto" w:fill="DEEAF6"/>
          </w:tcPr>
          <w:p>
            <w:pPr>
              <w:pStyle w:val="TableParagraph"/>
              <w:spacing w:line="194" w:lineRule="exact"/>
              <w:ind w:left="88" w:right="76"/>
              <w:jc w:val="center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</w:tr>
      <w:tr>
        <w:trPr>
          <w:trHeight w:val="371" w:hRule="atLeast"/>
        </w:trPr>
        <w:tc>
          <w:tcPr>
            <w:tcW w:w="1080" w:type="dxa"/>
            <w:shd w:val="clear" w:color="auto" w:fill="5B9BD4"/>
          </w:tcPr>
          <w:p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Básico</w:t>
            </w:r>
          </w:p>
        </w:tc>
        <w:tc>
          <w:tcPr>
            <w:tcW w:w="785" w:type="dxa"/>
            <w:shd w:val="clear" w:color="auto" w:fill="BCD5ED"/>
          </w:tcPr>
          <w:p>
            <w:pPr>
              <w:pStyle w:val="TableParagraph"/>
              <w:spacing w:line="194" w:lineRule="exact"/>
              <w:ind w:left="89" w:right="78"/>
              <w:jc w:val="center"/>
              <w:rPr>
                <w:sz w:val="16"/>
              </w:rPr>
            </w:pPr>
            <w:r>
              <w:rPr>
                <w:sz w:val="16"/>
              </w:rPr>
              <w:t>763561</w:t>
            </w:r>
          </w:p>
        </w:tc>
        <w:tc>
          <w:tcPr>
            <w:tcW w:w="934" w:type="dxa"/>
            <w:shd w:val="clear" w:color="auto" w:fill="BCD5ED"/>
          </w:tcPr>
          <w:p>
            <w:pPr>
              <w:pStyle w:val="TableParagraph"/>
              <w:spacing w:line="194" w:lineRule="exact"/>
              <w:ind w:left="86" w:right="78"/>
              <w:jc w:val="center"/>
              <w:rPr>
                <w:sz w:val="16"/>
              </w:rPr>
            </w:pPr>
            <w:r>
              <w:rPr>
                <w:sz w:val="16"/>
              </w:rPr>
              <w:t>35.445</w:t>
            </w:r>
          </w:p>
        </w:tc>
        <w:tc>
          <w:tcPr>
            <w:tcW w:w="902" w:type="dxa"/>
            <w:shd w:val="clear" w:color="auto" w:fill="BCD5ED"/>
          </w:tcPr>
          <w:p>
            <w:pPr>
              <w:pStyle w:val="TableParagraph"/>
              <w:spacing w:line="194" w:lineRule="exact"/>
              <w:ind w:left="206"/>
              <w:rPr>
                <w:sz w:val="16"/>
              </w:rPr>
            </w:pPr>
            <w:r>
              <w:rPr>
                <w:sz w:val="16"/>
              </w:rPr>
              <w:t>728116</w:t>
            </w:r>
          </w:p>
        </w:tc>
        <w:tc>
          <w:tcPr>
            <w:tcW w:w="857" w:type="dxa"/>
            <w:tcBorders>
              <w:right w:val="single" w:sz="6" w:space="0" w:color="FFFFFF"/>
            </w:tcBorders>
            <w:shd w:val="clear" w:color="auto" w:fill="BCD5ED"/>
          </w:tcPr>
          <w:p>
            <w:pPr>
              <w:pStyle w:val="TableParagraph"/>
              <w:spacing w:line="194" w:lineRule="exact"/>
              <w:ind w:left="182"/>
              <w:rPr>
                <w:sz w:val="16"/>
              </w:rPr>
            </w:pPr>
            <w:r>
              <w:rPr>
                <w:sz w:val="16"/>
              </w:rPr>
              <w:t>728676</w:t>
            </w:r>
          </w:p>
        </w:tc>
        <w:tc>
          <w:tcPr>
            <w:tcW w:w="1011" w:type="dxa"/>
            <w:tcBorders>
              <w:left w:val="single" w:sz="6" w:space="0" w:color="FFFFFF"/>
            </w:tcBorders>
            <w:shd w:val="clear" w:color="auto" w:fill="BCD5ED"/>
          </w:tcPr>
          <w:p>
            <w:pPr>
              <w:pStyle w:val="TableParagraph"/>
              <w:spacing w:line="194" w:lineRule="exact"/>
              <w:ind w:left="85" w:right="76"/>
              <w:jc w:val="center"/>
              <w:rPr>
                <w:sz w:val="16"/>
              </w:rPr>
            </w:pPr>
            <w:r>
              <w:rPr>
                <w:sz w:val="16"/>
              </w:rPr>
              <w:t>631595</w:t>
            </w:r>
          </w:p>
        </w:tc>
        <w:tc>
          <w:tcPr>
            <w:tcW w:w="1013" w:type="dxa"/>
            <w:shd w:val="clear" w:color="auto" w:fill="BCD5ED"/>
          </w:tcPr>
          <w:p>
            <w:pPr>
              <w:pStyle w:val="TableParagraph"/>
              <w:spacing w:line="194" w:lineRule="exact"/>
              <w:ind w:left="242" w:right="233"/>
              <w:jc w:val="center"/>
              <w:rPr>
                <w:sz w:val="16"/>
              </w:rPr>
            </w:pPr>
            <w:r>
              <w:rPr>
                <w:sz w:val="16"/>
              </w:rPr>
              <w:t>97081</w:t>
            </w:r>
          </w:p>
        </w:tc>
        <w:tc>
          <w:tcPr>
            <w:tcW w:w="855" w:type="dxa"/>
            <w:shd w:val="clear" w:color="auto" w:fill="BCD5ED"/>
          </w:tcPr>
          <w:p>
            <w:pPr>
              <w:pStyle w:val="TableParagraph"/>
              <w:spacing w:line="194" w:lineRule="exact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34885</w:t>
            </w:r>
          </w:p>
        </w:tc>
        <w:tc>
          <w:tcPr>
            <w:tcW w:w="938" w:type="dxa"/>
            <w:shd w:val="clear" w:color="auto" w:fill="BCD5ED"/>
          </w:tcPr>
          <w:p>
            <w:pPr>
              <w:pStyle w:val="TableParagraph"/>
              <w:spacing w:line="194" w:lineRule="exact"/>
              <w:ind w:left="135" w:right="128"/>
              <w:jc w:val="center"/>
              <w:rPr>
                <w:sz w:val="16"/>
              </w:rPr>
            </w:pPr>
            <w:r>
              <w:rPr>
                <w:sz w:val="16"/>
              </w:rPr>
              <w:t>65716</w:t>
            </w:r>
          </w:p>
        </w:tc>
        <w:tc>
          <w:tcPr>
            <w:tcW w:w="1346" w:type="dxa"/>
            <w:shd w:val="clear" w:color="auto" w:fill="BCD5ED"/>
          </w:tcPr>
          <w:p>
            <w:pPr>
              <w:pStyle w:val="TableParagraph"/>
              <w:spacing w:line="194" w:lineRule="exact"/>
              <w:ind w:left="88" w:right="76"/>
              <w:jc w:val="center"/>
              <w:rPr>
                <w:sz w:val="16"/>
              </w:rPr>
            </w:pPr>
            <w:r>
              <w:rPr>
                <w:sz w:val="16"/>
              </w:rPr>
              <w:t>8589</w:t>
            </w:r>
          </w:p>
        </w:tc>
      </w:tr>
      <w:tr>
        <w:trPr>
          <w:trHeight w:val="373" w:hRule="atLeast"/>
        </w:trPr>
        <w:tc>
          <w:tcPr>
            <w:tcW w:w="1080" w:type="dxa"/>
            <w:shd w:val="clear" w:color="auto" w:fill="5B9BD4"/>
          </w:tcPr>
          <w:p>
            <w:pPr>
              <w:pStyle w:val="TableParagraph"/>
              <w:spacing w:before="1"/>
              <w:ind w:left="1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Diversificado</w:t>
            </w:r>
          </w:p>
        </w:tc>
        <w:tc>
          <w:tcPr>
            <w:tcW w:w="785" w:type="dxa"/>
            <w:shd w:val="clear" w:color="auto" w:fill="DEEAF6"/>
          </w:tcPr>
          <w:p>
            <w:pPr>
              <w:pStyle w:val="TableParagraph"/>
              <w:spacing w:before="1"/>
              <w:ind w:left="89" w:right="78"/>
              <w:jc w:val="center"/>
              <w:rPr>
                <w:sz w:val="16"/>
              </w:rPr>
            </w:pPr>
            <w:r>
              <w:rPr>
                <w:sz w:val="16"/>
              </w:rPr>
              <w:t>414294</w:t>
            </w:r>
          </w:p>
        </w:tc>
        <w:tc>
          <w:tcPr>
            <w:tcW w:w="934" w:type="dxa"/>
            <w:shd w:val="clear" w:color="auto" w:fill="DEEAF6"/>
          </w:tcPr>
          <w:p>
            <w:pPr>
              <w:pStyle w:val="TableParagraph"/>
              <w:spacing w:before="1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8.654</w:t>
            </w:r>
          </w:p>
        </w:tc>
        <w:tc>
          <w:tcPr>
            <w:tcW w:w="902" w:type="dxa"/>
            <w:shd w:val="clear" w:color="auto" w:fill="DEEAF6"/>
          </w:tcPr>
          <w:p>
            <w:pPr>
              <w:pStyle w:val="TableParagraph"/>
              <w:spacing w:before="1"/>
              <w:ind w:left="206"/>
              <w:rPr>
                <w:sz w:val="16"/>
              </w:rPr>
            </w:pPr>
            <w:r>
              <w:rPr>
                <w:sz w:val="16"/>
              </w:rPr>
              <w:t>405640</w:t>
            </w:r>
          </w:p>
        </w:tc>
        <w:tc>
          <w:tcPr>
            <w:tcW w:w="857" w:type="dxa"/>
            <w:tcBorders>
              <w:right w:val="single" w:sz="6" w:space="0" w:color="FFFFFF"/>
            </w:tcBorders>
            <w:shd w:val="clear" w:color="auto" w:fill="DEEAF6"/>
          </w:tcPr>
          <w:p>
            <w:pPr>
              <w:pStyle w:val="TableParagraph"/>
              <w:spacing w:before="1"/>
              <w:ind w:left="182"/>
              <w:rPr>
                <w:sz w:val="16"/>
              </w:rPr>
            </w:pPr>
            <w:r>
              <w:rPr>
                <w:sz w:val="16"/>
              </w:rPr>
              <w:t>391486</w:t>
            </w:r>
          </w:p>
        </w:tc>
        <w:tc>
          <w:tcPr>
            <w:tcW w:w="1011" w:type="dxa"/>
            <w:tcBorders>
              <w:left w:val="single" w:sz="6" w:space="0" w:color="FFFFFF"/>
            </w:tcBorders>
            <w:shd w:val="clear" w:color="auto" w:fill="DEEAF6"/>
          </w:tcPr>
          <w:p>
            <w:pPr>
              <w:pStyle w:val="TableParagraph"/>
              <w:spacing w:before="1"/>
              <w:ind w:left="85" w:right="76"/>
              <w:jc w:val="center"/>
              <w:rPr>
                <w:sz w:val="16"/>
              </w:rPr>
            </w:pPr>
            <w:r>
              <w:rPr>
                <w:sz w:val="16"/>
              </w:rPr>
              <w:t>341759</w:t>
            </w:r>
          </w:p>
        </w:tc>
        <w:tc>
          <w:tcPr>
            <w:tcW w:w="1013" w:type="dxa"/>
            <w:shd w:val="clear" w:color="auto" w:fill="DEEAF6"/>
          </w:tcPr>
          <w:p>
            <w:pPr>
              <w:pStyle w:val="TableParagraph"/>
              <w:spacing w:before="1"/>
              <w:ind w:left="242" w:right="233"/>
              <w:jc w:val="center"/>
              <w:rPr>
                <w:sz w:val="16"/>
              </w:rPr>
            </w:pPr>
            <w:r>
              <w:rPr>
                <w:sz w:val="16"/>
              </w:rPr>
              <w:t>49727</w:t>
            </w:r>
          </w:p>
        </w:tc>
        <w:tc>
          <w:tcPr>
            <w:tcW w:w="855" w:type="dxa"/>
            <w:shd w:val="clear" w:color="auto" w:fill="DEEAF6"/>
          </w:tcPr>
          <w:p>
            <w:pPr>
              <w:pStyle w:val="TableParagraph"/>
              <w:spacing w:before="1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22808</w:t>
            </w:r>
          </w:p>
        </w:tc>
        <w:tc>
          <w:tcPr>
            <w:tcW w:w="938" w:type="dxa"/>
            <w:shd w:val="clear" w:color="auto" w:fill="DEEAF6"/>
          </w:tcPr>
          <w:p>
            <w:pPr>
              <w:pStyle w:val="TableParagraph"/>
              <w:spacing w:before="1"/>
              <w:ind w:left="135" w:right="128"/>
              <w:jc w:val="center"/>
              <w:rPr>
                <w:sz w:val="16"/>
              </w:rPr>
            </w:pPr>
            <w:r>
              <w:rPr>
                <w:sz w:val="16"/>
              </w:rPr>
              <w:t>54758</w:t>
            </w:r>
          </w:p>
        </w:tc>
        <w:tc>
          <w:tcPr>
            <w:tcW w:w="1346" w:type="dxa"/>
            <w:shd w:val="clear" w:color="auto" w:fill="DEEAF6"/>
          </w:tcPr>
          <w:p>
            <w:pPr>
              <w:pStyle w:val="TableParagraph"/>
              <w:spacing w:before="1"/>
              <w:ind w:left="88" w:right="76"/>
              <w:jc w:val="center"/>
              <w:rPr>
                <w:sz w:val="16"/>
              </w:rPr>
            </w:pPr>
            <w:r>
              <w:rPr>
                <w:sz w:val="16"/>
              </w:rPr>
              <w:t>5027</w:t>
            </w:r>
          </w:p>
        </w:tc>
      </w:tr>
    </w:tbl>
    <w:p>
      <w:pPr>
        <w:spacing w:before="0"/>
        <w:ind w:left="1418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4"/>
          <w:sz w:val="16"/>
        </w:rPr>
        <w:t> </w:t>
      </w:r>
      <w:r>
        <w:rPr>
          <w:sz w:val="16"/>
        </w:rPr>
        <w:t>Estadísticas</w:t>
      </w:r>
      <w:r>
        <w:rPr>
          <w:spacing w:val="-4"/>
          <w:sz w:val="16"/>
        </w:rPr>
        <w:t> </w:t>
      </w:r>
      <w:r>
        <w:rPr>
          <w:sz w:val="16"/>
        </w:rPr>
        <w:t>2020</w:t>
      </w:r>
      <w:r>
        <w:rPr>
          <w:spacing w:val="-4"/>
          <w:sz w:val="16"/>
        </w:rPr>
        <w:t> </w:t>
      </w:r>
      <w:r>
        <w:rPr>
          <w:sz w:val="16"/>
        </w:rPr>
        <w:t>Mineduc.</w:t>
      </w:r>
    </w:p>
    <w:p>
      <w:pPr>
        <w:pStyle w:val="BodyText"/>
        <w:rPr>
          <w:sz w:val="20"/>
        </w:rPr>
      </w:pPr>
    </w:p>
    <w:p>
      <w:pPr>
        <w:spacing w:before="1"/>
        <w:ind w:left="1839" w:right="1988" w:firstLine="0"/>
        <w:jc w:val="center"/>
        <w:rPr>
          <w:sz w:val="20"/>
        </w:rPr>
      </w:pPr>
      <w:bookmarkStart w:name="_bookmark3" w:id="5"/>
      <w:bookmarkEnd w:id="5"/>
      <w:r>
        <w:rPr/>
      </w:r>
      <w:r>
        <w:rPr>
          <w:sz w:val="20"/>
        </w:rPr>
        <w:t>Tabla</w:t>
      </w:r>
      <w:r>
        <w:rPr>
          <w:spacing w:val="-2"/>
          <w:sz w:val="20"/>
        </w:rPr>
        <w:t> </w:t>
      </w:r>
      <w:r>
        <w:rPr>
          <w:sz w:val="20"/>
        </w:rPr>
        <w:t>2</w:t>
      </w:r>
      <w:r>
        <w:rPr>
          <w:spacing w:val="-2"/>
          <w:sz w:val="20"/>
        </w:rPr>
        <w:t> </w:t>
      </w:r>
      <w:r>
        <w:rPr>
          <w:sz w:val="20"/>
        </w:rPr>
        <w:t>Principales</w:t>
      </w:r>
      <w:r>
        <w:rPr>
          <w:spacing w:val="-4"/>
          <w:sz w:val="20"/>
        </w:rPr>
        <w:t> </w:t>
      </w:r>
      <w:r>
        <w:rPr>
          <w:sz w:val="20"/>
        </w:rPr>
        <w:t>indicadores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educación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Guatemala.</w:t>
      </w:r>
      <w:r>
        <w:rPr>
          <w:spacing w:val="3"/>
          <w:sz w:val="20"/>
        </w:rPr>
        <w:t> </w:t>
      </w:r>
      <w:r>
        <w:rPr>
          <w:sz w:val="20"/>
        </w:rPr>
        <w:t>2020</w:t>
      </w:r>
    </w:p>
    <w:tbl>
      <w:tblPr>
        <w:tblW w:w="0" w:type="auto"/>
        <w:jc w:val="left"/>
        <w:tblInd w:w="142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2439"/>
        <w:gridCol w:w="1277"/>
        <w:gridCol w:w="608"/>
        <w:gridCol w:w="281"/>
        <w:gridCol w:w="1805"/>
        <w:gridCol w:w="829"/>
        <w:gridCol w:w="1299"/>
      </w:tblGrid>
      <w:tr>
        <w:trPr>
          <w:trHeight w:val="338" w:hRule="atLeast"/>
        </w:trPr>
        <w:tc>
          <w:tcPr>
            <w:tcW w:w="533" w:type="dxa"/>
            <w:tcBorders>
              <w:right w:val="nil"/>
            </w:tcBorders>
            <w:shd w:val="clear" w:color="auto" w:fill="5B9BD4"/>
          </w:tcPr>
          <w:p>
            <w:pPr>
              <w:pStyle w:val="TableParagraph"/>
              <w:spacing w:line="199" w:lineRule="exact" w:before="119"/>
              <w:ind w:right="131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No.</w:t>
            </w:r>
          </w:p>
        </w:tc>
        <w:tc>
          <w:tcPr>
            <w:tcW w:w="2439" w:type="dxa"/>
            <w:tcBorders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199" w:lineRule="exact" w:before="119"/>
              <w:ind w:left="78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Indicadores</w:t>
            </w: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8" w:type="dxa"/>
            <w:tcBorders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1" w:type="dxa"/>
            <w:tcBorders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5" w:type="dxa"/>
            <w:tcBorders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199" w:lineRule="exact" w:before="119"/>
              <w:ind w:left="586" w:right="61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Valores</w:t>
            </w:r>
          </w:p>
        </w:tc>
        <w:tc>
          <w:tcPr>
            <w:tcW w:w="829" w:type="dxa"/>
            <w:tcBorders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  <w:tcBorders>
              <w:left w:val="nil"/>
            </w:tcBorders>
            <w:shd w:val="clear" w:color="auto" w:fill="5B9B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0" w:hRule="atLeast"/>
        </w:trPr>
        <w:tc>
          <w:tcPr>
            <w:tcW w:w="533" w:type="dxa"/>
            <w:shd w:val="clear" w:color="auto" w:fill="5B9BD4"/>
          </w:tcPr>
          <w:p>
            <w:pPr>
              <w:pStyle w:val="TableParagraph"/>
              <w:spacing w:line="199" w:lineRule="exact" w:before="61"/>
              <w:ind w:right="209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</w:t>
            </w:r>
          </w:p>
        </w:tc>
        <w:tc>
          <w:tcPr>
            <w:tcW w:w="4324" w:type="dxa"/>
            <w:gridSpan w:val="3"/>
            <w:shd w:val="clear" w:color="auto" w:fill="BCD5ED"/>
          </w:tcPr>
          <w:p>
            <w:pPr>
              <w:pStyle w:val="TableParagraph"/>
              <w:spacing w:line="199" w:lineRule="exact" w:before="61"/>
              <w:ind w:left="107"/>
              <w:rPr>
                <w:sz w:val="18"/>
              </w:rPr>
            </w:pPr>
            <w:r>
              <w:rPr>
                <w:sz w:val="18"/>
              </w:rPr>
              <w:t>Población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total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(proyección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2020)</w:t>
            </w:r>
          </w:p>
        </w:tc>
        <w:tc>
          <w:tcPr>
            <w:tcW w:w="4214" w:type="dxa"/>
            <w:gridSpan w:val="4"/>
            <w:shd w:val="clear" w:color="auto" w:fill="BCD5ED"/>
          </w:tcPr>
          <w:p>
            <w:pPr>
              <w:pStyle w:val="TableParagraph"/>
              <w:spacing w:line="199" w:lineRule="exact" w:before="61"/>
              <w:ind w:left="104"/>
              <w:rPr>
                <w:sz w:val="18"/>
              </w:rPr>
            </w:pPr>
            <w:r>
              <w:rPr>
                <w:sz w:val="18"/>
              </w:rPr>
              <w:t>16,858,333</w:t>
            </w:r>
          </w:p>
        </w:tc>
      </w:tr>
      <w:tr>
        <w:trPr>
          <w:trHeight w:val="280" w:hRule="atLeast"/>
        </w:trPr>
        <w:tc>
          <w:tcPr>
            <w:tcW w:w="533" w:type="dxa"/>
            <w:shd w:val="clear" w:color="auto" w:fill="5B9BD4"/>
          </w:tcPr>
          <w:p>
            <w:pPr>
              <w:pStyle w:val="TableParagraph"/>
              <w:spacing w:line="199" w:lineRule="exact" w:before="61"/>
              <w:ind w:right="209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</w:t>
            </w:r>
          </w:p>
        </w:tc>
        <w:tc>
          <w:tcPr>
            <w:tcW w:w="4324" w:type="dxa"/>
            <w:gridSpan w:val="3"/>
            <w:shd w:val="clear" w:color="auto" w:fill="DEEAF6"/>
          </w:tcPr>
          <w:p>
            <w:pPr>
              <w:pStyle w:val="TableParagraph"/>
              <w:spacing w:line="199" w:lineRule="exact" w:before="61"/>
              <w:ind w:left="107"/>
              <w:rPr>
                <w:sz w:val="18"/>
              </w:rPr>
            </w:pPr>
            <w:r>
              <w:rPr>
                <w:sz w:val="18"/>
              </w:rPr>
              <w:t>Edad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promedio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población</w:t>
            </w:r>
          </w:p>
        </w:tc>
        <w:tc>
          <w:tcPr>
            <w:tcW w:w="4214" w:type="dxa"/>
            <w:gridSpan w:val="4"/>
            <w:shd w:val="clear" w:color="auto" w:fill="DEEAF6"/>
          </w:tcPr>
          <w:p>
            <w:pPr>
              <w:pStyle w:val="TableParagraph"/>
              <w:spacing w:line="199" w:lineRule="exact" w:before="61"/>
              <w:ind w:left="104"/>
              <w:rPr>
                <w:sz w:val="18"/>
              </w:rPr>
            </w:pPr>
            <w:r>
              <w:rPr>
                <w:sz w:val="18"/>
              </w:rPr>
              <w:t>26.49</w:t>
            </w:r>
          </w:p>
        </w:tc>
      </w:tr>
      <w:tr>
        <w:trPr>
          <w:trHeight w:val="278" w:hRule="atLeast"/>
        </w:trPr>
        <w:tc>
          <w:tcPr>
            <w:tcW w:w="533" w:type="dxa"/>
            <w:shd w:val="clear" w:color="auto" w:fill="5B9BD4"/>
          </w:tcPr>
          <w:p>
            <w:pPr>
              <w:pStyle w:val="TableParagraph"/>
              <w:spacing w:line="199" w:lineRule="exact" w:before="59"/>
              <w:ind w:right="209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3</w:t>
            </w:r>
          </w:p>
        </w:tc>
        <w:tc>
          <w:tcPr>
            <w:tcW w:w="4324" w:type="dxa"/>
            <w:gridSpan w:val="3"/>
            <w:shd w:val="clear" w:color="auto" w:fill="BCD5ED"/>
          </w:tcPr>
          <w:p>
            <w:pPr>
              <w:pStyle w:val="TableParagraph"/>
              <w:spacing w:line="199" w:lineRule="exact" w:before="59"/>
              <w:ind w:left="107"/>
              <w:rPr>
                <w:sz w:val="18"/>
              </w:rPr>
            </w:pPr>
            <w:r>
              <w:rPr>
                <w:sz w:val="18"/>
              </w:rPr>
              <w:t>Alfabetismo</w:t>
            </w:r>
          </w:p>
        </w:tc>
        <w:tc>
          <w:tcPr>
            <w:tcW w:w="4214" w:type="dxa"/>
            <w:gridSpan w:val="4"/>
            <w:shd w:val="clear" w:color="auto" w:fill="BCD5ED"/>
          </w:tcPr>
          <w:p>
            <w:pPr>
              <w:pStyle w:val="TableParagraph"/>
              <w:spacing w:line="199" w:lineRule="exact" w:before="59"/>
              <w:ind w:left="104"/>
              <w:rPr>
                <w:sz w:val="18"/>
              </w:rPr>
            </w:pPr>
            <w:r>
              <w:rPr>
                <w:sz w:val="18"/>
              </w:rPr>
              <w:t>80.81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(78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mujeres)</w:t>
            </w:r>
          </w:p>
        </w:tc>
      </w:tr>
      <w:tr>
        <w:trPr>
          <w:trHeight w:val="280" w:hRule="atLeast"/>
        </w:trPr>
        <w:tc>
          <w:tcPr>
            <w:tcW w:w="533" w:type="dxa"/>
            <w:shd w:val="clear" w:color="auto" w:fill="5B9BD4"/>
          </w:tcPr>
          <w:p>
            <w:pPr>
              <w:pStyle w:val="TableParagraph"/>
              <w:spacing w:line="199" w:lineRule="exact" w:before="61"/>
              <w:ind w:right="209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4</w:t>
            </w:r>
          </w:p>
        </w:tc>
        <w:tc>
          <w:tcPr>
            <w:tcW w:w="4324" w:type="dxa"/>
            <w:gridSpan w:val="3"/>
            <w:shd w:val="clear" w:color="auto" w:fill="DEEAF6"/>
          </w:tcPr>
          <w:p>
            <w:pPr>
              <w:pStyle w:val="TableParagraph"/>
              <w:spacing w:line="199" w:lineRule="exact" w:before="61"/>
              <w:ind w:left="107"/>
              <w:rPr>
                <w:sz w:val="18"/>
              </w:rPr>
            </w:pPr>
            <w:r>
              <w:rPr>
                <w:sz w:val="18"/>
              </w:rPr>
              <w:t>Tasa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neta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cobertura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educación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pre-primaria</w:t>
            </w:r>
          </w:p>
        </w:tc>
        <w:tc>
          <w:tcPr>
            <w:tcW w:w="4214" w:type="dxa"/>
            <w:gridSpan w:val="4"/>
            <w:shd w:val="clear" w:color="auto" w:fill="DEEAF6"/>
          </w:tcPr>
          <w:p>
            <w:pPr>
              <w:pStyle w:val="TableParagraph"/>
              <w:spacing w:line="199" w:lineRule="exact" w:before="61"/>
              <w:ind w:left="104"/>
              <w:rPr>
                <w:sz w:val="18"/>
              </w:rPr>
            </w:pPr>
            <w:r>
              <w:rPr>
                <w:sz w:val="18"/>
              </w:rPr>
              <w:t>60.75 %</w:t>
            </w:r>
          </w:p>
        </w:tc>
      </w:tr>
      <w:tr>
        <w:trPr>
          <w:trHeight w:val="280" w:hRule="atLeast"/>
        </w:trPr>
        <w:tc>
          <w:tcPr>
            <w:tcW w:w="533" w:type="dxa"/>
            <w:shd w:val="clear" w:color="auto" w:fill="5B9BD4"/>
          </w:tcPr>
          <w:p>
            <w:pPr>
              <w:pStyle w:val="TableParagraph"/>
              <w:spacing w:line="199" w:lineRule="exact" w:before="61"/>
              <w:ind w:right="209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5</w:t>
            </w:r>
          </w:p>
        </w:tc>
        <w:tc>
          <w:tcPr>
            <w:tcW w:w="4324" w:type="dxa"/>
            <w:gridSpan w:val="3"/>
            <w:shd w:val="clear" w:color="auto" w:fill="BCD5ED"/>
          </w:tcPr>
          <w:p>
            <w:pPr>
              <w:pStyle w:val="TableParagraph"/>
              <w:spacing w:line="199" w:lineRule="exact" w:before="61"/>
              <w:ind w:left="107"/>
              <w:rPr>
                <w:sz w:val="18"/>
              </w:rPr>
            </w:pPr>
            <w:r>
              <w:rPr>
                <w:sz w:val="18"/>
              </w:rPr>
              <w:t>Tasa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bruta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cobertura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educación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pre-primaria</w:t>
            </w:r>
          </w:p>
        </w:tc>
        <w:tc>
          <w:tcPr>
            <w:tcW w:w="4214" w:type="dxa"/>
            <w:gridSpan w:val="4"/>
            <w:shd w:val="clear" w:color="auto" w:fill="BCD5ED"/>
          </w:tcPr>
          <w:p>
            <w:pPr>
              <w:pStyle w:val="TableParagraph"/>
              <w:spacing w:line="199" w:lineRule="exact" w:before="61"/>
              <w:ind w:left="104"/>
              <w:rPr>
                <w:sz w:val="18"/>
              </w:rPr>
            </w:pPr>
            <w:r>
              <w:rPr>
                <w:sz w:val="18"/>
              </w:rPr>
              <w:t>79.90 %</w:t>
            </w:r>
          </w:p>
        </w:tc>
      </w:tr>
      <w:tr>
        <w:trPr>
          <w:trHeight w:val="280" w:hRule="atLeast"/>
        </w:trPr>
        <w:tc>
          <w:tcPr>
            <w:tcW w:w="533" w:type="dxa"/>
            <w:shd w:val="clear" w:color="auto" w:fill="5B9BD4"/>
          </w:tcPr>
          <w:p>
            <w:pPr>
              <w:pStyle w:val="TableParagraph"/>
              <w:spacing w:line="199" w:lineRule="exact" w:before="61"/>
              <w:ind w:right="209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6</w:t>
            </w:r>
          </w:p>
        </w:tc>
        <w:tc>
          <w:tcPr>
            <w:tcW w:w="4324" w:type="dxa"/>
            <w:gridSpan w:val="3"/>
            <w:shd w:val="clear" w:color="auto" w:fill="DEEAF6"/>
          </w:tcPr>
          <w:p>
            <w:pPr>
              <w:pStyle w:val="TableParagraph"/>
              <w:spacing w:line="199" w:lineRule="exact" w:before="61"/>
              <w:ind w:left="107"/>
              <w:rPr>
                <w:sz w:val="18"/>
              </w:rPr>
            </w:pPr>
            <w:r>
              <w:rPr>
                <w:sz w:val="18"/>
              </w:rPr>
              <w:t>Tasa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neta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cobertura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educación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primaria</w:t>
            </w:r>
          </w:p>
        </w:tc>
        <w:tc>
          <w:tcPr>
            <w:tcW w:w="4214" w:type="dxa"/>
            <w:gridSpan w:val="4"/>
            <w:shd w:val="clear" w:color="auto" w:fill="DEEAF6"/>
          </w:tcPr>
          <w:p>
            <w:pPr>
              <w:pStyle w:val="TableParagraph"/>
              <w:spacing w:line="199" w:lineRule="exact" w:before="61"/>
              <w:ind w:left="104"/>
              <w:rPr>
                <w:sz w:val="18"/>
              </w:rPr>
            </w:pPr>
            <w:r>
              <w:rPr>
                <w:sz w:val="18"/>
              </w:rPr>
              <w:t>93.71 %</w:t>
            </w:r>
          </w:p>
        </w:tc>
      </w:tr>
      <w:tr>
        <w:trPr>
          <w:trHeight w:val="277" w:hRule="atLeast"/>
        </w:trPr>
        <w:tc>
          <w:tcPr>
            <w:tcW w:w="533" w:type="dxa"/>
            <w:shd w:val="clear" w:color="auto" w:fill="5B9BD4"/>
          </w:tcPr>
          <w:p>
            <w:pPr>
              <w:pStyle w:val="TableParagraph"/>
              <w:spacing w:line="199" w:lineRule="exact" w:before="59"/>
              <w:ind w:right="209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7</w:t>
            </w:r>
          </w:p>
        </w:tc>
        <w:tc>
          <w:tcPr>
            <w:tcW w:w="4324" w:type="dxa"/>
            <w:gridSpan w:val="3"/>
            <w:shd w:val="clear" w:color="auto" w:fill="BCD5ED"/>
          </w:tcPr>
          <w:p>
            <w:pPr>
              <w:pStyle w:val="TableParagraph"/>
              <w:spacing w:line="199" w:lineRule="exact" w:before="59"/>
              <w:ind w:left="107"/>
              <w:rPr>
                <w:sz w:val="18"/>
              </w:rPr>
            </w:pPr>
            <w:r>
              <w:rPr>
                <w:sz w:val="18"/>
              </w:rPr>
              <w:t>Tasa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bruta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cobertura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educación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primaria</w:t>
            </w:r>
          </w:p>
        </w:tc>
        <w:tc>
          <w:tcPr>
            <w:tcW w:w="4214" w:type="dxa"/>
            <w:gridSpan w:val="4"/>
            <w:shd w:val="clear" w:color="auto" w:fill="BCD5ED"/>
          </w:tcPr>
          <w:p>
            <w:pPr>
              <w:pStyle w:val="TableParagraph"/>
              <w:spacing w:line="199" w:lineRule="exact" w:before="59"/>
              <w:ind w:left="104"/>
              <w:rPr>
                <w:sz w:val="18"/>
              </w:rPr>
            </w:pPr>
            <w:r>
              <w:rPr>
                <w:sz w:val="18"/>
              </w:rPr>
              <w:t>107.98 %</w:t>
            </w:r>
          </w:p>
        </w:tc>
      </w:tr>
      <w:tr>
        <w:trPr>
          <w:trHeight w:val="280" w:hRule="atLeast"/>
        </w:trPr>
        <w:tc>
          <w:tcPr>
            <w:tcW w:w="533" w:type="dxa"/>
            <w:shd w:val="clear" w:color="auto" w:fill="5B9BD4"/>
          </w:tcPr>
          <w:p>
            <w:pPr>
              <w:pStyle w:val="TableParagraph"/>
              <w:spacing w:line="199" w:lineRule="exact" w:before="61"/>
              <w:ind w:right="209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8</w:t>
            </w:r>
          </w:p>
        </w:tc>
        <w:tc>
          <w:tcPr>
            <w:tcW w:w="4324" w:type="dxa"/>
            <w:gridSpan w:val="3"/>
            <w:shd w:val="clear" w:color="auto" w:fill="DEEAF6"/>
          </w:tcPr>
          <w:p>
            <w:pPr>
              <w:pStyle w:val="TableParagraph"/>
              <w:spacing w:line="199" w:lineRule="exact" w:before="61"/>
              <w:ind w:left="107"/>
              <w:rPr>
                <w:sz w:val="18"/>
              </w:rPr>
            </w:pPr>
            <w:r>
              <w:rPr>
                <w:sz w:val="18"/>
              </w:rPr>
              <w:t>Tasa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neta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cobertura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educación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básica</w:t>
            </w:r>
          </w:p>
        </w:tc>
        <w:tc>
          <w:tcPr>
            <w:tcW w:w="4214" w:type="dxa"/>
            <w:gridSpan w:val="4"/>
            <w:shd w:val="clear" w:color="auto" w:fill="DEEAF6"/>
          </w:tcPr>
          <w:p>
            <w:pPr>
              <w:pStyle w:val="TableParagraph"/>
              <w:spacing w:line="199" w:lineRule="exact" w:before="61"/>
              <w:ind w:left="104"/>
              <w:rPr>
                <w:sz w:val="18"/>
              </w:rPr>
            </w:pPr>
            <w:r>
              <w:rPr>
                <w:sz w:val="18"/>
              </w:rPr>
              <w:t>49.21 %</w:t>
            </w:r>
          </w:p>
        </w:tc>
      </w:tr>
      <w:tr>
        <w:trPr>
          <w:trHeight w:val="280" w:hRule="atLeast"/>
        </w:trPr>
        <w:tc>
          <w:tcPr>
            <w:tcW w:w="533" w:type="dxa"/>
            <w:shd w:val="clear" w:color="auto" w:fill="5B9BD4"/>
          </w:tcPr>
          <w:p>
            <w:pPr>
              <w:pStyle w:val="TableParagraph"/>
              <w:spacing w:line="199" w:lineRule="exact" w:before="61"/>
              <w:ind w:right="209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9</w:t>
            </w:r>
          </w:p>
        </w:tc>
        <w:tc>
          <w:tcPr>
            <w:tcW w:w="4324" w:type="dxa"/>
            <w:gridSpan w:val="3"/>
            <w:shd w:val="clear" w:color="auto" w:fill="BCD5ED"/>
          </w:tcPr>
          <w:p>
            <w:pPr>
              <w:pStyle w:val="TableParagraph"/>
              <w:spacing w:line="199" w:lineRule="exact" w:before="61"/>
              <w:ind w:left="107"/>
              <w:rPr>
                <w:sz w:val="18"/>
              </w:rPr>
            </w:pPr>
            <w:r>
              <w:rPr>
                <w:sz w:val="18"/>
              </w:rPr>
              <w:t>Tasa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bruta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cobertura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educación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básica</w:t>
            </w:r>
          </w:p>
        </w:tc>
        <w:tc>
          <w:tcPr>
            <w:tcW w:w="4214" w:type="dxa"/>
            <w:gridSpan w:val="4"/>
            <w:shd w:val="clear" w:color="auto" w:fill="BCD5ED"/>
          </w:tcPr>
          <w:p>
            <w:pPr>
              <w:pStyle w:val="TableParagraph"/>
              <w:spacing w:line="199" w:lineRule="exact" w:before="61"/>
              <w:ind w:left="104"/>
              <w:rPr>
                <w:sz w:val="18"/>
              </w:rPr>
            </w:pPr>
            <w:r>
              <w:rPr>
                <w:sz w:val="18"/>
              </w:rPr>
              <w:t>71.87 %</w:t>
            </w:r>
          </w:p>
        </w:tc>
      </w:tr>
      <w:tr>
        <w:trPr>
          <w:trHeight w:val="280" w:hRule="atLeast"/>
        </w:trPr>
        <w:tc>
          <w:tcPr>
            <w:tcW w:w="533" w:type="dxa"/>
            <w:shd w:val="clear" w:color="auto" w:fill="5B9BD4"/>
          </w:tcPr>
          <w:p>
            <w:pPr>
              <w:pStyle w:val="TableParagraph"/>
              <w:spacing w:line="199" w:lineRule="exact" w:before="61"/>
              <w:ind w:right="163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10</w:t>
            </w:r>
          </w:p>
        </w:tc>
        <w:tc>
          <w:tcPr>
            <w:tcW w:w="4324" w:type="dxa"/>
            <w:gridSpan w:val="3"/>
            <w:shd w:val="clear" w:color="auto" w:fill="DEEAF6"/>
          </w:tcPr>
          <w:p>
            <w:pPr>
              <w:pStyle w:val="TableParagraph"/>
              <w:spacing w:line="199" w:lineRule="exact" w:before="61"/>
              <w:ind w:left="107"/>
              <w:rPr>
                <w:sz w:val="18"/>
              </w:rPr>
            </w:pPr>
            <w:r>
              <w:rPr>
                <w:sz w:val="18"/>
              </w:rPr>
              <w:t>Tasa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neta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cobertura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educación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diversificada</w:t>
            </w:r>
          </w:p>
        </w:tc>
        <w:tc>
          <w:tcPr>
            <w:tcW w:w="4214" w:type="dxa"/>
            <w:gridSpan w:val="4"/>
            <w:shd w:val="clear" w:color="auto" w:fill="DEEAF6"/>
          </w:tcPr>
          <w:p>
            <w:pPr>
              <w:pStyle w:val="TableParagraph"/>
              <w:spacing w:line="199" w:lineRule="exact" w:before="61"/>
              <w:ind w:left="104"/>
              <w:rPr>
                <w:sz w:val="18"/>
              </w:rPr>
            </w:pPr>
            <w:r>
              <w:rPr>
                <w:sz w:val="18"/>
              </w:rPr>
              <w:t>26.16 %</w:t>
            </w:r>
          </w:p>
        </w:tc>
      </w:tr>
      <w:tr>
        <w:trPr>
          <w:trHeight w:val="277" w:hRule="atLeast"/>
        </w:trPr>
        <w:tc>
          <w:tcPr>
            <w:tcW w:w="533" w:type="dxa"/>
            <w:shd w:val="clear" w:color="auto" w:fill="5B9BD4"/>
          </w:tcPr>
          <w:p>
            <w:pPr>
              <w:pStyle w:val="TableParagraph"/>
              <w:spacing w:line="199" w:lineRule="exact" w:before="59"/>
              <w:ind w:right="163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11</w:t>
            </w:r>
          </w:p>
        </w:tc>
        <w:tc>
          <w:tcPr>
            <w:tcW w:w="4324" w:type="dxa"/>
            <w:gridSpan w:val="3"/>
            <w:shd w:val="clear" w:color="auto" w:fill="BCD5ED"/>
          </w:tcPr>
          <w:p>
            <w:pPr>
              <w:pStyle w:val="TableParagraph"/>
              <w:spacing w:line="199" w:lineRule="exact" w:before="59"/>
              <w:ind w:left="107"/>
              <w:rPr>
                <w:sz w:val="18"/>
              </w:rPr>
            </w:pPr>
            <w:r>
              <w:rPr>
                <w:sz w:val="18"/>
              </w:rPr>
              <w:t>Tasa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bruta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cobertura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educación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diversificada</w:t>
            </w:r>
          </w:p>
        </w:tc>
        <w:tc>
          <w:tcPr>
            <w:tcW w:w="4214" w:type="dxa"/>
            <w:gridSpan w:val="4"/>
            <w:shd w:val="clear" w:color="auto" w:fill="BCD5ED"/>
          </w:tcPr>
          <w:p>
            <w:pPr>
              <w:pStyle w:val="TableParagraph"/>
              <w:spacing w:line="199" w:lineRule="exact" w:before="59"/>
              <w:ind w:left="104"/>
              <w:rPr>
                <w:sz w:val="18"/>
              </w:rPr>
            </w:pPr>
            <w:r>
              <w:rPr>
                <w:sz w:val="18"/>
              </w:rPr>
              <w:t>39.07 %</w:t>
            </w:r>
          </w:p>
        </w:tc>
      </w:tr>
      <w:tr>
        <w:trPr>
          <w:trHeight w:val="498" w:hRule="atLeast"/>
        </w:trPr>
        <w:tc>
          <w:tcPr>
            <w:tcW w:w="533" w:type="dxa"/>
            <w:shd w:val="clear" w:color="auto" w:fill="5B9BD4"/>
          </w:tcPr>
          <w:p>
            <w:pPr>
              <w:pStyle w:val="TableParagraph"/>
              <w:spacing w:before="61"/>
              <w:ind w:right="163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12</w:t>
            </w:r>
          </w:p>
        </w:tc>
        <w:tc>
          <w:tcPr>
            <w:tcW w:w="4324" w:type="dxa"/>
            <w:gridSpan w:val="3"/>
            <w:shd w:val="clear" w:color="auto" w:fill="DEEAF6"/>
          </w:tcPr>
          <w:p>
            <w:pPr>
              <w:pStyle w:val="TableParagraph"/>
              <w:spacing w:line="218" w:lineRule="exact" w:before="43"/>
              <w:ind w:left="107" w:right="95"/>
              <w:rPr>
                <w:sz w:val="18"/>
              </w:rPr>
            </w:pPr>
            <w:r>
              <w:rPr>
                <w:sz w:val="18"/>
              </w:rPr>
              <w:t>Población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entre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13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65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años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han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aprobado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nivel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medio (ciclo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básico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ciclo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diversificado)</w:t>
            </w:r>
          </w:p>
        </w:tc>
        <w:tc>
          <w:tcPr>
            <w:tcW w:w="4214" w:type="dxa"/>
            <w:gridSpan w:val="4"/>
            <w:shd w:val="clear" w:color="auto" w:fill="DEEAF6"/>
          </w:tcPr>
          <w:p>
            <w:pPr>
              <w:pStyle w:val="TableParagraph"/>
              <w:spacing w:before="61"/>
              <w:ind w:left="104"/>
              <w:rPr>
                <w:sz w:val="18"/>
              </w:rPr>
            </w:pPr>
            <w:r>
              <w:rPr>
                <w:sz w:val="18"/>
              </w:rPr>
              <w:t>5,622,989</w:t>
            </w:r>
          </w:p>
        </w:tc>
      </w:tr>
      <w:tr>
        <w:trPr>
          <w:trHeight w:val="280" w:hRule="atLeast"/>
        </w:trPr>
        <w:tc>
          <w:tcPr>
            <w:tcW w:w="533" w:type="dxa"/>
            <w:shd w:val="clear" w:color="auto" w:fill="5B9BD4"/>
          </w:tcPr>
          <w:p>
            <w:pPr>
              <w:pStyle w:val="TableParagraph"/>
              <w:spacing w:line="199" w:lineRule="exact" w:before="61"/>
              <w:ind w:right="163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13</w:t>
            </w:r>
          </w:p>
        </w:tc>
        <w:tc>
          <w:tcPr>
            <w:tcW w:w="4324" w:type="dxa"/>
            <w:gridSpan w:val="3"/>
            <w:shd w:val="clear" w:color="auto" w:fill="BCD5ED"/>
          </w:tcPr>
          <w:p>
            <w:pPr>
              <w:pStyle w:val="TableParagraph"/>
              <w:spacing w:line="199" w:lineRule="exact" w:before="61"/>
              <w:ind w:left="107"/>
              <w:rPr>
                <w:sz w:val="18"/>
              </w:rPr>
            </w:pPr>
            <w:r>
              <w:rPr>
                <w:sz w:val="18"/>
              </w:rPr>
              <w:t>Años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promedio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estudio</w:t>
            </w:r>
          </w:p>
        </w:tc>
        <w:tc>
          <w:tcPr>
            <w:tcW w:w="4214" w:type="dxa"/>
            <w:gridSpan w:val="4"/>
            <w:shd w:val="clear" w:color="auto" w:fill="BCD5ED"/>
          </w:tcPr>
          <w:p>
            <w:pPr>
              <w:pStyle w:val="TableParagraph"/>
              <w:spacing w:line="199" w:lineRule="exact" w:before="61"/>
              <w:ind w:left="104"/>
              <w:rPr>
                <w:sz w:val="18"/>
              </w:rPr>
            </w:pPr>
            <w:r>
              <w:rPr>
                <w:sz w:val="18"/>
              </w:rPr>
              <w:t>6.23</w:t>
            </w:r>
          </w:p>
        </w:tc>
      </w:tr>
      <w:tr>
        <w:trPr>
          <w:trHeight w:val="281" w:hRule="atLeast"/>
        </w:trPr>
        <w:tc>
          <w:tcPr>
            <w:tcW w:w="533" w:type="dxa"/>
            <w:shd w:val="clear" w:color="auto" w:fill="5B9B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39" w:type="dxa"/>
            <w:shd w:val="clear" w:color="auto" w:fill="DEEAF6"/>
          </w:tcPr>
          <w:p>
            <w:pPr>
              <w:pStyle w:val="TableParagraph"/>
              <w:spacing w:line="199" w:lineRule="exact" w:before="62"/>
              <w:ind w:left="107"/>
              <w:rPr>
                <w:sz w:val="18"/>
              </w:rPr>
            </w:pPr>
            <w:r>
              <w:rPr>
                <w:sz w:val="18"/>
              </w:rPr>
              <w:t>Indicador/Nivel</w:t>
            </w:r>
          </w:p>
        </w:tc>
        <w:tc>
          <w:tcPr>
            <w:tcW w:w="1277" w:type="dxa"/>
            <w:shd w:val="clear" w:color="auto" w:fill="DEEAF6"/>
          </w:tcPr>
          <w:p>
            <w:pPr>
              <w:pStyle w:val="TableParagraph"/>
              <w:spacing w:line="199" w:lineRule="exact" w:before="62"/>
              <w:ind w:left="173" w:right="1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Preprimaria</w:t>
            </w:r>
          </w:p>
        </w:tc>
        <w:tc>
          <w:tcPr>
            <w:tcW w:w="889" w:type="dxa"/>
            <w:gridSpan w:val="2"/>
            <w:shd w:val="clear" w:color="auto" w:fill="DEEAF6"/>
          </w:tcPr>
          <w:p>
            <w:pPr>
              <w:pStyle w:val="TableParagraph"/>
              <w:spacing w:line="199" w:lineRule="exact" w:before="62"/>
              <w:ind w:left="124"/>
              <w:rPr>
                <w:b/>
                <w:sz w:val="18"/>
              </w:rPr>
            </w:pPr>
            <w:r>
              <w:rPr>
                <w:b/>
                <w:sz w:val="18"/>
              </w:rPr>
              <w:t>Primaria</w:t>
            </w:r>
          </w:p>
        </w:tc>
        <w:tc>
          <w:tcPr>
            <w:tcW w:w="1805" w:type="dxa"/>
            <w:shd w:val="clear" w:color="auto" w:fill="DEEAF6"/>
          </w:tcPr>
          <w:p>
            <w:pPr>
              <w:pStyle w:val="TableParagraph"/>
              <w:spacing w:line="199" w:lineRule="exact" w:before="62"/>
              <w:ind w:left="149" w:right="1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Primaria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adultos</w:t>
            </w:r>
          </w:p>
        </w:tc>
        <w:tc>
          <w:tcPr>
            <w:tcW w:w="829" w:type="dxa"/>
            <w:shd w:val="clear" w:color="auto" w:fill="DEEAF6"/>
          </w:tcPr>
          <w:p>
            <w:pPr>
              <w:pStyle w:val="TableParagraph"/>
              <w:spacing w:line="199" w:lineRule="exact" w:before="62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Básico</w:t>
            </w:r>
          </w:p>
        </w:tc>
        <w:tc>
          <w:tcPr>
            <w:tcW w:w="1299" w:type="dxa"/>
            <w:shd w:val="clear" w:color="auto" w:fill="DEEAF6"/>
          </w:tcPr>
          <w:p>
            <w:pPr>
              <w:pStyle w:val="TableParagraph"/>
              <w:spacing w:line="199" w:lineRule="exact" w:before="62"/>
              <w:ind w:left="139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Diversificado</w:t>
            </w:r>
          </w:p>
        </w:tc>
      </w:tr>
      <w:tr>
        <w:trPr>
          <w:trHeight w:val="280" w:hRule="atLeast"/>
        </w:trPr>
        <w:tc>
          <w:tcPr>
            <w:tcW w:w="533" w:type="dxa"/>
            <w:shd w:val="clear" w:color="auto" w:fill="5B9BD4"/>
          </w:tcPr>
          <w:p>
            <w:pPr>
              <w:pStyle w:val="TableParagraph"/>
              <w:spacing w:line="199" w:lineRule="exact" w:before="61"/>
              <w:ind w:right="163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14</w:t>
            </w:r>
          </w:p>
        </w:tc>
        <w:tc>
          <w:tcPr>
            <w:tcW w:w="2439" w:type="dxa"/>
            <w:shd w:val="clear" w:color="auto" w:fill="BCD5ED"/>
          </w:tcPr>
          <w:p>
            <w:pPr>
              <w:pStyle w:val="TableParagraph"/>
              <w:spacing w:line="199" w:lineRule="exact" w:before="61"/>
              <w:ind w:left="107"/>
              <w:rPr>
                <w:sz w:val="18"/>
              </w:rPr>
            </w:pPr>
            <w:r>
              <w:rPr>
                <w:sz w:val="18"/>
              </w:rPr>
              <w:t>Tasa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repitencia</w:t>
            </w:r>
          </w:p>
        </w:tc>
        <w:tc>
          <w:tcPr>
            <w:tcW w:w="1277" w:type="dxa"/>
            <w:shd w:val="clear" w:color="auto" w:fill="BCD5ED"/>
          </w:tcPr>
          <w:p>
            <w:pPr>
              <w:pStyle w:val="TableParagraph"/>
              <w:spacing w:before="1"/>
              <w:ind w:left="173" w:right="164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0,00%</w:t>
            </w:r>
          </w:p>
        </w:tc>
        <w:tc>
          <w:tcPr>
            <w:tcW w:w="889" w:type="dxa"/>
            <w:gridSpan w:val="2"/>
            <w:shd w:val="clear" w:color="auto" w:fill="BCD5ED"/>
          </w:tcPr>
          <w:p>
            <w:pPr>
              <w:pStyle w:val="TableParagraph"/>
              <w:spacing w:before="1"/>
              <w:ind w:left="220"/>
              <w:rPr>
                <w:sz w:val="18"/>
              </w:rPr>
            </w:pPr>
            <w:r>
              <w:rPr>
                <w:color w:val="333333"/>
                <w:sz w:val="18"/>
              </w:rPr>
              <w:t>8,83%</w:t>
            </w:r>
          </w:p>
        </w:tc>
        <w:tc>
          <w:tcPr>
            <w:tcW w:w="1805" w:type="dxa"/>
            <w:shd w:val="clear" w:color="auto" w:fill="BCD5ED"/>
          </w:tcPr>
          <w:p>
            <w:pPr>
              <w:pStyle w:val="TableParagraph"/>
              <w:spacing w:before="1"/>
              <w:ind w:left="149" w:right="14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5,72%</w:t>
            </w:r>
          </w:p>
        </w:tc>
        <w:tc>
          <w:tcPr>
            <w:tcW w:w="829" w:type="dxa"/>
            <w:shd w:val="clear" w:color="auto" w:fill="BCD5ED"/>
          </w:tcPr>
          <w:p>
            <w:pPr>
              <w:pStyle w:val="TableParagraph"/>
              <w:spacing w:before="1"/>
              <w:ind w:left="188"/>
              <w:rPr>
                <w:sz w:val="18"/>
              </w:rPr>
            </w:pPr>
            <w:r>
              <w:rPr>
                <w:color w:val="333333"/>
                <w:sz w:val="18"/>
              </w:rPr>
              <w:t>4,53%</w:t>
            </w:r>
          </w:p>
        </w:tc>
        <w:tc>
          <w:tcPr>
            <w:tcW w:w="1299" w:type="dxa"/>
            <w:shd w:val="clear" w:color="auto" w:fill="BCD5ED"/>
          </w:tcPr>
          <w:p>
            <w:pPr>
              <w:pStyle w:val="TableParagraph"/>
              <w:spacing w:before="1"/>
              <w:ind w:left="139" w:right="135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2,08%</w:t>
            </w:r>
          </w:p>
        </w:tc>
      </w:tr>
      <w:tr>
        <w:trPr>
          <w:trHeight w:val="287" w:hRule="atLeast"/>
        </w:trPr>
        <w:tc>
          <w:tcPr>
            <w:tcW w:w="533" w:type="dxa"/>
            <w:shd w:val="clear" w:color="auto" w:fill="5B9BD4"/>
          </w:tcPr>
          <w:p>
            <w:pPr>
              <w:pStyle w:val="TableParagraph"/>
              <w:spacing w:line="209" w:lineRule="exact" w:before="59"/>
              <w:ind w:right="163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15</w:t>
            </w:r>
          </w:p>
        </w:tc>
        <w:tc>
          <w:tcPr>
            <w:tcW w:w="2439" w:type="dxa"/>
            <w:shd w:val="clear" w:color="auto" w:fill="DEEAF6"/>
          </w:tcPr>
          <w:p>
            <w:pPr>
              <w:pStyle w:val="TableParagraph"/>
              <w:spacing w:line="209" w:lineRule="exact" w:before="59"/>
              <w:ind w:left="107"/>
              <w:rPr>
                <w:sz w:val="18"/>
              </w:rPr>
            </w:pPr>
            <w:r>
              <w:rPr>
                <w:sz w:val="18"/>
              </w:rPr>
              <w:t>Tasa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retención</w:t>
            </w:r>
          </w:p>
        </w:tc>
        <w:tc>
          <w:tcPr>
            <w:tcW w:w="1277" w:type="dxa"/>
            <w:shd w:val="clear" w:color="auto" w:fill="DEEAF6"/>
          </w:tcPr>
          <w:p>
            <w:pPr>
              <w:pStyle w:val="TableParagraph"/>
              <w:spacing w:line="219" w:lineRule="exact"/>
              <w:ind w:left="173" w:right="164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97,33%</w:t>
            </w:r>
          </w:p>
        </w:tc>
        <w:tc>
          <w:tcPr>
            <w:tcW w:w="889" w:type="dxa"/>
            <w:gridSpan w:val="2"/>
            <w:shd w:val="clear" w:color="auto" w:fill="DEEAF6"/>
          </w:tcPr>
          <w:p>
            <w:pPr>
              <w:pStyle w:val="TableParagraph"/>
              <w:spacing w:line="219" w:lineRule="exact"/>
              <w:ind w:left="174"/>
              <w:rPr>
                <w:sz w:val="18"/>
              </w:rPr>
            </w:pPr>
            <w:r>
              <w:rPr>
                <w:color w:val="333333"/>
                <w:sz w:val="18"/>
              </w:rPr>
              <w:t>98,59%</w:t>
            </w:r>
          </w:p>
        </w:tc>
        <w:tc>
          <w:tcPr>
            <w:tcW w:w="1805" w:type="dxa"/>
            <w:shd w:val="clear" w:color="auto" w:fill="DEEAF6"/>
          </w:tcPr>
          <w:p>
            <w:pPr>
              <w:pStyle w:val="TableParagraph"/>
              <w:spacing w:line="219" w:lineRule="exact"/>
              <w:ind w:left="149" w:right="14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87,14%</w:t>
            </w:r>
          </w:p>
        </w:tc>
        <w:tc>
          <w:tcPr>
            <w:tcW w:w="829" w:type="dxa"/>
            <w:shd w:val="clear" w:color="auto" w:fill="DEEAF6"/>
          </w:tcPr>
          <w:p>
            <w:pPr>
              <w:pStyle w:val="TableParagraph"/>
              <w:spacing w:line="219" w:lineRule="exact"/>
              <w:ind w:left="143"/>
              <w:rPr>
                <w:sz w:val="18"/>
              </w:rPr>
            </w:pPr>
            <w:r>
              <w:rPr>
                <w:color w:val="333333"/>
                <w:sz w:val="18"/>
              </w:rPr>
              <w:t>95,43%</w:t>
            </w:r>
          </w:p>
        </w:tc>
        <w:tc>
          <w:tcPr>
            <w:tcW w:w="1299" w:type="dxa"/>
            <w:shd w:val="clear" w:color="auto" w:fill="DEEAF6"/>
          </w:tcPr>
          <w:p>
            <w:pPr>
              <w:pStyle w:val="TableParagraph"/>
              <w:spacing w:line="219" w:lineRule="exact"/>
              <w:ind w:left="139" w:right="135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94,49%</w:t>
            </w:r>
          </w:p>
        </w:tc>
      </w:tr>
      <w:tr>
        <w:trPr>
          <w:trHeight w:val="280" w:hRule="atLeast"/>
        </w:trPr>
        <w:tc>
          <w:tcPr>
            <w:tcW w:w="533" w:type="dxa"/>
            <w:shd w:val="clear" w:color="auto" w:fill="5B9BD4"/>
          </w:tcPr>
          <w:p>
            <w:pPr>
              <w:pStyle w:val="TableParagraph"/>
              <w:spacing w:line="199" w:lineRule="exact" w:before="61"/>
              <w:ind w:right="163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16</w:t>
            </w:r>
          </w:p>
        </w:tc>
        <w:tc>
          <w:tcPr>
            <w:tcW w:w="2439" w:type="dxa"/>
            <w:shd w:val="clear" w:color="auto" w:fill="BCD5ED"/>
          </w:tcPr>
          <w:p>
            <w:pPr>
              <w:pStyle w:val="TableParagraph"/>
              <w:spacing w:line="199" w:lineRule="exact" w:before="61"/>
              <w:ind w:left="107"/>
              <w:rPr>
                <w:sz w:val="18"/>
              </w:rPr>
            </w:pPr>
            <w:r>
              <w:rPr>
                <w:sz w:val="18"/>
              </w:rPr>
              <w:t>Tasa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deserción</w:t>
            </w:r>
          </w:p>
        </w:tc>
        <w:tc>
          <w:tcPr>
            <w:tcW w:w="1277" w:type="dxa"/>
            <w:shd w:val="clear" w:color="auto" w:fill="BCD5ED"/>
          </w:tcPr>
          <w:p>
            <w:pPr>
              <w:pStyle w:val="TableParagraph"/>
              <w:spacing w:before="1"/>
              <w:ind w:left="173" w:right="164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2,67%</w:t>
            </w:r>
          </w:p>
        </w:tc>
        <w:tc>
          <w:tcPr>
            <w:tcW w:w="889" w:type="dxa"/>
            <w:gridSpan w:val="2"/>
            <w:shd w:val="clear" w:color="auto" w:fill="BCD5ED"/>
          </w:tcPr>
          <w:p>
            <w:pPr>
              <w:pStyle w:val="TableParagraph"/>
              <w:spacing w:before="1"/>
              <w:ind w:left="220"/>
              <w:rPr>
                <w:sz w:val="18"/>
              </w:rPr>
            </w:pPr>
            <w:r>
              <w:rPr>
                <w:color w:val="333333"/>
                <w:sz w:val="18"/>
              </w:rPr>
              <w:t>1,41%</w:t>
            </w:r>
          </w:p>
        </w:tc>
        <w:tc>
          <w:tcPr>
            <w:tcW w:w="1805" w:type="dxa"/>
            <w:shd w:val="clear" w:color="auto" w:fill="BCD5ED"/>
          </w:tcPr>
          <w:p>
            <w:pPr>
              <w:pStyle w:val="TableParagraph"/>
              <w:spacing w:before="1"/>
              <w:ind w:left="149" w:right="14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12,86%</w:t>
            </w:r>
          </w:p>
        </w:tc>
        <w:tc>
          <w:tcPr>
            <w:tcW w:w="829" w:type="dxa"/>
            <w:shd w:val="clear" w:color="auto" w:fill="BCD5ED"/>
          </w:tcPr>
          <w:p>
            <w:pPr>
              <w:pStyle w:val="TableParagraph"/>
              <w:spacing w:before="1"/>
              <w:ind w:left="188"/>
              <w:rPr>
                <w:sz w:val="18"/>
              </w:rPr>
            </w:pPr>
            <w:r>
              <w:rPr>
                <w:color w:val="333333"/>
                <w:sz w:val="18"/>
              </w:rPr>
              <w:t>4,57%</w:t>
            </w:r>
          </w:p>
        </w:tc>
        <w:tc>
          <w:tcPr>
            <w:tcW w:w="1299" w:type="dxa"/>
            <w:shd w:val="clear" w:color="auto" w:fill="BCD5ED"/>
          </w:tcPr>
          <w:p>
            <w:pPr>
              <w:pStyle w:val="TableParagraph"/>
              <w:spacing w:before="1"/>
              <w:ind w:left="139" w:right="135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5,51%</w:t>
            </w:r>
          </w:p>
        </w:tc>
      </w:tr>
      <w:tr>
        <w:trPr>
          <w:trHeight w:val="280" w:hRule="atLeast"/>
        </w:trPr>
        <w:tc>
          <w:tcPr>
            <w:tcW w:w="533" w:type="dxa"/>
            <w:shd w:val="clear" w:color="auto" w:fill="5B9BD4"/>
          </w:tcPr>
          <w:p>
            <w:pPr>
              <w:pStyle w:val="TableParagraph"/>
              <w:spacing w:line="199" w:lineRule="exact" w:before="61"/>
              <w:ind w:right="163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17</w:t>
            </w:r>
          </w:p>
        </w:tc>
        <w:tc>
          <w:tcPr>
            <w:tcW w:w="2439" w:type="dxa"/>
            <w:shd w:val="clear" w:color="auto" w:fill="DEEAF6"/>
          </w:tcPr>
          <w:p>
            <w:pPr>
              <w:pStyle w:val="TableParagraph"/>
              <w:spacing w:line="199" w:lineRule="exact" w:before="61"/>
              <w:ind w:left="107"/>
              <w:rPr>
                <w:sz w:val="18"/>
              </w:rPr>
            </w:pPr>
            <w:r>
              <w:rPr>
                <w:sz w:val="18"/>
              </w:rPr>
              <w:t>Tasa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promoción</w:t>
            </w:r>
          </w:p>
        </w:tc>
        <w:tc>
          <w:tcPr>
            <w:tcW w:w="1277" w:type="dxa"/>
            <w:shd w:val="clear" w:color="auto" w:fill="DEEAF6"/>
          </w:tcPr>
          <w:p>
            <w:pPr>
              <w:pStyle w:val="TableParagraph"/>
              <w:spacing w:before="1"/>
              <w:ind w:left="171" w:right="165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N/D</w:t>
            </w:r>
          </w:p>
        </w:tc>
        <w:tc>
          <w:tcPr>
            <w:tcW w:w="889" w:type="dxa"/>
            <w:gridSpan w:val="2"/>
            <w:shd w:val="clear" w:color="auto" w:fill="DEEAF6"/>
          </w:tcPr>
          <w:p>
            <w:pPr>
              <w:pStyle w:val="TableParagraph"/>
              <w:spacing w:before="1"/>
              <w:ind w:left="174"/>
              <w:rPr>
                <w:sz w:val="18"/>
              </w:rPr>
            </w:pPr>
            <w:r>
              <w:rPr>
                <w:color w:val="333333"/>
                <w:sz w:val="18"/>
              </w:rPr>
              <w:t>98,29%</w:t>
            </w:r>
          </w:p>
        </w:tc>
        <w:tc>
          <w:tcPr>
            <w:tcW w:w="1805" w:type="dxa"/>
            <w:shd w:val="clear" w:color="auto" w:fill="DEEAF6"/>
          </w:tcPr>
          <w:p>
            <w:pPr>
              <w:pStyle w:val="TableParagraph"/>
              <w:spacing w:before="1"/>
              <w:ind w:left="149" w:right="14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89,69%</w:t>
            </w:r>
          </w:p>
        </w:tc>
        <w:tc>
          <w:tcPr>
            <w:tcW w:w="829" w:type="dxa"/>
            <w:shd w:val="clear" w:color="auto" w:fill="DEEAF6"/>
          </w:tcPr>
          <w:p>
            <w:pPr>
              <w:pStyle w:val="TableParagraph"/>
              <w:spacing w:before="1"/>
              <w:ind w:left="143"/>
              <w:rPr>
                <w:sz w:val="18"/>
              </w:rPr>
            </w:pPr>
            <w:r>
              <w:rPr>
                <w:color w:val="333333"/>
                <w:sz w:val="18"/>
              </w:rPr>
              <w:t>86,68%</w:t>
            </w:r>
          </w:p>
        </w:tc>
        <w:tc>
          <w:tcPr>
            <w:tcW w:w="1299" w:type="dxa"/>
            <w:shd w:val="clear" w:color="auto" w:fill="DEEAF6"/>
          </w:tcPr>
          <w:p>
            <w:pPr>
              <w:pStyle w:val="TableParagraph"/>
              <w:spacing w:before="1"/>
              <w:ind w:left="139" w:right="135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87,3%</w:t>
            </w:r>
          </w:p>
        </w:tc>
      </w:tr>
      <w:tr>
        <w:trPr>
          <w:trHeight w:val="280" w:hRule="atLeast"/>
        </w:trPr>
        <w:tc>
          <w:tcPr>
            <w:tcW w:w="533" w:type="dxa"/>
            <w:shd w:val="clear" w:color="auto" w:fill="5B9BD4"/>
          </w:tcPr>
          <w:p>
            <w:pPr>
              <w:pStyle w:val="TableParagraph"/>
              <w:spacing w:line="199" w:lineRule="exact" w:before="61"/>
              <w:ind w:right="163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18</w:t>
            </w:r>
          </w:p>
        </w:tc>
        <w:tc>
          <w:tcPr>
            <w:tcW w:w="2439" w:type="dxa"/>
            <w:shd w:val="clear" w:color="auto" w:fill="BCD5ED"/>
          </w:tcPr>
          <w:p>
            <w:pPr>
              <w:pStyle w:val="TableParagraph"/>
              <w:spacing w:line="199" w:lineRule="exact" w:before="61"/>
              <w:ind w:left="107"/>
              <w:rPr>
                <w:sz w:val="18"/>
              </w:rPr>
            </w:pPr>
            <w:r>
              <w:rPr>
                <w:sz w:val="18"/>
              </w:rPr>
              <w:t>Tasa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promoción</w:t>
            </w:r>
          </w:p>
        </w:tc>
        <w:tc>
          <w:tcPr>
            <w:tcW w:w="1277" w:type="dxa"/>
            <w:shd w:val="clear" w:color="auto" w:fill="BCD5ED"/>
          </w:tcPr>
          <w:p>
            <w:pPr>
              <w:pStyle w:val="TableParagraph"/>
              <w:spacing w:before="1"/>
              <w:ind w:left="171" w:right="165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N/D</w:t>
            </w:r>
          </w:p>
        </w:tc>
        <w:tc>
          <w:tcPr>
            <w:tcW w:w="889" w:type="dxa"/>
            <w:gridSpan w:val="2"/>
            <w:shd w:val="clear" w:color="auto" w:fill="BCD5ED"/>
          </w:tcPr>
          <w:p>
            <w:pPr>
              <w:pStyle w:val="TableParagraph"/>
              <w:spacing w:before="1"/>
              <w:ind w:left="220"/>
              <w:rPr>
                <w:sz w:val="18"/>
              </w:rPr>
            </w:pPr>
            <w:r>
              <w:rPr>
                <w:color w:val="333333"/>
                <w:sz w:val="18"/>
              </w:rPr>
              <w:t>1,71%</w:t>
            </w:r>
          </w:p>
        </w:tc>
        <w:tc>
          <w:tcPr>
            <w:tcW w:w="1805" w:type="dxa"/>
            <w:shd w:val="clear" w:color="auto" w:fill="BCD5ED"/>
          </w:tcPr>
          <w:p>
            <w:pPr>
              <w:pStyle w:val="TableParagraph"/>
              <w:spacing w:before="1"/>
              <w:ind w:left="149" w:right="14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10,31%</w:t>
            </w:r>
          </w:p>
        </w:tc>
        <w:tc>
          <w:tcPr>
            <w:tcW w:w="829" w:type="dxa"/>
            <w:shd w:val="clear" w:color="auto" w:fill="BCD5ED"/>
          </w:tcPr>
          <w:p>
            <w:pPr>
              <w:pStyle w:val="TableParagraph"/>
              <w:spacing w:before="1"/>
              <w:ind w:left="143"/>
              <w:rPr>
                <w:sz w:val="18"/>
              </w:rPr>
            </w:pPr>
            <w:r>
              <w:rPr>
                <w:color w:val="333333"/>
                <w:sz w:val="18"/>
              </w:rPr>
              <w:t>13,32%</w:t>
            </w:r>
          </w:p>
        </w:tc>
        <w:tc>
          <w:tcPr>
            <w:tcW w:w="1299" w:type="dxa"/>
            <w:shd w:val="clear" w:color="auto" w:fill="BCD5ED"/>
          </w:tcPr>
          <w:p>
            <w:pPr>
              <w:pStyle w:val="TableParagraph"/>
              <w:spacing w:before="1"/>
              <w:ind w:left="139" w:right="135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12,7%</w:t>
            </w:r>
          </w:p>
        </w:tc>
      </w:tr>
      <w:tr>
        <w:trPr>
          <w:trHeight w:val="323" w:hRule="atLeast"/>
        </w:trPr>
        <w:tc>
          <w:tcPr>
            <w:tcW w:w="533" w:type="dxa"/>
            <w:shd w:val="clear" w:color="auto" w:fill="5B9BD4"/>
          </w:tcPr>
          <w:p>
            <w:pPr>
              <w:pStyle w:val="TableParagraph"/>
              <w:spacing w:before="59"/>
              <w:ind w:right="163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19</w:t>
            </w:r>
          </w:p>
        </w:tc>
        <w:tc>
          <w:tcPr>
            <w:tcW w:w="2439" w:type="dxa"/>
            <w:shd w:val="clear" w:color="auto" w:fill="DEEAF6"/>
          </w:tcPr>
          <w:p>
            <w:pPr>
              <w:pStyle w:val="TableParagraph"/>
              <w:spacing w:before="59"/>
              <w:ind w:left="107"/>
              <w:rPr>
                <w:sz w:val="18"/>
              </w:rPr>
            </w:pPr>
            <w:r>
              <w:rPr>
                <w:sz w:val="18"/>
              </w:rPr>
              <w:t>Fracaso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escolar</w:t>
            </w:r>
          </w:p>
        </w:tc>
        <w:tc>
          <w:tcPr>
            <w:tcW w:w="1277" w:type="dxa"/>
            <w:shd w:val="clear" w:color="auto" w:fill="DEEAF6"/>
          </w:tcPr>
          <w:p>
            <w:pPr>
              <w:pStyle w:val="TableParagraph"/>
              <w:spacing w:line="219" w:lineRule="exact"/>
              <w:ind w:left="173" w:right="164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2,67%</w:t>
            </w:r>
          </w:p>
        </w:tc>
        <w:tc>
          <w:tcPr>
            <w:tcW w:w="889" w:type="dxa"/>
            <w:gridSpan w:val="2"/>
            <w:shd w:val="clear" w:color="auto" w:fill="DEEAF6"/>
          </w:tcPr>
          <w:p>
            <w:pPr>
              <w:pStyle w:val="TableParagraph"/>
              <w:spacing w:line="219" w:lineRule="exact"/>
              <w:ind w:left="220"/>
              <w:rPr>
                <w:sz w:val="18"/>
              </w:rPr>
            </w:pPr>
            <w:r>
              <w:rPr>
                <w:color w:val="333333"/>
                <w:sz w:val="18"/>
              </w:rPr>
              <w:t>3,10%</w:t>
            </w:r>
          </w:p>
        </w:tc>
        <w:tc>
          <w:tcPr>
            <w:tcW w:w="1805" w:type="dxa"/>
            <w:shd w:val="clear" w:color="auto" w:fill="DEEAF6"/>
          </w:tcPr>
          <w:p>
            <w:pPr>
              <w:pStyle w:val="TableParagraph"/>
              <w:spacing w:line="219" w:lineRule="exact"/>
              <w:ind w:left="149" w:right="14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21,85%</w:t>
            </w:r>
          </w:p>
        </w:tc>
        <w:tc>
          <w:tcPr>
            <w:tcW w:w="829" w:type="dxa"/>
            <w:shd w:val="clear" w:color="auto" w:fill="DEEAF6"/>
          </w:tcPr>
          <w:p>
            <w:pPr>
              <w:pStyle w:val="TableParagraph"/>
              <w:spacing w:line="219" w:lineRule="exact"/>
              <w:ind w:left="143"/>
              <w:rPr>
                <w:sz w:val="18"/>
              </w:rPr>
            </w:pPr>
            <w:r>
              <w:rPr>
                <w:color w:val="333333"/>
                <w:sz w:val="18"/>
              </w:rPr>
              <w:t>17,28%</w:t>
            </w:r>
          </w:p>
        </w:tc>
        <w:tc>
          <w:tcPr>
            <w:tcW w:w="1299" w:type="dxa"/>
            <w:shd w:val="clear" w:color="auto" w:fill="DEEAF6"/>
          </w:tcPr>
          <w:p>
            <w:pPr>
              <w:pStyle w:val="TableParagraph"/>
              <w:spacing w:line="219" w:lineRule="exact"/>
              <w:ind w:left="139" w:right="135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17,51%</w:t>
            </w:r>
          </w:p>
        </w:tc>
      </w:tr>
    </w:tbl>
    <w:p>
      <w:pPr>
        <w:spacing w:before="0"/>
        <w:ind w:left="1740" w:right="1997" w:firstLine="0"/>
        <w:jc w:val="center"/>
        <w:rPr>
          <w:sz w:val="16"/>
        </w:rPr>
      </w:pP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propia: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base</w:t>
      </w:r>
      <w:r>
        <w:rPr>
          <w:spacing w:val="-3"/>
          <w:sz w:val="16"/>
        </w:rPr>
        <w:t> </w:t>
      </w:r>
      <w:r>
        <w:rPr>
          <w:sz w:val="16"/>
        </w:rPr>
        <w:t>en datos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MINEDUC</w:t>
      </w:r>
      <w:r>
        <w:rPr>
          <w:spacing w:val="1"/>
          <w:sz w:val="16"/>
        </w:rPr>
        <w:t> </w:t>
      </w:r>
      <w:r>
        <w:rPr>
          <w:sz w:val="16"/>
        </w:rPr>
        <w:t>2020;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Censo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 Guatemala.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563.880005pt;margin-top:11.51692pt;width:25.44pt;height:1.4399pt;mso-position-horizontal-relative:page;mso-position-vertical-relative:paragraph;z-index:-1571379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ind w:right="551"/>
      </w:pPr>
      <w:r>
        <w:rPr/>
        <w:t>11</w:t>
      </w:r>
    </w:p>
    <w:p>
      <w:pPr>
        <w:pStyle w:val="BodyText"/>
        <w:spacing w:line="88" w:lineRule="exact"/>
        <w:ind w:left="1127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29088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2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spacing w:before="59"/>
        <w:ind w:left="1839" w:right="1995" w:firstLine="0"/>
        <w:jc w:val="center"/>
        <w:rPr>
          <w:sz w:val="20"/>
        </w:rPr>
      </w:pPr>
      <w:bookmarkStart w:name="_bookmark4" w:id="6"/>
      <w:bookmarkEnd w:id="6"/>
      <w:r>
        <w:rPr/>
      </w:r>
      <w:r>
        <w:rPr>
          <w:sz w:val="20"/>
        </w:rPr>
        <w:t>Tabla</w:t>
      </w:r>
      <w:r>
        <w:rPr>
          <w:spacing w:val="-2"/>
          <w:sz w:val="20"/>
        </w:rPr>
        <w:t> </w:t>
      </w:r>
      <w:r>
        <w:rPr>
          <w:sz w:val="20"/>
        </w:rPr>
        <w:t>3</w:t>
      </w:r>
      <w:r>
        <w:rPr>
          <w:spacing w:val="-2"/>
          <w:sz w:val="20"/>
        </w:rPr>
        <w:t> </w:t>
      </w:r>
      <w:r>
        <w:rPr>
          <w:sz w:val="20"/>
        </w:rPr>
        <w:t>Cantidad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docentes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sector,</w:t>
      </w:r>
      <w:r>
        <w:rPr>
          <w:spacing w:val="-2"/>
          <w:sz w:val="20"/>
        </w:rPr>
        <w:t> </w:t>
      </w:r>
      <w:r>
        <w:rPr>
          <w:sz w:val="20"/>
        </w:rPr>
        <w:t>Mineduc</w:t>
      </w:r>
      <w:r>
        <w:rPr>
          <w:spacing w:val="-3"/>
          <w:sz w:val="20"/>
        </w:rPr>
        <w:t> </w:t>
      </w:r>
      <w:r>
        <w:rPr>
          <w:sz w:val="20"/>
        </w:rPr>
        <w:t>2020.</w:t>
      </w:r>
    </w:p>
    <w:tbl>
      <w:tblPr>
        <w:tblW w:w="0" w:type="auto"/>
        <w:jc w:val="left"/>
        <w:tblInd w:w="196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1385"/>
        <w:gridCol w:w="1167"/>
        <w:gridCol w:w="963"/>
        <w:gridCol w:w="1148"/>
        <w:gridCol w:w="1402"/>
      </w:tblGrid>
      <w:tr>
        <w:trPr>
          <w:trHeight w:val="371" w:hRule="atLeast"/>
        </w:trPr>
        <w:tc>
          <w:tcPr>
            <w:tcW w:w="2264" w:type="dxa"/>
            <w:tcBorders>
              <w:right w:val="nil"/>
            </w:tcBorders>
            <w:shd w:val="clear" w:color="auto" w:fill="5B9BD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85" w:type="dxa"/>
            <w:tcBorders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68" w:lineRule="exact"/>
              <w:ind w:left="442" w:right="43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  <w:tc>
          <w:tcPr>
            <w:tcW w:w="1167" w:type="dxa"/>
            <w:tcBorders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68" w:lineRule="exact"/>
              <w:ind w:left="277" w:right="26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Oficial</w:t>
            </w:r>
          </w:p>
        </w:tc>
        <w:tc>
          <w:tcPr>
            <w:tcW w:w="963" w:type="dxa"/>
            <w:tcBorders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68" w:lineRule="exact"/>
              <w:ind w:left="117" w:right="10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Privado</w:t>
            </w:r>
          </w:p>
        </w:tc>
        <w:tc>
          <w:tcPr>
            <w:tcW w:w="1148" w:type="dxa"/>
            <w:tcBorders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68" w:lineRule="exact"/>
              <w:ind w:left="100" w:right="9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Municipal</w:t>
            </w:r>
          </w:p>
        </w:tc>
        <w:tc>
          <w:tcPr>
            <w:tcW w:w="1402" w:type="dxa"/>
            <w:tcBorders>
              <w:left w:val="nil"/>
            </w:tcBorders>
            <w:shd w:val="clear" w:color="auto" w:fill="5B9BD4"/>
          </w:tcPr>
          <w:p>
            <w:pPr>
              <w:pStyle w:val="TableParagraph"/>
              <w:spacing w:line="268" w:lineRule="exact"/>
              <w:ind w:left="108" w:right="9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Cooperativa</w:t>
            </w:r>
          </w:p>
        </w:tc>
      </w:tr>
      <w:tr>
        <w:trPr>
          <w:trHeight w:val="371" w:hRule="atLeast"/>
        </w:trPr>
        <w:tc>
          <w:tcPr>
            <w:tcW w:w="2264" w:type="dxa"/>
            <w:shd w:val="clear" w:color="auto" w:fill="5B9BD4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  <w:tc>
          <w:tcPr>
            <w:tcW w:w="1385" w:type="dxa"/>
            <w:shd w:val="clear" w:color="auto" w:fill="BCD5ED"/>
          </w:tcPr>
          <w:p>
            <w:pPr>
              <w:pStyle w:val="TableParagraph"/>
              <w:spacing w:line="268" w:lineRule="exact"/>
              <w:ind w:left="337" w:right="32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285289</w:t>
            </w:r>
          </w:p>
        </w:tc>
        <w:tc>
          <w:tcPr>
            <w:tcW w:w="1167" w:type="dxa"/>
            <w:shd w:val="clear" w:color="auto" w:fill="BCD5ED"/>
          </w:tcPr>
          <w:p>
            <w:pPr>
              <w:pStyle w:val="TableParagraph"/>
              <w:spacing w:line="268" w:lineRule="exact"/>
              <w:ind w:left="229" w:right="2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146369</w:t>
            </w:r>
          </w:p>
        </w:tc>
        <w:tc>
          <w:tcPr>
            <w:tcW w:w="963" w:type="dxa"/>
            <w:shd w:val="clear" w:color="auto" w:fill="BCD5ED"/>
          </w:tcPr>
          <w:p>
            <w:pPr>
              <w:pStyle w:val="TableParagraph"/>
              <w:spacing w:line="268" w:lineRule="exact"/>
              <w:ind w:left="128" w:right="1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125368</w:t>
            </w:r>
          </w:p>
        </w:tc>
        <w:tc>
          <w:tcPr>
            <w:tcW w:w="1148" w:type="dxa"/>
            <w:shd w:val="clear" w:color="auto" w:fill="BCD5ED"/>
          </w:tcPr>
          <w:p>
            <w:pPr>
              <w:pStyle w:val="TableParagraph"/>
              <w:spacing w:line="268" w:lineRule="exact"/>
              <w:ind w:left="329" w:right="3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1689</w:t>
            </w:r>
          </w:p>
        </w:tc>
        <w:tc>
          <w:tcPr>
            <w:tcW w:w="1402" w:type="dxa"/>
            <w:shd w:val="clear" w:color="auto" w:fill="BCD5ED"/>
          </w:tcPr>
          <w:p>
            <w:pPr>
              <w:pStyle w:val="TableParagraph"/>
              <w:spacing w:line="268" w:lineRule="exact"/>
              <w:ind w:left="11" w:right="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11863</w:t>
            </w:r>
          </w:p>
        </w:tc>
      </w:tr>
      <w:tr>
        <w:trPr>
          <w:trHeight w:val="371" w:hRule="atLeast"/>
        </w:trPr>
        <w:tc>
          <w:tcPr>
            <w:tcW w:w="2264" w:type="dxa"/>
            <w:shd w:val="clear" w:color="auto" w:fill="5B9BD4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Preprimaria</w:t>
            </w:r>
          </w:p>
        </w:tc>
        <w:tc>
          <w:tcPr>
            <w:tcW w:w="1385" w:type="dxa"/>
            <w:shd w:val="clear" w:color="auto" w:fill="DEEAF6"/>
          </w:tcPr>
          <w:p>
            <w:pPr>
              <w:pStyle w:val="TableParagraph"/>
              <w:spacing w:line="268" w:lineRule="exact"/>
              <w:ind w:left="335" w:right="32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47699</w:t>
            </w:r>
          </w:p>
        </w:tc>
        <w:tc>
          <w:tcPr>
            <w:tcW w:w="1167" w:type="dxa"/>
            <w:shd w:val="clear" w:color="auto" w:fill="DEEAF6"/>
          </w:tcPr>
          <w:p>
            <w:pPr>
              <w:pStyle w:val="TableParagraph"/>
              <w:spacing w:line="268" w:lineRule="exact"/>
              <w:ind w:left="227" w:right="218"/>
              <w:jc w:val="center"/>
              <w:rPr>
                <w:sz w:val="22"/>
              </w:rPr>
            </w:pPr>
            <w:r>
              <w:rPr>
                <w:sz w:val="22"/>
              </w:rPr>
              <w:t>34887</w:t>
            </w:r>
          </w:p>
        </w:tc>
        <w:tc>
          <w:tcPr>
            <w:tcW w:w="963" w:type="dxa"/>
            <w:shd w:val="clear" w:color="auto" w:fill="DEEAF6"/>
          </w:tcPr>
          <w:p>
            <w:pPr>
              <w:pStyle w:val="TableParagraph"/>
              <w:spacing w:line="268" w:lineRule="exact"/>
              <w:ind w:left="126" w:right="115"/>
              <w:jc w:val="center"/>
              <w:rPr>
                <w:sz w:val="22"/>
              </w:rPr>
            </w:pPr>
            <w:r>
              <w:rPr>
                <w:sz w:val="22"/>
              </w:rPr>
              <w:t>12689</w:t>
            </w:r>
          </w:p>
        </w:tc>
        <w:tc>
          <w:tcPr>
            <w:tcW w:w="1148" w:type="dxa"/>
            <w:shd w:val="clear" w:color="auto" w:fill="DEEAF6"/>
          </w:tcPr>
          <w:p>
            <w:pPr>
              <w:pStyle w:val="TableParagraph"/>
              <w:spacing w:line="268" w:lineRule="exact"/>
              <w:ind w:left="327" w:right="322"/>
              <w:jc w:val="center"/>
              <w:rPr>
                <w:sz w:val="22"/>
              </w:rPr>
            </w:pPr>
            <w:r>
              <w:rPr>
                <w:sz w:val="22"/>
              </w:rPr>
              <w:t>123</w:t>
            </w:r>
          </w:p>
        </w:tc>
        <w:tc>
          <w:tcPr>
            <w:tcW w:w="1402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1" w:hRule="atLeast"/>
        </w:trPr>
        <w:tc>
          <w:tcPr>
            <w:tcW w:w="2264" w:type="dxa"/>
            <w:shd w:val="clear" w:color="auto" w:fill="5B9BD4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Primaria</w:t>
            </w:r>
          </w:p>
        </w:tc>
        <w:tc>
          <w:tcPr>
            <w:tcW w:w="1385" w:type="dxa"/>
            <w:shd w:val="clear" w:color="auto" w:fill="BCD5ED"/>
          </w:tcPr>
          <w:p>
            <w:pPr>
              <w:pStyle w:val="TableParagraph"/>
              <w:spacing w:line="268" w:lineRule="exact"/>
              <w:ind w:left="337" w:right="32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115969</w:t>
            </w:r>
          </w:p>
        </w:tc>
        <w:tc>
          <w:tcPr>
            <w:tcW w:w="1167" w:type="dxa"/>
            <w:shd w:val="clear" w:color="auto" w:fill="BCD5ED"/>
          </w:tcPr>
          <w:p>
            <w:pPr>
              <w:pStyle w:val="TableParagraph"/>
              <w:spacing w:line="268" w:lineRule="exact"/>
              <w:ind w:left="227" w:right="218"/>
              <w:jc w:val="center"/>
              <w:rPr>
                <w:sz w:val="22"/>
              </w:rPr>
            </w:pPr>
            <w:r>
              <w:rPr>
                <w:sz w:val="22"/>
              </w:rPr>
              <w:t>89179</w:t>
            </w:r>
          </w:p>
        </w:tc>
        <w:tc>
          <w:tcPr>
            <w:tcW w:w="963" w:type="dxa"/>
            <w:shd w:val="clear" w:color="auto" w:fill="BCD5ED"/>
          </w:tcPr>
          <w:p>
            <w:pPr>
              <w:pStyle w:val="TableParagraph"/>
              <w:spacing w:line="268" w:lineRule="exact"/>
              <w:ind w:left="126" w:right="115"/>
              <w:jc w:val="center"/>
              <w:rPr>
                <w:sz w:val="22"/>
              </w:rPr>
            </w:pPr>
            <w:r>
              <w:rPr>
                <w:sz w:val="22"/>
              </w:rPr>
              <w:t>26608</w:t>
            </w:r>
          </w:p>
        </w:tc>
        <w:tc>
          <w:tcPr>
            <w:tcW w:w="1148" w:type="dxa"/>
            <w:shd w:val="clear" w:color="auto" w:fill="BCD5ED"/>
          </w:tcPr>
          <w:p>
            <w:pPr>
              <w:pStyle w:val="TableParagraph"/>
              <w:spacing w:line="268" w:lineRule="exact"/>
              <w:ind w:left="327" w:right="322"/>
              <w:jc w:val="center"/>
              <w:rPr>
                <w:sz w:val="22"/>
              </w:rPr>
            </w:pPr>
            <w:r>
              <w:rPr>
                <w:sz w:val="22"/>
              </w:rPr>
              <w:t>182</w:t>
            </w:r>
          </w:p>
        </w:tc>
        <w:tc>
          <w:tcPr>
            <w:tcW w:w="1402" w:type="dxa"/>
            <w:shd w:val="clear" w:color="auto" w:fill="BCD5ED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4" w:hRule="atLeast"/>
        </w:trPr>
        <w:tc>
          <w:tcPr>
            <w:tcW w:w="2264" w:type="dxa"/>
            <w:shd w:val="clear" w:color="auto" w:fill="5B9BD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Primaria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adultos</w:t>
            </w:r>
          </w:p>
        </w:tc>
        <w:tc>
          <w:tcPr>
            <w:tcW w:w="1385" w:type="dxa"/>
            <w:shd w:val="clear" w:color="auto" w:fill="DEEAF6"/>
          </w:tcPr>
          <w:p>
            <w:pPr>
              <w:pStyle w:val="TableParagraph"/>
              <w:spacing w:before="1"/>
              <w:ind w:left="335" w:right="32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1147</w:t>
            </w:r>
          </w:p>
        </w:tc>
        <w:tc>
          <w:tcPr>
            <w:tcW w:w="1167" w:type="dxa"/>
            <w:shd w:val="clear" w:color="auto" w:fill="DEEAF6"/>
          </w:tcPr>
          <w:p>
            <w:pPr>
              <w:pStyle w:val="TableParagraph"/>
              <w:spacing w:before="1"/>
              <w:ind w:left="229" w:right="217"/>
              <w:jc w:val="center"/>
              <w:rPr>
                <w:sz w:val="22"/>
              </w:rPr>
            </w:pPr>
            <w:r>
              <w:rPr>
                <w:sz w:val="22"/>
              </w:rPr>
              <w:t>499</w:t>
            </w:r>
          </w:p>
        </w:tc>
        <w:tc>
          <w:tcPr>
            <w:tcW w:w="963" w:type="dxa"/>
            <w:shd w:val="clear" w:color="auto" w:fill="DEEAF6"/>
          </w:tcPr>
          <w:p>
            <w:pPr>
              <w:pStyle w:val="TableParagraph"/>
              <w:spacing w:before="1"/>
              <w:ind w:left="128" w:right="115"/>
              <w:jc w:val="center"/>
              <w:rPr>
                <w:sz w:val="22"/>
              </w:rPr>
            </w:pPr>
            <w:r>
              <w:rPr>
                <w:sz w:val="22"/>
              </w:rPr>
              <w:t>633</w:t>
            </w:r>
          </w:p>
        </w:tc>
        <w:tc>
          <w:tcPr>
            <w:tcW w:w="1148" w:type="dxa"/>
            <w:shd w:val="clear" w:color="auto" w:fill="DEEAF6"/>
          </w:tcPr>
          <w:p>
            <w:pPr>
              <w:pStyle w:val="TableParagraph"/>
              <w:spacing w:before="1"/>
              <w:ind w:left="328" w:right="322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402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1" w:hRule="atLeast"/>
        </w:trPr>
        <w:tc>
          <w:tcPr>
            <w:tcW w:w="2264" w:type="dxa"/>
            <w:shd w:val="clear" w:color="auto" w:fill="5B9BD4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Básico</w:t>
            </w:r>
          </w:p>
        </w:tc>
        <w:tc>
          <w:tcPr>
            <w:tcW w:w="1385" w:type="dxa"/>
            <w:shd w:val="clear" w:color="auto" w:fill="BCD5ED"/>
          </w:tcPr>
          <w:p>
            <w:pPr>
              <w:pStyle w:val="TableParagraph"/>
              <w:spacing w:line="268" w:lineRule="exact"/>
              <w:ind w:left="335" w:right="32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65716</w:t>
            </w:r>
          </w:p>
        </w:tc>
        <w:tc>
          <w:tcPr>
            <w:tcW w:w="1167" w:type="dxa"/>
            <w:shd w:val="clear" w:color="auto" w:fill="BCD5ED"/>
          </w:tcPr>
          <w:p>
            <w:pPr>
              <w:pStyle w:val="TableParagraph"/>
              <w:spacing w:line="268" w:lineRule="exact"/>
              <w:ind w:left="227" w:right="218"/>
              <w:jc w:val="center"/>
              <w:rPr>
                <w:sz w:val="22"/>
              </w:rPr>
            </w:pPr>
            <w:r>
              <w:rPr>
                <w:sz w:val="22"/>
              </w:rPr>
              <w:t>15281</w:t>
            </w:r>
          </w:p>
        </w:tc>
        <w:tc>
          <w:tcPr>
            <w:tcW w:w="963" w:type="dxa"/>
            <w:shd w:val="clear" w:color="auto" w:fill="BCD5ED"/>
          </w:tcPr>
          <w:p>
            <w:pPr>
              <w:pStyle w:val="TableParagraph"/>
              <w:spacing w:line="268" w:lineRule="exact"/>
              <w:ind w:left="126" w:right="115"/>
              <w:jc w:val="center"/>
              <w:rPr>
                <w:sz w:val="22"/>
              </w:rPr>
            </w:pPr>
            <w:r>
              <w:rPr>
                <w:sz w:val="22"/>
              </w:rPr>
              <w:t>39949</w:t>
            </w:r>
          </w:p>
        </w:tc>
        <w:tc>
          <w:tcPr>
            <w:tcW w:w="1148" w:type="dxa"/>
            <w:shd w:val="clear" w:color="auto" w:fill="BCD5ED"/>
          </w:tcPr>
          <w:p>
            <w:pPr>
              <w:pStyle w:val="TableParagraph"/>
              <w:spacing w:line="268" w:lineRule="exact"/>
              <w:ind w:left="327" w:right="322"/>
              <w:jc w:val="center"/>
              <w:rPr>
                <w:sz w:val="22"/>
              </w:rPr>
            </w:pPr>
            <w:r>
              <w:rPr>
                <w:sz w:val="22"/>
              </w:rPr>
              <w:t>659</w:t>
            </w:r>
          </w:p>
        </w:tc>
        <w:tc>
          <w:tcPr>
            <w:tcW w:w="1402" w:type="dxa"/>
            <w:shd w:val="clear" w:color="auto" w:fill="BCD5ED"/>
          </w:tcPr>
          <w:p>
            <w:pPr>
              <w:pStyle w:val="TableParagraph"/>
              <w:spacing w:line="268" w:lineRule="exact"/>
              <w:ind w:left="11" w:right="4"/>
              <w:jc w:val="center"/>
              <w:rPr>
                <w:sz w:val="22"/>
              </w:rPr>
            </w:pPr>
            <w:r>
              <w:rPr>
                <w:sz w:val="22"/>
              </w:rPr>
              <w:t>9827</w:t>
            </w:r>
          </w:p>
        </w:tc>
      </w:tr>
      <w:tr>
        <w:trPr>
          <w:trHeight w:val="372" w:hRule="atLeast"/>
        </w:trPr>
        <w:tc>
          <w:tcPr>
            <w:tcW w:w="2264" w:type="dxa"/>
            <w:shd w:val="clear" w:color="auto" w:fill="5B9BD4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Diversificado</w:t>
            </w:r>
          </w:p>
        </w:tc>
        <w:tc>
          <w:tcPr>
            <w:tcW w:w="1385" w:type="dxa"/>
            <w:shd w:val="clear" w:color="auto" w:fill="DEEAF6"/>
          </w:tcPr>
          <w:p>
            <w:pPr>
              <w:pStyle w:val="TableParagraph"/>
              <w:spacing w:line="268" w:lineRule="exact"/>
              <w:ind w:left="335" w:right="32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54758</w:t>
            </w:r>
          </w:p>
        </w:tc>
        <w:tc>
          <w:tcPr>
            <w:tcW w:w="1167" w:type="dxa"/>
            <w:shd w:val="clear" w:color="auto" w:fill="DEEAF6"/>
          </w:tcPr>
          <w:p>
            <w:pPr>
              <w:pStyle w:val="TableParagraph"/>
              <w:spacing w:line="268" w:lineRule="exact"/>
              <w:ind w:left="227" w:right="218"/>
              <w:jc w:val="center"/>
              <w:rPr>
                <w:sz w:val="22"/>
              </w:rPr>
            </w:pPr>
            <w:r>
              <w:rPr>
                <w:sz w:val="22"/>
              </w:rPr>
              <w:t>6523</w:t>
            </w:r>
          </w:p>
        </w:tc>
        <w:tc>
          <w:tcPr>
            <w:tcW w:w="963" w:type="dxa"/>
            <w:shd w:val="clear" w:color="auto" w:fill="DEEAF6"/>
          </w:tcPr>
          <w:p>
            <w:pPr>
              <w:pStyle w:val="TableParagraph"/>
              <w:spacing w:line="268" w:lineRule="exact"/>
              <w:ind w:left="126" w:right="115"/>
              <w:jc w:val="center"/>
              <w:rPr>
                <w:sz w:val="22"/>
              </w:rPr>
            </w:pPr>
            <w:r>
              <w:rPr>
                <w:sz w:val="22"/>
              </w:rPr>
              <w:t>45489</w:t>
            </w:r>
          </w:p>
        </w:tc>
        <w:tc>
          <w:tcPr>
            <w:tcW w:w="1148" w:type="dxa"/>
            <w:shd w:val="clear" w:color="auto" w:fill="DEEAF6"/>
          </w:tcPr>
          <w:p>
            <w:pPr>
              <w:pStyle w:val="TableParagraph"/>
              <w:spacing w:line="268" w:lineRule="exact"/>
              <w:ind w:left="327" w:right="322"/>
              <w:jc w:val="center"/>
              <w:rPr>
                <w:sz w:val="22"/>
              </w:rPr>
            </w:pPr>
            <w:r>
              <w:rPr>
                <w:sz w:val="22"/>
              </w:rPr>
              <w:t>710</w:t>
            </w:r>
          </w:p>
        </w:tc>
        <w:tc>
          <w:tcPr>
            <w:tcW w:w="1402" w:type="dxa"/>
            <w:shd w:val="clear" w:color="auto" w:fill="DEEAF6"/>
          </w:tcPr>
          <w:p>
            <w:pPr>
              <w:pStyle w:val="TableParagraph"/>
              <w:spacing w:line="268" w:lineRule="exact"/>
              <w:ind w:left="11" w:right="4"/>
              <w:jc w:val="center"/>
              <w:rPr>
                <w:sz w:val="22"/>
              </w:rPr>
            </w:pPr>
            <w:r>
              <w:rPr>
                <w:sz w:val="22"/>
              </w:rPr>
              <w:t>2036</w:t>
            </w:r>
          </w:p>
        </w:tc>
      </w:tr>
    </w:tbl>
    <w:p>
      <w:pPr>
        <w:spacing w:before="0"/>
        <w:ind w:left="1985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4"/>
          <w:sz w:val="16"/>
        </w:rPr>
        <w:t> </w:t>
      </w:r>
      <w:r>
        <w:rPr>
          <w:sz w:val="16"/>
        </w:rPr>
        <w:t>Estadísticas</w:t>
      </w:r>
      <w:r>
        <w:rPr>
          <w:spacing w:val="-4"/>
          <w:sz w:val="16"/>
        </w:rPr>
        <w:t> </w:t>
      </w:r>
      <w:r>
        <w:rPr>
          <w:sz w:val="16"/>
        </w:rPr>
        <w:t>2020</w:t>
      </w:r>
      <w:r>
        <w:rPr>
          <w:spacing w:val="-4"/>
          <w:sz w:val="16"/>
        </w:rPr>
        <w:t> </w:t>
      </w:r>
      <w:r>
        <w:rPr>
          <w:sz w:val="16"/>
        </w:rPr>
        <w:t>Mineduc.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99"/>
        <w:ind w:left="1839" w:right="1990" w:firstLine="0"/>
        <w:jc w:val="center"/>
        <w:rPr>
          <w:sz w:val="20"/>
        </w:rPr>
      </w:pPr>
      <w:bookmarkStart w:name="_bookmark5" w:id="7"/>
      <w:bookmarkEnd w:id="7"/>
      <w:r>
        <w:rPr/>
      </w:r>
      <w:r>
        <w:rPr>
          <w:sz w:val="20"/>
        </w:rPr>
        <w:t>Tabla</w:t>
      </w:r>
      <w:r>
        <w:rPr>
          <w:spacing w:val="-3"/>
          <w:sz w:val="20"/>
        </w:rPr>
        <w:t> </w:t>
      </w:r>
      <w:r>
        <w:rPr>
          <w:sz w:val="20"/>
        </w:rPr>
        <w:t>4</w:t>
      </w:r>
      <w:r>
        <w:rPr>
          <w:spacing w:val="-2"/>
          <w:sz w:val="20"/>
        </w:rPr>
        <w:t> </w:t>
      </w:r>
      <w:r>
        <w:rPr>
          <w:sz w:val="20"/>
        </w:rPr>
        <w:t>Establecimientos</w:t>
      </w:r>
      <w:r>
        <w:rPr>
          <w:spacing w:val="-5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sector</w:t>
      </w:r>
      <w:r>
        <w:rPr>
          <w:spacing w:val="-1"/>
          <w:sz w:val="20"/>
        </w:rPr>
        <w:t> </w:t>
      </w:r>
      <w:r>
        <w:rPr>
          <w:sz w:val="20"/>
        </w:rPr>
        <w:t>2020</w:t>
      </w:r>
    </w:p>
    <w:tbl>
      <w:tblPr>
        <w:tblW w:w="0" w:type="auto"/>
        <w:jc w:val="left"/>
        <w:tblInd w:w="196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1419"/>
        <w:gridCol w:w="1134"/>
        <w:gridCol w:w="963"/>
        <w:gridCol w:w="1148"/>
        <w:gridCol w:w="1402"/>
      </w:tblGrid>
      <w:tr>
        <w:trPr>
          <w:trHeight w:val="306" w:hRule="atLeast"/>
        </w:trPr>
        <w:tc>
          <w:tcPr>
            <w:tcW w:w="2264" w:type="dxa"/>
            <w:tcBorders>
              <w:right w:val="nil"/>
            </w:tcBorders>
            <w:shd w:val="clear" w:color="auto" w:fill="5B9BD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9" w:type="dxa"/>
            <w:tcBorders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68" w:lineRule="exact"/>
              <w:ind w:left="9" w:right="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68" w:lineRule="exact"/>
              <w:ind w:left="259" w:right="25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Oficial</w:t>
            </w:r>
          </w:p>
        </w:tc>
        <w:tc>
          <w:tcPr>
            <w:tcW w:w="963" w:type="dxa"/>
            <w:tcBorders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68" w:lineRule="exact"/>
              <w:ind w:left="116" w:right="10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Privado</w:t>
            </w:r>
          </w:p>
        </w:tc>
        <w:tc>
          <w:tcPr>
            <w:tcW w:w="1148" w:type="dxa"/>
            <w:tcBorders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68" w:lineRule="exact"/>
              <w:ind w:left="99" w:right="9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Municipal</w:t>
            </w:r>
          </w:p>
        </w:tc>
        <w:tc>
          <w:tcPr>
            <w:tcW w:w="1402" w:type="dxa"/>
            <w:tcBorders>
              <w:left w:val="nil"/>
            </w:tcBorders>
            <w:shd w:val="clear" w:color="auto" w:fill="5B9BD4"/>
          </w:tcPr>
          <w:p>
            <w:pPr>
              <w:pStyle w:val="TableParagraph"/>
              <w:spacing w:line="268" w:lineRule="exact"/>
              <w:ind w:left="108" w:right="9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Cooperativa</w:t>
            </w:r>
          </w:p>
        </w:tc>
      </w:tr>
      <w:tr>
        <w:trPr>
          <w:trHeight w:val="405" w:hRule="atLeast"/>
        </w:trPr>
        <w:tc>
          <w:tcPr>
            <w:tcW w:w="2264" w:type="dxa"/>
            <w:shd w:val="clear" w:color="auto" w:fill="5B9BD4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  <w:tc>
          <w:tcPr>
            <w:tcW w:w="1419" w:type="dxa"/>
            <w:shd w:val="clear" w:color="auto" w:fill="BCD5ED"/>
          </w:tcPr>
          <w:p>
            <w:pPr>
              <w:pStyle w:val="TableParagraph"/>
              <w:spacing w:line="268" w:lineRule="exact"/>
              <w:ind w:left="409" w:right="40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49660</w:t>
            </w:r>
          </w:p>
        </w:tc>
        <w:tc>
          <w:tcPr>
            <w:tcW w:w="1134" w:type="dxa"/>
            <w:shd w:val="clear" w:color="auto" w:fill="BCD5ED"/>
          </w:tcPr>
          <w:p>
            <w:pPr>
              <w:pStyle w:val="TableParagraph"/>
              <w:spacing w:line="268" w:lineRule="exact"/>
              <w:ind w:left="266" w:right="25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34010</w:t>
            </w:r>
          </w:p>
        </w:tc>
        <w:tc>
          <w:tcPr>
            <w:tcW w:w="963" w:type="dxa"/>
            <w:shd w:val="clear" w:color="auto" w:fill="BCD5ED"/>
          </w:tcPr>
          <w:p>
            <w:pPr>
              <w:pStyle w:val="TableParagraph"/>
              <w:spacing w:line="268" w:lineRule="exact"/>
              <w:ind w:left="124" w:right="1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14098</w:t>
            </w:r>
          </w:p>
        </w:tc>
        <w:tc>
          <w:tcPr>
            <w:tcW w:w="1148" w:type="dxa"/>
            <w:shd w:val="clear" w:color="auto" w:fill="BCD5ED"/>
          </w:tcPr>
          <w:p>
            <w:pPr>
              <w:pStyle w:val="TableParagraph"/>
              <w:spacing w:line="268" w:lineRule="exact"/>
              <w:ind w:left="325" w:right="3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310</w:t>
            </w:r>
          </w:p>
        </w:tc>
        <w:tc>
          <w:tcPr>
            <w:tcW w:w="1402" w:type="dxa"/>
            <w:shd w:val="clear" w:color="auto" w:fill="BCD5ED"/>
          </w:tcPr>
          <w:p>
            <w:pPr>
              <w:pStyle w:val="TableParagraph"/>
              <w:spacing w:line="268" w:lineRule="exact"/>
              <w:ind w:left="9" w:right="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1242</w:t>
            </w:r>
          </w:p>
        </w:tc>
      </w:tr>
      <w:tr>
        <w:trPr>
          <w:trHeight w:val="371" w:hRule="atLeast"/>
        </w:trPr>
        <w:tc>
          <w:tcPr>
            <w:tcW w:w="2264" w:type="dxa"/>
            <w:shd w:val="clear" w:color="auto" w:fill="5B9BD4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Preprimaria</w:t>
            </w:r>
          </w:p>
        </w:tc>
        <w:tc>
          <w:tcPr>
            <w:tcW w:w="1419" w:type="dxa"/>
            <w:shd w:val="clear" w:color="auto" w:fill="DEEAF6"/>
          </w:tcPr>
          <w:p>
            <w:pPr>
              <w:pStyle w:val="TableParagraph"/>
              <w:spacing w:line="268" w:lineRule="exact"/>
              <w:ind w:left="409" w:right="40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16301</w:t>
            </w:r>
          </w:p>
        </w:tc>
        <w:tc>
          <w:tcPr>
            <w:tcW w:w="1134" w:type="dxa"/>
            <w:shd w:val="clear" w:color="auto" w:fill="DEEAF6"/>
          </w:tcPr>
          <w:p>
            <w:pPr>
              <w:pStyle w:val="TableParagraph"/>
              <w:spacing w:line="268" w:lineRule="exact"/>
              <w:ind w:left="266" w:right="259"/>
              <w:jc w:val="center"/>
              <w:rPr>
                <w:sz w:val="22"/>
              </w:rPr>
            </w:pPr>
            <w:r>
              <w:rPr>
                <w:sz w:val="22"/>
              </w:rPr>
              <w:t>13508</w:t>
            </w:r>
          </w:p>
        </w:tc>
        <w:tc>
          <w:tcPr>
            <w:tcW w:w="963" w:type="dxa"/>
            <w:shd w:val="clear" w:color="auto" w:fill="DEEAF6"/>
          </w:tcPr>
          <w:p>
            <w:pPr>
              <w:pStyle w:val="TableParagraph"/>
              <w:spacing w:line="268" w:lineRule="exact"/>
              <w:ind w:left="124" w:right="115"/>
              <w:jc w:val="center"/>
              <w:rPr>
                <w:sz w:val="22"/>
              </w:rPr>
            </w:pPr>
            <w:r>
              <w:rPr>
                <w:sz w:val="22"/>
              </w:rPr>
              <w:t>2748</w:t>
            </w:r>
          </w:p>
        </w:tc>
        <w:tc>
          <w:tcPr>
            <w:tcW w:w="1148" w:type="dxa"/>
            <w:shd w:val="clear" w:color="auto" w:fill="DEEAF6"/>
          </w:tcPr>
          <w:p>
            <w:pPr>
              <w:pStyle w:val="TableParagraph"/>
              <w:spacing w:line="268" w:lineRule="exact"/>
              <w:ind w:left="326" w:right="322"/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402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1" w:hRule="atLeast"/>
        </w:trPr>
        <w:tc>
          <w:tcPr>
            <w:tcW w:w="2264" w:type="dxa"/>
            <w:shd w:val="clear" w:color="auto" w:fill="5B9BD4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Primaria</w:t>
            </w:r>
          </w:p>
        </w:tc>
        <w:tc>
          <w:tcPr>
            <w:tcW w:w="1419" w:type="dxa"/>
            <w:shd w:val="clear" w:color="auto" w:fill="BCD5ED"/>
          </w:tcPr>
          <w:p>
            <w:pPr>
              <w:pStyle w:val="TableParagraph"/>
              <w:spacing w:line="268" w:lineRule="exact"/>
              <w:ind w:left="409" w:right="40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19420</w:t>
            </w:r>
          </w:p>
        </w:tc>
        <w:tc>
          <w:tcPr>
            <w:tcW w:w="1134" w:type="dxa"/>
            <w:shd w:val="clear" w:color="auto" w:fill="BCD5ED"/>
          </w:tcPr>
          <w:p>
            <w:pPr>
              <w:pStyle w:val="TableParagraph"/>
              <w:spacing w:line="268" w:lineRule="exact"/>
              <w:ind w:left="266" w:right="259"/>
              <w:jc w:val="center"/>
              <w:rPr>
                <w:sz w:val="22"/>
              </w:rPr>
            </w:pPr>
            <w:r>
              <w:rPr>
                <w:sz w:val="22"/>
              </w:rPr>
              <w:t>16399</w:t>
            </w:r>
          </w:p>
        </w:tc>
        <w:tc>
          <w:tcPr>
            <w:tcW w:w="963" w:type="dxa"/>
            <w:shd w:val="clear" w:color="auto" w:fill="BCD5ED"/>
          </w:tcPr>
          <w:p>
            <w:pPr>
              <w:pStyle w:val="TableParagraph"/>
              <w:spacing w:line="268" w:lineRule="exact"/>
              <w:ind w:left="124" w:right="115"/>
              <w:jc w:val="center"/>
              <w:rPr>
                <w:sz w:val="22"/>
              </w:rPr>
            </w:pPr>
            <w:r>
              <w:rPr>
                <w:sz w:val="22"/>
              </w:rPr>
              <w:t>2946</w:t>
            </w:r>
          </w:p>
        </w:tc>
        <w:tc>
          <w:tcPr>
            <w:tcW w:w="1148" w:type="dxa"/>
            <w:shd w:val="clear" w:color="auto" w:fill="BCD5ED"/>
          </w:tcPr>
          <w:p>
            <w:pPr>
              <w:pStyle w:val="TableParagraph"/>
              <w:spacing w:line="268" w:lineRule="exact"/>
              <w:ind w:left="326" w:right="322"/>
              <w:jc w:val="center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402" w:type="dxa"/>
            <w:shd w:val="clear" w:color="auto" w:fill="BCD5ED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4" w:hRule="atLeast"/>
        </w:trPr>
        <w:tc>
          <w:tcPr>
            <w:tcW w:w="2264" w:type="dxa"/>
            <w:shd w:val="clear" w:color="auto" w:fill="5B9BD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Primaria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adultos</w:t>
            </w:r>
          </w:p>
        </w:tc>
        <w:tc>
          <w:tcPr>
            <w:tcW w:w="1419" w:type="dxa"/>
            <w:shd w:val="clear" w:color="auto" w:fill="DEEAF6"/>
          </w:tcPr>
          <w:p>
            <w:pPr>
              <w:pStyle w:val="TableParagraph"/>
              <w:spacing w:before="1"/>
              <w:ind w:left="409" w:right="40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323</w:t>
            </w:r>
          </w:p>
        </w:tc>
        <w:tc>
          <w:tcPr>
            <w:tcW w:w="1134" w:type="dxa"/>
            <w:shd w:val="clear" w:color="auto" w:fill="DEEAF6"/>
          </w:tcPr>
          <w:p>
            <w:pPr>
              <w:pStyle w:val="TableParagraph"/>
              <w:spacing w:before="1"/>
              <w:ind w:left="265" w:right="259"/>
              <w:jc w:val="center"/>
              <w:rPr>
                <w:sz w:val="22"/>
              </w:rPr>
            </w:pPr>
            <w:r>
              <w:rPr>
                <w:sz w:val="22"/>
              </w:rPr>
              <w:t>147</w:t>
            </w:r>
          </w:p>
        </w:tc>
        <w:tc>
          <w:tcPr>
            <w:tcW w:w="963" w:type="dxa"/>
            <w:shd w:val="clear" w:color="auto" w:fill="DEEAF6"/>
          </w:tcPr>
          <w:p>
            <w:pPr>
              <w:pStyle w:val="TableParagraph"/>
              <w:spacing w:before="1"/>
              <w:ind w:left="126" w:right="115"/>
              <w:jc w:val="center"/>
              <w:rPr>
                <w:sz w:val="22"/>
              </w:rPr>
            </w:pPr>
            <w:r>
              <w:rPr>
                <w:sz w:val="22"/>
              </w:rPr>
              <w:t>171</w:t>
            </w:r>
          </w:p>
        </w:tc>
        <w:tc>
          <w:tcPr>
            <w:tcW w:w="1148" w:type="dxa"/>
            <w:shd w:val="clear" w:color="auto" w:fill="DEEAF6"/>
          </w:tcPr>
          <w:p>
            <w:pPr>
              <w:pStyle w:val="TableParagraph"/>
              <w:spacing w:before="1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402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2" w:hRule="atLeast"/>
        </w:trPr>
        <w:tc>
          <w:tcPr>
            <w:tcW w:w="2264" w:type="dxa"/>
            <w:shd w:val="clear" w:color="auto" w:fill="5B9BD4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Básico</w:t>
            </w:r>
          </w:p>
        </w:tc>
        <w:tc>
          <w:tcPr>
            <w:tcW w:w="1419" w:type="dxa"/>
            <w:shd w:val="clear" w:color="auto" w:fill="BCD5ED"/>
          </w:tcPr>
          <w:p>
            <w:pPr>
              <w:pStyle w:val="TableParagraph"/>
              <w:spacing w:line="268" w:lineRule="exact"/>
              <w:ind w:left="409" w:right="40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8589</w:t>
            </w:r>
          </w:p>
        </w:tc>
        <w:tc>
          <w:tcPr>
            <w:tcW w:w="1134" w:type="dxa"/>
            <w:shd w:val="clear" w:color="auto" w:fill="BCD5ED"/>
          </w:tcPr>
          <w:p>
            <w:pPr>
              <w:pStyle w:val="TableParagraph"/>
              <w:spacing w:line="268" w:lineRule="exact"/>
              <w:ind w:left="266" w:right="258"/>
              <w:jc w:val="center"/>
              <w:rPr>
                <w:sz w:val="22"/>
              </w:rPr>
            </w:pPr>
            <w:r>
              <w:rPr>
                <w:sz w:val="22"/>
              </w:rPr>
              <w:t>3279</w:t>
            </w:r>
          </w:p>
        </w:tc>
        <w:tc>
          <w:tcPr>
            <w:tcW w:w="963" w:type="dxa"/>
            <w:shd w:val="clear" w:color="auto" w:fill="BCD5ED"/>
          </w:tcPr>
          <w:p>
            <w:pPr>
              <w:pStyle w:val="TableParagraph"/>
              <w:spacing w:line="268" w:lineRule="exact"/>
              <w:ind w:left="124" w:right="115"/>
              <w:jc w:val="center"/>
              <w:rPr>
                <w:sz w:val="22"/>
              </w:rPr>
            </w:pPr>
            <w:r>
              <w:rPr>
                <w:sz w:val="22"/>
              </w:rPr>
              <w:t>4144</w:t>
            </w:r>
          </w:p>
        </w:tc>
        <w:tc>
          <w:tcPr>
            <w:tcW w:w="1148" w:type="dxa"/>
            <w:shd w:val="clear" w:color="auto" w:fill="BCD5ED"/>
          </w:tcPr>
          <w:p>
            <w:pPr>
              <w:pStyle w:val="TableParagraph"/>
              <w:spacing w:line="268" w:lineRule="exact"/>
              <w:ind w:left="325" w:right="322"/>
              <w:jc w:val="center"/>
              <w:rPr>
                <w:sz w:val="22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1402" w:type="dxa"/>
            <w:shd w:val="clear" w:color="auto" w:fill="BCD5ED"/>
          </w:tcPr>
          <w:p>
            <w:pPr>
              <w:pStyle w:val="TableParagraph"/>
              <w:spacing w:line="268" w:lineRule="exact"/>
              <w:ind w:left="9" w:right="4"/>
              <w:jc w:val="center"/>
              <w:rPr>
                <w:sz w:val="22"/>
              </w:rPr>
            </w:pPr>
            <w:r>
              <w:rPr>
                <w:sz w:val="22"/>
              </w:rPr>
              <w:t>1058</w:t>
            </w:r>
          </w:p>
        </w:tc>
      </w:tr>
      <w:tr>
        <w:trPr>
          <w:trHeight w:val="371" w:hRule="atLeast"/>
        </w:trPr>
        <w:tc>
          <w:tcPr>
            <w:tcW w:w="2264" w:type="dxa"/>
            <w:shd w:val="clear" w:color="auto" w:fill="5B9BD4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Diversificado</w:t>
            </w:r>
          </w:p>
        </w:tc>
        <w:tc>
          <w:tcPr>
            <w:tcW w:w="1419" w:type="dxa"/>
            <w:shd w:val="clear" w:color="auto" w:fill="DEEAF6"/>
          </w:tcPr>
          <w:p>
            <w:pPr>
              <w:pStyle w:val="TableParagraph"/>
              <w:spacing w:line="268" w:lineRule="exact"/>
              <w:ind w:left="409" w:right="40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5027</w:t>
            </w:r>
          </w:p>
        </w:tc>
        <w:tc>
          <w:tcPr>
            <w:tcW w:w="1134" w:type="dxa"/>
            <w:shd w:val="clear" w:color="auto" w:fill="DEEAF6"/>
          </w:tcPr>
          <w:p>
            <w:pPr>
              <w:pStyle w:val="TableParagraph"/>
              <w:spacing w:line="268" w:lineRule="exact"/>
              <w:ind w:left="265" w:right="259"/>
              <w:jc w:val="center"/>
              <w:rPr>
                <w:sz w:val="22"/>
              </w:rPr>
            </w:pPr>
            <w:r>
              <w:rPr>
                <w:sz w:val="22"/>
              </w:rPr>
              <w:t>677</w:t>
            </w:r>
          </w:p>
        </w:tc>
        <w:tc>
          <w:tcPr>
            <w:tcW w:w="963" w:type="dxa"/>
            <w:shd w:val="clear" w:color="auto" w:fill="DEEAF6"/>
          </w:tcPr>
          <w:p>
            <w:pPr>
              <w:pStyle w:val="TableParagraph"/>
              <w:spacing w:line="268" w:lineRule="exact"/>
              <w:ind w:left="124" w:right="115"/>
              <w:jc w:val="center"/>
              <w:rPr>
                <w:sz w:val="22"/>
              </w:rPr>
            </w:pPr>
            <w:r>
              <w:rPr>
                <w:sz w:val="22"/>
              </w:rPr>
              <w:t>4089</w:t>
            </w:r>
          </w:p>
        </w:tc>
        <w:tc>
          <w:tcPr>
            <w:tcW w:w="1148" w:type="dxa"/>
            <w:shd w:val="clear" w:color="auto" w:fill="DEEAF6"/>
          </w:tcPr>
          <w:p>
            <w:pPr>
              <w:pStyle w:val="TableParagraph"/>
              <w:spacing w:line="268" w:lineRule="exact"/>
              <w:ind w:left="326" w:right="322"/>
              <w:jc w:val="center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1402" w:type="dxa"/>
            <w:shd w:val="clear" w:color="auto" w:fill="DEEAF6"/>
          </w:tcPr>
          <w:p>
            <w:pPr>
              <w:pStyle w:val="TableParagraph"/>
              <w:spacing w:line="268" w:lineRule="exact"/>
              <w:ind w:left="11" w:right="4"/>
              <w:jc w:val="center"/>
              <w:rPr>
                <w:sz w:val="22"/>
              </w:rPr>
            </w:pPr>
            <w:r>
              <w:rPr>
                <w:sz w:val="22"/>
              </w:rPr>
              <w:t>184</w:t>
            </w:r>
          </w:p>
        </w:tc>
      </w:tr>
    </w:tbl>
    <w:p>
      <w:pPr>
        <w:spacing w:before="0"/>
        <w:ind w:left="1985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4"/>
          <w:sz w:val="16"/>
        </w:rPr>
        <w:t> </w:t>
      </w:r>
      <w:r>
        <w:rPr>
          <w:sz w:val="16"/>
        </w:rPr>
        <w:t>Estadísticas</w:t>
      </w:r>
      <w:r>
        <w:rPr>
          <w:spacing w:val="-4"/>
          <w:sz w:val="16"/>
        </w:rPr>
        <w:t> </w:t>
      </w:r>
      <w:r>
        <w:rPr>
          <w:sz w:val="16"/>
        </w:rPr>
        <w:t>2020</w:t>
      </w:r>
      <w:r>
        <w:rPr>
          <w:spacing w:val="-4"/>
          <w:sz w:val="16"/>
        </w:rPr>
        <w:t> </w:t>
      </w:r>
      <w:r>
        <w:rPr>
          <w:sz w:val="16"/>
        </w:rPr>
        <w:t>Mineduc.</w:t>
      </w: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9"/>
        </w:rPr>
      </w:pPr>
    </w:p>
    <w:p>
      <w:pPr>
        <w:pStyle w:val="Heading3"/>
        <w:numPr>
          <w:ilvl w:val="0"/>
          <w:numId w:val="4"/>
        </w:numPr>
        <w:tabs>
          <w:tab w:pos="1850" w:val="left" w:leader="none"/>
          <w:tab w:pos="1851" w:val="left" w:leader="none"/>
        </w:tabs>
        <w:spacing w:line="240" w:lineRule="auto" w:before="0" w:after="0"/>
        <w:ind w:left="1850" w:right="0" w:hanging="433"/>
        <w:jc w:val="left"/>
      </w:pPr>
      <w:bookmarkStart w:name="_bookmark6" w:id="8"/>
      <w:bookmarkEnd w:id="8"/>
      <w:r>
        <w:rPr>
          <w:b w:val="0"/>
        </w:rPr>
      </w:r>
      <w:bookmarkStart w:name="_bookmark6" w:id="9"/>
      <w:bookmarkEnd w:id="9"/>
      <w:r>
        <w:rPr>
          <w:color w:val="1F4E79"/>
        </w:rPr>
        <w:t>Po</w:t>
      </w:r>
      <w:r>
        <w:rPr>
          <w:color w:val="1F4E79"/>
        </w:rPr>
        <w:t>blación</w:t>
      </w:r>
      <w:r>
        <w:rPr>
          <w:color w:val="1F4E79"/>
          <w:spacing w:val="-3"/>
        </w:rPr>
        <w:t> </w:t>
      </w:r>
      <w:r>
        <w:rPr>
          <w:color w:val="1F4E79"/>
        </w:rPr>
        <w:t>objetivo</w:t>
      </w:r>
      <w:r>
        <w:rPr>
          <w:color w:val="1F4E79"/>
          <w:spacing w:val="-2"/>
        </w:rPr>
        <w:t> </w:t>
      </w:r>
      <w:r>
        <w:rPr>
          <w:color w:val="1F4E79"/>
        </w:rPr>
        <w:t>-</w:t>
      </w:r>
      <w:r>
        <w:rPr>
          <w:color w:val="1F4E79"/>
          <w:spacing w:val="-3"/>
        </w:rPr>
        <w:t> </w:t>
      </w:r>
      <w:r>
        <w:rPr>
          <w:color w:val="1F4E79"/>
        </w:rPr>
        <w:t>Elegible</w:t>
      </w:r>
    </w:p>
    <w:p>
      <w:pPr>
        <w:pStyle w:val="BodyText"/>
        <w:spacing w:before="6"/>
        <w:rPr>
          <w:b/>
          <w:sz w:val="29"/>
        </w:rPr>
      </w:pPr>
    </w:p>
    <w:p>
      <w:pPr>
        <w:spacing w:before="0"/>
        <w:ind w:left="1418" w:right="1413" w:firstLine="0"/>
        <w:jc w:val="both"/>
        <w:rPr>
          <w:sz w:val="24"/>
        </w:rPr>
      </w:pPr>
      <w:r>
        <w:rPr>
          <w:spacing w:val="-1"/>
          <w:sz w:val="24"/>
        </w:rPr>
        <w:t>Con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propósito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determinar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población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objetivo,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continuación,</w:t>
      </w:r>
      <w:r>
        <w:rPr>
          <w:spacing w:val="-14"/>
          <w:sz w:val="24"/>
        </w:rPr>
        <w:t> </w:t>
      </w:r>
      <w:r>
        <w:rPr>
          <w:sz w:val="24"/>
        </w:rPr>
        <w:t>se</w:t>
      </w:r>
      <w:r>
        <w:rPr>
          <w:spacing w:val="-14"/>
          <w:sz w:val="24"/>
        </w:rPr>
        <w:t> </w:t>
      </w:r>
      <w:r>
        <w:rPr>
          <w:sz w:val="24"/>
        </w:rPr>
        <w:t>presenta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14"/>
          <w:sz w:val="24"/>
        </w:rPr>
        <w:t> </w:t>
      </w:r>
      <w:r>
        <w:rPr>
          <w:sz w:val="24"/>
        </w:rPr>
        <w:t>información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con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respecto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al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déficit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educativo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por</w:t>
      </w:r>
      <w:r>
        <w:rPr>
          <w:spacing w:val="-14"/>
          <w:sz w:val="24"/>
        </w:rPr>
        <w:t> </w:t>
      </w:r>
      <w:r>
        <w:rPr>
          <w:sz w:val="24"/>
        </w:rPr>
        <w:t>nivel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educación,</w:t>
      </w:r>
      <w:r>
        <w:rPr>
          <w:spacing w:val="-11"/>
          <w:sz w:val="24"/>
        </w:rPr>
        <w:t> </w:t>
      </w:r>
      <w:r>
        <w:rPr>
          <w:sz w:val="24"/>
        </w:rPr>
        <w:t>con</w:t>
      </w:r>
      <w:r>
        <w:rPr>
          <w:spacing w:val="-13"/>
          <w:sz w:val="24"/>
        </w:rPr>
        <w:t> </w:t>
      </w:r>
      <w:r>
        <w:rPr>
          <w:sz w:val="24"/>
        </w:rPr>
        <w:t>datos</w:t>
      </w:r>
      <w:r>
        <w:rPr>
          <w:spacing w:val="-14"/>
          <w:sz w:val="24"/>
        </w:rPr>
        <w:t> </w:t>
      </w:r>
      <w:r>
        <w:rPr>
          <w:sz w:val="24"/>
        </w:rPr>
        <w:t>preliminares</w:t>
      </w:r>
      <w:r>
        <w:rPr>
          <w:spacing w:val="-12"/>
          <w:sz w:val="24"/>
        </w:rPr>
        <w:t> </w:t>
      </w:r>
      <w:r>
        <w:rPr>
          <w:sz w:val="24"/>
        </w:rPr>
        <w:t>2021</w:t>
      </w:r>
      <w:r>
        <w:rPr>
          <w:spacing w:val="-13"/>
          <w:sz w:val="24"/>
        </w:rPr>
        <w:t> </w:t>
      </w:r>
      <w:r>
        <w:rPr>
          <w:sz w:val="24"/>
        </w:rPr>
        <w:t>al</w:t>
      </w:r>
      <w:r>
        <w:rPr>
          <w:spacing w:val="-14"/>
          <w:sz w:val="24"/>
        </w:rPr>
        <w:t> </w:t>
      </w:r>
      <w:r>
        <w:rPr>
          <w:sz w:val="24"/>
        </w:rPr>
        <w:t>1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junio.</w:t>
      </w:r>
    </w:p>
    <w:p>
      <w:pPr>
        <w:pStyle w:val="BodyText"/>
        <w:spacing w:before="5"/>
        <w:rPr>
          <w:sz w:val="29"/>
        </w:rPr>
      </w:pPr>
    </w:p>
    <w:p>
      <w:pPr>
        <w:pStyle w:val="Heading3"/>
        <w:numPr>
          <w:ilvl w:val="1"/>
          <w:numId w:val="4"/>
        </w:numPr>
        <w:tabs>
          <w:tab w:pos="1994" w:val="left" w:leader="none"/>
          <w:tab w:pos="1995" w:val="left" w:leader="none"/>
        </w:tabs>
        <w:spacing w:line="240" w:lineRule="auto" w:before="0" w:after="0"/>
        <w:ind w:left="1994" w:right="0" w:hanging="577"/>
        <w:jc w:val="left"/>
      </w:pPr>
      <w:bookmarkStart w:name="_bookmark7" w:id="10"/>
      <w:bookmarkEnd w:id="10"/>
      <w:r>
        <w:rPr>
          <w:b w:val="0"/>
        </w:rPr>
      </w:r>
      <w:bookmarkStart w:name="_bookmark7" w:id="11"/>
      <w:bookmarkEnd w:id="11"/>
      <w:r>
        <w:rPr>
          <w:color w:val="1F4E79"/>
        </w:rPr>
        <w:t>Po</w:t>
      </w:r>
      <w:r>
        <w:rPr>
          <w:color w:val="1F4E79"/>
        </w:rPr>
        <w:t>blación</w:t>
      </w:r>
      <w:r>
        <w:rPr>
          <w:color w:val="1F4E79"/>
          <w:spacing w:val="-3"/>
        </w:rPr>
        <w:t> </w:t>
      </w:r>
      <w:r>
        <w:rPr>
          <w:color w:val="1F4E79"/>
        </w:rPr>
        <w:t>objetivo</w:t>
      </w:r>
      <w:r>
        <w:rPr>
          <w:color w:val="1F4E79"/>
          <w:spacing w:val="-5"/>
        </w:rPr>
        <w:t> </w:t>
      </w:r>
      <w:r>
        <w:rPr>
          <w:color w:val="1F4E79"/>
        </w:rPr>
        <w:t>del</w:t>
      </w:r>
      <w:r>
        <w:rPr>
          <w:color w:val="1F4E79"/>
          <w:spacing w:val="-4"/>
        </w:rPr>
        <w:t> </w:t>
      </w:r>
      <w:r>
        <w:rPr>
          <w:color w:val="1F4E79"/>
        </w:rPr>
        <w:t>nivel</w:t>
      </w:r>
      <w:r>
        <w:rPr>
          <w:color w:val="1F4E79"/>
          <w:spacing w:val="-2"/>
        </w:rPr>
        <w:t> </w:t>
      </w:r>
      <w:r>
        <w:rPr>
          <w:color w:val="1F4E79"/>
        </w:rPr>
        <w:t>de</w:t>
      </w:r>
      <w:r>
        <w:rPr>
          <w:color w:val="1F4E79"/>
          <w:spacing w:val="-4"/>
        </w:rPr>
        <w:t> </w:t>
      </w:r>
      <w:r>
        <w:rPr>
          <w:color w:val="1F4E79"/>
        </w:rPr>
        <w:t>educación</w:t>
      </w:r>
      <w:r>
        <w:rPr>
          <w:color w:val="1F4E79"/>
          <w:spacing w:val="-4"/>
        </w:rPr>
        <w:t> </w:t>
      </w:r>
      <w:r>
        <w:rPr>
          <w:color w:val="1F4E79"/>
        </w:rPr>
        <w:t>inicial</w:t>
      </w:r>
    </w:p>
    <w:p>
      <w:pPr>
        <w:pStyle w:val="BodyText"/>
        <w:rPr>
          <w:b/>
          <w:sz w:val="24"/>
        </w:rPr>
      </w:pPr>
    </w:p>
    <w:p>
      <w:pPr>
        <w:spacing w:line="240" w:lineRule="auto" w:before="188"/>
        <w:ind w:left="1418" w:right="1413" w:firstLine="0"/>
        <w:jc w:val="both"/>
        <w:rPr>
          <w:sz w:val="24"/>
        </w:rPr>
      </w:pPr>
      <w:r>
        <w:rPr>
          <w:sz w:val="24"/>
        </w:rPr>
        <w:t>En cuanto al nivel de educación inicial que comprende las edades de 0 a 3 años, es importante</w:t>
      </w:r>
      <w:r>
        <w:rPr>
          <w:spacing w:val="1"/>
          <w:sz w:val="24"/>
        </w:rPr>
        <w:t> </w:t>
      </w:r>
      <w:r>
        <w:rPr>
          <w:sz w:val="24"/>
        </w:rPr>
        <w:t>destacar que el sistema de registros educativos del Ministerio de Educación, aún no cuenta con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las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condiciones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técnicas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para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generar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datos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educación</w:t>
      </w:r>
      <w:r>
        <w:rPr>
          <w:spacing w:val="-9"/>
          <w:sz w:val="24"/>
        </w:rPr>
        <w:t> </w:t>
      </w:r>
      <w:r>
        <w:rPr>
          <w:sz w:val="24"/>
        </w:rPr>
        <w:t>inicial</w:t>
      </w:r>
      <w:r>
        <w:rPr>
          <w:spacing w:val="-13"/>
          <w:sz w:val="24"/>
        </w:rPr>
        <w:t> </w:t>
      </w:r>
      <w:r>
        <w:rPr>
          <w:sz w:val="24"/>
        </w:rPr>
        <w:t>tomando</w:t>
      </w:r>
      <w:r>
        <w:rPr>
          <w:spacing w:val="-13"/>
          <w:sz w:val="24"/>
        </w:rPr>
        <w:t> </w:t>
      </w:r>
      <w:r>
        <w:rPr>
          <w:sz w:val="24"/>
        </w:rPr>
        <w:t>en</w:t>
      </w:r>
      <w:r>
        <w:rPr>
          <w:spacing w:val="-11"/>
          <w:sz w:val="24"/>
        </w:rPr>
        <w:t> </w:t>
      </w:r>
      <w:r>
        <w:rPr>
          <w:sz w:val="24"/>
        </w:rPr>
        <w:t>cuenta</w:t>
      </w:r>
      <w:r>
        <w:rPr>
          <w:spacing w:val="-14"/>
          <w:sz w:val="24"/>
        </w:rPr>
        <w:t> </w:t>
      </w: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este</w:t>
      </w:r>
      <w:r>
        <w:rPr>
          <w:spacing w:val="-13"/>
          <w:sz w:val="24"/>
        </w:rPr>
        <w:t> </w:t>
      </w:r>
      <w:r>
        <w:rPr>
          <w:sz w:val="24"/>
        </w:rPr>
        <w:t>nivel</w:t>
      </w:r>
      <w:r>
        <w:rPr>
          <w:spacing w:val="-51"/>
          <w:sz w:val="24"/>
        </w:rPr>
        <w:t> </w:t>
      </w:r>
      <w:r>
        <w:rPr>
          <w:sz w:val="24"/>
        </w:rPr>
        <w:t>no se encuentra clasificado ni determinada dentro de la codificación y selección de los datos en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-10"/>
          <w:sz w:val="24"/>
        </w:rPr>
        <w:t> </w:t>
      </w:r>
      <w:r>
        <w:rPr>
          <w:sz w:val="24"/>
        </w:rPr>
        <w:t>bases</w:t>
      </w:r>
      <w:r>
        <w:rPr>
          <w:spacing w:val="-12"/>
          <w:sz w:val="24"/>
        </w:rPr>
        <w:t> </w:t>
      </w:r>
      <w:r>
        <w:rPr>
          <w:sz w:val="24"/>
        </w:rPr>
        <w:t>del</w:t>
      </w:r>
      <w:r>
        <w:rPr>
          <w:spacing w:val="-8"/>
          <w:sz w:val="24"/>
        </w:rPr>
        <w:t> </w:t>
      </w:r>
      <w:r>
        <w:rPr>
          <w:sz w:val="24"/>
        </w:rPr>
        <w:t>sistema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registros</w:t>
      </w:r>
      <w:r>
        <w:rPr>
          <w:spacing w:val="-10"/>
          <w:sz w:val="24"/>
        </w:rPr>
        <w:t> </w:t>
      </w:r>
      <w:r>
        <w:rPr>
          <w:sz w:val="24"/>
        </w:rPr>
        <w:t>educativos;</w:t>
      </w:r>
      <w:r>
        <w:rPr>
          <w:spacing w:val="-9"/>
          <w:sz w:val="24"/>
        </w:rPr>
        <w:t> </w:t>
      </w:r>
      <w:r>
        <w:rPr>
          <w:sz w:val="24"/>
        </w:rPr>
        <w:t>adicionalmente,</w:t>
      </w:r>
      <w:r>
        <w:rPr>
          <w:spacing w:val="-11"/>
          <w:sz w:val="24"/>
        </w:rPr>
        <w:t> </w:t>
      </w:r>
      <w:r>
        <w:rPr>
          <w:sz w:val="24"/>
        </w:rPr>
        <w:t>los</w:t>
      </w:r>
      <w:r>
        <w:rPr>
          <w:spacing w:val="-11"/>
          <w:sz w:val="24"/>
        </w:rPr>
        <w:t> </w:t>
      </w:r>
      <w:r>
        <w:rPr>
          <w:sz w:val="24"/>
        </w:rPr>
        <w:t>establecimientos</w:t>
      </w:r>
      <w:r>
        <w:rPr>
          <w:spacing w:val="-9"/>
          <w:sz w:val="24"/>
        </w:rPr>
        <w:t> </w:t>
      </w:r>
      <w:r>
        <w:rPr>
          <w:sz w:val="24"/>
        </w:rPr>
        <w:t>educativos</w:t>
      </w:r>
      <w:r>
        <w:rPr>
          <w:spacing w:val="-11"/>
          <w:sz w:val="24"/>
        </w:rPr>
        <w:t> </w:t>
      </w:r>
      <w:r>
        <w:rPr>
          <w:sz w:val="24"/>
        </w:rPr>
        <w:t>no</w:t>
      </w:r>
      <w:r>
        <w:rPr>
          <w:spacing w:val="-52"/>
          <w:sz w:val="24"/>
        </w:rPr>
        <w:t> </w:t>
      </w:r>
      <w:r>
        <w:rPr>
          <w:sz w:val="24"/>
        </w:rPr>
        <w:t>tienen el sistema de codificación respectiva y actualmente se encuentran clasificados como</w:t>
      </w:r>
      <w:r>
        <w:rPr>
          <w:spacing w:val="1"/>
          <w:sz w:val="24"/>
        </w:rPr>
        <w:t> </w:t>
      </w:r>
      <w:r>
        <w:rPr>
          <w:sz w:val="24"/>
        </w:rPr>
        <w:t>establecimientos</w:t>
      </w:r>
      <w:r>
        <w:rPr>
          <w:spacing w:val="25"/>
          <w:sz w:val="24"/>
        </w:rPr>
        <w:t> </w:t>
      </w:r>
      <w:r>
        <w:rPr>
          <w:sz w:val="24"/>
        </w:rPr>
        <w:t>de</w:t>
      </w:r>
      <w:r>
        <w:rPr>
          <w:spacing w:val="24"/>
          <w:sz w:val="24"/>
        </w:rPr>
        <w:t> </w:t>
      </w:r>
      <w:r>
        <w:rPr>
          <w:sz w:val="24"/>
        </w:rPr>
        <w:t>preprimaria,</w:t>
      </w:r>
      <w:r>
        <w:rPr>
          <w:spacing w:val="26"/>
          <w:sz w:val="24"/>
        </w:rPr>
        <w:t> </w:t>
      </w:r>
      <w:r>
        <w:rPr>
          <w:sz w:val="24"/>
        </w:rPr>
        <w:t>es</w:t>
      </w:r>
      <w:r>
        <w:rPr>
          <w:spacing w:val="24"/>
          <w:sz w:val="24"/>
        </w:rPr>
        <w:t> </w:t>
      </w:r>
      <w:r>
        <w:rPr>
          <w:sz w:val="24"/>
        </w:rPr>
        <w:t>decir</w:t>
      </w:r>
      <w:r>
        <w:rPr>
          <w:spacing w:val="26"/>
          <w:sz w:val="24"/>
        </w:rPr>
        <w:t> </w:t>
      </w:r>
      <w:r>
        <w:rPr>
          <w:sz w:val="24"/>
        </w:rPr>
        <w:t>establecimientos</w:t>
      </w:r>
      <w:r>
        <w:rPr>
          <w:spacing w:val="26"/>
          <w:sz w:val="24"/>
        </w:rPr>
        <w:t> </w:t>
      </w:r>
      <w:r>
        <w:rPr>
          <w:sz w:val="24"/>
        </w:rPr>
        <w:t>de</w:t>
      </w:r>
      <w:r>
        <w:rPr>
          <w:spacing w:val="24"/>
          <w:sz w:val="24"/>
        </w:rPr>
        <w:t> </w:t>
      </w:r>
      <w:r>
        <w:rPr>
          <w:sz w:val="24"/>
        </w:rPr>
        <w:t>párvulos</w:t>
      </w:r>
      <w:r>
        <w:rPr>
          <w:spacing w:val="23"/>
          <w:sz w:val="24"/>
        </w:rPr>
        <w:t> </w:t>
      </w:r>
      <w:r>
        <w:rPr>
          <w:sz w:val="24"/>
        </w:rPr>
        <w:t>o</w:t>
      </w:r>
      <w:r>
        <w:rPr>
          <w:spacing w:val="26"/>
          <w:sz w:val="24"/>
        </w:rPr>
        <w:t> </w:t>
      </w:r>
      <w:r>
        <w:rPr>
          <w:sz w:val="24"/>
        </w:rPr>
        <w:t>establecimientos</w:t>
      </w:r>
      <w:r>
        <w:rPr>
          <w:spacing w:val="26"/>
          <w:sz w:val="24"/>
        </w:rPr>
        <w:t> </w:t>
      </w:r>
      <w:r>
        <w:rPr>
          <w:sz w:val="24"/>
        </w:rPr>
        <w:t>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  <w:r>
        <w:rPr/>
        <w:pict>
          <v:rect style="position:absolute;margin-left:563.880005pt;margin-top:12.911295pt;width:25.44pt;height:1.4399pt;mso-position-horizontal-relative:page;mso-position-vertical-relative:paragraph;z-index:-1571225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ind w:right="551"/>
      </w:pPr>
      <w:r>
        <w:rPr/>
        <w:t>12</w:t>
      </w:r>
    </w:p>
    <w:p>
      <w:pPr>
        <w:pStyle w:val="BodyText"/>
        <w:spacing w:line="88" w:lineRule="exact"/>
        <w:ind w:left="1127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3113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2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spacing w:before="52"/>
        <w:ind w:left="1418" w:right="1419" w:firstLine="0"/>
        <w:jc w:val="both"/>
        <w:rPr>
          <w:sz w:val="24"/>
        </w:rPr>
      </w:pPr>
      <w:r>
        <w:rPr>
          <w:sz w:val="24"/>
        </w:rPr>
        <w:t>preprimaria</w:t>
      </w:r>
      <w:r>
        <w:rPr>
          <w:spacing w:val="-4"/>
          <w:sz w:val="24"/>
        </w:rPr>
        <w:t> </w:t>
      </w:r>
      <w:r>
        <w:rPr>
          <w:sz w:val="24"/>
        </w:rPr>
        <w:t>bilingüe,</w:t>
      </w:r>
      <w:r>
        <w:rPr>
          <w:spacing w:val="-6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lo</w:t>
      </w:r>
      <w:r>
        <w:rPr>
          <w:spacing w:val="-2"/>
          <w:sz w:val="24"/>
        </w:rPr>
        <w:t> </w:t>
      </w:r>
      <w:r>
        <w:rPr>
          <w:sz w:val="24"/>
        </w:rPr>
        <w:t>que,</w:t>
      </w:r>
      <w:r>
        <w:rPr>
          <w:spacing w:val="-4"/>
          <w:sz w:val="24"/>
        </w:rPr>
        <w:t> </w:t>
      </w:r>
      <w:r>
        <w:rPr>
          <w:sz w:val="24"/>
        </w:rPr>
        <w:t>aunque</w:t>
      </w:r>
      <w:r>
        <w:rPr>
          <w:spacing w:val="-4"/>
          <w:sz w:val="24"/>
        </w:rPr>
        <w:t> </w:t>
      </w:r>
      <w:r>
        <w:rPr>
          <w:sz w:val="24"/>
        </w:rPr>
        <w:t>estos</w:t>
      </w:r>
      <w:r>
        <w:rPr>
          <w:spacing w:val="-4"/>
          <w:sz w:val="24"/>
        </w:rPr>
        <w:t> </w:t>
      </w:r>
      <w:r>
        <w:rPr>
          <w:sz w:val="24"/>
        </w:rPr>
        <w:t>establecimientos</w:t>
      </w:r>
      <w:r>
        <w:rPr>
          <w:spacing w:val="-4"/>
          <w:sz w:val="24"/>
        </w:rPr>
        <w:t> </w:t>
      </w:r>
      <w:r>
        <w:rPr>
          <w:sz w:val="24"/>
        </w:rPr>
        <w:t>han</w:t>
      </w:r>
      <w:r>
        <w:rPr>
          <w:spacing w:val="-2"/>
          <w:sz w:val="24"/>
        </w:rPr>
        <w:t> </w:t>
      </w:r>
      <w:r>
        <w:rPr>
          <w:sz w:val="24"/>
        </w:rPr>
        <w:t>atendido</w:t>
      </w:r>
      <w:r>
        <w:rPr>
          <w:spacing w:val="-4"/>
          <w:sz w:val="24"/>
        </w:rPr>
        <w:t> </w:t>
      </w:r>
      <w:r>
        <w:rPr>
          <w:sz w:val="24"/>
        </w:rPr>
        <w:t>estudiantes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0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52"/>
          <w:sz w:val="24"/>
        </w:rPr>
        <w:t> </w:t>
      </w:r>
      <w:r>
        <w:rPr>
          <w:sz w:val="24"/>
        </w:rPr>
        <w:t>3 años, históricamente</w:t>
      </w:r>
      <w:r>
        <w:rPr>
          <w:spacing w:val="1"/>
          <w:sz w:val="24"/>
        </w:rPr>
        <w:t> </w:t>
      </w:r>
      <w:r>
        <w:rPr>
          <w:sz w:val="24"/>
        </w:rPr>
        <w:t>se han</w:t>
      </w:r>
      <w:r>
        <w:rPr>
          <w:spacing w:val="1"/>
          <w:sz w:val="24"/>
        </w:rPr>
        <w:t> </w:t>
      </w:r>
      <w:r>
        <w:rPr>
          <w:sz w:val="24"/>
        </w:rPr>
        <w:t>registrado como</w:t>
      </w:r>
      <w:r>
        <w:rPr>
          <w:spacing w:val="-3"/>
          <w:sz w:val="24"/>
        </w:rPr>
        <w:t> </w:t>
      </w:r>
      <w:r>
        <w:rPr>
          <w:sz w:val="24"/>
        </w:rPr>
        <w:t>parte</w:t>
      </w:r>
      <w:r>
        <w:rPr>
          <w:spacing w:val="-1"/>
          <w:sz w:val="24"/>
        </w:rPr>
        <w:t> </w:t>
      </w:r>
      <w:r>
        <w:rPr>
          <w:sz w:val="24"/>
        </w:rPr>
        <w:t>de la preprimaria.</w:t>
      </w:r>
    </w:p>
    <w:p>
      <w:pPr>
        <w:pStyle w:val="BodyText"/>
        <w:spacing w:before="11"/>
        <w:rPr>
          <w:sz w:val="23"/>
        </w:rPr>
      </w:pPr>
    </w:p>
    <w:p>
      <w:pPr>
        <w:spacing w:before="1"/>
        <w:ind w:left="1418" w:right="1415" w:firstLine="0"/>
        <w:jc w:val="both"/>
        <w:rPr>
          <w:sz w:val="24"/>
        </w:rPr>
      </w:pPr>
      <w:r>
        <w:rPr>
          <w:sz w:val="24"/>
        </w:rPr>
        <w:t>Por lo anterior, los datos con los que se cuenta únicamente en este análisis, corresponden a los</w:t>
      </w:r>
      <w:r>
        <w:rPr>
          <w:spacing w:val="1"/>
          <w:sz w:val="24"/>
        </w:rPr>
        <w:t> </w:t>
      </w:r>
      <w:r>
        <w:rPr>
          <w:sz w:val="24"/>
        </w:rPr>
        <w:t>datos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inscripción</w:t>
      </w:r>
      <w:r>
        <w:rPr>
          <w:spacing w:val="1"/>
          <w:sz w:val="24"/>
        </w:rPr>
        <w:t> </w:t>
      </w:r>
      <w:r>
        <w:rPr>
          <w:sz w:val="24"/>
        </w:rPr>
        <w:t>histórico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2014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2021</w:t>
      </w:r>
      <w:r>
        <w:rPr>
          <w:spacing w:val="1"/>
          <w:sz w:val="24"/>
        </w:rPr>
        <w:t> </w:t>
      </w:r>
      <w:r>
        <w:rPr>
          <w:sz w:val="24"/>
        </w:rPr>
        <w:t>(preliminar),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inscritos</w:t>
      </w:r>
      <w:r>
        <w:rPr>
          <w:spacing w:val="1"/>
          <w:sz w:val="24"/>
        </w:rPr>
        <w:t> </w:t>
      </w:r>
      <w:r>
        <w:rPr>
          <w:sz w:val="24"/>
        </w:rPr>
        <w:t>totales</w:t>
      </w:r>
      <w:r>
        <w:rPr>
          <w:spacing w:val="1"/>
          <w:sz w:val="24"/>
        </w:rPr>
        <w:t> </w:t>
      </w:r>
      <w:r>
        <w:rPr>
          <w:sz w:val="24"/>
        </w:rPr>
        <w:t>2021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departamento en</w:t>
      </w:r>
      <w:r>
        <w:rPr>
          <w:spacing w:val="-1"/>
          <w:sz w:val="24"/>
        </w:rPr>
        <w:t> </w:t>
      </w:r>
      <w:r>
        <w:rPr>
          <w:sz w:val="24"/>
        </w:rPr>
        <w:t>todo el</w:t>
      </w:r>
      <w:r>
        <w:rPr>
          <w:spacing w:val="-2"/>
          <w:sz w:val="24"/>
        </w:rPr>
        <w:t> </w:t>
      </w:r>
      <w:r>
        <w:rPr>
          <w:sz w:val="24"/>
        </w:rPr>
        <w:t>nivel inicial.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1418" w:right="1412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continuación,</w:t>
      </w:r>
      <w:r>
        <w:rPr>
          <w:spacing w:val="-7"/>
          <w:sz w:val="24"/>
        </w:rPr>
        <w:t> </w:t>
      </w:r>
      <w:r>
        <w:rPr>
          <w:sz w:val="24"/>
        </w:rPr>
        <w:t>se</w:t>
      </w:r>
      <w:r>
        <w:rPr>
          <w:spacing w:val="-8"/>
          <w:sz w:val="24"/>
        </w:rPr>
        <w:t> </w:t>
      </w:r>
      <w:r>
        <w:rPr>
          <w:sz w:val="24"/>
        </w:rPr>
        <w:t>presentan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8"/>
          <w:sz w:val="24"/>
        </w:rPr>
        <w:t> </w:t>
      </w:r>
      <w:r>
        <w:rPr>
          <w:sz w:val="24"/>
        </w:rPr>
        <w:t>datos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inscripción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estudiantes</w:t>
      </w:r>
      <w:r>
        <w:rPr>
          <w:spacing w:val="-8"/>
          <w:sz w:val="24"/>
        </w:rPr>
        <w:t> </w:t>
      </w:r>
      <w:r>
        <w:rPr>
          <w:sz w:val="24"/>
        </w:rPr>
        <w:t>correspondientes</w:t>
      </w:r>
      <w:r>
        <w:rPr>
          <w:spacing w:val="-7"/>
          <w:sz w:val="24"/>
        </w:rPr>
        <w:t> </w:t>
      </w:r>
      <w:r>
        <w:rPr>
          <w:sz w:val="24"/>
        </w:rPr>
        <w:t>al</w:t>
      </w:r>
      <w:r>
        <w:rPr>
          <w:spacing w:val="-10"/>
          <w:sz w:val="24"/>
        </w:rPr>
        <w:t> </w:t>
      </w:r>
      <w:r>
        <w:rPr>
          <w:sz w:val="24"/>
        </w:rPr>
        <w:t>nivel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educación</w:t>
      </w:r>
      <w:r>
        <w:rPr>
          <w:spacing w:val="-1"/>
          <w:sz w:val="24"/>
        </w:rPr>
        <w:t> </w:t>
      </w:r>
      <w:r>
        <w:rPr>
          <w:sz w:val="24"/>
        </w:rPr>
        <w:t>inicial.</w: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left="1839" w:right="1992" w:firstLine="0"/>
        <w:jc w:val="center"/>
        <w:rPr>
          <w:sz w:val="20"/>
        </w:rPr>
      </w:pPr>
      <w:bookmarkStart w:name="_bookmark8" w:id="12"/>
      <w:bookmarkEnd w:id="12"/>
      <w:r>
        <w:rPr/>
      </w:r>
      <w:r>
        <w:rPr>
          <w:sz w:val="20"/>
        </w:rPr>
        <w:t>Gráfico</w:t>
      </w:r>
      <w:r>
        <w:rPr>
          <w:spacing w:val="-2"/>
          <w:sz w:val="20"/>
        </w:rPr>
        <w:t> </w:t>
      </w:r>
      <w:r>
        <w:rPr>
          <w:sz w:val="20"/>
        </w:rPr>
        <w:t>1</w:t>
      </w:r>
      <w:r>
        <w:rPr>
          <w:spacing w:val="-2"/>
          <w:sz w:val="20"/>
        </w:rPr>
        <w:t> </w:t>
      </w:r>
      <w:r>
        <w:rPr>
          <w:sz w:val="20"/>
        </w:rPr>
        <w:t>Registro</w:t>
      </w:r>
      <w:r>
        <w:rPr>
          <w:spacing w:val="-2"/>
          <w:sz w:val="20"/>
        </w:rPr>
        <w:t> </w:t>
      </w:r>
      <w:r>
        <w:rPr>
          <w:sz w:val="20"/>
        </w:rPr>
        <w:t>histórico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inscripción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educación</w:t>
      </w:r>
      <w:r>
        <w:rPr>
          <w:spacing w:val="-1"/>
          <w:sz w:val="20"/>
        </w:rPr>
        <w:t> </w:t>
      </w:r>
      <w:r>
        <w:rPr>
          <w:sz w:val="20"/>
        </w:rPr>
        <w:t>inicial,</w:t>
      </w:r>
      <w:r>
        <w:rPr>
          <w:spacing w:val="-2"/>
          <w:sz w:val="20"/>
        </w:rPr>
        <w:t> </w:t>
      </w:r>
      <w:r>
        <w:rPr>
          <w:sz w:val="20"/>
        </w:rPr>
        <w:t>período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2014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2021</w:t>
      </w:r>
    </w:p>
    <w:p>
      <w:pPr>
        <w:spacing w:before="1"/>
        <w:ind w:left="1839" w:right="1565" w:firstLine="0"/>
        <w:jc w:val="center"/>
        <w:rPr>
          <w:sz w:val="20"/>
        </w:rPr>
      </w:pPr>
      <w:r>
        <w:rPr>
          <w:sz w:val="20"/>
        </w:rPr>
        <w:t>(preliminar).</w:t>
      </w:r>
      <w:r>
        <w:rPr>
          <w:spacing w:val="-3"/>
          <w:sz w:val="20"/>
        </w:rPr>
        <w:t> </w:t>
      </w:r>
      <w:r>
        <w:rPr>
          <w:sz w:val="20"/>
        </w:rPr>
        <w:t>Nivel</w:t>
      </w:r>
      <w:r>
        <w:rPr>
          <w:spacing w:val="-3"/>
          <w:sz w:val="20"/>
        </w:rPr>
        <w:t> </w:t>
      </w:r>
      <w:r>
        <w:rPr>
          <w:sz w:val="20"/>
        </w:rPr>
        <w:t>nacional</w:t>
      </w:r>
    </w:p>
    <w:p>
      <w:pPr>
        <w:pStyle w:val="BodyText"/>
        <w:ind w:left="1418"/>
        <w:rPr>
          <w:sz w:val="20"/>
        </w:rPr>
      </w:pPr>
      <w:r>
        <w:rPr>
          <w:sz w:val="20"/>
        </w:rPr>
        <w:pict>
          <v:group style="width:471.3pt;height:290.5pt;mso-position-horizontal-relative:char;mso-position-vertical-relative:line" coordorigin="0,0" coordsize="9426,5810">
            <v:rect style="position:absolute;left:0;top:0;width:9426;height:5810" filled="true" fillcolor="#ffffff" stroked="false">
              <v:fill type="solid"/>
            </v:rect>
            <v:shape style="position:absolute;left:1157;top:497;width:7690;height:4849" coordorigin="1157,497" coordsize="7690,4849" path="m1640,497l1157,497,1157,5346,1640,5346,1640,497xm2840,1224l2360,1224,2360,5346,2840,5346,2840,1224xm4042,1416l3560,1416,3560,5346,4042,5346,4042,1416xm5242,1416l4762,1416,4762,5346,5242,5346,5242,1416xm6444,1390l5962,1390,5962,5346,6444,5346,6444,1390xm7644,1637l7164,1637,7164,5346,7644,5346,7644,1637xm8847,648l8364,648,8364,5346,8847,5346,8847,648xe" filled="true" fillcolor="#4471c4" stroked="false">
              <v:path arrowok="t"/>
              <v:fill type="solid"/>
            </v:shape>
            <v:line style="position:absolute" from="798,5346" to="9206,5346" stroked="true" strokeweight=".75pt" strokecolor="#d9d9d9">
              <v:stroke dashstyle="solid"/>
            </v:line>
            <v:shape style="position:absolute;left:130;top:136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30,000</w:t>
                    </w:r>
                  </w:p>
                </w:txbxContent>
              </v:textbox>
              <w10:wrap type="none"/>
            </v:shape>
            <v:shape style="position:absolute;left:1147;top:223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28,378</w:t>
                    </w:r>
                  </w:p>
                </w:txbxContent>
              </v:textbox>
              <w10:wrap type="none"/>
            </v:shape>
            <v:shape style="position:absolute;left:8356;top:374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27,495</w:t>
                    </w:r>
                  </w:p>
                </w:txbxContent>
              </v:textbox>
              <w10:wrap type="none"/>
            </v:shape>
            <v:shape style="position:absolute;left:130;top:990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25,000</w:t>
                    </w:r>
                  </w:p>
                </w:txbxContent>
              </v:textbox>
              <w10:wrap type="none"/>
            </v:shape>
            <v:shape style="position:absolute;left:2349;top:952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24,117</w:t>
                    </w:r>
                  </w:p>
                </w:txbxContent>
              </v:textbox>
              <w10:wrap type="none"/>
            </v:shape>
            <v:shape style="position:absolute;left:3550;top:1142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23,005</w:t>
                    </w:r>
                  </w:p>
                </w:txbxContent>
              </v:textbox>
              <w10:wrap type="none"/>
            </v:shape>
            <v:shape style="position:absolute;left:4752;top:1142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23,001</w:t>
                    </w:r>
                  </w:p>
                </w:txbxContent>
              </v:textbox>
              <w10:wrap type="none"/>
            </v:shape>
            <v:shape style="position:absolute;left:5953;top:1116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23,154</w:t>
                    </w:r>
                  </w:p>
                </w:txbxContent>
              </v:textbox>
              <w10:wrap type="none"/>
            </v:shape>
            <v:shape style="position:absolute;left:7154;top:1364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21,701</w:t>
                    </w:r>
                  </w:p>
                </w:txbxContent>
              </v:textbox>
              <w10:wrap type="none"/>
            </v:shape>
            <v:shape style="position:absolute;left:130;top:1845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20,000</w:t>
                    </w:r>
                  </w:p>
                </w:txbxContent>
              </v:textbox>
              <w10:wrap type="none"/>
            </v:shape>
            <v:shape style="position:absolute;left:130;top:2699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15,000</w:t>
                    </w:r>
                  </w:p>
                </w:txbxContent>
              </v:textbox>
              <w10:wrap type="none"/>
            </v:shape>
            <v:shape style="position:absolute;left:130;top:3554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10,000</w:t>
                    </w:r>
                  </w:p>
                </w:txbxContent>
              </v:textbox>
              <w10:wrap type="none"/>
            </v:shape>
            <v:shape style="position:absolute;left:221;top:4408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5,000</w:t>
                    </w:r>
                  </w:p>
                </w:txbxContent>
              </v:textbox>
              <w10:wrap type="none"/>
            </v:shape>
            <v:shape style="position:absolute;left:539;top:526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216;top:5496;width:385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2014</w:t>
                    </w:r>
                  </w:p>
                </w:txbxContent>
              </v:textbox>
              <w10:wrap type="none"/>
            </v:shape>
            <v:shape style="position:absolute;left:2418;top:5496;width:385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3619;top:5496;width:385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4820;top:5496;width:387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6022;top:5496;width:385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7223;top:5496;width:385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8359;top:5496;width:518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2021 *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18"/>
        </w:rPr>
      </w:pPr>
    </w:p>
    <w:p>
      <w:pPr>
        <w:spacing w:before="1"/>
        <w:ind w:left="1418" w:right="0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base a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Indicadores</w:t>
      </w:r>
      <w:r>
        <w:rPr>
          <w:spacing w:val="-3"/>
          <w:sz w:val="16"/>
        </w:rPr>
        <w:t> </w:t>
      </w:r>
      <w:r>
        <w:rPr>
          <w:sz w:val="16"/>
        </w:rPr>
        <w:t>Educativos,</w:t>
      </w:r>
      <w:r>
        <w:rPr>
          <w:spacing w:val="-1"/>
          <w:sz w:val="16"/>
        </w:rPr>
        <w:t> </w:t>
      </w:r>
      <w:r>
        <w:rPr>
          <w:sz w:val="16"/>
        </w:rPr>
        <w:t>DIPLAN</w:t>
      </w:r>
      <w:r>
        <w:rPr>
          <w:spacing w:val="-3"/>
          <w:sz w:val="16"/>
        </w:rPr>
        <w:t> </w:t>
      </w:r>
      <w:r>
        <w:rPr>
          <w:sz w:val="16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pict>
          <v:rect style="position:absolute;margin-left:563.880005pt;margin-top:11.88693pt;width:25.44pt;height:1.4399pt;mso-position-horizontal-relative:page;mso-position-vertical-relative:paragraph;z-index:-1571020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ind w:right="551"/>
      </w:pPr>
      <w:r>
        <w:rPr/>
        <w:t>13</w:t>
      </w:r>
    </w:p>
    <w:p>
      <w:pPr>
        <w:pStyle w:val="BodyText"/>
        <w:spacing w:line="88" w:lineRule="exact"/>
        <w:ind w:left="1127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3369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2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spacing w:line="243" w:lineRule="exact" w:before="59"/>
        <w:ind w:left="1839" w:right="1995" w:firstLine="0"/>
        <w:jc w:val="center"/>
        <w:rPr>
          <w:sz w:val="20"/>
        </w:rPr>
      </w:pPr>
      <w:bookmarkStart w:name="_bookmark9" w:id="13"/>
      <w:bookmarkEnd w:id="13"/>
      <w:r>
        <w:rPr/>
      </w:r>
      <w:r>
        <w:rPr>
          <w:sz w:val="20"/>
        </w:rPr>
        <w:t>Gráfico</w:t>
      </w:r>
      <w:r>
        <w:rPr>
          <w:spacing w:val="-2"/>
          <w:sz w:val="20"/>
        </w:rPr>
        <w:t> </w:t>
      </w:r>
      <w:r>
        <w:rPr>
          <w:sz w:val="20"/>
        </w:rPr>
        <w:t>2</w:t>
      </w:r>
      <w:r>
        <w:rPr>
          <w:spacing w:val="-1"/>
          <w:sz w:val="20"/>
        </w:rPr>
        <w:t> </w:t>
      </w:r>
      <w:r>
        <w:rPr>
          <w:sz w:val="20"/>
        </w:rPr>
        <w:t>Estudiantes</w:t>
      </w:r>
      <w:r>
        <w:rPr>
          <w:spacing w:val="-4"/>
          <w:sz w:val="20"/>
        </w:rPr>
        <w:t> </w:t>
      </w:r>
      <w:r>
        <w:rPr>
          <w:sz w:val="20"/>
        </w:rPr>
        <w:t>inscritos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educación</w:t>
      </w:r>
      <w:r>
        <w:rPr>
          <w:spacing w:val="-1"/>
          <w:sz w:val="20"/>
        </w:rPr>
        <w:t> </w:t>
      </w:r>
      <w:r>
        <w:rPr>
          <w:sz w:val="20"/>
        </w:rPr>
        <w:t>inicial,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0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3</w:t>
      </w:r>
      <w:r>
        <w:rPr>
          <w:spacing w:val="-2"/>
          <w:sz w:val="20"/>
        </w:rPr>
        <w:t> </w:t>
      </w:r>
      <w:r>
        <w:rPr>
          <w:sz w:val="20"/>
        </w:rPr>
        <w:t>años,</w:t>
      </w:r>
      <w:r>
        <w:rPr>
          <w:spacing w:val="-2"/>
          <w:sz w:val="20"/>
        </w:rPr>
        <w:t> </w:t>
      </w:r>
      <w:r>
        <w:rPr>
          <w:sz w:val="20"/>
        </w:rPr>
        <w:t>ciclo</w:t>
      </w:r>
      <w:r>
        <w:rPr>
          <w:spacing w:val="-1"/>
          <w:sz w:val="20"/>
        </w:rPr>
        <w:t> </w:t>
      </w:r>
      <w:r>
        <w:rPr>
          <w:sz w:val="20"/>
        </w:rPr>
        <w:t>2021</w:t>
      </w:r>
      <w:r>
        <w:rPr>
          <w:spacing w:val="-3"/>
          <w:sz w:val="20"/>
        </w:rPr>
        <w:t> </w:t>
      </w:r>
      <w:r>
        <w:rPr>
          <w:sz w:val="20"/>
        </w:rPr>
        <w:t>(preliminar)</w:t>
      </w:r>
    </w:p>
    <w:p>
      <w:pPr>
        <w:spacing w:line="194" w:lineRule="exact" w:before="0"/>
        <w:ind w:left="1418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base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Indicadores</w:t>
      </w:r>
      <w:r>
        <w:rPr>
          <w:spacing w:val="-2"/>
          <w:sz w:val="16"/>
        </w:rPr>
        <w:t> </w:t>
      </w:r>
      <w:r>
        <w:rPr>
          <w:sz w:val="16"/>
        </w:rPr>
        <w:t>Educativos,</w:t>
      </w:r>
      <w:r>
        <w:rPr>
          <w:spacing w:val="-1"/>
          <w:sz w:val="16"/>
        </w:rPr>
        <w:t> </w:t>
      </w:r>
      <w:r>
        <w:rPr>
          <w:sz w:val="16"/>
        </w:rPr>
        <w:t>DIPLAN</w:t>
      </w:r>
      <w:r>
        <w:rPr>
          <w:spacing w:val="-3"/>
          <w:sz w:val="16"/>
        </w:rPr>
        <w:t> </w:t>
      </w:r>
      <w:r>
        <w:rPr>
          <w:sz w:val="16"/>
        </w:rPr>
        <w:t>2021.</w:t>
      </w:r>
    </w:p>
    <w:p>
      <w:pPr>
        <w:pStyle w:val="BodyText"/>
        <w:spacing w:before="4"/>
      </w:pPr>
    </w:p>
    <w:p>
      <w:pPr>
        <w:spacing w:before="71"/>
        <w:ind w:left="1448" w:right="0" w:firstLine="0"/>
        <w:jc w:val="left"/>
        <w:rPr>
          <w:sz w:val="14"/>
        </w:rPr>
      </w:pPr>
      <w:r>
        <w:rPr>
          <w:color w:val="585858"/>
          <w:sz w:val="14"/>
        </w:rPr>
        <w:t>3,000</w:t>
      </w:r>
    </w:p>
    <w:p>
      <w:pPr>
        <w:pStyle w:val="BodyText"/>
        <w:spacing w:before="2"/>
        <w:rPr>
          <w:sz w:val="18"/>
        </w:rPr>
      </w:pPr>
    </w:p>
    <w:p>
      <w:pPr>
        <w:spacing w:before="1"/>
        <w:ind w:left="1448" w:right="0" w:firstLine="0"/>
        <w:jc w:val="left"/>
        <w:rPr>
          <w:sz w:val="14"/>
        </w:rPr>
      </w:pPr>
      <w:r>
        <w:rPr/>
        <w:pict>
          <v:group style="position:absolute;margin-left:94.838997pt;margin-top:-3.444983pt;width:449.5pt;height:106.75pt;mso-position-horizontal-relative:page;mso-position-vertical-relative:paragraph;z-index:15751168" coordorigin="1897,-69" coordsize="8990,2135">
            <v:shape style="position:absolute;left:2428;top:1252;width:7519;height:805" coordorigin="2428,1253" coordsize="7519,805" path="m2591,1308l2428,1308,2428,2058,2591,2058,2591,1308xm3409,1283l3245,1283,3245,2058,3409,2058,3409,1283xm3817,1824l3654,1824,3654,2058,3817,2058,3817,1824xm5043,1773l4880,1773,4880,2058,5043,2058,5043,1773xm6269,1612l6105,1612,6105,2058,6269,2058,6269,1612xm8720,1253l8557,1253,8557,2058,8720,2058,8720,1253xm9129,1684l8965,1684,8965,2058,9129,2058,9129,1684xm9946,1565l9783,1565,9783,2058,9946,2058,9946,1565xe" filled="true" fillcolor="#ff0000" stroked="false">
              <v:path arrowok="t"/>
              <v:fill type="solid"/>
            </v:shape>
            <v:shape style="position:absolute;left:2018;top:185;width:8746;height:1873" coordorigin="2018,186" coordsize="8746,1873" path="m2184,186l2018,186,2018,2058,2184,2058,2184,186xm3000,1062l2837,1062,2837,2058,3000,2058,3000,1062xm4226,1052l4063,1052,4063,2058,4226,2058,4226,1052xm4634,1234l4471,1234,4471,2058,4634,2058,4634,1234xm5450,1194l5287,1194,5287,2058,5450,2058,5450,1194xm5861,589l5698,589,5698,2058,5861,2058,5861,589xm6677,1198l6514,1198,6514,2058,6677,2058,6677,1198xm7085,507l6922,507,6922,2058,7085,2058,7085,507xm7495,1155l7332,1155,7332,2058,7495,2058,7495,1155xm7903,673l7740,673,7740,2058,7903,2058,7903,673xm8311,759l8148,759,8148,2058,8311,2058,8311,759xm9538,910l9374,910,9374,2058,9538,2058,9538,910xm10354,548l10190,548,10190,2058,10354,2058,10354,548xm10764,289l10601,289,10601,2058,10764,2058,10764,289xe" filled="true" fillcolor="#cc9a00" stroked="false">
              <v:path arrowok="t"/>
              <v:fill type="solid"/>
            </v:shape>
            <v:line style="position:absolute" from="1897,2058" to="10886,2058" stroked="true" strokeweight=".75pt" strokecolor="#d9d9d9">
              <v:stroke dashstyle="solid"/>
            </v:line>
            <v:shape style="position:absolute;left:1961;top:-69;width:33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2,381</w:t>
                    </w:r>
                  </w:p>
                </w:txbxContent>
              </v:textbox>
              <w10:wrap type="none"/>
            </v:shape>
            <v:shape style="position:absolute;left:10509;top:83;width:336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2,250</w:t>
                    </w:r>
                  </w:p>
                </w:txbxContent>
              </v:textbox>
              <w10:wrap type="none"/>
            </v:shape>
            <v:shape style="position:absolute;left:5613;top:383;width:33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1,870</w:t>
                    </w:r>
                  </w:p>
                </w:txbxContent>
              </v:textbox>
              <w10:wrap type="none"/>
            </v:shape>
            <v:shape style="position:absolute;left:6848;top:290;width:33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1,973</w:t>
                    </w:r>
                  </w:p>
                </w:txbxContent>
              </v:textbox>
              <w10:wrap type="none"/>
            </v:shape>
            <v:shape style="position:absolute;left:10118;top:304;width:33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1,920</w:t>
                    </w:r>
                  </w:p>
                </w:txbxContent>
              </v:textbox>
              <w10:wrap type="none"/>
            </v:shape>
            <v:shape style="position:absolute;left:7665;top:488;width:745;height:174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1,763</w:t>
                    </w:r>
                    <w:r>
                      <w:rPr>
                        <w:b/>
                        <w:color w:val="404040"/>
                        <w:spacing w:val="53"/>
                        <w:sz w:val="14"/>
                      </w:rPr>
                      <w:t> </w:t>
                    </w:r>
                    <w:r>
                      <w:rPr>
                        <w:b/>
                        <w:color w:val="404040"/>
                        <w:position w:val="-2"/>
                        <w:sz w:val="14"/>
                      </w:rPr>
                      <w:t>1,651</w:t>
                    </w:r>
                  </w:p>
                </w:txbxContent>
              </v:textbox>
              <w10:wrap type="none"/>
            </v:shape>
            <v:shape style="position:absolute;left:2761;top:824;width:33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1,268</w:t>
                    </w:r>
                  </w:p>
                </w:txbxContent>
              </v:textbox>
              <w10:wrap type="none"/>
            </v:shape>
            <v:shape style="position:absolute;left:9300;top:733;width:33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1,461</w:t>
                    </w:r>
                  </w:p>
                </w:txbxContent>
              </v:textbox>
              <w10:wrap type="none"/>
            </v:shape>
            <v:shape style="position:absolute;left:3979;top:900;width:33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1,278</w:t>
                    </w:r>
                  </w:p>
                </w:txbxContent>
              </v:textbox>
              <w10:wrap type="none"/>
            </v:shape>
            <v:shape style="position:absolute;left:2397;top:1125;width:22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954</w:t>
                    </w:r>
                  </w:p>
                </w:txbxContent>
              </v:textbox>
              <w10:wrap type="none"/>
            </v:shape>
            <v:shape style="position:absolute;left:3223;top:1109;width:22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986</w:t>
                    </w:r>
                  </w:p>
                </w:txbxContent>
              </v:textbox>
              <w10:wrap type="none"/>
            </v:shape>
            <v:shape style="position:absolute;left:4396;top:1069;width:33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1,047</w:t>
                    </w:r>
                  </w:p>
                </w:txbxContent>
              </v:textbox>
              <w10:wrap type="none"/>
            </v:shape>
            <v:shape style="position:absolute;left:5205;top:1046;width:33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1,099</w:t>
                    </w:r>
                  </w:p>
                </w:txbxContent>
              </v:textbox>
              <w10:wrap type="none"/>
            </v:shape>
            <v:shape style="position:absolute;left:6439;top:1032;width:33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1,093</w:t>
                    </w:r>
                  </w:p>
                </w:txbxContent>
              </v:textbox>
              <w10:wrap type="none"/>
            </v:shape>
            <v:shape style="position:absolute;left:7248;top:949;width:33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1,148</w:t>
                    </w:r>
                  </w:p>
                </w:txbxContent>
              </v:textbox>
              <w10:wrap type="none"/>
            </v:shape>
            <v:shape style="position:absolute;left:8483;top:1031;width:33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1,024</w:t>
                    </w:r>
                  </w:p>
                </w:txbxContent>
              </v:textbox>
              <w10:wrap type="none"/>
            </v:shape>
            <v:shape style="position:absolute;left:6084;top:1439;width:22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567</w:t>
                    </w:r>
                  </w:p>
                </w:txbxContent>
              </v:textbox>
              <w10:wrap type="none"/>
            </v:shape>
            <v:shape style="position:absolute;left:9753;top:1353;width:22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627</w:t>
                    </w:r>
                  </w:p>
                </w:txbxContent>
              </v:textbox>
              <w10:wrap type="none"/>
            </v:shape>
            <v:shape style="position:absolute;left:8944;top:1457;width:22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475</w:t>
                    </w:r>
                  </w:p>
                </w:txbxContent>
              </v:textbox>
              <w10:wrap type="none"/>
            </v:shape>
            <v:shape style="position:absolute;left:3631;top:1677;width:22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297</w:t>
                    </w:r>
                  </w:p>
                </w:txbxContent>
              </v:textbox>
              <w10:wrap type="none"/>
            </v:shape>
            <v:shape style="position:absolute;left:4849;top:1595;width:22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363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4"/>
        </w:rPr>
        <w:t>2,500</w:t>
      </w:r>
    </w:p>
    <w:p>
      <w:pPr>
        <w:pStyle w:val="BodyText"/>
        <w:spacing w:before="2"/>
        <w:rPr>
          <w:sz w:val="18"/>
        </w:rPr>
      </w:pPr>
    </w:p>
    <w:p>
      <w:pPr>
        <w:spacing w:before="0"/>
        <w:ind w:left="1448" w:right="0" w:firstLine="0"/>
        <w:jc w:val="left"/>
        <w:rPr>
          <w:sz w:val="14"/>
        </w:rPr>
      </w:pPr>
      <w:r>
        <w:rPr>
          <w:color w:val="585858"/>
          <w:sz w:val="14"/>
        </w:rPr>
        <w:t>2,000</w:t>
      </w:r>
    </w:p>
    <w:p>
      <w:pPr>
        <w:pStyle w:val="BodyText"/>
        <w:spacing w:before="2"/>
        <w:rPr>
          <w:sz w:val="18"/>
        </w:rPr>
      </w:pPr>
    </w:p>
    <w:p>
      <w:pPr>
        <w:spacing w:before="1"/>
        <w:ind w:left="1448" w:right="0" w:firstLine="0"/>
        <w:jc w:val="left"/>
        <w:rPr>
          <w:sz w:val="14"/>
        </w:rPr>
      </w:pPr>
      <w:r>
        <w:rPr>
          <w:color w:val="585858"/>
          <w:sz w:val="14"/>
        </w:rPr>
        <w:t>1,500</w:t>
      </w:r>
    </w:p>
    <w:p>
      <w:pPr>
        <w:pStyle w:val="BodyText"/>
        <w:spacing w:before="4"/>
        <w:rPr>
          <w:sz w:val="12"/>
        </w:rPr>
      </w:pPr>
    </w:p>
    <w:p>
      <w:pPr>
        <w:spacing w:before="71"/>
        <w:ind w:left="1448" w:right="0" w:firstLine="0"/>
        <w:jc w:val="left"/>
        <w:rPr>
          <w:sz w:val="14"/>
        </w:rPr>
      </w:pPr>
      <w:r>
        <w:rPr>
          <w:color w:val="585858"/>
          <w:sz w:val="14"/>
        </w:rPr>
        <w:t>1,000</w:t>
      </w:r>
    </w:p>
    <w:p>
      <w:pPr>
        <w:pStyle w:val="BodyText"/>
        <w:spacing w:before="5"/>
        <w:rPr>
          <w:sz w:val="12"/>
        </w:rPr>
      </w:pPr>
    </w:p>
    <w:p>
      <w:pPr>
        <w:spacing w:before="71"/>
        <w:ind w:left="1554" w:right="0" w:firstLine="0"/>
        <w:jc w:val="left"/>
        <w:rPr>
          <w:sz w:val="14"/>
        </w:rPr>
      </w:pPr>
      <w:r>
        <w:rPr>
          <w:color w:val="585858"/>
          <w:sz w:val="14"/>
        </w:rPr>
        <w:t>500</w:t>
      </w:r>
    </w:p>
    <w:p>
      <w:pPr>
        <w:pStyle w:val="BodyText"/>
        <w:spacing w:before="4"/>
        <w:rPr>
          <w:sz w:val="12"/>
        </w:rPr>
      </w:pPr>
    </w:p>
    <w:p>
      <w:pPr>
        <w:spacing w:before="72"/>
        <w:ind w:left="1696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999286</wp:posOffset>
            </wp:positionH>
            <wp:positionV relativeFrom="paragraph">
              <wp:posOffset>183833</wp:posOffset>
            </wp:positionV>
            <wp:extent cx="5777572" cy="519112"/>
            <wp:effectExtent l="0" t="0" r="0" b="0"/>
            <wp:wrapTopAndBottom/>
            <wp:docPr id="2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572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w w:val="99"/>
          <w:sz w:val="14"/>
        </w:rPr>
        <w:t>0</w:t>
      </w:r>
    </w:p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3"/>
        <w:numPr>
          <w:ilvl w:val="1"/>
          <w:numId w:val="4"/>
        </w:numPr>
        <w:tabs>
          <w:tab w:pos="1994" w:val="left" w:leader="none"/>
          <w:tab w:pos="1995" w:val="left" w:leader="none"/>
        </w:tabs>
        <w:spacing w:line="240" w:lineRule="auto" w:before="0" w:after="0"/>
        <w:ind w:left="1994" w:right="0" w:hanging="577"/>
        <w:jc w:val="left"/>
      </w:pPr>
      <w:bookmarkStart w:name="_bookmark10" w:id="14"/>
      <w:bookmarkEnd w:id="14"/>
      <w:r>
        <w:rPr>
          <w:b w:val="0"/>
        </w:rPr>
      </w:r>
      <w:bookmarkStart w:name="_bookmark10" w:id="15"/>
      <w:bookmarkEnd w:id="15"/>
      <w:r>
        <w:rPr>
          <w:color w:val="1F4E79"/>
        </w:rPr>
        <w:t>Po</w:t>
      </w:r>
      <w:r>
        <w:rPr>
          <w:color w:val="1F4E79"/>
        </w:rPr>
        <w:t>blación</w:t>
      </w:r>
      <w:r>
        <w:rPr>
          <w:color w:val="1F4E79"/>
          <w:spacing w:val="-3"/>
        </w:rPr>
        <w:t> </w:t>
      </w:r>
      <w:r>
        <w:rPr>
          <w:color w:val="1F4E79"/>
        </w:rPr>
        <w:t>objetivo</w:t>
      </w:r>
      <w:r>
        <w:rPr>
          <w:color w:val="1F4E79"/>
          <w:spacing w:val="-5"/>
        </w:rPr>
        <w:t> </w:t>
      </w:r>
      <w:r>
        <w:rPr>
          <w:color w:val="1F4E79"/>
        </w:rPr>
        <w:t>del</w:t>
      </w:r>
      <w:r>
        <w:rPr>
          <w:color w:val="1F4E79"/>
          <w:spacing w:val="-5"/>
        </w:rPr>
        <w:t> </w:t>
      </w:r>
      <w:r>
        <w:rPr>
          <w:color w:val="1F4E79"/>
        </w:rPr>
        <w:t>nivel</w:t>
      </w:r>
      <w:r>
        <w:rPr>
          <w:color w:val="1F4E79"/>
          <w:spacing w:val="-3"/>
        </w:rPr>
        <w:t> </w:t>
      </w:r>
      <w:r>
        <w:rPr>
          <w:color w:val="1F4E79"/>
        </w:rPr>
        <w:t>de</w:t>
      </w:r>
      <w:r>
        <w:rPr>
          <w:color w:val="1F4E79"/>
          <w:spacing w:val="-4"/>
        </w:rPr>
        <w:t> </w:t>
      </w:r>
      <w:r>
        <w:rPr>
          <w:color w:val="1F4E79"/>
        </w:rPr>
        <w:t>educación</w:t>
      </w:r>
      <w:r>
        <w:rPr>
          <w:color w:val="1F4E79"/>
          <w:spacing w:val="-4"/>
        </w:rPr>
        <w:t> </w:t>
      </w:r>
      <w:r>
        <w:rPr>
          <w:color w:val="1F4E79"/>
        </w:rPr>
        <w:t>preprimaria</w:t>
      </w:r>
    </w:p>
    <w:p>
      <w:pPr>
        <w:pStyle w:val="BodyText"/>
        <w:rPr>
          <w:b/>
          <w:sz w:val="24"/>
        </w:rPr>
      </w:pPr>
    </w:p>
    <w:p>
      <w:pPr>
        <w:spacing w:before="187"/>
        <w:ind w:left="1418" w:right="1425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continuación,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presentan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gráficos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describen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porcentaje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déficit</w:t>
      </w:r>
      <w:r>
        <w:rPr>
          <w:spacing w:val="1"/>
          <w:sz w:val="24"/>
        </w:rPr>
        <w:t> </w:t>
      </w:r>
      <w:r>
        <w:rPr>
          <w:sz w:val="24"/>
        </w:rPr>
        <w:t>neto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-52"/>
          <w:sz w:val="24"/>
        </w:rPr>
        <w:t> </w:t>
      </w:r>
      <w:r>
        <w:rPr>
          <w:sz w:val="24"/>
        </w:rPr>
        <w:t>departamento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nivel de</w:t>
      </w:r>
      <w:r>
        <w:rPr>
          <w:spacing w:val="-2"/>
          <w:sz w:val="24"/>
        </w:rPr>
        <w:t> </w:t>
      </w:r>
      <w:r>
        <w:rPr>
          <w:sz w:val="24"/>
        </w:rPr>
        <w:t>educación</w:t>
      </w:r>
      <w:r>
        <w:rPr>
          <w:spacing w:val="-2"/>
          <w:sz w:val="24"/>
        </w:rPr>
        <w:t> </w:t>
      </w:r>
      <w:r>
        <w:rPr>
          <w:sz w:val="24"/>
        </w:rPr>
        <w:t>preprimaria.</w:t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1839" w:right="1994" w:firstLine="0"/>
        <w:jc w:val="center"/>
        <w:rPr>
          <w:sz w:val="20"/>
        </w:rPr>
      </w:pPr>
      <w:bookmarkStart w:name="_bookmark11" w:id="16"/>
      <w:bookmarkEnd w:id="16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3</w:t>
      </w:r>
      <w:r>
        <w:rPr>
          <w:spacing w:val="-3"/>
          <w:sz w:val="20"/>
        </w:rPr>
        <w:t> </w:t>
      </w:r>
      <w:r>
        <w:rPr>
          <w:sz w:val="20"/>
        </w:rPr>
        <w:t>Déficit</w:t>
      </w:r>
      <w:r>
        <w:rPr>
          <w:spacing w:val="-2"/>
          <w:sz w:val="20"/>
        </w:rPr>
        <w:t> </w:t>
      </w:r>
      <w:r>
        <w:rPr>
          <w:sz w:val="20"/>
        </w:rPr>
        <w:t>Neto</w:t>
      </w:r>
      <w:r>
        <w:rPr>
          <w:spacing w:val="-3"/>
          <w:sz w:val="20"/>
        </w:rPr>
        <w:t> </w:t>
      </w:r>
      <w:r>
        <w:rPr>
          <w:sz w:val="20"/>
        </w:rPr>
        <w:t>%,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departamento,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Educación</w:t>
      </w:r>
      <w:r>
        <w:rPr>
          <w:spacing w:val="-2"/>
          <w:sz w:val="20"/>
        </w:rPr>
        <w:t> </w:t>
      </w:r>
      <w:r>
        <w:rPr>
          <w:sz w:val="20"/>
        </w:rPr>
        <w:t>Preprimaria</w:t>
      </w:r>
      <w:r>
        <w:rPr>
          <w:spacing w:val="-2"/>
          <w:sz w:val="20"/>
        </w:rPr>
        <w:t> </w:t>
      </w:r>
      <w:r>
        <w:rPr>
          <w:sz w:val="20"/>
        </w:rPr>
        <w:t>2021</w:t>
      </w:r>
    </w:p>
    <w:p>
      <w:pPr>
        <w:spacing w:before="1"/>
        <w:ind w:left="1839" w:right="1566" w:firstLine="0"/>
        <w:jc w:val="center"/>
        <w:rPr>
          <w:sz w:val="20"/>
        </w:rPr>
      </w:pPr>
      <w:r>
        <w:rPr/>
        <w:pict>
          <v:group style="position:absolute;margin-left:70.900002pt;margin-top:16.231482pt;width:473pt;height:217.65pt;mso-position-horizontal-relative:page;mso-position-vertical-relative:paragraph;z-index:-15708160;mso-wrap-distance-left:0;mso-wrap-distance-right:0" coordorigin="1418,325" coordsize="9460,4353">
            <v:rect style="position:absolute;left:1418;top:324;width:9460;height:4353" filled="true" fillcolor="#ffffff" stroked="false">
              <v:fill type="solid"/>
            </v:rect>
            <v:shape style="position:absolute;left:3321;top:749;width:6435;height:2665" coordorigin="3321,750" coordsize="6435,2665" path="m3478,1322l3321,1322,3321,3415,3478,3415,3478,1322xm5047,1248l4890,1248,4890,3415,5047,3415,5047,1248xm5440,1660l5283,1660,5283,3415,5440,3415,5440,1660xm6617,1480l6460,1480,6460,3415,6617,3415,6617,1480xm7009,750l6852,750,6852,3415,7009,3415,7009,750xm7402,909l7245,909,7245,3415,7402,3415,7402,909xm8186,1173l8029,1173,8029,3415,8186,3415,8186,1173xm9756,1557l9599,1557,9599,3415,9756,3415,9756,1557xe" filled="true" fillcolor="#ff0000" stroked="false">
              <v:path arrowok="t"/>
              <v:fill type="solid"/>
            </v:shape>
            <v:shape style="position:absolute;left:2143;top:1565;width:8398;height:1850" coordorigin="2143,1565" coordsize="8398,1850" path="m2302,1870l2143,1870,2143,3415,2302,3415,2302,1870xm2693,2244l2537,2244,2537,3415,2693,3415,2693,2244xm3086,1928l2928,1928,2928,3415,3086,3415,3086,1928xm3871,2196l3713,2196,3713,3415,3871,3415,3871,2196xm4262,2199l4106,2199,4106,3415,4262,3415,4262,2199xm4656,2290l4498,2290,4498,3415,4656,3415,4656,2290xm5832,2069l5676,2069,5676,3415,5832,3415,5832,2069xm6226,2084l6067,2084,6067,3415,6226,3415,6226,2084xm7793,1565l7637,1565,7637,3415,7793,3415,7793,1565xm8578,2069l8422,2069,8422,3415,8578,3415,8578,2069xm8971,1908l8813,1908,8813,3415,8971,3415,8971,1908xm9362,2052l9206,2052,9206,3415,9362,3415,9362,2052xm10147,1772l9991,1772,9991,3415,10147,3415,10147,1772xm10541,2172l10382,2172,10382,3415,10541,3415,10541,2172xe" filled="true" fillcolor="#335aa0" stroked="false">
              <v:path arrowok="t"/>
              <v:fill type="solid"/>
            </v:shape>
            <v:line style="position:absolute" from="2026,3415" to="10658,3415" stroked="true" strokeweight=".75pt" strokecolor="#d9d9d9">
              <v:stroke dashstyle="solid"/>
            </v:line>
            <v:shape style="position:absolute;left:1617;top:3556;width:8880;height:940" type="#_x0000_t75" stroked="false">
              <v:imagedata r:id="rId12" o:title=""/>
            </v:shape>
            <v:shape style="position:absolute;left:1548;top:483;width:367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60.0%</w:t>
                    </w:r>
                  </w:p>
                </w:txbxContent>
              </v:textbox>
              <w10:wrap type="none"/>
            </v:shape>
            <v:shape style="position:absolute;left:6758;top:520;width:3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55.7%</w:t>
                    </w:r>
                  </w:p>
                </w:txbxContent>
              </v:textbox>
              <w10:wrap type="none"/>
            </v:shape>
            <v:shape style="position:absolute;left:7151;top:679;width:3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52.4%</w:t>
                    </w:r>
                  </w:p>
                </w:txbxContent>
              </v:textbox>
              <w10:wrap type="none"/>
            </v:shape>
            <v:shape style="position:absolute;left:1548;top:961;width:367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50.0%</w:t>
                    </w:r>
                  </w:p>
                </w:txbxContent>
              </v:textbox>
              <w10:wrap type="none"/>
            </v:shape>
            <v:shape style="position:absolute;left:7936;top:943;width:3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46.9%</w:t>
                    </w:r>
                  </w:p>
                </w:txbxContent>
              </v:textbox>
              <w10:wrap type="none"/>
            </v:shape>
            <v:shape style="position:absolute;left:3227;top:1092;width:3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43.7%</w:t>
                    </w:r>
                  </w:p>
                </w:txbxContent>
              </v:textbox>
              <w10:wrap type="none"/>
            </v:shape>
            <v:shape style="position:absolute;left:4796;top:1018;width:3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45.3%</w:t>
                    </w:r>
                  </w:p>
                </w:txbxContent>
              </v:textbox>
              <w10:wrap type="none"/>
            </v:shape>
            <v:shape style="position:absolute;left:6366;top:1250;width:3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40.4%</w:t>
                    </w:r>
                  </w:p>
                </w:txbxContent>
              </v:textbox>
              <w10:wrap type="none"/>
            </v:shape>
            <v:shape style="position:absolute;left:7543;top:1335;width:3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38.7%</w:t>
                    </w:r>
                  </w:p>
                </w:txbxContent>
              </v:textbox>
              <w10:wrap type="none"/>
            </v:shape>
            <v:shape style="position:absolute;left:9506;top:1327;width:3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38.8%</w:t>
                    </w:r>
                  </w:p>
                </w:txbxContent>
              </v:textbox>
              <w10:wrap type="none"/>
            </v:shape>
            <v:shape style="position:absolute;left:1548;top:1439;width:367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40.0%</w:t>
                    </w:r>
                  </w:p>
                </w:txbxContent>
              </v:textbox>
              <w10:wrap type="none"/>
            </v:shape>
            <v:shape style="position:absolute;left:5189;top:1430;width:3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36.7%</w:t>
                    </w:r>
                  </w:p>
                </w:txbxContent>
              </v:textbox>
              <w10:wrap type="none"/>
            </v:shape>
            <v:shape style="position:absolute;left:2049;top:1639;width:366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32.3%</w:t>
                    </w:r>
                  </w:p>
                </w:txbxContent>
              </v:textbox>
              <w10:wrap type="none"/>
            </v:shape>
            <v:shape style="position:absolute;left:9898;top:1542;width:3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34.3%</w:t>
                    </w:r>
                  </w:p>
                </w:txbxContent>
              </v:textbox>
              <w10:wrap type="none"/>
            </v:shape>
            <v:shape style="position:absolute;left:2834;top:1698;width:366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31.1%</w:t>
                    </w:r>
                  </w:p>
                </w:txbxContent>
              </v:textbox>
              <w10:wrap type="none"/>
            </v:shape>
            <v:shape style="position:absolute;left:8721;top:1679;width:3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31.5%</w:t>
                    </w:r>
                  </w:p>
                </w:txbxContent>
              </v:textbox>
              <w10:wrap type="none"/>
            </v:shape>
            <v:shape style="position:absolute;left:1548;top:1918;width:367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30.0%</w:t>
                    </w:r>
                  </w:p>
                </w:txbxContent>
              </v:textbox>
              <w10:wrap type="none"/>
            </v:shape>
            <v:shape style="position:absolute;left:5581;top:1840;width:759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position w:val="1"/>
                        <w:sz w:val="14"/>
                      </w:rPr>
                      <w:t>28.1%</w:t>
                    </w:r>
                    <w:r>
                      <w:rPr>
                        <w:b/>
                        <w:color w:val="404040"/>
                        <w:spacing w:val="5"/>
                        <w:position w:val="1"/>
                        <w:sz w:val="14"/>
                      </w:rPr>
                      <w:t> </w:t>
                    </w:r>
                    <w:r>
                      <w:rPr>
                        <w:b/>
                        <w:color w:val="404040"/>
                        <w:sz w:val="14"/>
                      </w:rPr>
                      <w:t>27.8%</w:t>
                    </w:r>
                  </w:p>
                </w:txbxContent>
              </v:textbox>
              <w10:wrap type="none"/>
            </v:shape>
            <v:shape style="position:absolute;left:8328;top:1841;width:3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28.1%</w:t>
                    </w:r>
                  </w:p>
                </w:txbxContent>
              </v:textbox>
              <w10:wrap type="none"/>
            </v:shape>
            <v:shape style="position:absolute;left:9113;top:1822;width:3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28.5%</w:t>
                    </w:r>
                  </w:p>
                </w:txbxContent>
              </v:textbox>
              <w10:wrap type="none"/>
            </v:shape>
            <v:shape style="position:absolute;left:2442;top:2016;width:3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24.4%</w:t>
                    </w:r>
                  </w:p>
                </w:txbxContent>
              </v:textbox>
              <w10:wrap type="none"/>
            </v:shape>
            <v:shape style="position:absolute;left:3619;top:1968;width:1151;height:233" type="#_x0000_t202" filled="false" stroked="false">
              <v:textbox inset="0,0,0,0">
                <w:txbxContent>
                  <w:p>
                    <w:pPr>
                      <w:spacing w:line="104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25.4%</w:t>
                    </w:r>
                    <w:r>
                      <w:rPr>
                        <w:b/>
                        <w:color w:val="404040"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color w:val="404040"/>
                        <w:sz w:val="14"/>
                      </w:rPr>
                      <w:t>25.4%</w:t>
                    </w:r>
                  </w:p>
                  <w:p>
                    <w:pPr>
                      <w:spacing w:line="129" w:lineRule="exact" w:before="0"/>
                      <w:ind w:left="784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23.5%</w:t>
                    </w:r>
                  </w:p>
                </w:txbxContent>
              </v:textbox>
              <w10:wrap type="none"/>
            </v:shape>
            <v:shape style="position:absolute;left:10290;top:1944;width:3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25.9%</w:t>
                    </w:r>
                  </w:p>
                </w:txbxContent>
              </v:textbox>
              <w10:wrap type="none"/>
            </v:shape>
            <v:shape style="position:absolute;left:1548;top:2396;width:368;height:1097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20.0%</w:t>
                    </w: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10.0%</w:t>
                    </w: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11"/>
                      </w:rPr>
                    </w:pPr>
                  </w:p>
                  <w:p>
                    <w:pPr>
                      <w:spacing w:line="168" w:lineRule="exact" w:before="1"/>
                      <w:ind w:left="7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0.0%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20"/>
        </w:rPr>
        <w:t>(preliminar</w:t>
      </w:r>
      <w:r>
        <w:rPr>
          <w:spacing w:val="-3"/>
          <w:sz w:val="20"/>
        </w:rPr>
        <w:t> </w:t>
      </w:r>
      <w:r>
        <w:rPr>
          <w:sz w:val="20"/>
        </w:rPr>
        <w:t>1/6/2021)</w:t>
      </w:r>
    </w:p>
    <w:p>
      <w:pPr>
        <w:spacing w:before="0"/>
        <w:ind w:left="1418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base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Indicadores</w:t>
      </w:r>
      <w:r>
        <w:rPr>
          <w:spacing w:val="-3"/>
          <w:sz w:val="16"/>
        </w:rPr>
        <w:t> </w:t>
      </w:r>
      <w:r>
        <w:rPr>
          <w:sz w:val="16"/>
        </w:rPr>
        <w:t>Educativos,</w:t>
      </w:r>
      <w:r>
        <w:rPr>
          <w:spacing w:val="-2"/>
          <w:sz w:val="16"/>
        </w:rPr>
        <w:t> </w:t>
      </w:r>
      <w:r>
        <w:rPr>
          <w:sz w:val="16"/>
        </w:rPr>
        <w:t>DIPLAN</w:t>
      </w:r>
      <w:r>
        <w:rPr>
          <w:spacing w:val="-2"/>
          <w:sz w:val="16"/>
        </w:rPr>
        <w:t> </w:t>
      </w:r>
      <w:r>
        <w:rPr>
          <w:sz w:val="16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pict>
          <v:rect style="position:absolute;margin-left:563.880005pt;margin-top:10.39235pt;width:25.44pt;height:1.4399pt;mso-position-horizontal-relative:page;mso-position-vertical-relative:paragraph;z-index:-1570764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ind w:right="551"/>
      </w:pPr>
      <w:r>
        <w:rPr/>
        <w:t>14</w:t>
      </w:r>
    </w:p>
    <w:p>
      <w:pPr>
        <w:pStyle w:val="BodyText"/>
        <w:spacing w:line="88" w:lineRule="exact"/>
        <w:ind w:left="1127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1"/>
          <w:numId w:val="4"/>
        </w:numPr>
        <w:tabs>
          <w:tab w:pos="1994" w:val="left" w:leader="none"/>
          <w:tab w:pos="1995" w:val="left" w:leader="none"/>
        </w:tabs>
        <w:spacing w:line="240" w:lineRule="auto" w:before="52" w:after="0"/>
        <w:ind w:left="1994" w:right="0" w:hanging="577"/>
        <w:jc w:val="left"/>
      </w:pPr>
      <w:bookmarkStart w:name="_bookmark12" w:id="17"/>
      <w:bookmarkEnd w:id="17"/>
      <w:r>
        <w:rPr>
          <w:b w:val="0"/>
        </w:rPr>
      </w:r>
      <w:bookmarkStart w:name="_bookmark12" w:id="18"/>
      <w:bookmarkEnd w:id="18"/>
      <w:r>
        <w:rPr>
          <w:color w:val="1F4E79"/>
        </w:rPr>
        <w:t>Po</w:t>
      </w:r>
      <w:r>
        <w:rPr>
          <w:color w:val="1F4E79"/>
        </w:rPr>
        <w:t>blación</w:t>
      </w:r>
      <w:r>
        <w:rPr>
          <w:color w:val="1F4E79"/>
          <w:spacing w:val="-3"/>
        </w:rPr>
        <w:t> </w:t>
      </w:r>
      <w:r>
        <w:rPr>
          <w:color w:val="1F4E79"/>
        </w:rPr>
        <w:t>objetivo</w:t>
      </w:r>
      <w:r>
        <w:rPr>
          <w:color w:val="1F4E79"/>
          <w:spacing w:val="-6"/>
        </w:rPr>
        <w:t> </w:t>
      </w:r>
      <w:r>
        <w:rPr>
          <w:color w:val="1F4E79"/>
        </w:rPr>
        <w:t>del</w:t>
      </w:r>
      <w:r>
        <w:rPr>
          <w:color w:val="1F4E79"/>
          <w:spacing w:val="-4"/>
        </w:rPr>
        <w:t> </w:t>
      </w:r>
      <w:r>
        <w:rPr>
          <w:color w:val="1F4E79"/>
        </w:rPr>
        <w:t>nivel</w:t>
      </w:r>
      <w:r>
        <w:rPr>
          <w:color w:val="1F4E79"/>
          <w:spacing w:val="-3"/>
        </w:rPr>
        <w:t> </w:t>
      </w:r>
      <w:r>
        <w:rPr>
          <w:color w:val="1F4E79"/>
        </w:rPr>
        <w:t>de</w:t>
      </w:r>
      <w:r>
        <w:rPr>
          <w:color w:val="1F4E79"/>
          <w:spacing w:val="-5"/>
        </w:rPr>
        <w:t> </w:t>
      </w:r>
      <w:r>
        <w:rPr>
          <w:color w:val="1F4E79"/>
        </w:rPr>
        <w:t>educación</w:t>
      </w:r>
      <w:r>
        <w:rPr>
          <w:color w:val="1F4E79"/>
          <w:spacing w:val="-4"/>
        </w:rPr>
        <w:t> </w:t>
      </w:r>
      <w:r>
        <w:rPr>
          <w:color w:val="1F4E79"/>
        </w:rPr>
        <w:t>primaria</w:t>
      </w:r>
    </w:p>
    <w:p>
      <w:pPr>
        <w:pStyle w:val="BodyText"/>
        <w:rPr>
          <w:b/>
          <w:sz w:val="24"/>
        </w:rPr>
      </w:pPr>
    </w:p>
    <w:p>
      <w:pPr>
        <w:spacing w:before="187"/>
        <w:ind w:left="1418" w:right="1425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continuación,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presentan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gráficos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describen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porcentaje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déficit</w:t>
      </w:r>
      <w:r>
        <w:rPr>
          <w:spacing w:val="1"/>
          <w:sz w:val="24"/>
        </w:rPr>
        <w:t> </w:t>
      </w:r>
      <w:r>
        <w:rPr>
          <w:sz w:val="24"/>
        </w:rPr>
        <w:t>neto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-52"/>
          <w:sz w:val="24"/>
        </w:rPr>
        <w:t> </w:t>
      </w:r>
      <w:r>
        <w:rPr>
          <w:sz w:val="24"/>
        </w:rPr>
        <w:t>departamento 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nivel de</w:t>
      </w:r>
      <w:r>
        <w:rPr>
          <w:spacing w:val="-2"/>
          <w:sz w:val="24"/>
        </w:rPr>
        <w:t> </w:t>
      </w:r>
      <w:r>
        <w:rPr>
          <w:sz w:val="24"/>
        </w:rPr>
        <w:t>educación</w:t>
      </w:r>
      <w:r>
        <w:rPr>
          <w:spacing w:val="-1"/>
          <w:sz w:val="24"/>
        </w:rPr>
        <w:t> </w:t>
      </w:r>
      <w:r>
        <w:rPr>
          <w:sz w:val="24"/>
        </w:rPr>
        <w:t>primaria.</w:t>
      </w:r>
    </w:p>
    <w:p>
      <w:pPr>
        <w:pStyle w:val="BodyText"/>
        <w:spacing w:before="2"/>
        <w:rPr>
          <w:sz w:val="20"/>
        </w:rPr>
      </w:pPr>
    </w:p>
    <w:p>
      <w:pPr>
        <w:spacing w:line="243" w:lineRule="exact" w:before="0"/>
        <w:ind w:left="1839" w:right="1994" w:firstLine="0"/>
        <w:jc w:val="center"/>
        <w:rPr>
          <w:sz w:val="20"/>
        </w:rPr>
      </w:pPr>
      <w:bookmarkStart w:name="_bookmark13" w:id="19"/>
      <w:bookmarkEnd w:id="19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4</w:t>
      </w:r>
      <w:r>
        <w:rPr>
          <w:spacing w:val="-2"/>
          <w:sz w:val="20"/>
        </w:rPr>
        <w:t> </w:t>
      </w:r>
      <w:r>
        <w:rPr>
          <w:sz w:val="20"/>
        </w:rPr>
        <w:t>Déficit</w:t>
      </w:r>
      <w:r>
        <w:rPr>
          <w:spacing w:val="-3"/>
          <w:sz w:val="20"/>
        </w:rPr>
        <w:t> </w:t>
      </w:r>
      <w:r>
        <w:rPr>
          <w:sz w:val="20"/>
        </w:rPr>
        <w:t>Neto</w:t>
      </w:r>
      <w:r>
        <w:rPr>
          <w:spacing w:val="-2"/>
          <w:sz w:val="20"/>
        </w:rPr>
        <w:t> </w:t>
      </w:r>
      <w:r>
        <w:rPr>
          <w:sz w:val="20"/>
        </w:rPr>
        <w:t>%,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departamento,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Educación</w:t>
      </w:r>
      <w:r>
        <w:rPr>
          <w:spacing w:val="-1"/>
          <w:sz w:val="20"/>
        </w:rPr>
        <w:t> </w:t>
      </w:r>
      <w:r>
        <w:rPr>
          <w:sz w:val="20"/>
        </w:rPr>
        <w:t>Primaria</w:t>
      </w:r>
      <w:r>
        <w:rPr>
          <w:spacing w:val="-2"/>
          <w:sz w:val="20"/>
        </w:rPr>
        <w:t> </w:t>
      </w:r>
      <w:r>
        <w:rPr>
          <w:sz w:val="20"/>
        </w:rPr>
        <w:t>2021</w:t>
      </w:r>
    </w:p>
    <w:p>
      <w:pPr>
        <w:spacing w:line="243" w:lineRule="exact" w:before="0"/>
        <w:ind w:left="1839" w:right="1566" w:firstLine="0"/>
        <w:jc w:val="center"/>
        <w:rPr>
          <w:sz w:val="20"/>
        </w:rPr>
      </w:pPr>
      <w:r>
        <w:rPr>
          <w:sz w:val="20"/>
        </w:rPr>
        <w:t>(preliminar</w:t>
      </w:r>
      <w:r>
        <w:rPr>
          <w:spacing w:val="-3"/>
          <w:sz w:val="20"/>
        </w:rPr>
        <w:t> </w:t>
      </w:r>
      <w:r>
        <w:rPr>
          <w:sz w:val="20"/>
        </w:rPr>
        <w:t>1/6/2021)</w:t>
      </w:r>
    </w:p>
    <w:p>
      <w:pPr>
        <w:pStyle w:val="BodyText"/>
        <w:spacing w:before="10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top="1500" w:bottom="280" w:left="0" w:right="0"/>
        </w:sectPr>
      </w:pPr>
    </w:p>
    <w:p>
      <w:pPr>
        <w:spacing w:before="71"/>
        <w:ind w:left="0" w:right="38" w:firstLine="0"/>
        <w:jc w:val="right"/>
        <w:rPr>
          <w:sz w:val="14"/>
        </w:rPr>
      </w:pPr>
      <w:r>
        <w:rPr>
          <w:color w:val="585858"/>
          <w:sz w:val="14"/>
        </w:rPr>
        <w:t>16.0%</w:t>
      </w:r>
    </w:p>
    <w:p>
      <w:pPr>
        <w:spacing w:before="76"/>
        <w:ind w:left="0" w:right="38" w:firstLine="0"/>
        <w:jc w:val="right"/>
        <w:rPr>
          <w:sz w:val="14"/>
        </w:rPr>
      </w:pPr>
      <w:r>
        <w:rPr>
          <w:color w:val="585858"/>
          <w:sz w:val="14"/>
        </w:rPr>
        <w:t>14.0%</w:t>
      </w:r>
    </w:p>
    <w:p>
      <w:pPr>
        <w:pStyle w:val="BodyText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404040"/>
          <w:sz w:val="14"/>
        </w:rPr>
        <w:t>13.3%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4"/>
        <w:rPr>
          <w:sz w:val="10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404040"/>
          <w:sz w:val="14"/>
        </w:rPr>
        <w:t>12.8%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114"/>
        <w:ind w:left="395" w:right="0" w:firstLine="0"/>
        <w:jc w:val="left"/>
        <w:rPr>
          <w:sz w:val="14"/>
        </w:rPr>
      </w:pPr>
      <w:r>
        <w:rPr>
          <w:color w:val="404040"/>
          <w:sz w:val="14"/>
        </w:rPr>
        <w:t>12.9%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top="340" w:bottom="280" w:left="0" w:right="0"/>
          <w:cols w:num="4" w:equalWidth="0">
            <w:col w:w="2091" w:space="1139"/>
            <w:col w:w="2048" w:space="39"/>
            <w:col w:w="1910" w:space="40"/>
            <w:col w:w="4973"/>
          </w:cols>
        </w:sectPr>
      </w:pPr>
    </w:p>
    <w:p>
      <w:pPr>
        <w:pStyle w:val="BodyText"/>
        <w:ind w:left="170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4336768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452.7pt;height:129.9500pt;mso-position-horizontal-relative:char;mso-position-vertical-relative:line" coordorigin="0,0" coordsize="9054,2599">
            <v:shape style="position:absolute;left:3340;top:0;width:5190;height:1652" coordorigin="3340,0" coordsize="5190,1652" path="m3462,0l3340,0,3340,1651,3462,1651,3462,0xm5022,774l4899,774,4899,1651,5022,1651,5022,774xm5411,64l5289,64,5289,1651,5411,1651,5411,64xm5801,458l5679,458,5679,1651,5801,1651,5801,458xm6191,52l6069,52,6069,1651,6191,1651,6191,52xm6581,698l6459,698,6459,1651,6581,1651,6581,698xm8140,680l8018,680,8018,1651,8140,1651,8140,680xm8530,568l8408,568,8408,1651,8530,1651,8530,568xe" filled="true" fillcolor="#ff0000" stroked="false">
              <v:path arrowok="t"/>
              <v:fill type="solid"/>
            </v:shape>
            <v:shape style="position:absolute;left:612;top:889;width:8307;height:1020" coordorigin="612,889" coordsize="8307,1020" path="m735,1652l612,1652,612,1830,735,1830,735,1652xm1124,1652l1001,1652,1001,1888,1124,1888,1124,1652xm1512,1417l1390,1417,1390,1652,1512,1652,1512,1417xm1904,1000l1781,1000,1781,1652,1904,1652,1904,1000xm2292,1652l2170,1652,2170,1909,2292,1909,2292,1652xm2684,1208l2561,1208,2561,1652,2684,1652,2684,1208xm3072,1189l2950,1189,2950,1652,3072,1652,3072,1189xm3852,1069l3730,1069,3730,1652,3852,1652,3852,1069xm4241,889l4119,889,4119,1652,4241,1652,4241,889xm4632,920l4510,920,4510,1652,4632,1652,4632,920xm6970,1309l6848,1309,6848,1652,6970,1652,6970,1309xm7361,1525l7239,1525,7239,1652,7361,1652,7361,1525xm7750,944l7628,944,7628,1652,7750,1652,7750,944xm8919,1028l8796,1028,8796,1652,8919,1652,8919,1028xe" filled="true" fillcolor="#2e528f" stroked="false">
              <v:path arrowok="t"/>
              <v:fill type="solid"/>
            </v:shape>
            <v:line style="position:absolute" from="478,1651" to="9053,1651" stroked="true" strokeweight=".75pt" strokecolor="#d9d9d9">
              <v:stroke dashstyle="solid"/>
            </v:line>
            <v:shape style="position:absolute;left:145;top:1777;width:8746;height:822" type="#_x0000_t75" stroked="false">
              <v:imagedata r:id="rId13" o:title=""/>
            </v:shape>
            <v:shape style="position:absolute;left:0;top:103;width:367;height:387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12.0%</w:t>
                    </w:r>
                  </w:p>
                  <w:p>
                    <w:pPr>
                      <w:spacing w:line="168" w:lineRule="exact" w:before="7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10.0%</w:t>
                    </w:r>
                  </w:p>
                </w:txbxContent>
              </v:textbox>
              <w10:wrap type="none"/>
            </v:shape>
            <v:shape style="position:absolute;left:5604;top:228;width:29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9.6%</w:t>
                    </w:r>
                  </w:p>
                </w:txbxContent>
              </v:textbox>
              <w10:wrap type="none"/>
            </v:shape>
            <v:shape style="position:absolute;left:8334;top:338;width:29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8.7%</w:t>
                    </w:r>
                  </w:p>
                </w:txbxContent>
              </v:textbox>
              <w10:wrap type="none"/>
            </v:shape>
            <v:shape style="position:absolute;left:7944;top:449;width:29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7.8%</w:t>
                    </w:r>
                  </w:p>
                </w:txbxContent>
              </v:textbox>
              <w10:wrap type="none"/>
            </v:shape>
            <v:shape style="position:absolute;left:71;top:598;width:297;height:387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8.0%</w:t>
                    </w:r>
                  </w:p>
                  <w:p>
                    <w:pPr>
                      <w:spacing w:line="168" w:lineRule="exact" w:before="7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6.0%</w:t>
                    </w:r>
                  </w:p>
                </w:txbxContent>
              </v:textbox>
              <w10:wrap type="none"/>
            </v:shape>
            <v:shape style="position:absolute;left:4825;top:544;width:29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7.1%</w:t>
                    </w:r>
                  </w:p>
                </w:txbxContent>
              </v:textbox>
              <w10:wrap type="none"/>
            </v:shape>
            <v:shape style="position:absolute;left:6384;top:468;width:29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7.7%</w:t>
                    </w:r>
                  </w:p>
                </w:txbxContent>
              </v:textbox>
              <w10:wrap type="none"/>
            </v:shape>
            <v:shape style="position:absolute;left:1706;top:770;width:29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5.3%</w:t>
                    </w:r>
                  </w:p>
                </w:txbxContent>
              </v:textbox>
              <w10:wrap type="none"/>
            </v:shape>
            <v:shape style="position:absolute;left:4045;top:659;width:685;height:169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6.2%  </w:t>
                    </w:r>
                    <w:r>
                      <w:rPr>
                        <w:color w:val="404040"/>
                        <w:spacing w:val="13"/>
                        <w:sz w:val="14"/>
                      </w:rPr>
                      <w:t> </w:t>
                    </w:r>
                    <w:r>
                      <w:rPr>
                        <w:color w:val="404040"/>
                        <w:position w:val="-2"/>
                        <w:sz w:val="14"/>
                      </w:rPr>
                      <w:t>5.9%</w:t>
                    </w:r>
                  </w:p>
                </w:txbxContent>
              </v:textbox>
              <w10:wrap type="none"/>
            </v:shape>
            <v:shape style="position:absolute;left:7554;top:714;width:29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5.7%</w:t>
                    </w:r>
                  </w:p>
                </w:txbxContent>
              </v:textbox>
              <w10:wrap type="none"/>
            </v:shape>
            <v:shape style="position:absolute;left:3655;top:839;width:29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4.7%</w:t>
                    </w:r>
                  </w:p>
                </w:txbxContent>
              </v:textbox>
              <w10:wrap type="none"/>
            </v:shape>
            <v:shape style="position:absolute;left:8724;top:797;width:29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5.0%</w:t>
                    </w:r>
                  </w:p>
                </w:txbxContent>
              </v:textbox>
              <w10:wrap type="none"/>
            </v:shape>
            <v:shape style="position:absolute;left:2485;top:959;width:685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3.6%  </w:t>
                    </w:r>
                    <w:r>
                      <w:rPr>
                        <w:color w:val="404040"/>
                        <w:spacing w:val="13"/>
                        <w:sz w:val="14"/>
                      </w:rPr>
                      <w:t> </w:t>
                    </w:r>
                    <w:r>
                      <w:rPr>
                        <w:color w:val="404040"/>
                        <w:position w:val="2"/>
                        <w:sz w:val="14"/>
                      </w:rPr>
                      <w:t>3.7%</w:t>
                    </w:r>
                  </w:p>
                </w:txbxContent>
              </v:textbox>
              <w10:wrap type="none"/>
            </v:shape>
            <v:shape style="position:absolute;left:27;top:1094;width:341;height:1130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43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4.0%</w:t>
                    </w:r>
                  </w:p>
                  <w:p>
                    <w:pPr>
                      <w:spacing w:before="76"/>
                      <w:ind w:left="43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2.0%</w:t>
                    </w:r>
                  </w:p>
                  <w:p>
                    <w:pPr>
                      <w:spacing w:before="77"/>
                      <w:ind w:left="43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0.0%</w:t>
                    </w:r>
                  </w:p>
                  <w:p>
                    <w:pPr>
                      <w:spacing w:before="7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-2.0%</w:t>
                    </w:r>
                  </w:p>
                  <w:p>
                    <w:pPr>
                      <w:spacing w:line="168" w:lineRule="exact" w:before="77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-4.0%</w:t>
                    </w:r>
                  </w:p>
                </w:txbxContent>
              </v:textbox>
              <w10:wrap type="none"/>
            </v:shape>
            <v:shape style="position:absolute;left:6774;top:1079;width:29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2.8%</w:t>
                    </w:r>
                  </w:p>
                </w:txbxContent>
              </v:textbox>
              <w10:wrap type="none"/>
            </v:shape>
            <v:shape style="position:absolute;left:1316;top:1188;width:29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1.9%</w:t>
                    </w:r>
                  </w:p>
                </w:txbxContent>
              </v:textbox>
              <w10:wrap type="none"/>
            </v:shape>
            <v:shape style="position:absolute;left:7164;top:1295;width:29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1.0%</w:t>
                    </w:r>
                  </w:p>
                </w:txbxContent>
              </v:textbox>
              <w10:wrap type="none"/>
            </v:shape>
            <v:shape style="position:absolute;left:515;top:1952;width:729;height:197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-1.5%</w:t>
                    </w:r>
                    <w:r>
                      <w:rPr>
                        <w:color w:val="404040"/>
                        <w:spacing w:val="34"/>
                        <w:sz w:val="14"/>
                      </w:rPr>
                      <w:t> </w:t>
                    </w:r>
                    <w:r>
                      <w:rPr>
                        <w:color w:val="404040"/>
                        <w:position w:val="-5"/>
                        <w:sz w:val="14"/>
                      </w:rPr>
                      <w:t>-1.9%</w:t>
                    </w:r>
                  </w:p>
                </w:txbxContent>
              </v:textbox>
              <w10:wrap type="none"/>
            </v:shape>
            <v:shape style="position:absolute;left:2074;top:2030;width:33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-2.1%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124"/>
        <w:ind w:left="1418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base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Indicadores</w:t>
      </w:r>
      <w:r>
        <w:rPr>
          <w:spacing w:val="-3"/>
          <w:sz w:val="16"/>
        </w:rPr>
        <w:t> </w:t>
      </w:r>
      <w:r>
        <w:rPr>
          <w:sz w:val="16"/>
        </w:rPr>
        <w:t>Educativos,</w:t>
      </w:r>
      <w:r>
        <w:rPr>
          <w:spacing w:val="-2"/>
          <w:sz w:val="16"/>
        </w:rPr>
        <w:t> </w:t>
      </w:r>
      <w:r>
        <w:rPr>
          <w:sz w:val="16"/>
        </w:rPr>
        <w:t>DIPLAN</w:t>
      </w:r>
      <w:r>
        <w:rPr>
          <w:spacing w:val="-2"/>
          <w:sz w:val="16"/>
        </w:rPr>
        <w:t> </w:t>
      </w:r>
      <w:r>
        <w:rPr>
          <w:sz w:val="16"/>
        </w:rPr>
        <w:t>2021.</w:t>
      </w: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13"/>
        </w:rPr>
      </w:pPr>
    </w:p>
    <w:p>
      <w:pPr>
        <w:pStyle w:val="Heading3"/>
        <w:numPr>
          <w:ilvl w:val="1"/>
          <w:numId w:val="4"/>
        </w:numPr>
        <w:tabs>
          <w:tab w:pos="1994" w:val="left" w:leader="none"/>
          <w:tab w:pos="1995" w:val="left" w:leader="none"/>
        </w:tabs>
        <w:spacing w:line="240" w:lineRule="auto" w:before="0" w:after="0"/>
        <w:ind w:left="1994" w:right="0" w:hanging="577"/>
        <w:jc w:val="left"/>
      </w:pPr>
      <w:bookmarkStart w:name="_bookmark14" w:id="20"/>
      <w:bookmarkEnd w:id="20"/>
      <w:r>
        <w:rPr>
          <w:b w:val="0"/>
        </w:rPr>
      </w:r>
      <w:bookmarkStart w:name="_bookmark14" w:id="21"/>
      <w:bookmarkEnd w:id="21"/>
      <w:r>
        <w:rPr>
          <w:color w:val="1F4E79"/>
        </w:rPr>
        <w:t>Po</w:t>
      </w:r>
      <w:r>
        <w:rPr>
          <w:color w:val="1F4E79"/>
        </w:rPr>
        <w:t>blación</w:t>
      </w:r>
      <w:r>
        <w:rPr>
          <w:color w:val="1F4E79"/>
          <w:spacing w:val="-3"/>
        </w:rPr>
        <w:t> </w:t>
      </w:r>
      <w:r>
        <w:rPr>
          <w:color w:val="1F4E79"/>
        </w:rPr>
        <w:t>objetivo</w:t>
      </w:r>
      <w:r>
        <w:rPr>
          <w:color w:val="1F4E79"/>
          <w:spacing w:val="-5"/>
        </w:rPr>
        <w:t> </w:t>
      </w:r>
      <w:r>
        <w:rPr>
          <w:color w:val="1F4E79"/>
        </w:rPr>
        <w:t>del</w:t>
      </w:r>
      <w:r>
        <w:rPr>
          <w:color w:val="1F4E79"/>
          <w:spacing w:val="-4"/>
        </w:rPr>
        <w:t> </w:t>
      </w:r>
      <w:r>
        <w:rPr>
          <w:color w:val="1F4E79"/>
        </w:rPr>
        <w:t>nivel</w:t>
      </w:r>
      <w:r>
        <w:rPr>
          <w:color w:val="1F4E79"/>
          <w:spacing w:val="-3"/>
        </w:rPr>
        <w:t> </w:t>
      </w:r>
      <w:r>
        <w:rPr>
          <w:color w:val="1F4E79"/>
        </w:rPr>
        <w:t>de</w:t>
      </w:r>
      <w:r>
        <w:rPr>
          <w:color w:val="1F4E79"/>
          <w:spacing w:val="-4"/>
        </w:rPr>
        <w:t> </w:t>
      </w:r>
      <w:r>
        <w:rPr>
          <w:color w:val="1F4E79"/>
        </w:rPr>
        <w:t>educación</w:t>
      </w:r>
      <w:r>
        <w:rPr>
          <w:color w:val="1F4E79"/>
          <w:spacing w:val="-4"/>
        </w:rPr>
        <w:t> </w:t>
      </w:r>
      <w:r>
        <w:rPr>
          <w:color w:val="1F4E79"/>
        </w:rPr>
        <w:t>media,</w:t>
      </w:r>
      <w:r>
        <w:rPr>
          <w:color w:val="1F4E79"/>
          <w:spacing w:val="-3"/>
        </w:rPr>
        <w:t> </w:t>
      </w:r>
      <w:r>
        <w:rPr>
          <w:color w:val="1F4E79"/>
        </w:rPr>
        <w:t>ciclo</w:t>
      </w:r>
      <w:r>
        <w:rPr>
          <w:color w:val="1F4E79"/>
          <w:spacing w:val="-4"/>
        </w:rPr>
        <w:t> </w:t>
      </w:r>
      <w:r>
        <w:rPr>
          <w:color w:val="1F4E79"/>
        </w:rPr>
        <w:t>de</w:t>
      </w:r>
      <w:r>
        <w:rPr>
          <w:color w:val="1F4E79"/>
          <w:spacing w:val="-4"/>
        </w:rPr>
        <w:t> </w:t>
      </w:r>
      <w:r>
        <w:rPr>
          <w:color w:val="1F4E79"/>
        </w:rPr>
        <w:t>educación</w:t>
      </w:r>
      <w:r>
        <w:rPr>
          <w:color w:val="1F4E79"/>
          <w:spacing w:val="-4"/>
        </w:rPr>
        <w:t> </w:t>
      </w:r>
      <w:r>
        <w:rPr>
          <w:color w:val="1F4E79"/>
        </w:rPr>
        <w:t>básica</w:t>
      </w:r>
    </w:p>
    <w:p>
      <w:pPr>
        <w:pStyle w:val="BodyText"/>
        <w:rPr>
          <w:b/>
          <w:sz w:val="24"/>
        </w:rPr>
      </w:pPr>
    </w:p>
    <w:p>
      <w:pPr>
        <w:spacing w:before="187"/>
        <w:ind w:left="1418" w:right="1425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continuación,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presentan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gráficos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describen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porcentaje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déficit</w:t>
      </w:r>
      <w:r>
        <w:rPr>
          <w:spacing w:val="1"/>
          <w:sz w:val="24"/>
        </w:rPr>
        <w:t> </w:t>
      </w:r>
      <w:r>
        <w:rPr>
          <w:sz w:val="24"/>
        </w:rPr>
        <w:t>neto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-52"/>
          <w:sz w:val="24"/>
        </w:rPr>
        <w:t> </w:t>
      </w:r>
      <w:r>
        <w:rPr>
          <w:sz w:val="24"/>
        </w:rPr>
        <w:t>departamento 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nivel de</w:t>
      </w:r>
      <w:r>
        <w:rPr>
          <w:spacing w:val="-2"/>
          <w:sz w:val="24"/>
        </w:rPr>
        <w:t> </w:t>
      </w:r>
      <w:r>
        <w:rPr>
          <w:sz w:val="24"/>
        </w:rPr>
        <w:t>educación media,</w:t>
      </w:r>
      <w:r>
        <w:rPr>
          <w:spacing w:val="-2"/>
          <w:sz w:val="24"/>
        </w:rPr>
        <w:t> </w:t>
      </w:r>
      <w:r>
        <w:rPr>
          <w:sz w:val="24"/>
        </w:rPr>
        <w:t>ciclo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educación</w:t>
      </w:r>
      <w:r>
        <w:rPr>
          <w:spacing w:val="-1"/>
          <w:sz w:val="24"/>
        </w:rPr>
        <w:t> </w:t>
      </w:r>
      <w:r>
        <w:rPr>
          <w:sz w:val="24"/>
        </w:rPr>
        <w:t>básica.</w:t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1839" w:right="1997" w:firstLine="0"/>
        <w:jc w:val="center"/>
        <w:rPr>
          <w:sz w:val="20"/>
        </w:rPr>
      </w:pPr>
      <w:bookmarkStart w:name="_bookmark15" w:id="22"/>
      <w:bookmarkEnd w:id="22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5</w:t>
      </w:r>
      <w:r>
        <w:rPr>
          <w:spacing w:val="-3"/>
          <w:sz w:val="20"/>
        </w:rPr>
        <w:t> </w:t>
      </w:r>
      <w:r>
        <w:rPr>
          <w:sz w:val="20"/>
        </w:rPr>
        <w:t>Déficit</w:t>
      </w:r>
      <w:r>
        <w:rPr>
          <w:spacing w:val="-2"/>
          <w:sz w:val="20"/>
        </w:rPr>
        <w:t> </w:t>
      </w:r>
      <w:r>
        <w:rPr>
          <w:sz w:val="20"/>
        </w:rPr>
        <w:t>Neto</w:t>
      </w:r>
      <w:r>
        <w:rPr>
          <w:spacing w:val="-3"/>
          <w:sz w:val="20"/>
        </w:rPr>
        <w:t> </w:t>
      </w:r>
      <w:r>
        <w:rPr>
          <w:sz w:val="20"/>
        </w:rPr>
        <w:t>%,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departamento,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Educación</w:t>
      </w:r>
      <w:r>
        <w:rPr>
          <w:spacing w:val="-2"/>
          <w:sz w:val="20"/>
        </w:rPr>
        <w:t> </w:t>
      </w:r>
      <w:r>
        <w:rPr>
          <w:sz w:val="20"/>
        </w:rPr>
        <w:t>Media,</w:t>
      </w:r>
      <w:r>
        <w:rPr>
          <w:spacing w:val="-3"/>
          <w:sz w:val="20"/>
        </w:rPr>
        <w:t> </w:t>
      </w:r>
      <w:r>
        <w:rPr>
          <w:sz w:val="20"/>
        </w:rPr>
        <w:t>Ciclo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Educación</w:t>
      </w:r>
      <w:r>
        <w:rPr>
          <w:spacing w:val="-1"/>
          <w:sz w:val="20"/>
        </w:rPr>
        <w:t> </w:t>
      </w:r>
      <w:r>
        <w:rPr>
          <w:sz w:val="20"/>
        </w:rPr>
        <w:t>Básica,</w:t>
      </w:r>
    </w:p>
    <w:p>
      <w:pPr>
        <w:spacing w:before="0"/>
        <w:ind w:left="1839" w:right="1566" w:firstLine="0"/>
        <w:jc w:val="center"/>
        <w:rPr>
          <w:sz w:val="20"/>
        </w:rPr>
      </w:pPr>
      <w:r>
        <w:rPr/>
        <w:pict>
          <v:group style="position:absolute;margin-left:75.150002pt;margin-top:14.341495pt;width:470.2pt;height:164.05pt;mso-position-horizontal-relative:page;mso-position-vertical-relative:paragraph;z-index:-15705088;mso-wrap-distance-left:0;mso-wrap-distance-right:0" coordorigin="1503,287" coordsize="9404,3281">
            <v:rect style="position:absolute;left:1503;top:286;width:9404;height:3281" filled="true" fillcolor="#ffffff" stroked="false">
              <v:fill type="solid"/>
            </v:rect>
            <v:shape style="position:absolute;left:2111;top:506;width:8576;height:1940" coordorigin="2111,507" coordsize="8576,1940" path="m2111,2231l2227,2231m2383,2231l2618,2231m2774,2231l3007,2231m3163,2231l3398,2231m3554,2231l3787,2231m3943,2231l4178,2231m4332,2231l4567,2231m4723,2231l4957,2231m5113,2231l5347,2231m5503,2231l5736,2231m5892,2231l6127,2231m6283,2231l6516,2231m6672,2231l6906,2231m7062,2231l7296,2231m7452,2231l7685,2231m7841,2231l8075,2231m8231,2231l8465,2231m8621,2231l8856,2231m9012,2231l9245,2231m9401,2231l9635,2231m9791,2231l10024,2231m10180,2231l10414,2231m10570,2231l10687,2231m2111,2015l2227,2015m2383,2015l2618,2015m2774,2015l3007,2015m3163,2015l3398,2015m3554,2015l3787,2015m3943,2015l4178,2015m4332,2015l4567,2015m4723,2015l4957,2015m5113,2015l5347,2015m5503,2015l5736,2015m5892,2015l6127,2015m6283,2015l6516,2015m6672,2015l6906,2015m7062,2015l7296,2015m7452,2015l7685,2015m7841,2015l8075,2015m8231,2015l8465,2015m8621,2015l8856,2015m9012,2015l9245,2015m9401,2015l9635,2015m9791,2015l10024,2015m10180,2015l10414,2015m10570,2015l10687,2015m2111,1799l2618,1799m2774,1799l3007,1799m3163,1799l3398,1799m3554,1799l3787,1799m3943,1799l4178,1799m4332,1799l4567,1799m4723,1799l4957,1799m5113,1799l5347,1799m5503,1799l5736,1799m5892,1799l6127,1799m6283,1799l6516,1799m6672,1799l6906,1799m7062,1799l7296,1799m7452,1799l7685,1799m7841,1799l8075,1799m8231,1799l8465,1799m8621,1799l8856,1799m9012,1799l9245,1799m9401,1799l9635,1799m9791,1799l10024,1799m10180,1799l10414,1799m10570,1799l10687,1799m2111,1583l3398,1583m3554,1583l3787,1583m3943,1583l4178,1583m4332,1583l4567,1583m4723,1583l4957,1583m5113,1583l5347,1583m5503,1583l5736,1583m5892,1583l6127,1583m6283,1583l6516,1583m6672,1583l6906,1583m7062,1583l7296,1583m7452,1583l7685,1583m7841,1583l8075,1583m8231,1583l8465,1583m8621,1583l8856,1583m9012,1583l9245,1583m9401,1583l9635,1583m9791,1583l10024,1583m10180,1583l10414,1583m10570,1583l10687,1583m2111,1370l3398,1370m3554,1370l4567,1370m4723,1370l4957,1370m5113,1370l5736,1370m5892,1370l6516,1370m6672,1370l6906,1370m7062,1370l7296,1370m7452,1370l7685,1370m7841,1370l8075,1370m8231,1370l8465,1370m8621,1370l8856,1370m9012,1370l9245,1370m9401,1370l9635,1370m9791,1370l10024,1370m10180,1370l10687,1370m2111,1154l4957,1154m5113,1154l6906,1154m7062,1154l7296,1154m7452,1154l7685,1154m7841,1154l8075,1154m8231,1154l8465,1154m8621,1154l9635,1154m9791,1154l10024,1154m10180,1154l10687,1154m2111,938l6906,938m7062,938l7296,938m7452,938l10687,938m2111,722l10687,722m2111,507l10687,507m2111,507l2111,2446m2501,507l2501,2446m2892,507l2892,2446m3281,507l3281,2446m3670,507l3670,2446m4061,507l4061,2446m4450,507l4450,2446m4841,507l4841,2446m5230,507l5230,2446m5618,507l5618,2446m6010,507l6010,2446m6398,507l6398,2446m6790,507l6790,2446m7178,507l7178,2446m7570,507l7570,2446m7958,507l7958,2446m8347,507l8347,2446m8738,507l8738,2446m9127,507l9127,2446m9518,507l9518,2446m9907,507l9907,2446m10296,507l10296,2446m10687,507l10687,2446e" filled="false" stroked="true" strokeweight=".75pt" strokecolor="#d9d9d9">
              <v:path arrowok="t"/>
              <v:stroke dashstyle="solid"/>
            </v:shape>
            <v:shape style="position:absolute;left:4956;top:801;width:5224;height:1646" coordorigin="4957,801" coordsize="5224,1646" path="m5113,980l4957,980,4957,2446,5113,2446,5113,980xm7062,801l6906,801,6906,2446,7062,2446,7062,801xm7452,879l7296,879,7296,2446,7452,2446,7452,879xm7841,1099l7685,1099,7685,2446,7841,2446,7841,1099xm8231,987l8075,987,8075,2446,8231,2446,8231,987xm8621,1140l8465,1140,8465,2446,8621,2446,8621,1140xm9791,986l9635,986,9635,2446,9791,2446,9791,986xm10180,1075l10024,1075,10024,2446,10180,2446,10180,1075xe" filled="true" fillcolor="#ff0000" stroked="false">
              <v:path arrowok="t"/>
              <v:fill type="solid"/>
            </v:shape>
            <v:shape style="position:absolute;left:2227;top:1209;width:8343;height:1238" coordorigin="2227,1209" coordsize="8343,1238" path="m2383,1975l2227,1975,2227,2446,2383,2446,2383,1975xm2774,1615l2618,1615,2618,2446,2774,2446,2774,1615xm3163,1660l3007,1660,3007,2446,3163,2446,3163,1660xm3554,1279l3398,1279,3398,2446,3554,2446,3554,1279xm3943,1516l3787,1516,3787,2446,3943,2446,3943,1516xm4332,1533l4178,1533,4178,2446,4332,2446,4332,1533xm4723,1252l4567,1252,4567,2446,4723,2446,4723,1252xm5503,1439l5347,1439,5347,2446,5503,2446,5503,1439xm5892,1209l5736,1209,5736,2446,5892,2446,5892,1209xm6283,1466l6127,1466,6127,2446,6283,2446,6283,1466xm6672,1209l6516,1209,6516,2446,6672,2446,6672,1209xm9012,1216l8856,1216,8856,2446,9012,2446,9012,1216xm9401,1346l9245,1346,9245,2446,9401,2446,9401,1346xm10570,1399l10414,1399,10414,2446,10570,2446,10570,1399xe" filled="true" fillcolor="#2b4983" stroked="false">
              <v:path arrowok="t"/>
              <v:fill type="solid"/>
            </v:shape>
            <v:line style="position:absolute" from="2111,2446" to="10687,2446" stroked="true" strokeweight=".75pt" strokecolor="#d9d9d9">
              <v:stroke dashstyle="solid"/>
            </v:line>
            <v:shape style="position:absolute;left:1778;top:2572;width:8746;height:822" type="#_x0000_t75" stroked="false">
              <v:imagedata r:id="rId14" o:title=""/>
            </v:shape>
            <v:shape style="position:absolute;left:1633;top:445;width:367;height:786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90.0%</w:t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80.0%</w:t>
                    </w:r>
                  </w:p>
                  <w:p>
                    <w:pPr>
                      <w:spacing w:before="4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70.0%</w:t>
                    </w:r>
                  </w:p>
                  <w:p>
                    <w:pPr>
                      <w:spacing w:line="168" w:lineRule="exact" w:before="4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60.0%</w:t>
                    </w:r>
                  </w:p>
                </w:txbxContent>
              </v:textbox>
              <w10:wrap type="none"/>
            </v:shape>
            <v:shape style="position:absolute;left:6812;top:571;width:756;height:217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76.3%</w:t>
                    </w:r>
                    <w:r>
                      <w:rPr>
                        <w:b/>
                        <w:color w:val="404040"/>
                        <w:spacing w:val="3"/>
                        <w:sz w:val="14"/>
                      </w:rPr>
                      <w:t> </w:t>
                    </w:r>
                    <w:r>
                      <w:rPr>
                        <w:b/>
                        <w:color w:val="404040"/>
                        <w:position w:val="-7"/>
                        <w:sz w:val="14"/>
                      </w:rPr>
                      <w:t>72.7%</w:t>
                    </w:r>
                  </w:p>
                </w:txbxContent>
              </v:textbox>
              <w10:wrap type="none"/>
            </v:shape>
            <v:shape style="position:absolute;left:4863;top:750;width:3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68.0%</w:t>
                    </w:r>
                  </w:p>
                </w:txbxContent>
              </v:textbox>
              <w10:wrap type="none"/>
            </v:shape>
            <v:shape style="position:absolute;left:7982;top:758;width:3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67.7%</w:t>
                    </w:r>
                  </w:p>
                </w:txbxContent>
              </v:textbox>
              <w10:wrap type="none"/>
            </v:shape>
            <v:shape style="position:absolute;left:7592;top:869;width:3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62.5%</w:t>
                    </w:r>
                  </w:p>
                </w:txbxContent>
              </v:textbox>
              <w10:wrap type="none"/>
            </v:shape>
            <v:shape style="position:absolute;left:8372;top:910;width:3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60.6%</w:t>
                    </w:r>
                  </w:p>
                </w:txbxContent>
              </v:textbox>
              <w10:wrap type="none"/>
            </v:shape>
            <v:shape style="position:absolute;left:9542;top:757;width:756;height:228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67.7%</w:t>
                    </w:r>
                    <w:r>
                      <w:rPr>
                        <w:b/>
                        <w:color w:val="404040"/>
                        <w:spacing w:val="3"/>
                        <w:sz w:val="14"/>
                      </w:rPr>
                      <w:t> </w:t>
                    </w:r>
                    <w:r>
                      <w:rPr>
                        <w:b/>
                        <w:color w:val="404040"/>
                        <w:position w:val="-8"/>
                        <w:sz w:val="14"/>
                      </w:rPr>
                      <w:t>63.6%</w:t>
                    </w:r>
                  </w:p>
                </w:txbxContent>
              </v:textbox>
              <w10:wrap type="none"/>
            </v:shape>
            <v:shape style="position:absolute;left:3303;top:1050;width:3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54.1%</w:t>
                    </w:r>
                  </w:p>
                </w:txbxContent>
              </v:textbox>
              <w10:wrap type="none"/>
            </v:shape>
            <v:shape style="position:absolute;left:4473;top:1023;width:3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55.4%</w:t>
                    </w:r>
                  </w:p>
                </w:txbxContent>
              </v:textbox>
              <w10:wrap type="none"/>
            </v:shape>
            <v:shape style="position:absolute;left:5643;top:980;width:3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57.4%</w:t>
                    </w:r>
                  </w:p>
                </w:txbxContent>
              </v:textbox>
              <w10:wrap type="none"/>
            </v:shape>
            <v:shape style="position:absolute;left:6422;top:979;width:3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57.4%</w:t>
                    </w:r>
                  </w:p>
                </w:txbxContent>
              </v:textbox>
              <w10:wrap type="none"/>
            </v:shape>
            <v:shape style="position:absolute;left:1633;top:1306;width:368;height:1218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50.0%</w:t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40.0%</w:t>
                    </w:r>
                  </w:p>
                  <w:p>
                    <w:pPr>
                      <w:spacing w:before="4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30.0%</w:t>
                    </w:r>
                  </w:p>
                  <w:p>
                    <w:pPr>
                      <w:spacing w:before="4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20.0%</w:t>
                    </w:r>
                  </w:p>
                  <w:p>
                    <w:pPr>
                      <w:spacing w:before="4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10.0%</w:t>
                    </w:r>
                  </w:p>
                  <w:p>
                    <w:pPr>
                      <w:spacing w:line="168" w:lineRule="exact" w:before="44"/>
                      <w:ind w:left="7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0.0%</w:t>
                    </w:r>
                  </w:p>
                </w:txbxContent>
              </v:textbox>
              <w10:wrap type="none"/>
            </v:shape>
            <v:shape style="position:absolute;left:5253;top:1209;width:3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46.8%</w:t>
                    </w:r>
                  </w:p>
                </w:txbxContent>
              </v:textbox>
              <w10:wrap type="none"/>
            </v:shape>
            <v:shape style="position:absolute;left:8762;top:987;width:756;height:269" type="#_x0000_t202" filled="false" stroked="false">
              <v:textbox inset="0,0,0,0">
                <w:txbxContent>
                  <w:p>
                    <w:pPr>
                      <w:spacing w:line="121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57.1%</w:t>
                    </w:r>
                  </w:p>
                  <w:p>
                    <w:pPr>
                      <w:spacing w:line="147" w:lineRule="exact" w:before="0"/>
                      <w:ind w:left="389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51.1%</w:t>
                    </w:r>
                  </w:p>
                </w:txbxContent>
              </v:textbox>
              <w10:wrap type="none"/>
            </v:shape>
            <v:shape style="position:absolute;left:6033;top:1235;width:3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45.5%</w:t>
                    </w:r>
                  </w:p>
                </w:txbxContent>
              </v:textbox>
              <w10:wrap type="none"/>
            </v:shape>
            <v:shape style="position:absolute;left:10322;top:1169;width:3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48.6%</w:t>
                    </w:r>
                  </w:p>
                </w:txbxContent>
              </v:textbox>
              <w10:wrap type="none"/>
            </v:shape>
            <v:shape style="position:absolute;left:2524;top:1385;width:3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38.6%</w:t>
                    </w:r>
                  </w:p>
                </w:txbxContent>
              </v:textbox>
              <w10:wrap type="none"/>
            </v:shape>
            <v:shape style="position:absolute;left:3693;top:1287;width:756;height:157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position w:val="2"/>
                        <w:sz w:val="14"/>
                      </w:rPr>
                      <w:t>43.1%</w:t>
                    </w:r>
                    <w:r>
                      <w:rPr>
                        <w:b/>
                        <w:color w:val="404040"/>
                        <w:spacing w:val="3"/>
                        <w:position w:val="2"/>
                        <w:sz w:val="14"/>
                      </w:rPr>
                      <w:t> </w:t>
                    </w:r>
                    <w:r>
                      <w:rPr>
                        <w:b/>
                        <w:color w:val="404040"/>
                        <w:sz w:val="14"/>
                      </w:rPr>
                      <w:t>42.3%</w:t>
                    </w:r>
                  </w:p>
                </w:txbxContent>
              </v:textbox>
              <w10:wrap type="none"/>
            </v:shape>
            <v:shape style="position:absolute;left:2914;top:1430;width:366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36.5%</w:t>
                    </w:r>
                  </w:p>
                </w:txbxContent>
              </v:textbox>
              <w10:wrap type="none"/>
            </v:shape>
            <v:shape style="position:absolute;left:2134;top:1745;width:3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21.9%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20"/>
        </w:rPr>
        <w:t>2021</w:t>
      </w:r>
      <w:r>
        <w:rPr>
          <w:spacing w:val="-4"/>
          <w:sz w:val="20"/>
        </w:rPr>
        <w:t> </w:t>
      </w:r>
      <w:r>
        <w:rPr>
          <w:sz w:val="20"/>
        </w:rPr>
        <w:t>(preliminar</w:t>
      </w:r>
      <w:r>
        <w:rPr>
          <w:spacing w:val="-2"/>
          <w:sz w:val="20"/>
        </w:rPr>
        <w:t> </w:t>
      </w:r>
      <w:r>
        <w:rPr>
          <w:sz w:val="20"/>
        </w:rPr>
        <w:t>1/6/2021)</w:t>
      </w:r>
    </w:p>
    <w:p>
      <w:pPr>
        <w:spacing w:before="0"/>
        <w:ind w:left="1418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base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Indicadores</w:t>
      </w:r>
      <w:r>
        <w:rPr>
          <w:spacing w:val="-3"/>
          <w:sz w:val="16"/>
        </w:rPr>
        <w:t> </w:t>
      </w:r>
      <w:r>
        <w:rPr>
          <w:sz w:val="16"/>
        </w:rPr>
        <w:t>Educativos,</w:t>
      </w:r>
      <w:r>
        <w:rPr>
          <w:spacing w:val="-2"/>
          <w:sz w:val="16"/>
        </w:rPr>
        <w:t> </w:t>
      </w:r>
      <w:r>
        <w:rPr>
          <w:sz w:val="16"/>
        </w:rPr>
        <w:t>DIPLAN</w:t>
      </w:r>
      <w:r>
        <w:rPr>
          <w:spacing w:val="-2"/>
          <w:sz w:val="16"/>
        </w:rPr>
        <w:t> </w:t>
      </w:r>
      <w:r>
        <w:rPr>
          <w:sz w:val="16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rect style="position:absolute;margin-left:563.880005pt;margin-top:16.446413pt;width:25.44pt;height:1.4399pt;mso-position-horizontal-relative:page;mso-position-vertical-relative:paragraph;z-index:-1570457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ind w:right="551"/>
      </w:pPr>
      <w:r>
        <w:rPr/>
        <w:t>15</w:t>
      </w:r>
    </w:p>
    <w:p>
      <w:pPr>
        <w:pStyle w:val="BodyText"/>
        <w:spacing w:line="88" w:lineRule="exact"/>
        <w:ind w:left="1127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type w:val="continuous"/>
          <w:pgSz w:w="12240" w:h="15840"/>
          <w:pgMar w:top="340" w:bottom="280" w:left="0" w:right="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3881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1"/>
          <w:numId w:val="4"/>
        </w:numPr>
        <w:tabs>
          <w:tab w:pos="1994" w:val="left" w:leader="none"/>
          <w:tab w:pos="1995" w:val="left" w:leader="none"/>
        </w:tabs>
        <w:spacing w:line="240" w:lineRule="auto" w:before="52" w:after="0"/>
        <w:ind w:left="1994" w:right="0" w:hanging="577"/>
        <w:jc w:val="left"/>
      </w:pPr>
      <w:bookmarkStart w:name="_bookmark16" w:id="23"/>
      <w:bookmarkEnd w:id="23"/>
      <w:r>
        <w:rPr>
          <w:b w:val="0"/>
        </w:rPr>
      </w:r>
      <w:bookmarkStart w:name="_bookmark16" w:id="24"/>
      <w:bookmarkEnd w:id="24"/>
      <w:r>
        <w:rPr>
          <w:color w:val="1F4E79"/>
        </w:rPr>
        <w:t>Po</w:t>
      </w:r>
      <w:r>
        <w:rPr>
          <w:color w:val="1F4E79"/>
        </w:rPr>
        <w:t>blación</w:t>
      </w:r>
      <w:r>
        <w:rPr>
          <w:color w:val="1F4E79"/>
          <w:spacing w:val="-3"/>
        </w:rPr>
        <w:t> </w:t>
      </w:r>
      <w:r>
        <w:rPr>
          <w:color w:val="1F4E79"/>
        </w:rPr>
        <w:t>objetivo</w:t>
      </w:r>
      <w:r>
        <w:rPr>
          <w:color w:val="1F4E79"/>
          <w:spacing w:val="-6"/>
        </w:rPr>
        <w:t> </w:t>
      </w:r>
      <w:r>
        <w:rPr>
          <w:color w:val="1F4E79"/>
        </w:rPr>
        <w:t>del</w:t>
      </w:r>
      <w:r>
        <w:rPr>
          <w:color w:val="1F4E79"/>
          <w:spacing w:val="-5"/>
        </w:rPr>
        <w:t> </w:t>
      </w:r>
      <w:r>
        <w:rPr>
          <w:color w:val="1F4E79"/>
        </w:rPr>
        <w:t>nivel</w:t>
      </w:r>
      <w:r>
        <w:rPr>
          <w:color w:val="1F4E79"/>
          <w:spacing w:val="-3"/>
        </w:rPr>
        <w:t> </w:t>
      </w:r>
      <w:r>
        <w:rPr>
          <w:color w:val="1F4E79"/>
        </w:rPr>
        <w:t>de</w:t>
      </w:r>
      <w:r>
        <w:rPr>
          <w:color w:val="1F4E79"/>
          <w:spacing w:val="-5"/>
        </w:rPr>
        <w:t> </w:t>
      </w:r>
      <w:r>
        <w:rPr>
          <w:color w:val="1F4E79"/>
        </w:rPr>
        <w:t>educación</w:t>
      </w:r>
      <w:r>
        <w:rPr>
          <w:color w:val="1F4E79"/>
          <w:spacing w:val="-5"/>
        </w:rPr>
        <w:t> </w:t>
      </w:r>
      <w:r>
        <w:rPr>
          <w:color w:val="1F4E79"/>
        </w:rPr>
        <w:t>media,</w:t>
      </w:r>
      <w:r>
        <w:rPr>
          <w:color w:val="1F4E79"/>
          <w:spacing w:val="-3"/>
        </w:rPr>
        <w:t> </w:t>
      </w:r>
      <w:r>
        <w:rPr>
          <w:color w:val="1F4E79"/>
        </w:rPr>
        <w:t>ciclo</w:t>
      </w:r>
      <w:r>
        <w:rPr>
          <w:color w:val="1F4E79"/>
          <w:spacing w:val="-5"/>
        </w:rPr>
        <w:t> </w:t>
      </w:r>
      <w:r>
        <w:rPr>
          <w:color w:val="1F4E79"/>
        </w:rPr>
        <w:t>de</w:t>
      </w:r>
      <w:r>
        <w:rPr>
          <w:color w:val="1F4E79"/>
          <w:spacing w:val="-5"/>
        </w:rPr>
        <w:t> </w:t>
      </w:r>
      <w:r>
        <w:rPr>
          <w:color w:val="1F4E79"/>
        </w:rPr>
        <w:t>educación</w:t>
      </w:r>
      <w:r>
        <w:rPr>
          <w:color w:val="1F4E79"/>
          <w:spacing w:val="-4"/>
        </w:rPr>
        <w:t> </w:t>
      </w:r>
      <w:r>
        <w:rPr>
          <w:color w:val="1F4E79"/>
        </w:rPr>
        <w:t>diversificada</w:t>
      </w:r>
    </w:p>
    <w:p>
      <w:pPr>
        <w:pStyle w:val="BodyText"/>
        <w:rPr>
          <w:b/>
          <w:sz w:val="24"/>
        </w:rPr>
      </w:pPr>
    </w:p>
    <w:p>
      <w:pPr>
        <w:spacing w:before="187"/>
        <w:ind w:left="1418" w:right="1410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continuación,</w:t>
      </w:r>
      <w:r>
        <w:rPr>
          <w:spacing w:val="-9"/>
          <w:sz w:val="24"/>
        </w:rPr>
        <w:t> </w:t>
      </w:r>
      <w:r>
        <w:rPr>
          <w:sz w:val="24"/>
        </w:rPr>
        <w:t>se</w:t>
      </w:r>
      <w:r>
        <w:rPr>
          <w:spacing w:val="-9"/>
          <w:sz w:val="24"/>
        </w:rPr>
        <w:t> </w:t>
      </w:r>
      <w:r>
        <w:rPr>
          <w:sz w:val="24"/>
        </w:rPr>
        <w:t>presentan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8"/>
          <w:sz w:val="24"/>
        </w:rPr>
        <w:t> </w:t>
      </w:r>
      <w:r>
        <w:rPr>
          <w:sz w:val="24"/>
        </w:rPr>
        <w:t>gráficos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describen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porcentaje</w:t>
      </w:r>
      <w:r>
        <w:rPr>
          <w:spacing w:val="-8"/>
          <w:sz w:val="24"/>
        </w:rPr>
        <w:t> </w:t>
      </w:r>
      <w:r>
        <w:rPr>
          <w:sz w:val="24"/>
        </w:rPr>
        <w:t>del</w:t>
      </w:r>
      <w:r>
        <w:rPr>
          <w:spacing w:val="-8"/>
          <w:sz w:val="24"/>
        </w:rPr>
        <w:t> </w:t>
      </w:r>
      <w:r>
        <w:rPr>
          <w:sz w:val="24"/>
        </w:rPr>
        <w:t>déficit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cobertura</w:t>
      </w:r>
      <w:r>
        <w:rPr>
          <w:spacing w:val="-8"/>
          <w:sz w:val="24"/>
        </w:rPr>
        <w:t> </w:t>
      </w:r>
      <w:r>
        <w:rPr>
          <w:sz w:val="24"/>
        </w:rPr>
        <w:t>por</w:t>
      </w:r>
      <w:r>
        <w:rPr>
          <w:spacing w:val="-52"/>
          <w:sz w:val="24"/>
        </w:rPr>
        <w:t> </w:t>
      </w:r>
      <w:r>
        <w:rPr>
          <w:sz w:val="24"/>
        </w:rPr>
        <w:t>departamento en el</w:t>
      </w:r>
      <w:r>
        <w:rPr>
          <w:spacing w:val="-2"/>
          <w:sz w:val="24"/>
        </w:rPr>
        <w:t> </w:t>
      </w:r>
      <w:r>
        <w:rPr>
          <w:sz w:val="24"/>
        </w:rPr>
        <w:t>nivel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educación media,</w:t>
      </w:r>
      <w:r>
        <w:rPr>
          <w:spacing w:val="-2"/>
          <w:sz w:val="24"/>
        </w:rPr>
        <w:t> </w:t>
      </w:r>
      <w:r>
        <w:rPr>
          <w:sz w:val="24"/>
        </w:rPr>
        <w:t>ciclo de</w:t>
      </w:r>
      <w:r>
        <w:rPr>
          <w:spacing w:val="-3"/>
          <w:sz w:val="24"/>
        </w:rPr>
        <w:t> </w:t>
      </w:r>
      <w:r>
        <w:rPr>
          <w:sz w:val="24"/>
        </w:rPr>
        <w:t>educación</w:t>
      </w:r>
      <w:r>
        <w:rPr>
          <w:spacing w:val="-1"/>
          <w:sz w:val="24"/>
        </w:rPr>
        <w:t> </w:t>
      </w:r>
      <w:r>
        <w:rPr>
          <w:sz w:val="24"/>
        </w:rPr>
        <w:t>diversificada.</w:t>
      </w:r>
    </w:p>
    <w:p>
      <w:pPr>
        <w:pStyle w:val="BodyText"/>
        <w:spacing w:before="2"/>
        <w:rPr>
          <w:sz w:val="20"/>
        </w:rPr>
      </w:pPr>
    </w:p>
    <w:p>
      <w:pPr>
        <w:spacing w:line="243" w:lineRule="exact" w:before="0"/>
        <w:ind w:left="1839" w:right="1990" w:firstLine="0"/>
        <w:jc w:val="center"/>
        <w:rPr>
          <w:sz w:val="20"/>
        </w:rPr>
      </w:pPr>
      <w:bookmarkStart w:name="_bookmark17" w:id="25"/>
      <w:bookmarkEnd w:id="25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6</w:t>
      </w:r>
      <w:r>
        <w:rPr>
          <w:spacing w:val="-2"/>
          <w:sz w:val="20"/>
        </w:rPr>
        <w:t> </w:t>
      </w:r>
      <w:r>
        <w:rPr>
          <w:sz w:val="20"/>
        </w:rPr>
        <w:t>Déficit</w:t>
      </w:r>
      <w:r>
        <w:rPr>
          <w:spacing w:val="-3"/>
          <w:sz w:val="20"/>
        </w:rPr>
        <w:t> </w:t>
      </w:r>
      <w:r>
        <w:rPr>
          <w:sz w:val="20"/>
        </w:rPr>
        <w:t>Neto</w:t>
      </w:r>
      <w:r>
        <w:rPr>
          <w:spacing w:val="-2"/>
          <w:sz w:val="20"/>
        </w:rPr>
        <w:t> </w:t>
      </w:r>
      <w:r>
        <w:rPr>
          <w:sz w:val="20"/>
        </w:rPr>
        <w:t>%,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departamento,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2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Educación</w:t>
      </w:r>
      <w:r>
        <w:rPr>
          <w:spacing w:val="-2"/>
          <w:sz w:val="20"/>
        </w:rPr>
        <w:t> </w:t>
      </w:r>
      <w:r>
        <w:rPr>
          <w:sz w:val="20"/>
        </w:rPr>
        <w:t>Media,</w:t>
      </w:r>
      <w:r>
        <w:rPr>
          <w:spacing w:val="-2"/>
          <w:sz w:val="20"/>
        </w:rPr>
        <w:t> </w:t>
      </w:r>
      <w:r>
        <w:rPr>
          <w:sz w:val="20"/>
        </w:rPr>
        <w:t>Ciclo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Educación</w:t>
      </w:r>
    </w:p>
    <w:p>
      <w:pPr>
        <w:spacing w:line="243" w:lineRule="exact" w:before="0"/>
        <w:ind w:left="1839" w:right="1570" w:firstLine="0"/>
        <w:jc w:val="center"/>
        <w:rPr>
          <w:sz w:val="20"/>
        </w:rPr>
      </w:pPr>
      <w:r>
        <w:rPr/>
        <w:pict>
          <v:group style="position:absolute;margin-left:70.900002pt;margin-top:14.887952pt;width:470.2pt;height:276.25pt;mso-position-horizontal-relative:page;mso-position-vertical-relative:paragraph;z-index:-15703040;mso-wrap-distance-left:0;mso-wrap-distance-right:0" coordorigin="1418,298" coordsize="9404,5525">
            <v:rect style="position:absolute;left:1418;top:297;width:9404;height:5525" filled="true" fillcolor="#ffffff" stroked="false">
              <v:fill type="solid"/>
            </v:rect>
            <v:shape style="position:absolute;left:4549;top:882;width:5534;height:3819" coordorigin="4549,882" coordsize="5534,3819" path="m4671,1289l4549,1289,4549,4701,4671,4701,4671,1289xm5057,882l4936,882,4936,4701,5057,4701,5057,882xm6604,1293l6482,1293,6482,4701,6604,4701,6604,1293xm6990,969l6869,969,6869,4701,6990,4701,6990,969xm7377,993l7255,993,7255,4701,7377,4701,7377,993xm7763,1248l7642,1248,7642,4701,7763,4701,7763,1248xm8150,1082l8029,1082,8029,4701,8150,4701,8150,1082xm8536,1311l8415,1311,8415,4701,8536,4701,8536,1311xm9696,1187l9575,1187,9575,4701,9696,4701,9696,1187xm10083,1272l9962,1272,9962,4701,10083,4701,10083,1272xe" filled="true" fillcolor="#ff0000" stroked="false">
              <v:path arrowok="t"/>
              <v:fill type="solid"/>
            </v:shape>
            <v:shape style="position:absolute;left:2229;top:1413;width:8240;height:3289" coordorigin="2230,1413" coordsize="8240,3289" path="m2352,2527l2230,2527,2230,4701,2352,4701,2352,2527xm2738,1965l2616,1965,2616,4701,2738,4701,2738,1965xm3125,1893l3002,1893,3002,4701,3125,4701,3125,1893xm3511,1492l3389,1492,3389,4701,3511,4701,3511,1492xm3898,1692l3775,1692,3775,4701,3898,4701,3898,1692xm4284,1730l4164,1730,4164,4701,4284,4701,4284,1730xm5443,1651l5323,1651,5323,4701,5443,4701,5443,1651xm5830,1413l5710,1413,5710,4701,5830,4701,5830,1413xm6216,1797l6096,1797,6096,4701,6216,4701,6216,1797xm8923,1449l8801,1449,8801,4701,8923,4701,8923,1449xm9310,1651l9187,1651,9187,4701,9310,4701,9310,1651xm10469,1653l10349,1653,10349,4701,10469,4701,10469,1653xe" filled="true" fillcolor="#244275" stroked="false">
              <v:path arrowok="t"/>
              <v:fill type="solid"/>
            </v:shape>
            <v:line style="position:absolute" from="2097,4701" to="10602,4701" stroked="true" strokeweight=".75pt" strokecolor="#d9d9d9">
              <v:stroke dashstyle="solid"/>
            </v:line>
            <v:shape style="position:absolute;left:1763;top:4828;width:8678;height:821" type="#_x0000_t75" stroked="false">
              <v:imagedata r:id="rId15" o:title=""/>
            </v:shape>
            <v:shape style="position:absolute;left:1548;top:455;width:43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100.0%</w:t>
                    </w:r>
                  </w:p>
                </w:txbxContent>
              </v:textbox>
              <w10:wrap type="none"/>
            </v:shape>
            <v:shape style="position:absolute;left:4825;top:652;width:36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91.3%</w:t>
                    </w:r>
                  </w:p>
                </w:txbxContent>
              </v:textbox>
              <w10:wrap type="none"/>
            </v:shape>
            <v:shape style="position:absolute;left:6758;top:738;width:752;height:164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89.2%</w:t>
                    </w:r>
                    <w:r>
                      <w:rPr>
                        <w:color w:val="404040"/>
                        <w:spacing w:val="3"/>
                        <w:sz w:val="14"/>
                      </w:rPr>
                      <w:t> </w:t>
                    </w:r>
                    <w:r>
                      <w:rPr>
                        <w:color w:val="404040"/>
                        <w:position w:val="-1"/>
                        <w:sz w:val="14"/>
                      </w:rPr>
                      <w:t>88.6%</w:t>
                    </w:r>
                  </w:p>
                </w:txbxContent>
              </v:textbox>
              <w10:wrap type="none"/>
            </v:shape>
            <v:shape style="position:absolute;left:1619;top:873;width:367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90.0%</w:t>
                    </w:r>
                  </w:p>
                </w:txbxContent>
              </v:textbox>
              <w10:wrap type="none"/>
            </v:shape>
            <v:shape style="position:absolute;left:7918;top:852;width:36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86.5%</w:t>
                    </w:r>
                  </w:p>
                </w:txbxContent>
              </v:textbox>
              <w10:wrap type="none"/>
            </v:shape>
            <v:shape style="position:absolute;left:4438;top:1059;width:36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81.6%</w:t>
                    </w:r>
                  </w:p>
                </w:txbxContent>
              </v:textbox>
              <w10:wrap type="none"/>
            </v:shape>
            <v:shape style="position:absolute;left:6372;top:1062;width:36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81.5%</w:t>
                    </w:r>
                  </w:p>
                </w:txbxContent>
              </v:textbox>
              <w10:wrap type="none"/>
            </v:shape>
            <v:shape style="position:absolute;left:7531;top:1018;width:36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82.5%</w:t>
                    </w:r>
                  </w:p>
                </w:txbxContent>
              </v:textbox>
              <w10:wrap type="none"/>
            </v:shape>
            <v:shape style="position:absolute;left:9465;top:956;width:36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84.0%</w:t>
                    </w:r>
                  </w:p>
                </w:txbxContent>
              </v:textbox>
              <w10:wrap type="none"/>
            </v:shape>
            <v:shape style="position:absolute;left:8305;top:1080;width:36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81.0%</w:t>
                    </w:r>
                  </w:p>
                </w:txbxContent>
              </v:textbox>
              <w10:wrap type="none"/>
            </v:shape>
            <v:shape style="position:absolute;left:9851;top:1042;width:36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82.0%</w:t>
                    </w:r>
                  </w:p>
                </w:txbxContent>
              </v:textbox>
              <w10:wrap type="none"/>
            </v:shape>
            <v:shape style="position:absolute;left:5598;top:1181;width:36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78.6%</w:t>
                    </w:r>
                  </w:p>
                </w:txbxContent>
              </v:textbox>
              <w10:wrap type="none"/>
            </v:shape>
            <v:shape style="position:absolute;left:1619;top:1291;width:367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80.0%</w:t>
                    </w:r>
                  </w:p>
                </w:txbxContent>
              </v:textbox>
              <w10:wrap type="none"/>
            </v:shape>
            <v:shape style="position:absolute;left:3278;top:1263;width:36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76.7%</w:t>
                    </w:r>
                  </w:p>
                </w:txbxContent>
              </v:textbox>
              <w10:wrap type="none"/>
            </v:shape>
            <v:shape style="position:absolute;left:8691;top:1219;width:36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77.7%</w:t>
                    </w:r>
                  </w:p>
                </w:txbxContent>
              </v:textbox>
              <w10:wrap type="none"/>
            </v:shape>
            <v:shape style="position:absolute;left:3665;top:1462;width:751;height:178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71.9%</w:t>
                    </w:r>
                    <w:r>
                      <w:rPr>
                        <w:color w:val="404040"/>
                        <w:spacing w:val="3"/>
                        <w:sz w:val="14"/>
                      </w:rPr>
                      <w:t> </w:t>
                    </w:r>
                    <w:r>
                      <w:rPr>
                        <w:color w:val="404040"/>
                        <w:position w:val="-3"/>
                        <w:sz w:val="14"/>
                      </w:rPr>
                      <w:t>71.0%</w:t>
                    </w:r>
                  </w:p>
                </w:txbxContent>
              </v:textbox>
              <w10:wrap type="none"/>
            </v:shape>
            <v:shape style="position:absolute;left:5211;top:1420;width:365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72.9%</w:t>
                    </w:r>
                  </w:p>
                </w:txbxContent>
              </v:textbox>
              <w10:wrap type="none"/>
            </v:shape>
            <v:shape style="position:absolute;left:9078;top:1419;width:36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72.9%</w:t>
                    </w:r>
                  </w:p>
                </w:txbxContent>
              </v:textbox>
              <w10:wrap type="none"/>
            </v:shape>
            <v:shape style="position:absolute;left:10238;top:1421;width:36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72.9%</w:t>
                    </w:r>
                  </w:p>
                </w:txbxContent>
              </v:textbox>
              <w10:wrap type="none"/>
            </v:shape>
            <v:shape style="position:absolute;left:5985;top:1565;width:36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69.4%</w:t>
                    </w:r>
                  </w:p>
                </w:txbxContent>
              </v:textbox>
              <w10:wrap type="none"/>
            </v:shape>
            <v:shape style="position:absolute;left:1619;top:1710;width:367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70.0%</w:t>
                    </w:r>
                  </w:p>
                </w:txbxContent>
              </v:textbox>
              <w10:wrap type="none"/>
            </v:shape>
            <v:shape style="position:absolute;left:2505;top:1662;width:752;height:212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position w:val="-6"/>
                        <w:sz w:val="14"/>
                      </w:rPr>
                      <w:t>65.4%</w:t>
                    </w:r>
                    <w:r>
                      <w:rPr>
                        <w:color w:val="404040"/>
                        <w:spacing w:val="3"/>
                        <w:position w:val="-6"/>
                        <w:sz w:val="14"/>
                      </w:rPr>
                      <w:t> </w:t>
                    </w:r>
                    <w:r>
                      <w:rPr>
                        <w:color w:val="404040"/>
                        <w:sz w:val="14"/>
                      </w:rPr>
                      <w:t>67.1%</w:t>
                    </w:r>
                  </w:p>
                </w:txbxContent>
              </v:textbox>
              <w10:wrap type="none"/>
            </v:shape>
            <v:shape style="position:absolute;left:1619;top:2129;width:367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60.0%</w:t>
                    </w:r>
                  </w:p>
                </w:txbxContent>
              </v:textbox>
              <w10:wrap type="none"/>
            </v:shape>
            <v:shape style="position:absolute;left:2118;top:2296;width:36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52.0%</w:t>
                    </w:r>
                  </w:p>
                </w:txbxContent>
              </v:textbox>
              <w10:wrap type="none"/>
            </v:shape>
            <v:shape style="position:absolute;left:1619;top:2546;width:368;height:2232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50.0%</w:t>
                    </w:r>
                  </w:p>
                  <w:p>
                    <w:pPr>
                      <w:spacing w:line="240" w:lineRule="auto" w:before="3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40.0%</w:t>
                    </w:r>
                  </w:p>
                  <w:p>
                    <w:pPr>
                      <w:spacing w:line="240" w:lineRule="auto" w:before="4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30.0%</w:t>
                    </w:r>
                  </w:p>
                  <w:p>
                    <w:pPr>
                      <w:spacing w:line="240" w:lineRule="auto" w:before="3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20.0%</w:t>
                    </w:r>
                  </w:p>
                  <w:p>
                    <w:pPr>
                      <w:spacing w:line="240" w:lineRule="auto" w:before="3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10.0%</w:t>
                    </w:r>
                  </w:p>
                  <w:p>
                    <w:pPr>
                      <w:spacing w:line="240" w:lineRule="auto" w:before="4"/>
                      <w:rPr>
                        <w:sz w:val="20"/>
                      </w:rPr>
                    </w:pPr>
                  </w:p>
                  <w:p>
                    <w:pPr>
                      <w:spacing w:line="168" w:lineRule="exact" w:before="0"/>
                      <w:ind w:left="7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0.0%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20"/>
        </w:rPr>
        <w:t>Diversificada,</w:t>
      </w:r>
      <w:r>
        <w:rPr>
          <w:spacing w:val="-4"/>
          <w:sz w:val="20"/>
        </w:rPr>
        <w:t> </w:t>
      </w:r>
      <w:r>
        <w:rPr>
          <w:sz w:val="20"/>
        </w:rPr>
        <w:t>2021</w:t>
      </w:r>
      <w:r>
        <w:rPr>
          <w:spacing w:val="-4"/>
          <w:sz w:val="20"/>
        </w:rPr>
        <w:t> </w:t>
      </w:r>
      <w:r>
        <w:rPr>
          <w:sz w:val="20"/>
        </w:rPr>
        <w:t>(preliminar</w:t>
      </w:r>
      <w:r>
        <w:rPr>
          <w:spacing w:val="-3"/>
          <w:sz w:val="20"/>
        </w:rPr>
        <w:t> </w:t>
      </w:r>
      <w:r>
        <w:rPr>
          <w:sz w:val="20"/>
        </w:rPr>
        <w:t>1/6/2021)</w:t>
      </w:r>
    </w:p>
    <w:p>
      <w:pPr>
        <w:spacing w:before="0"/>
        <w:ind w:left="1418" w:right="0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base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Indicadores</w:t>
      </w:r>
      <w:r>
        <w:rPr>
          <w:spacing w:val="-3"/>
          <w:sz w:val="16"/>
        </w:rPr>
        <w:t> </w:t>
      </w:r>
      <w:r>
        <w:rPr>
          <w:sz w:val="16"/>
        </w:rPr>
        <w:t>Educativos,</w:t>
      </w:r>
      <w:r>
        <w:rPr>
          <w:spacing w:val="-2"/>
          <w:sz w:val="16"/>
        </w:rPr>
        <w:t> </w:t>
      </w:r>
      <w:r>
        <w:rPr>
          <w:sz w:val="16"/>
        </w:rPr>
        <w:t>DIPLAN</w:t>
      </w:r>
      <w:r>
        <w:rPr>
          <w:spacing w:val="-2"/>
          <w:sz w:val="16"/>
        </w:rPr>
        <w:t> </w:t>
      </w:r>
      <w:r>
        <w:rPr>
          <w:sz w:val="16"/>
        </w:rPr>
        <w:t>2021.</w:t>
      </w:r>
    </w:p>
    <w:p>
      <w:pPr>
        <w:pStyle w:val="BodyText"/>
        <w:rPr>
          <w:sz w:val="16"/>
        </w:rPr>
      </w:pPr>
    </w:p>
    <w:p>
      <w:pPr>
        <w:pStyle w:val="Heading3"/>
        <w:numPr>
          <w:ilvl w:val="1"/>
          <w:numId w:val="4"/>
        </w:numPr>
        <w:tabs>
          <w:tab w:pos="1994" w:val="left" w:leader="none"/>
          <w:tab w:pos="1995" w:val="left" w:leader="none"/>
        </w:tabs>
        <w:spacing w:line="240" w:lineRule="auto" w:before="137" w:after="0"/>
        <w:ind w:left="1994" w:right="0" w:hanging="577"/>
        <w:jc w:val="left"/>
      </w:pPr>
      <w:bookmarkStart w:name="_bookmark18" w:id="26"/>
      <w:bookmarkEnd w:id="26"/>
      <w:r>
        <w:rPr>
          <w:b w:val="0"/>
        </w:rPr>
      </w:r>
      <w:bookmarkStart w:name="_bookmark18" w:id="27"/>
      <w:bookmarkEnd w:id="27"/>
      <w:r>
        <w:rPr>
          <w:color w:val="1F4E79"/>
        </w:rPr>
        <w:t>R</w:t>
      </w:r>
      <w:r>
        <w:rPr>
          <w:color w:val="1F4E79"/>
        </w:rPr>
        <w:t>esumen</w:t>
      </w:r>
      <w:r>
        <w:rPr>
          <w:color w:val="1F4E79"/>
          <w:spacing w:val="-2"/>
        </w:rPr>
        <w:t> </w:t>
      </w:r>
      <w:r>
        <w:rPr>
          <w:color w:val="1F4E79"/>
        </w:rPr>
        <w:t>de</w:t>
      </w:r>
      <w:r>
        <w:rPr>
          <w:color w:val="1F4E79"/>
          <w:spacing w:val="-4"/>
        </w:rPr>
        <w:t> </w:t>
      </w:r>
      <w:r>
        <w:rPr>
          <w:color w:val="1F4E79"/>
        </w:rPr>
        <w:t>departamentos</w:t>
      </w:r>
      <w:r>
        <w:rPr>
          <w:color w:val="1F4E79"/>
          <w:spacing w:val="-5"/>
        </w:rPr>
        <w:t> </w:t>
      </w:r>
      <w:r>
        <w:rPr>
          <w:color w:val="1F4E79"/>
        </w:rPr>
        <w:t>con</w:t>
      </w:r>
      <w:r>
        <w:rPr>
          <w:color w:val="1F4E79"/>
          <w:spacing w:val="-4"/>
        </w:rPr>
        <w:t> </w:t>
      </w:r>
      <w:r>
        <w:rPr>
          <w:color w:val="1F4E79"/>
        </w:rPr>
        <w:t>mayor</w:t>
      </w:r>
      <w:r>
        <w:rPr>
          <w:color w:val="1F4E79"/>
          <w:spacing w:val="-1"/>
        </w:rPr>
        <w:t> </w:t>
      </w:r>
      <w:r>
        <w:rPr>
          <w:color w:val="1F4E79"/>
        </w:rPr>
        <w:t>déficit</w:t>
      </w:r>
      <w:r>
        <w:rPr>
          <w:color w:val="1F4E79"/>
          <w:spacing w:val="1"/>
        </w:rPr>
        <w:t> </w:t>
      </w:r>
      <w:r>
        <w:rPr>
          <w:color w:val="1F4E79"/>
        </w:rPr>
        <w:t>de</w:t>
      </w:r>
      <w:r>
        <w:rPr>
          <w:color w:val="1F4E79"/>
          <w:spacing w:val="-4"/>
        </w:rPr>
        <w:t> </w:t>
      </w:r>
      <w:r>
        <w:rPr>
          <w:color w:val="1F4E79"/>
        </w:rPr>
        <w:t>cobertura</w:t>
      </w:r>
      <w:r>
        <w:rPr>
          <w:color w:val="1F4E79"/>
          <w:spacing w:val="-4"/>
        </w:rPr>
        <w:t> </w:t>
      </w:r>
      <w:r>
        <w:rPr>
          <w:color w:val="1F4E79"/>
        </w:rPr>
        <w:t>educativa</w:t>
      </w:r>
      <w:r>
        <w:rPr>
          <w:color w:val="1F4E79"/>
          <w:spacing w:val="-1"/>
        </w:rPr>
        <w:t> </w:t>
      </w:r>
      <w:r>
        <w:rPr>
          <w:color w:val="1F4E79"/>
        </w:rPr>
        <w:t>en</w:t>
      </w:r>
      <w:r>
        <w:rPr>
          <w:color w:val="1F4E79"/>
          <w:spacing w:val="-1"/>
        </w:rPr>
        <w:t> </w:t>
      </w:r>
      <w:r>
        <w:rPr>
          <w:color w:val="1F4E79"/>
        </w:rPr>
        <w:t>2021.</w:t>
      </w:r>
    </w:p>
    <w:p>
      <w:pPr>
        <w:pStyle w:val="BodyText"/>
        <w:rPr>
          <w:b/>
          <w:sz w:val="24"/>
        </w:rPr>
      </w:pPr>
    </w:p>
    <w:p>
      <w:pPr>
        <w:spacing w:before="187"/>
        <w:ind w:left="1418" w:right="1413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continuación,</w:t>
      </w:r>
      <w:r>
        <w:rPr>
          <w:spacing w:val="-11"/>
          <w:sz w:val="24"/>
        </w:rPr>
        <w:t> </w:t>
      </w:r>
      <w:r>
        <w:rPr>
          <w:sz w:val="24"/>
        </w:rPr>
        <w:t>se</w:t>
      </w:r>
      <w:r>
        <w:rPr>
          <w:spacing w:val="-11"/>
          <w:sz w:val="24"/>
        </w:rPr>
        <w:t> </w:t>
      </w:r>
      <w:r>
        <w:rPr>
          <w:sz w:val="24"/>
        </w:rPr>
        <w:t>presenta</w:t>
      </w:r>
      <w:r>
        <w:rPr>
          <w:spacing w:val="-14"/>
          <w:sz w:val="24"/>
        </w:rPr>
        <w:t> </w:t>
      </w:r>
      <w:r>
        <w:rPr>
          <w:sz w:val="24"/>
        </w:rPr>
        <w:t>una</w:t>
      </w:r>
      <w:r>
        <w:rPr>
          <w:spacing w:val="-13"/>
          <w:sz w:val="24"/>
        </w:rPr>
        <w:t> </w:t>
      </w:r>
      <w:r>
        <w:rPr>
          <w:sz w:val="24"/>
        </w:rPr>
        <w:t>tabla</w:t>
      </w:r>
      <w:r>
        <w:rPr>
          <w:spacing w:val="-11"/>
          <w:sz w:val="24"/>
        </w:rPr>
        <w:t> </w:t>
      </w:r>
      <w:r>
        <w:rPr>
          <w:sz w:val="24"/>
        </w:rPr>
        <w:t>resumen</w:t>
      </w:r>
      <w:r>
        <w:rPr>
          <w:spacing w:val="-10"/>
          <w:sz w:val="24"/>
        </w:rPr>
        <w:t> </w:t>
      </w:r>
      <w:r>
        <w:rPr>
          <w:sz w:val="24"/>
        </w:rPr>
        <w:t>con</w:t>
      </w:r>
      <w:r>
        <w:rPr>
          <w:spacing w:val="-11"/>
          <w:sz w:val="24"/>
        </w:rPr>
        <w:t> </w:t>
      </w:r>
      <w:r>
        <w:rPr>
          <w:sz w:val="24"/>
        </w:rPr>
        <w:t>los</w:t>
      </w:r>
      <w:r>
        <w:rPr>
          <w:spacing w:val="-10"/>
          <w:sz w:val="24"/>
        </w:rPr>
        <w:t> </w:t>
      </w:r>
      <w:r>
        <w:rPr>
          <w:sz w:val="24"/>
        </w:rPr>
        <w:t>departamentos</w:t>
      </w:r>
      <w:r>
        <w:rPr>
          <w:spacing w:val="-11"/>
          <w:sz w:val="24"/>
        </w:rPr>
        <w:t> </w:t>
      </w:r>
      <w:r>
        <w:rPr>
          <w:sz w:val="24"/>
        </w:rPr>
        <w:t>más</w:t>
      </w:r>
      <w:r>
        <w:rPr>
          <w:spacing w:val="-14"/>
          <w:sz w:val="24"/>
        </w:rPr>
        <w:t> </w:t>
      </w:r>
      <w:r>
        <w:rPr>
          <w:sz w:val="24"/>
        </w:rPr>
        <w:t>afectados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acuerdo</w:t>
      </w:r>
      <w:r>
        <w:rPr>
          <w:spacing w:val="-52"/>
          <w:sz w:val="24"/>
        </w:rPr>
        <w:t> </w:t>
      </w:r>
      <w:r>
        <w:rPr>
          <w:sz w:val="24"/>
        </w:rPr>
        <w:t>con</w:t>
      </w:r>
      <w:r>
        <w:rPr>
          <w:spacing w:val="-10"/>
          <w:sz w:val="24"/>
        </w:rPr>
        <w:t> </w:t>
      </w:r>
      <w:r>
        <w:rPr>
          <w:sz w:val="24"/>
        </w:rPr>
        <w:t>número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inscripción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estudiantes</w:t>
      </w:r>
      <w:r>
        <w:rPr>
          <w:spacing w:val="-9"/>
          <w:sz w:val="24"/>
        </w:rPr>
        <w:t> </w:t>
      </w:r>
      <w:r>
        <w:rPr>
          <w:sz w:val="24"/>
        </w:rPr>
        <w:t>inscritos,</w:t>
      </w:r>
      <w:r>
        <w:rPr>
          <w:spacing w:val="-10"/>
          <w:sz w:val="24"/>
        </w:rPr>
        <w:t> </w:t>
      </w:r>
      <w:r>
        <w:rPr>
          <w:sz w:val="24"/>
        </w:rPr>
        <w:t>según</w:t>
      </w:r>
      <w:r>
        <w:rPr>
          <w:spacing w:val="-11"/>
          <w:sz w:val="24"/>
        </w:rPr>
        <w:t> </w:t>
      </w: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registro</w:t>
      </w:r>
      <w:r>
        <w:rPr>
          <w:spacing w:val="-11"/>
          <w:sz w:val="24"/>
        </w:rPr>
        <w:t> </w:t>
      </w:r>
      <w:r>
        <w:rPr>
          <w:sz w:val="24"/>
        </w:rPr>
        <w:t>del</w:t>
      </w:r>
      <w:r>
        <w:rPr>
          <w:spacing w:val="-13"/>
          <w:sz w:val="24"/>
        </w:rPr>
        <w:t> </w:t>
      </w:r>
      <w:r>
        <w:rPr>
          <w:sz w:val="24"/>
        </w:rPr>
        <w:t>nivel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educación</w:t>
      </w:r>
      <w:r>
        <w:rPr>
          <w:spacing w:val="-11"/>
          <w:sz w:val="24"/>
        </w:rPr>
        <w:t> </w:t>
      </w:r>
      <w:r>
        <w:rPr>
          <w:sz w:val="24"/>
        </w:rPr>
        <w:t>inicial</w:t>
      </w:r>
      <w:r>
        <w:rPr>
          <w:spacing w:val="-5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al porcentaje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déficit</w:t>
      </w:r>
      <w:r>
        <w:rPr>
          <w:spacing w:val="-2"/>
          <w:sz w:val="24"/>
        </w:rPr>
        <w:t> </w:t>
      </w:r>
      <w:r>
        <w:rPr>
          <w:sz w:val="24"/>
        </w:rPr>
        <w:t>neto</w:t>
      </w:r>
      <w:r>
        <w:rPr>
          <w:spacing w:val="-2"/>
          <w:sz w:val="24"/>
        </w:rPr>
        <w:t> </w:t>
      </w:r>
      <w:r>
        <w:rPr>
          <w:sz w:val="24"/>
        </w:rPr>
        <w:t>de los niveles</w:t>
      </w:r>
      <w:r>
        <w:rPr>
          <w:spacing w:val="-2"/>
          <w:sz w:val="24"/>
        </w:rPr>
        <w:t> </w:t>
      </w:r>
      <w:r>
        <w:rPr>
          <w:sz w:val="24"/>
        </w:rPr>
        <w:t>de educación</w:t>
      </w:r>
      <w:r>
        <w:rPr>
          <w:spacing w:val="-2"/>
          <w:sz w:val="24"/>
        </w:rPr>
        <w:t> </w:t>
      </w:r>
      <w:r>
        <w:rPr>
          <w:sz w:val="24"/>
        </w:rPr>
        <w:t>preprimaria,</w:t>
      </w:r>
      <w:r>
        <w:rPr>
          <w:spacing w:val="-1"/>
          <w:sz w:val="24"/>
        </w:rPr>
        <w:t> </w:t>
      </w:r>
      <w:r>
        <w:rPr>
          <w:sz w:val="24"/>
        </w:rPr>
        <w:t>primaria y</w:t>
      </w:r>
      <w:r>
        <w:rPr>
          <w:spacing w:val="-1"/>
          <w:sz w:val="24"/>
        </w:rPr>
        <w:t> </w:t>
      </w:r>
      <w:r>
        <w:rPr>
          <w:sz w:val="24"/>
        </w:rPr>
        <w:t>media.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pict>
          <v:rect style="position:absolute;margin-left:563.880005pt;margin-top:11.64235pt;width:25.44pt;height:1.4399pt;mso-position-horizontal-relative:page;mso-position-vertical-relative:paragraph;z-index:-1570252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ind w:right="551"/>
      </w:pPr>
      <w:r>
        <w:rPr/>
        <w:t>16</w:t>
      </w:r>
    </w:p>
    <w:p>
      <w:pPr>
        <w:pStyle w:val="BodyText"/>
        <w:spacing w:line="88" w:lineRule="exact"/>
        <w:ind w:left="1127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40352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spacing w:before="59"/>
        <w:ind w:left="1839" w:right="1994" w:firstLine="0"/>
        <w:jc w:val="center"/>
        <w:rPr>
          <w:sz w:val="20"/>
        </w:rPr>
      </w:pPr>
      <w:bookmarkStart w:name="_bookmark19" w:id="28"/>
      <w:bookmarkEnd w:id="28"/>
      <w:r>
        <w:rPr/>
      </w:r>
      <w:r>
        <w:rPr>
          <w:sz w:val="20"/>
        </w:rPr>
        <w:t>Tabla</w:t>
      </w:r>
      <w:r>
        <w:rPr>
          <w:spacing w:val="-2"/>
          <w:sz w:val="20"/>
        </w:rPr>
        <w:t> </w:t>
      </w:r>
      <w:r>
        <w:rPr>
          <w:sz w:val="20"/>
        </w:rPr>
        <w:t>5</w:t>
      </w:r>
      <w:r>
        <w:rPr>
          <w:spacing w:val="-2"/>
          <w:sz w:val="20"/>
        </w:rPr>
        <w:t> </w:t>
      </w:r>
      <w:r>
        <w:rPr>
          <w:sz w:val="20"/>
        </w:rPr>
        <w:t>Departamentos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menor</w:t>
      </w:r>
      <w:r>
        <w:rPr>
          <w:spacing w:val="-2"/>
          <w:sz w:val="20"/>
        </w:rPr>
        <w:t> </w:t>
      </w:r>
      <w:r>
        <w:rPr>
          <w:sz w:val="20"/>
        </w:rPr>
        <w:t>cantidad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inscritos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mayor</w:t>
      </w:r>
      <w:r>
        <w:rPr>
          <w:spacing w:val="-1"/>
          <w:sz w:val="20"/>
        </w:rPr>
        <w:t> </w:t>
      </w:r>
      <w:r>
        <w:rPr>
          <w:sz w:val="20"/>
        </w:rPr>
        <w:t>%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déficit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cobertura</w:t>
      </w:r>
      <w:r>
        <w:rPr>
          <w:spacing w:val="-2"/>
          <w:sz w:val="20"/>
        </w:rPr>
        <w:t> </w:t>
      </w:r>
      <w:r>
        <w:rPr>
          <w:sz w:val="20"/>
        </w:rPr>
        <w:t>2021</w:t>
      </w:r>
    </w:p>
    <w:tbl>
      <w:tblPr>
        <w:tblW w:w="0" w:type="auto"/>
        <w:jc w:val="left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8"/>
        <w:gridCol w:w="1547"/>
        <w:gridCol w:w="1561"/>
        <w:gridCol w:w="1561"/>
        <w:gridCol w:w="1984"/>
        <w:gridCol w:w="2029"/>
      </w:tblGrid>
      <w:tr>
        <w:trPr>
          <w:trHeight w:val="268" w:hRule="atLeast"/>
        </w:trPr>
        <w:tc>
          <w:tcPr>
            <w:tcW w:w="9400" w:type="dxa"/>
            <w:gridSpan w:val="6"/>
            <w:tcBorders>
              <w:right w:val="single" w:sz="6" w:space="0" w:color="000000"/>
            </w:tcBorders>
            <w:shd w:val="clear" w:color="auto" w:fill="001F5F"/>
          </w:tcPr>
          <w:p>
            <w:pPr>
              <w:pStyle w:val="TableParagraph"/>
              <w:spacing w:line="248" w:lineRule="exact"/>
              <w:ind w:left="1632" w:right="162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Departamentos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con</w:t>
            </w:r>
            <w:r>
              <w:rPr>
                <w:b/>
                <w:color w:val="FFFFFF"/>
                <w:spacing w:val="-5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mayor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porcentaje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déficit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cobertura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2021</w:t>
            </w:r>
          </w:p>
        </w:tc>
      </w:tr>
      <w:tr>
        <w:trPr>
          <w:trHeight w:val="1074" w:hRule="atLeast"/>
        </w:trPr>
        <w:tc>
          <w:tcPr>
            <w:tcW w:w="718" w:type="dxa"/>
            <w:shd w:val="clear" w:color="auto" w:fill="001F5F"/>
          </w:tcPr>
          <w:p>
            <w:pPr>
              <w:pStyle w:val="TableParagraph"/>
              <w:spacing w:before="11"/>
              <w:rPr>
                <w:sz w:val="32"/>
              </w:rPr>
            </w:pPr>
          </w:p>
          <w:p>
            <w:pPr>
              <w:pStyle w:val="TableParagraph"/>
              <w:ind w:left="88" w:right="7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Núm.</w:t>
            </w:r>
          </w:p>
        </w:tc>
        <w:tc>
          <w:tcPr>
            <w:tcW w:w="1547" w:type="dxa"/>
            <w:shd w:val="clear" w:color="auto" w:fill="001F5F"/>
          </w:tcPr>
          <w:p>
            <w:pPr>
              <w:pStyle w:val="TableParagraph"/>
              <w:spacing w:before="133"/>
              <w:ind w:left="306" w:right="299" w:firstLine="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Nivel de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Educación</w:t>
            </w:r>
            <w:r>
              <w:rPr>
                <w:b/>
                <w:color w:val="FFFFFF"/>
                <w:spacing w:val="-4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Inicial</w:t>
            </w:r>
          </w:p>
        </w:tc>
        <w:tc>
          <w:tcPr>
            <w:tcW w:w="1561" w:type="dxa"/>
            <w:shd w:val="clear" w:color="auto" w:fill="001F5F"/>
          </w:tcPr>
          <w:p>
            <w:pPr>
              <w:pStyle w:val="TableParagraph"/>
              <w:spacing w:before="133"/>
              <w:ind w:left="236" w:right="225" w:hanging="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Nivel de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Educación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Preprimaria</w:t>
            </w:r>
          </w:p>
        </w:tc>
        <w:tc>
          <w:tcPr>
            <w:tcW w:w="1561" w:type="dxa"/>
            <w:shd w:val="clear" w:color="auto" w:fill="001F5F"/>
          </w:tcPr>
          <w:p>
            <w:pPr>
              <w:pStyle w:val="TableParagraph"/>
              <w:spacing w:before="133"/>
              <w:ind w:left="311" w:right="307" w:firstLine="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Nivel de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Educación</w:t>
            </w:r>
            <w:r>
              <w:rPr>
                <w:b/>
                <w:color w:val="FFFFFF"/>
                <w:spacing w:val="-4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Primaria</w:t>
            </w:r>
          </w:p>
        </w:tc>
        <w:tc>
          <w:tcPr>
            <w:tcW w:w="1984" w:type="dxa"/>
            <w:shd w:val="clear" w:color="auto" w:fill="001F5F"/>
          </w:tcPr>
          <w:p>
            <w:pPr>
              <w:pStyle w:val="TableParagraph"/>
              <w:spacing w:before="133"/>
              <w:ind w:left="124" w:right="12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Nivel de Educación</w:t>
            </w:r>
            <w:r>
              <w:rPr>
                <w:b/>
                <w:color w:val="FFFFFF"/>
                <w:spacing w:val="-4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Media, Ciclo de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Educación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Básica</w:t>
            </w:r>
          </w:p>
        </w:tc>
        <w:tc>
          <w:tcPr>
            <w:tcW w:w="2029" w:type="dxa"/>
            <w:tcBorders>
              <w:right w:val="single" w:sz="6" w:space="0" w:color="000000"/>
            </w:tcBorders>
            <w:shd w:val="clear" w:color="auto" w:fill="001F5F"/>
          </w:tcPr>
          <w:p>
            <w:pPr>
              <w:pStyle w:val="TableParagraph"/>
              <w:ind w:left="147" w:right="14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Nivel de Educación</w:t>
            </w:r>
            <w:r>
              <w:rPr>
                <w:b/>
                <w:color w:val="FFFFFF"/>
                <w:spacing w:val="-48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Media, Ciclo de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Educación</w:t>
            </w:r>
          </w:p>
          <w:p>
            <w:pPr>
              <w:pStyle w:val="TableParagraph"/>
              <w:spacing w:line="249" w:lineRule="exact"/>
              <w:ind w:left="146" w:right="14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Diversificada</w:t>
            </w:r>
          </w:p>
        </w:tc>
      </w:tr>
      <w:tr>
        <w:trPr>
          <w:trHeight w:val="244" w:hRule="atLeast"/>
        </w:trPr>
        <w:tc>
          <w:tcPr>
            <w:tcW w:w="718" w:type="dxa"/>
          </w:tcPr>
          <w:p>
            <w:pPr>
              <w:pStyle w:val="TableParagraph"/>
              <w:spacing w:line="223" w:lineRule="exact" w:before="1"/>
              <w:ind w:left="85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01</w:t>
            </w:r>
          </w:p>
        </w:tc>
        <w:tc>
          <w:tcPr>
            <w:tcW w:w="1547" w:type="dxa"/>
          </w:tcPr>
          <w:p>
            <w:pPr>
              <w:pStyle w:val="TableParagraph"/>
              <w:spacing w:line="223" w:lineRule="exact" w:before="1"/>
              <w:ind w:left="133" w:right="132"/>
              <w:jc w:val="center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Progreso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2" w:hRule="atLeast"/>
        </w:trPr>
        <w:tc>
          <w:tcPr>
            <w:tcW w:w="718" w:type="dxa"/>
          </w:tcPr>
          <w:p>
            <w:pPr>
              <w:pStyle w:val="TableParagraph"/>
              <w:spacing w:line="222" w:lineRule="exact"/>
              <w:ind w:left="85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02</w:t>
            </w:r>
          </w:p>
        </w:tc>
        <w:tc>
          <w:tcPr>
            <w:tcW w:w="1547" w:type="dxa"/>
          </w:tcPr>
          <w:p>
            <w:pPr>
              <w:pStyle w:val="TableParagraph"/>
              <w:spacing w:line="222" w:lineRule="exact"/>
              <w:ind w:left="133" w:right="132"/>
              <w:jc w:val="center"/>
              <w:rPr>
                <w:sz w:val="20"/>
              </w:rPr>
            </w:pPr>
            <w:r>
              <w:rPr>
                <w:sz w:val="20"/>
              </w:rPr>
              <w:t>Chimaltenango</w:t>
            </w:r>
          </w:p>
        </w:tc>
        <w:tc>
          <w:tcPr>
            <w:tcW w:w="1561" w:type="dxa"/>
          </w:tcPr>
          <w:p>
            <w:pPr>
              <w:pStyle w:val="TableParagraph"/>
              <w:spacing w:line="222" w:lineRule="exact"/>
              <w:ind w:left="98" w:right="98"/>
              <w:jc w:val="center"/>
              <w:rPr>
                <w:sz w:val="20"/>
              </w:rPr>
            </w:pPr>
            <w:r>
              <w:rPr>
                <w:sz w:val="20"/>
              </w:rPr>
              <w:t>Chimaltenango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18" w:type="dxa"/>
          </w:tcPr>
          <w:p>
            <w:pPr>
              <w:pStyle w:val="TableParagraph"/>
              <w:spacing w:line="223" w:lineRule="exact" w:before="1"/>
              <w:ind w:left="85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03</w:t>
            </w:r>
          </w:p>
        </w:tc>
        <w:tc>
          <w:tcPr>
            <w:tcW w:w="1547" w:type="dxa"/>
          </w:tcPr>
          <w:p>
            <w:pPr>
              <w:pStyle w:val="TableParagraph"/>
              <w:spacing w:line="223" w:lineRule="exact" w:before="1"/>
              <w:ind w:left="133" w:right="127"/>
              <w:jc w:val="center"/>
              <w:rPr>
                <w:sz w:val="20"/>
              </w:rPr>
            </w:pPr>
            <w:r>
              <w:rPr>
                <w:sz w:val="20"/>
              </w:rPr>
              <w:t>Escuintla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18" w:type="dxa"/>
          </w:tcPr>
          <w:p>
            <w:pPr>
              <w:pStyle w:val="TableParagraph"/>
              <w:spacing w:line="223" w:lineRule="exact" w:before="1"/>
              <w:ind w:left="85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04</w:t>
            </w:r>
          </w:p>
        </w:tc>
        <w:tc>
          <w:tcPr>
            <w:tcW w:w="1547" w:type="dxa"/>
          </w:tcPr>
          <w:p>
            <w:pPr>
              <w:pStyle w:val="TableParagraph"/>
              <w:spacing w:line="223" w:lineRule="exact" w:before="1"/>
              <w:ind w:left="133" w:right="128"/>
              <w:jc w:val="center"/>
              <w:rPr>
                <w:sz w:val="20"/>
              </w:rPr>
            </w:pPr>
            <w:r>
              <w:rPr>
                <w:sz w:val="20"/>
              </w:rPr>
              <w:t>Totonicapán</w:t>
            </w:r>
          </w:p>
        </w:tc>
        <w:tc>
          <w:tcPr>
            <w:tcW w:w="1561" w:type="dxa"/>
          </w:tcPr>
          <w:p>
            <w:pPr>
              <w:pStyle w:val="TableParagraph"/>
              <w:spacing w:line="223" w:lineRule="exact" w:before="1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Totonicapán</w:t>
            </w:r>
          </w:p>
        </w:tc>
        <w:tc>
          <w:tcPr>
            <w:tcW w:w="1561" w:type="dxa"/>
          </w:tcPr>
          <w:p>
            <w:pPr>
              <w:pStyle w:val="TableParagraph"/>
              <w:spacing w:line="223" w:lineRule="exact" w:before="1"/>
              <w:ind w:left="100" w:right="98"/>
              <w:jc w:val="center"/>
              <w:rPr>
                <w:sz w:val="20"/>
              </w:rPr>
            </w:pPr>
            <w:r>
              <w:rPr>
                <w:sz w:val="20"/>
              </w:rPr>
              <w:t>Totonicapán</w:t>
            </w:r>
          </w:p>
        </w:tc>
        <w:tc>
          <w:tcPr>
            <w:tcW w:w="1984" w:type="dxa"/>
          </w:tcPr>
          <w:p>
            <w:pPr>
              <w:pStyle w:val="TableParagraph"/>
              <w:spacing w:line="223" w:lineRule="exact" w:before="1"/>
              <w:ind w:left="122" w:right="124"/>
              <w:jc w:val="center"/>
              <w:rPr>
                <w:sz w:val="20"/>
              </w:rPr>
            </w:pPr>
            <w:r>
              <w:rPr>
                <w:sz w:val="20"/>
              </w:rPr>
              <w:t>Totonicapán</w:t>
            </w:r>
          </w:p>
        </w:tc>
        <w:tc>
          <w:tcPr>
            <w:tcW w:w="202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3" w:lineRule="exact" w:before="1"/>
              <w:ind w:left="143" w:right="144"/>
              <w:jc w:val="center"/>
              <w:rPr>
                <w:sz w:val="20"/>
              </w:rPr>
            </w:pPr>
            <w:r>
              <w:rPr>
                <w:sz w:val="20"/>
              </w:rPr>
              <w:t>Totonicapán</w:t>
            </w:r>
          </w:p>
        </w:tc>
      </w:tr>
      <w:tr>
        <w:trPr>
          <w:trHeight w:val="245" w:hRule="atLeast"/>
        </w:trPr>
        <w:tc>
          <w:tcPr>
            <w:tcW w:w="718" w:type="dxa"/>
          </w:tcPr>
          <w:p>
            <w:pPr>
              <w:pStyle w:val="TableParagraph"/>
              <w:spacing w:line="223" w:lineRule="exact" w:before="2"/>
              <w:ind w:left="85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05</w:t>
            </w:r>
          </w:p>
        </w:tc>
        <w:tc>
          <w:tcPr>
            <w:tcW w:w="1547" w:type="dxa"/>
          </w:tcPr>
          <w:p>
            <w:pPr>
              <w:pStyle w:val="TableParagraph"/>
              <w:spacing w:line="223" w:lineRule="exact" w:before="2"/>
              <w:ind w:left="133" w:right="130"/>
              <w:jc w:val="center"/>
              <w:rPr>
                <w:sz w:val="20"/>
              </w:rPr>
            </w:pPr>
            <w:r>
              <w:rPr>
                <w:sz w:val="20"/>
              </w:rPr>
              <w:t>Retalhuleu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18" w:type="dxa"/>
          </w:tcPr>
          <w:p>
            <w:pPr>
              <w:pStyle w:val="TableParagraph"/>
              <w:spacing w:line="223" w:lineRule="exact" w:before="1"/>
              <w:ind w:left="85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06</w:t>
            </w:r>
          </w:p>
        </w:tc>
        <w:tc>
          <w:tcPr>
            <w:tcW w:w="1547" w:type="dxa"/>
          </w:tcPr>
          <w:p>
            <w:pPr>
              <w:pStyle w:val="TableParagraph"/>
              <w:spacing w:line="223" w:lineRule="exact" w:before="1"/>
              <w:ind w:left="133" w:right="130"/>
              <w:jc w:val="center"/>
              <w:rPr>
                <w:sz w:val="20"/>
              </w:rPr>
            </w:pPr>
            <w:r>
              <w:rPr>
                <w:sz w:val="20"/>
              </w:rPr>
              <w:t>Petén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line="223" w:lineRule="exact" w:before="1"/>
              <w:ind w:left="121" w:right="124"/>
              <w:jc w:val="center"/>
              <w:rPr>
                <w:sz w:val="20"/>
              </w:rPr>
            </w:pPr>
            <w:r>
              <w:rPr>
                <w:sz w:val="20"/>
              </w:rPr>
              <w:t>Petén</w:t>
            </w:r>
          </w:p>
        </w:tc>
        <w:tc>
          <w:tcPr>
            <w:tcW w:w="202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3" w:lineRule="exact" w:before="1"/>
              <w:ind w:left="144" w:right="144"/>
              <w:jc w:val="center"/>
              <w:rPr>
                <w:sz w:val="20"/>
              </w:rPr>
            </w:pPr>
            <w:r>
              <w:rPr>
                <w:sz w:val="20"/>
              </w:rPr>
              <w:t>Petén</w:t>
            </w:r>
          </w:p>
        </w:tc>
      </w:tr>
      <w:tr>
        <w:trPr>
          <w:trHeight w:val="244" w:hRule="atLeast"/>
        </w:trPr>
        <w:tc>
          <w:tcPr>
            <w:tcW w:w="718" w:type="dxa"/>
          </w:tcPr>
          <w:p>
            <w:pPr>
              <w:pStyle w:val="TableParagraph"/>
              <w:spacing w:line="223" w:lineRule="exact" w:before="1"/>
              <w:ind w:left="85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07</w:t>
            </w:r>
          </w:p>
        </w:tc>
        <w:tc>
          <w:tcPr>
            <w:tcW w:w="1547" w:type="dxa"/>
          </w:tcPr>
          <w:p>
            <w:pPr>
              <w:pStyle w:val="TableParagraph"/>
              <w:spacing w:line="223" w:lineRule="exact" w:before="1"/>
              <w:ind w:left="133" w:right="129"/>
              <w:jc w:val="center"/>
              <w:rPr>
                <w:sz w:val="20"/>
              </w:rPr>
            </w:pPr>
            <w:r>
              <w:rPr>
                <w:sz w:val="20"/>
              </w:rPr>
              <w:t>Izabal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18" w:type="dxa"/>
          </w:tcPr>
          <w:p>
            <w:pPr>
              <w:pStyle w:val="TableParagraph"/>
              <w:spacing w:line="223" w:lineRule="exact" w:before="1"/>
              <w:ind w:left="85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</w:t>
            </w:r>
          </w:p>
        </w:tc>
        <w:tc>
          <w:tcPr>
            <w:tcW w:w="1547" w:type="dxa"/>
          </w:tcPr>
          <w:p>
            <w:pPr>
              <w:pStyle w:val="TableParagraph"/>
              <w:spacing w:line="223" w:lineRule="exact" w:before="1"/>
              <w:ind w:left="133" w:right="130"/>
              <w:jc w:val="center"/>
              <w:rPr>
                <w:sz w:val="20"/>
              </w:rPr>
            </w:pPr>
            <w:r>
              <w:rPr>
                <w:sz w:val="20"/>
              </w:rPr>
              <w:t>Chiquimula</w:t>
            </w:r>
          </w:p>
        </w:tc>
        <w:tc>
          <w:tcPr>
            <w:tcW w:w="1561" w:type="dxa"/>
          </w:tcPr>
          <w:p>
            <w:pPr>
              <w:pStyle w:val="TableParagraph"/>
              <w:spacing w:line="223" w:lineRule="exact" w:before="1"/>
              <w:ind w:left="100" w:right="98"/>
              <w:jc w:val="center"/>
              <w:rPr>
                <w:sz w:val="20"/>
              </w:rPr>
            </w:pPr>
            <w:r>
              <w:rPr>
                <w:sz w:val="20"/>
              </w:rPr>
              <w:t>Chiquimula</w:t>
            </w:r>
          </w:p>
        </w:tc>
        <w:tc>
          <w:tcPr>
            <w:tcW w:w="1561" w:type="dxa"/>
          </w:tcPr>
          <w:p>
            <w:pPr>
              <w:pStyle w:val="TableParagraph"/>
              <w:spacing w:line="223" w:lineRule="exact" w:before="1"/>
              <w:ind w:left="98" w:right="98"/>
              <w:jc w:val="center"/>
              <w:rPr>
                <w:sz w:val="20"/>
              </w:rPr>
            </w:pPr>
            <w:r>
              <w:rPr>
                <w:sz w:val="20"/>
              </w:rPr>
              <w:t>Chiquimula</w:t>
            </w:r>
          </w:p>
        </w:tc>
        <w:tc>
          <w:tcPr>
            <w:tcW w:w="1984" w:type="dxa"/>
          </w:tcPr>
          <w:p>
            <w:pPr>
              <w:pStyle w:val="TableParagraph"/>
              <w:spacing w:line="223" w:lineRule="exact" w:before="1"/>
              <w:ind w:left="123" w:right="124"/>
              <w:jc w:val="center"/>
              <w:rPr>
                <w:sz w:val="20"/>
              </w:rPr>
            </w:pPr>
            <w:r>
              <w:rPr>
                <w:sz w:val="20"/>
              </w:rPr>
              <w:t>Chiquimula</w:t>
            </w:r>
          </w:p>
        </w:tc>
        <w:tc>
          <w:tcPr>
            <w:tcW w:w="202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3" w:lineRule="exact" w:before="1"/>
              <w:ind w:left="146" w:right="144"/>
              <w:jc w:val="center"/>
              <w:rPr>
                <w:sz w:val="20"/>
              </w:rPr>
            </w:pPr>
            <w:r>
              <w:rPr>
                <w:sz w:val="20"/>
              </w:rPr>
              <w:t>Chiquimula</w:t>
            </w:r>
          </w:p>
        </w:tc>
      </w:tr>
      <w:tr>
        <w:trPr>
          <w:trHeight w:val="244" w:hRule="atLeast"/>
        </w:trPr>
        <w:tc>
          <w:tcPr>
            <w:tcW w:w="718" w:type="dxa"/>
          </w:tcPr>
          <w:p>
            <w:pPr>
              <w:pStyle w:val="TableParagraph"/>
              <w:spacing w:line="223" w:lineRule="exact" w:before="1"/>
              <w:ind w:left="85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09</w:t>
            </w:r>
          </w:p>
        </w:tc>
        <w:tc>
          <w:tcPr>
            <w:tcW w:w="15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spacing w:line="223" w:lineRule="exact" w:before="1"/>
              <w:ind w:left="100" w:right="98"/>
              <w:jc w:val="center"/>
              <w:rPr>
                <w:sz w:val="20"/>
              </w:rPr>
            </w:pPr>
            <w:r>
              <w:rPr>
                <w:sz w:val="20"/>
              </w:rPr>
              <w:t>Quetzaltenango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18" w:type="dxa"/>
          </w:tcPr>
          <w:p>
            <w:pPr>
              <w:pStyle w:val="TableParagraph"/>
              <w:spacing w:line="223" w:lineRule="exact" w:before="1"/>
              <w:ind w:left="85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5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spacing w:line="223" w:lineRule="exact" w:before="1"/>
              <w:ind w:left="99" w:right="98"/>
              <w:jc w:val="center"/>
              <w:rPr>
                <w:sz w:val="20"/>
              </w:rPr>
            </w:pPr>
            <w:r>
              <w:rPr>
                <w:sz w:val="20"/>
              </w:rPr>
              <w:t>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Marcos</w:t>
            </w:r>
          </w:p>
        </w:tc>
        <w:tc>
          <w:tcPr>
            <w:tcW w:w="1561" w:type="dxa"/>
          </w:tcPr>
          <w:p>
            <w:pPr>
              <w:pStyle w:val="TableParagraph"/>
              <w:spacing w:line="223" w:lineRule="exact" w:before="1"/>
              <w:ind w:left="98" w:right="98"/>
              <w:jc w:val="center"/>
              <w:rPr>
                <w:sz w:val="20"/>
              </w:rPr>
            </w:pPr>
            <w:r>
              <w:rPr>
                <w:sz w:val="20"/>
              </w:rPr>
              <w:t>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Marcos</w:t>
            </w:r>
          </w:p>
        </w:tc>
        <w:tc>
          <w:tcPr>
            <w:tcW w:w="19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3" w:lineRule="exact" w:before="1"/>
              <w:ind w:left="144" w:right="144"/>
              <w:jc w:val="center"/>
              <w:rPr>
                <w:sz w:val="20"/>
              </w:rPr>
            </w:pPr>
            <w:r>
              <w:rPr>
                <w:sz w:val="20"/>
              </w:rPr>
              <w:t>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Marcos</w:t>
            </w:r>
          </w:p>
        </w:tc>
      </w:tr>
      <w:tr>
        <w:trPr>
          <w:trHeight w:val="242" w:hRule="atLeast"/>
        </w:trPr>
        <w:tc>
          <w:tcPr>
            <w:tcW w:w="718" w:type="dxa"/>
          </w:tcPr>
          <w:p>
            <w:pPr>
              <w:pStyle w:val="TableParagraph"/>
              <w:spacing w:line="222" w:lineRule="exact"/>
              <w:ind w:left="85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5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spacing w:line="222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Huehuetenango</w:t>
            </w:r>
          </w:p>
        </w:tc>
        <w:tc>
          <w:tcPr>
            <w:tcW w:w="1561" w:type="dxa"/>
          </w:tcPr>
          <w:p>
            <w:pPr>
              <w:pStyle w:val="TableParagraph"/>
              <w:spacing w:line="222" w:lineRule="exact"/>
              <w:ind w:left="100" w:right="98"/>
              <w:jc w:val="center"/>
              <w:rPr>
                <w:sz w:val="20"/>
              </w:rPr>
            </w:pPr>
            <w:r>
              <w:rPr>
                <w:sz w:val="20"/>
              </w:rPr>
              <w:t>Huehuetenango</w:t>
            </w:r>
          </w:p>
        </w:tc>
        <w:tc>
          <w:tcPr>
            <w:tcW w:w="1984" w:type="dxa"/>
          </w:tcPr>
          <w:p>
            <w:pPr>
              <w:pStyle w:val="TableParagraph"/>
              <w:spacing w:line="222" w:lineRule="exact"/>
              <w:ind w:left="122" w:right="124"/>
              <w:jc w:val="center"/>
              <w:rPr>
                <w:sz w:val="20"/>
              </w:rPr>
            </w:pPr>
            <w:r>
              <w:rPr>
                <w:sz w:val="20"/>
              </w:rPr>
              <w:t>Huehuetenango</w:t>
            </w:r>
          </w:p>
        </w:tc>
        <w:tc>
          <w:tcPr>
            <w:tcW w:w="202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2" w:lineRule="exact"/>
              <w:ind w:left="144" w:right="144"/>
              <w:jc w:val="center"/>
              <w:rPr>
                <w:sz w:val="20"/>
              </w:rPr>
            </w:pPr>
            <w:r>
              <w:rPr>
                <w:sz w:val="20"/>
              </w:rPr>
              <w:t>Huehuetenango</w:t>
            </w:r>
          </w:p>
        </w:tc>
      </w:tr>
      <w:tr>
        <w:trPr>
          <w:trHeight w:val="244" w:hRule="atLeast"/>
        </w:trPr>
        <w:tc>
          <w:tcPr>
            <w:tcW w:w="718" w:type="dxa"/>
          </w:tcPr>
          <w:p>
            <w:pPr>
              <w:pStyle w:val="TableParagraph"/>
              <w:spacing w:line="223" w:lineRule="exact" w:before="1"/>
              <w:ind w:left="85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5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spacing w:line="223" w:lineRule="exact" w:before="1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Quiché</w:t>
            </w:r>
          </w:p>
        </w:tc>
        <w:tc>
          <w:tcPr>
            <w:tcW w:w="1561" w:type="dxa"/>
          </w:tcPr>
          <w:p>
            <w:pPr>
              <w:pStyle w:val="TableParagraph"/>
              <w:spacing w:line="223" w:lineRule="exact" w:before="1"/>
              <w:ind w:left="100" w:right="98"/>
              <w:jc w:val="center"/>
              <w:rPr>
                <w:sz w:val="20"/>
              </w:rPr>
            </w:pPr>
            <w:r>
              <w:rPr>
                <w:sz w:val="20"/>
              </w:rPr>
              <w:t>Quiché</w:t>
            </w:r>
          </w:p>
        </w:tc>
        <w:tc>
          <w:tcPr>
            <w:tcW w:w="1984" w:type="dxa"/>
          </w:tcPr>
          <w:p>
            <w:pPr>
              <w:pStyle w:val="TableParagraph"/>
              <w:spacing w:line="223" w:lineRule="exact" w:before="1"/>
              <w:ind w:left="124" w:right="124"/>
              <w:jc w:val="center"/>
              <w:rPr>
                <w:sz w:val="20"/>
              </w:rPr>
            </w:pPr>
            <w:r>
              <w:rPr>
                <w:sz w:val="20"/>
              </w:rPr>
              <w:t>Quiché</w:t>
            </w:r>
          </w:p>
        </w:tc>
        <w:tc>
          <w:tcPr>
            <w:tcW w:w="202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3" w:lineRule="exact" w:before="1"/>
              <w:ind w:left="147" w:right="144"/>
              <w:jc w:val="center"/>
              <w:rPr>
                <w:sz w:val="20"/>
              </w:rPr>
            </w:pPr>
            <w:r>
              <w:rPr>
                <w:sz w:val="20"/>
              </w:rPr>
              <w:t>Quiché</w:t>
            </w:r>
          </w:p>
        </w:tc>
      </w:tr>
      <w:tr>
        <w:trPr>
          <w:trHeight w:val="244" w:hRule="atLeast"/>
        </w:trPr>
        <w:tc>
          <w:tcPr>
            <w:tcW w:w="718" w:type="dxa"/>
          </w:tcPr>
          <w:p>
            <w:pPr>
              <w:pStyle w:val="TableParagraph"/>
              <w:spacing w:line="223" w:lineRule="exact" w:before="1"/>
              <w:ind w:left="85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15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spacing w:line="223" w:lineRule="exact" w:before="1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Alta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Verapaz</w:t>
            </w:r>
          </w:p>
        </w:tc>
        <w:tc>
          <w:tcPr>
            <w:tcW w:w="1561" w:type="dxa"/>
          </w:tcPr>
          <w:p>
            <w:pPr>
              <w:pStyle w:val="TableParagraph"/>
              <w:spacing w:line="223" w:lineRule="exact" w:before="1"/>
              <w:ind w:left="100" w:right="98"/>
              <w:jc w:val="center"/>
              <w:rPr>
                <w:sz w:val="20"/>
              </w:rPr>
            </w:pPr>
            <w:r>
              <w:rPr>
                <w:sz w:val="20"/>
              </w:rPr>
              <w:t>Alta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Verapaz</w:t>
            </w:r>
          </w:p>
        </w:tc>
        <w:tc>
          <w:tcPr>
            <w:tcW w:w="1984" w:type="dxa"/>
          </w:tcPr>
          <w:p>
            <w:pPr>
              <w:pStyle w:val="TableParagraph"/>
              <w:spacing w:line="223" w:lineRule="exact" w:before="1"/>
              <w:ind w:left="122" w:right="124"/>
              <w:jc w:val="center"/>
              <w:rPr>
                <w:sz w:val="20"/>
              </w:rPr>
            </w:pPr>
            <w:r>
              <w:rPr>
                <w:sz w:val="20"/>
              </w:rPr>
              <w:t>Alta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Verapaz</w:t>
            </w:r>
          </w:p>
        </w:tc>
        <w:tc>
          <w:tcPr>
            <w:tcW w:w="202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3" w:lineRule="exact" w:before="1"/>
              <w:ind w:left="144" w:right="144"/>
              <w:jc w:val="center"/>
              <w:rPr>
                <w:sz w:val="20"/>
              </w:rPr>
            </w:pPr>
            <w:r>
              <w:rPr>
                <w:sz w:val="20"/>
              </w:rPr>
              <w:t>Alta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Verapaz</w:t>
            </w:r>
          </w:p>
        </w:tc>
      </w:tr>
      <w:tr>
        <w:trPr>
          <w:trHeight w:val="244" w:hRule="atLeast"/>
        </w:trPr>
        <w:tc>
          <w:tcPr>
            <w:tcW w:w="718" w:type="dxa"/>
          </w:tcPr>
          <w:p>
            <w:pPr>
              <w:pStyle w:val="TableParagraph"/>
              <w:spacing w:line="223" w:lineRule="exact" w:before="1"/>
              <w:ind w:left="85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15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spacing w:line="223" w:lineRule="exact" w:before="1"/>
              <w:ind w:left="98" w:right="98"/>
              <w:jc w:val="center"/>
              <w:rPr>
                <w:sz w:val="20"/>
              </w:rPr>
            </w:pPr>
            <w:r>
              <w:rPr>
                <w:sz w:val="20"/>
              </w:rPr>
              <w:t>Jalapa</w:t>
            </w:r>
          </w:p>
        </w:tc>
        <w:tc>
          <w:tcPr>
            <w:tcW w:w="1984" w:type="dxa"/>
          </w:tcPr>
          <w:p>
            <w:pPr>
              <w:pStyle w:val="TableParagraph"/>
              <w:spacing w:line="223" w:lineRule="exact" w:before="1"/>
              <w:ind w:left="123" w:right="124"/>
              <w:jc w:val="center"/>
              <w:rPr>
                <w:sz w:val="20"/>
              </w:rPr>
            </w:pPr>
            <w:r>
              <w:rPr>
                <w:sz w:val="20"/>
              </w:rPr>
              <w:t>Jalapa</w:t>
            </w:r>
          </w:p>
        </w:tc>
        <w:tc>
          <w:tcPr>
            <w:tcW w:w="202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3" w:lineRule="exact" w:before="1"/>
              <w:ind w:left="146" w:right="144"/>
              <w:jc w:val="center"/>
              <w:rPr>
                <w:sz w:val="20"/>
              </w:rPr>
            </w:pPr>
            <w:r>
              <w:rPr>
                <w:sz w:val="20"/>
              </w:rPr>
              <w:t>Jalapa</w:t>
            </w:r>
          </w:p>
        </w:tc>
      </w:tr>
      <w:tr>
        <w:trPr>
          <w:trHeight w:val="244" w:hRule="atLeast"/>
        </w:trPr>
        <w:tc>
          <w:tcPr>
            <w:tcW w:w="718" w:type="dxa"/>
          </w:tcPr>
          <w:p>
            <w:pPr>
              <w:pStyle w:val="TableParagraph"/>
              <w:spacing w:line="223" w:lineRule="exact" w:before="1"/>
              <w:ind w:left="85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15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spacing w:line="223" w:lineRule="exact" w:before="1"/>
              <w:ind w:left="100" w:right="98"/>
              <w:jc w:val="center"/>
              <w:rPr>
                <w:sz w:val="20"/>
              </w:rPr>
            </w:pPr>
            <w:r>
              <w:rPr>
                <w:sz w:val="20"/>
              </w:rPr>
              <w:t>Baja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Verapaz</w:t>
            </w:r>
          </w:p>
        </w:tc>
        <w:tc>
          <w:tcPr>
            <w:tcW w:w="1984" w:type="dxa"/>
          </w:tcPr>
          <w:p>
            <w:pPr>
              <w:pStyle w:val="TableParagraph"/>
              <w:spacing w:line="223" w:lineRule="exact" w:before="1"/>
              <w:ind w:left="122" w:right="124"/>
              <w:jc w:val="center"/>
              <w:rPr>
                <w:sz w:val="20"/>
              </w:rPr>
            </w:pPr>
            <w:r>
              <w:rPr>
                <w:sz w:val="20"/>
              </w:rPr>
              <w:t>Baja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Verapaz</w:t>
            </w:r>
          </w:p>
        </w:tc>
        <w:tc>
          <w:tcPr>
            <w:tcW w:w="202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3" w:lineRule="exact" w:before="1"/>
              <w:ind w:left="143" w:right="144"/>
              <w:jc w:val="center"/>
              <w:rPr>
                <w:sz w:val="20"/>
              </w:rPr>
            </w:pPr>
            <w:r>
              <w:rPr>
                <w:sz w:val="20"/>
              </w:rPr>
              <w:t>Baja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Verapaz</w:t>
            </w:r>
          </w:p>
        </w:tc>
      </w:tr>
      <w:tr>
        <w:trPr>
          <w:trHeight w:val="244" w:hRule="atLeast"/>
        </w:trPr>
        <w:tc>
          <w:tcPr>
            <w:tcW w:w="718" w:type="dxa"/>
          </w:tcPr>
          <w:p>
            <w:pPr>
              <w:pStyle w:val="TableParagraph"/>
              <w:spacing w:line="223" w:lineRule="exact" w:before="1"/>
              <w:ind w:left="85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15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3" w:lineRule="exact" w:before="1"/>
              <w:ind w:left="144" w:right="144"/>
              <w:jc w:val="center"/>
              <w:rPr>
                <w:sz w:val="20"/>
              </w:rPr>
            </w:pPr>
            <w:r>
              <w:rPr>
                <w:sz w:val="20"/>
              </w:rPr>
              <w:t>Sololá</w:t>
            </w:r>
          </w:p>
        </w:tc>
      </w:tr>
    </w:tbl>
    <w:p>
      <w:pPr>
        <w:spacing w:before="0"/>
        <w:ind w:left="1418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base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Indicadores</w:t>
      </w:r>
      <w:r>
        <w:rPr>
          <w:spacing w:val="-3"/>
          <w:sz w:val="16"/>
        </w:rPr>
        <w:t> </w:t>
      </w:r>
      <w:r>
        <w:rPr>
          <w:sz w:val="16"/>
        </w:rPr>
        <w:t>Educativos,</w:t>
      </w:r>
      <w:r>
        <w:rPr>
          <w:spacing w:val="-2"/>
          <w:sz w:val="16"/>
        </w:rPr>
        <w:t> </w:t>
      </w:r>
      <w:r>
        <w:rPr>
          <w:sz w:val="16"/>
        </w:rPr>
        <w:t>DIPLAN</w:t>
      </w:r>
      <w:r>
        <w:rPr>
          <w:spacing w:val="-2"/>
          <w:sz w:val="16"/>
        </w:rPr>
        <w:t> </w:t>
      </w:r>
      <w:r>
        <w:rPr>
          <w:sz w:val="16"/>
        </w:rPr>
        <w:t>2021.</w:t>
      </w:r>
    </w:p>
    <w:p>
      <w:pPr>
        <w:pStyle w:val="BodyText"/>
        <w:spacing w:before="6"/>
        <w:rPr>
          <w:sz w:val="19"/>
        </w:rPr>
      </w:pPr>
    </w:p>
    <w:p>
      <w:pPr>
        <w:pStyle w:val="Heading3"/>
        <w:numPr>
          <w:ilvl w:val="0"/>
          <w:numId w:val="4"/>
        </w:numPr>
        <w:tabs>
          <w:tab w:pos="1850" w:val="left" w:leader="none"/>
          <w:tab w:pos="1851" w:val="left" w:leader="none"/>
        </w:tabs>
        <w:spacing w:line="240" w:lineRule="auto" w:before="0" w:after="0"/>
        <w:ind w:left="1850" w:right="0" w:hanging="433"/>
        <w:jc w:val="left"/>
      </w:pPr>
      <w:bookmarkStart w:name="_bookmark20" w:id="29"/>
      <w:bookmarkEnd w:id="29"/>
      <w:r>
        <w:rPr>
          <w:b w:val="0"/>
        </w:rPr>
      </w:r>
      <w:bookmarkStart w:name="_bookmark20" w:id="30"/>
      <w:bookmarkEnd w:id="30"/>
      <w:r>
        <w:rPr>
          <w:color w:val="1F4E79"/>
        </w:rPr>
        <w:t>Po</w:t>
      </w:r>
      <w:r>
        <w:rPr>
          <w:color w:val="1F4E79"/>
        </w:rPr>
        <w:t>blación</w:t>
      </w:r>
      <w:r>
        <w:rPr>
          <w:color w:val="1F4E79"/>
          <w:spacing w:val="-8"/>
        </w:rPr>
        <w:t> </w:t>
      </w:r>
      <w:r>
        <w:rPr>
          <w:color w:val="1F4E79"/>
        </w:rPr>
        <w:t>afectada</w:t>
      </w:r>
    </w:p>
    <w:p>
      <w:pPr>
        <w:pStyle w:val="BodyText"/>
        <w:spacing w:before="8"/>
        <w:rPr>
          <w:b/>
          <w:sz w:val="29"/>
        </w:rPr>
      </w:pPr>
    </w:p>
    <w:p>
      <w:pPr>
        <w:spacing w:before="0"/>
        <w:ind w:left="1418" w:right="1415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18"/>
          <w:sz w:val="24"/>
        </w:rPr>
        <w:t> </w:t>
      </w:r>
      <w:r>
        <w:rPr>
          <w:sz w:val="24"/>
        </w:rPr>
        <w:t>continuación,</w:t>
      </w:r>
      <w:r>
        <w:rPr>
          <w:spacing w:val="17"/>
          <w:sz w:val="24"/>
        </w:rPr>
        <w:t> </w:t>
      </w:r>
      <w:r>
        <w:rPr>
          <w:sz w:val="24"/>
        </w:rPr>
        <w:t>se</w:t>
      </w:r>
      <w:r>
        <w:rPr>
          <w:spacing w:val="14"/>
          <w:sz w:val="24"/>
        </w:rPr>
        <w:t> </w:t>
      </w:r>
      <w:r>
        <w:rPr>
          <w:sz w:val="24"/>
        </w:rPr>
        <w:t>presentan</w:t>
      </w:r>
      <w:r>
        <w:rPr>
          <w:spacing w:val="16"/>
          <w:sz w:val="24"/>
        </w:rPr>
        <w:t> </w:t>
      </w:r>
      <w:r>
        <w:rPr>
          <w:sz w:val="24"/>
        </w:rPr>
        <w:t>datos</w:t>
      </w:r>
      <w:r>
        <w:rPr>
          <w:spacing w:val="17"/>
          <w:sz w:val="24"/>
        </w:rPr>
        <w:t> </w:t>
      </w:r>
      <w:r>
        <w:rPr>
          <w:sz w:val="24"/>
        </w:rPr>
        <w:t>que</w:t>
      </w:r>
      <w:r>
        <w:rPr>
          <w:spacing w:val="17"/>
          <w:sz w:val="24"/>
        </w:rPr>
        <w:t> </w:t>
      </w:r>
      <w:r>
        <w:rPr>
          <w:sz w:val="24"/>
        </w:rPr>
        <w:t>permiten</w:t>
      </w:r>
      <w:r>
        <w:rPr>
          <w:spacing w:val="19"/>
          <w:sz w:val="24"/>
        </w:rPr>
        <w:t> </w:t>
      </w:r>
      <w:r>
        <w:rPr>
          <w:sz w:val="24"/>
        </w:rPr>
        <w:t>identificar</w:t>
      </w:r>
      <w:r>
        <w:rPr>
          <w:spacing w:val="19"/>
          <w:sz w:val="24"/>
        </w:rPr>
        <w:t> </w:t>
      </w:r>
      <w:r>
        <w:rPr>
          <w:sz w:val="24"/>
        </w:rPr>
        <w:t>las</w:t>
      </w:r>
      <w:r>
        <w:rPr>
          <w:spacing w:val="16"/>
          <w:sz w:val="24"/>
        </w:rPr>
        <w:t> </w:t>
      </w:r>
      <w:r>
        <w:rPr>
          <w:sz w:val="24"/>
        </w:rPr>
        <w:t>características</w:t>
      </w:r>
      <w:r>
        <w:rPr>
          <w:spacing w:val="19"/>
          <w:sz w:val="24"/>
        </w:rPr>
        <w:t> </w:t>
      </w:r>
      <w:r>
        <w:rPr>
          <w:sz w:val="24"/>
        </w:rPr>
        <w:t>de</w:t>
      </w:r>
      <w:r>
        <w:rPr>
          <w:spacing w:val="17"/>
          <w:sz w:val="24"/>
        </w:rPr>
        <w:t> </w:t>
      </w:r>
      <w:r>
        <w:rPr>
          <w:sz w:val="24"/>
        </w:rPr>
        <w:t>la</w:t>
      </w:r>
      <w:r>
        <w:rPr>
          <w:spacing w:val="16"/>
          <w:sz w:val="24"/>
        </w:rPr>
        <w:t> </w:t>
      </w:r>
      <w:r>
        <w:rPr>
          <w:sz w:val="24"/>
        </w:rPr>
        <w:t>población</w:t>
      </w:r>
      <w:r>
        <w:rPr>
          <w:spacing w:val="-51"/>
          <w:sz w:val="24"/>
        </w:rPr>
        <w:t> </w:t>
      </w:r>
      <w:r>
        <w:rPr>
          <w:sz w:val="24"/>
        </w:rPr>
        <w:t>objetivo,</w:t>
      </w:r>
      <w:r>
        <w:rPr>
          <w:spacing w:val="-2"/>
          <w:sz w:val="24"/>
        </w:rPr>
        <w:t> </w:t>
      </w:r>
      <w:r>
        <w:rPr>
          <w:sz w:val="24"/>
        </w:rPr>
        <w:t>definiéndola</w:t>
      </w:r>
      <w:r>
        <w:rPr>
          <w:spacing w:val="-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población afectada.</w:t>
      </w:r>
    </w:p>
    <w:p>
      <w:pPr>
        <w:pStyle w:val="BodyText"/>
        <w:spacing w:before="6"/>
        <w:rPr>
          <w:sz w:val="29"/>
        </w:rPr>
      </w:pPr>
    </w:p>
    <w:p>
      <w:pPr>
        <w:pStyle w:val="Heading3"/>
        <w:numPr>
          <w:ilvl w:val="1"/>
          <w:numId w:val="4"/>
        </w:numPr>
        <w:tabs>
          <w:tab w:pos="1994" w:val="left" w:leader="none"/>
          <w:tab w:pos="1995" w:val="left" w:leader="none"/>
        </w:tabs>
        <w:spacing w:line="240" w:lineRule="auto" w:before="0" w:after="0"/>
        <w:ind w:left="1994" w:right="0" w:hanging="577"/>
        <w:jc w:val="left"/>
      </w:pPr>
      <w:bookmarkStart w:name="_bookmark21" w:id="31"/>
      <w:bookmarkEnd w:id="31"/>
      <w:r>
        <w:rPr>
          <w:b w:val="0"/>
        </w:rPr>
      </w:r>
      <w:bookmarkStart w:name="_bookmark21" w:id="32"/>
      <w:bookmarkEnd w:id="32"/>
      <w:r>
        <w:rPr>
          <w:color w:val="1F4E79"/>
        </w:rPr>
        <w:t>Po</w:t>
      </w:r>
      <w:r>
        <w:rPr>
          <w:color w:val="1F4E79"/>
        </w:rPr>
        <w:t>blación</w:t>
      </w:r>
      <w:r>
        <w:rPr>
          <w:color w:val="1F4E79"/>
          <w:spacing w:val="-2"/>
        </w:rPr>
        <w:t> </w:t>
      </w:r>
      <w:r>
        <w:rPr>
          <w:color w:val="1F4E79"/>
        </w:rPr>
        <w:t>afectada</w:t>
      </w:r>
      <w:r>
        <w:rPr>
          <w:color w:val="1F4E79"/>
          <w:spacing w:val="-3"/>
        </w:rPr>
        <w:t> </w:t>
      </w:r>
      <w:r>
        <w:rPr>
          <w:color w:val="1F4E79"/>
        </w:rPr>
        <w:t>por</w:t>
      </w:r>
      <w:r>
        <w:rPr>
          <w:color w:val="1F4E79"/>
          <w:spacing w:val="-3"/>
        </w:rPr>
        <w:t> </w:t>
      </w:r>
      <w:r>
        <w:rPr>
          <w:color w:val="1F4E79"/>
        </w:rPr>
        <w:t>pueblo</w:t>
      </w:r>
      <w:r>
        <w:rPr>
          <w:color w:val="1F4E79"/>
          <w:spacing w:val="-4"/>
        </w:rPr>
        <w:t> </w:t>
      </w:r>
      <w:r>
        <w:rPr>
          <w:color w:val="1F4E79"/>
        </w:rPr>
        <w:t>de</w:t>
      </w:r>
      <w:r>
        <w:rPr>
          <w:color w:val="1F4E79"/>
          <w:spacing w:val="-4"/>
        </w:rPr>
        <w:t> </w:t>
      </w:r>
      <w:r>
        <w:rPr>
          <w:color w:val="1F4E79"/>
        </w:rPr>
        <w:t>pertenencia</w:t>
      </w:r>
      <w:r>
        <w:rPr>
          <w:color w:val="1F4E79"/>
          <w:spacing w:val="-3"/>
        </w:rPr>
        <w:t> </w:t>
      </w:r>
      <w:r>
        <w:rPr>
          <w:color w:val="1F4E79"/>
        </w:rPr>
        <w:t>y</w:t>
      </w:r>
      <w:r>
        <w:rPr>
          <w:color w:val="1F4E79"/>
          <w:spacing w:val="-5"/>
        </w:rPr>
        <w:t> </w:t>
      </w:r>
      <w:r>
        <w:rPr>
          <w:color w:val="1F4E79"/>
        </w:rPr>
        <w:t>sexo</w:t>
      </w:r>
    </w:p>
    <w:p>
      <w:pPr>
        <w:pStyle w:val="BodyText"/>
        <w:rPr>
          <w:b/>
          <w:sz w:val="24"/>
        </w:rPr>
      </w:pPr>
    </w:p>
    <w:p>
      <w:pPr>
        <w:spacing w:before="187"/>
        <w:ind w:left="1418" w:right="1415" w:firstLine="0"/>
        <w:jc w:val="left"/>
        <w:rPr>
          <w:sz w:val="24"/>
        </w:rPr>
      </w:pPr>
      <w:r>
        <w:rPr>
          <w:sz w:val="24"/>
        </w:rPr>
        <w:t>En</w:t>
      </w:r>
      <w:r>
        <w:rPr>
          <w:spacing w:val="15"/>
          <w:sz w:val="24"/>
        </w:rPr>
        <w:t> </w:t>
      </w:r>
      <w:r>
        <w:rPr>
          <w:sz w:val="24"/>
        </w:rPr>
        <w:t>el</w:t>
      </w:r>
      <w:r>
        <w:rPr>
          <w:spacing w:val="16"/>
          <w:sz w:val="24"/>
        </w:rPr>
        <w:t> </w:t>
      </w:r>
      <w:r>
        <w:rPr>
          <w:sz w:val="24"/>
        </w:rPr>
        <w:t>siguiente</w:t>
      </w:r>
      <w:r>
        <w:rPr>
          <w:spacing w:val="16"/>
          <w:sz w:val="24"/>
        </w:rPr>
        <w:t> </w:t>
      </w:r>
      <w:r>
        <w:rPr>
          <w:sz w:val="24"/>
        </w:rPr>
        <w:t>gráfico</w:t>
      </w:r>
      <w:r>
        <w:rPr>
          <w:spacing w:val="13"/>
          <w:sz w:val="24"/>
        </w:rPr>
        <w:t> </w:t>
      </w:r>
      <w:r>
        <w:rPr>
          <w:sz w:val="24"/>
        </w:rPr>
        <w:t>puede</w:t>
      </w:r>
      <w:r>
        <w:rPr>
          <w:spacing w:val="13"/>
          <w:sz w:val="24"/>
        </w:rPr>
        <w:t> </w:t>
      </w:r>
      <w:r>
        <w:rPr>
          <w:sz w:val="24"/>
        </w:rPr>
        <w:t>observarse</w:t>
      </w:r>
      <w:r>
        <w:rPr>
          <w:spacing w:val="16"/>
          <w:sz w:val="24"/>
        </w:rPr>
        <w:t> </w:t>
      </w:r>
      <w:r>
        <w:rPr>
          <w:sz w:val="24"/>
        </w:rPr>
        <w:t>las</w:t>
      </w:r>
      <w:r>
        <w:rPr>
          <w:spacing w:val="12"/>
          <w:sz w:val="24"/>
        </w:rPr>
        <w:t> </w:t>
      </w:r>
      <w:r>
        <w:rPr>
          <w:sz w:val="24"/>
        </w:rPr>
        <w:t>diferencias</w:t>
      </w:r>
      <w:r>
        <w:rPr>
          <w:spacing w:val="15"/>
          <w:sz w:val="24"/>
        </w:rPr>
        <w:t> </w:t>
      </w:r>
      <w:r>
        <w:rPr>
          <w:sz w:val="24"/>
        </w:rPr>
        <w:t>entre</w:t>
      </w:r>
      <w:r>
        <w:rPr>
          <w:spacing w:val="13"/>
          <w:sz w:val="24"/>
        </w:rPr>
        <w:t> </w:t>
      </w:r>
      <w:r>
        <w:rPr>
          <w:sz w:val="24"/>
        </w:rPr>
        <w:t>sexos,</w:t>
      </w:r>
      <w:r>
        <w:rPr>
          <w:spacing w:val="15"/>
          <w:sz w:val="24"/>
        </w:rPr>
        <w:t> </w:t>
      </w:r>
      <w:r>
        <w:rPr>
          <w:sz w:val="24"/>
        </w:rPr>
        <w:t>según</w:t>
      </w:r>
      <w:r>
        <w:rPr>
          <w:spacing w:val="16"/>
          <w:sz w:val="24"/>
        </w:rPr>
        <w:t> </w:t>
      </w:r>
      <w:r>
        <w:rPr>
          <w:sz w:val="24"/>
        </w:rPr>
        <w:t>el</w:t>
      </w:r>
      <w:r>
        <w:rPr>
          <w:spacing w:val="13"/>
          <w:sz w:val="24"/>
        </w:rPr>
        <w:t> </w:t>
      </w:r>
      <w:r>
        <w:rPr>
          <w:sz w:val="24"/>
        </w:rPr>
        <w:t>nivel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estudios</w:t>
      </w:r>
      <w:r>
        <w:rPr>
          <w:spacing w:val="-51"/>
          <w:sz w:val="24"/>
        </w:rPr>
        <w:t> </w:t>
      </w:r>
      <w:r>
        <w:rPr>
          <w:sz w:val="24"/>
        </w:rPr>
        <w:t>más alto</w:t>
      </w:r>
      <w:r>
        <w:rPr>
          <w:spacing w:val="-2"/>
          <w:sz w:val="24"/>
        </w:rPr>
        <w:t> </w:t>
      </w:r>
      <w:r>
        <w:rPr>
          <w:sz w:val="24"/>
        </w:rPr>
        <w:t>aprobado.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pict>
          <v:rect style="position:absolute;margin-left:563.880005pt;margin-top:15.112711pt;width:25.44pt;height:1.4399pt;mso-position-horizontal-relative:page;mso-position-vertical-relative:paragraph;z-index:-1570099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ind w:right="551"/>
      </w:pPr>
      <w:r>
        <w:rPr/>
        <w:t>17</w:t>
      </w:r>
    </w:p>
    <w:p>
      <w:pPr>
        <w:pStyle w:val="BodyText"/>
        <w:spacing w:line="88" w:lineRule="exact"/>
        <w:ind w:left="1127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7"/>
        </w:rPr>
      </w:pPr>
    </w:p>
    <w:p>
      <w:pPr>
        <w:spacing w:before="59"/>
        <w:ind w:left="1839" w:right="1995" w:firstLine="0"/>
        <w:jc w:val="center"/>
        <w:rPr>
          <w:sz w:val="20"/>
        </w:rPr>
      </w:pPr>
      <w:bookmarkStart w:name="_bookmark22" w:id="33"/>
      <w:bookmarkEnd w:id="33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7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estudios</w:t>
      </w:r>
      <w:r>
        <w:rPr>
          <w:spacing w:val="-5"/>
          <w:sz w:val="20"/>
        </w:rPr>
        <w:t> </w:t>
      </w:r>
      <w:r>
        <w:rPr>
          <w:sz w:val="20"/>
        </w:rPr>
        <w:t>más</w:t>
      </w:r>
      <w:r>
        <w:rPr>
          <w:spacing w:val="-3"/>
          <w:sz w:val="20"/>
        </w:rPr>
        <w:t> </w:t>
      </w:r>
      <w:r>
        <w:rPr>
          <w:sz w:val="20"/>
        </w:rPr>
        <w:t>alto</w:t>
      </w:r>
      <w:r>
        <w:rPr>
          <w:spacing w:val="-2"/>
          <w:sz w:val="20"/>
        </w:rPr>
        <w:t> </w:t>
      </w:r>
      <w:r>
        <w:rPr>
          <w:sz w:val="20"/>
        </w:rPr>
        <w:t>aprobado,</w:t>
      </w:r>
      <w:r>
        <w:rPr>
          <w:spacing w:val="-2"/>
          <w:sz w:val="20"/>
        </w:rPr>
        <w:t> </w:t>
      </w:r>
      <w:r>
        <w:rPr>
          <w:sz w:val="20"/>
        </w:rPr>
        <w:t>según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4"/>
          <w:sz w:val="20"/>
        </w:rPr>
        <w:t> </w:t>
      </w:r>
      <w:r>
        <w:rPr>
          <w:sz w:val="20"/>
        </w:rPr>
        <w:t>sexo.</w:t>
      </w:r>
      <w:r>
        <w:rPr>
          <w:spacing w:val="-2"/>
          <w:sz w:val="20"/>
        </w:rPr>
        <w:t> </w:t>
      </w:r>
      <w:r>
        <w:rPr>
          <w:sz w:val="20"/>
        </w:rPr>
        <w:t>Guatemala</w:t>
      </w:r>
      <w:r>
        <w:rPr>
          <w:spacing w:val="-2"/>
          <w:sz w:val="20"/>
        </w:rPr>
        <w:t> </w:t>
      </w:r>
      <w:r>
        <w:rPr>
          <w:sz w:val="20"/>
        </w:rPr>
        <w:t>2018.</w:t>
      </w:r>
    </w:p>
    <w:p>
      <w:pPr>
        <w:pStyle w:val="BodyText"/>
        <w:spacing w:before="10"/>
        <w:rPr>
          <w:sz w:val="13"/>
        </w:rPr>
      </w:pPr>
    </w:p>
    <w:p>
      <w:pPr>
        <w:spacing w:before="64"/>
        <w:ind w:left="1472" w:right="0" w:firstLine="0"/>
        <w:jc w:val="left"/>
        <w:rPr>
          <w:sz w:val="18"/>
        </w:rPr>
      </w:pPr>
      <w:r>
        <w:rPr>
          <w:color w:val="585858"/>
          <w:sz w:val="18"/>
        </w:rPr>
        <w:t>7,000,000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top="1500" w:bottom="280" w:left="0" w:right="0"/>
        </w:sectPr>
      </w:pPr>
    </w:p>
    <w:p>
      <w:pPr>
        <w:spacing w:before="135"/>
        <w:ind w:left="1472" w:right="0" w:firstLine="0"/>
        <w:jc w:val="left"/>
        <w:rPr>
          <w:sz w:val="18"/>
        </w:rPr>
      </w:pPr>
      <w:r>
        <w:rPr>
          <w:color w:val="585858"/>
          <w:sz w:val="18"/>
        </w:rPr>
        <w:t>6,000,000</w:t>
      </w:r>
    </w:p>
    <w:p>
      <w:pPr>
        <w:spacing w:before="71"/>
        <w:ind w:left="1472" w:right="0" w:firstLine="0"/>
        <w:jc w:val="left"/>
        <w:rPr>
          <w:sz w:val="14"/>
        </w:rPr>
      </w:pPr>
      <w:r>
        <w:rPr/>
        <w:br w:type="column"/>
      </w:r>
      <w:r>
        <w:rPr>
          <w:color w:val="404040"/>
          <w:sz w:val="14"/>
        </w:rPr>
        <w:t>5,863,497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top="340" w:bottom="280" w:left="0" w:right="0"/>
          <w:cols w:num="2" w:equalWidth="0">
            <w:col w:w="2240" w:space="4906"/>
            <w:col w:w="5094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74341888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3"/>
        <w:ind w:left="1472" w:right="0" w:firstLine="0"/>
        <w:jc w:val="left"/>
        <w:rPr>
          <w:sz w:val="18"/>
        </w:rPr>
      </w:pPr>
      <w:r>
        <w:rPr/>
        <w:pict>
          <v:group style="position:absolute;margin-left:117.985001pt;margin-top:-14.660666pt;width:412pt;height:179.25pt;mso-position-horizontal-relative:page;mso-position-vertical-relative:paragraph;z-index:15759360" coordorigin="2360,-293" coordsize="8240,3585">
            <v:rect style="position:absolute;left:3009;top:2051;width:708;height:891" filled="true" fillcolor="#5b9bd4" stroked="false">
              <v:fill type="solid"/>
            </v:rect>
            <v:rect style="position:absolute;left:3717;top:2771;width:708;height:171" filled="true" fillcolor="#ec7c30" stroked="false">
              <v:fill type="solid"/>
            </v:rect>
            <v:rect style="position:absolute;left:4425;top:1288;width:706;height:1654" filled="true" fillcolor="#a4a4a4" stroked="false">
              <v:fill type="solid"/>
            </v:rect>
            <v:rect style="position:absolute;left:5131;top:1972;width:708;height:970" filled="true" fillcolor="#ffc000" stroked="false">
              <v:fill type="solid"/>
            </v:rect>
            <v:rect style="position:absolute;left:7125;top:1408;width:708;height:1534" filled="true" fillcolor="#5b9bd4" stroked="false">
              <v:fill type="solid"/>
            </v:rect>
            <v:rect style="position:absolute;left:7833;top:2596;width:708;height:346" filled="true" fillcolor="#ec7c30" stroked="false">
              <v:fill type="solid"/>
            </v:rect>
            <v:rect style="position:absolute;left:8541;top:-294;width:706;height:3236" filled="true" fillcolor="#a4a4a4" stroked="false">
              <v:fill type="solid"/>
            </v:rect>
            <v:rect style="position:absolute;left:9247;top:947;width:708;height:1995" filled="true" fillcolor="#ffc000" stroked="false">
              <v:fill type="solid"/>
            </v:rect>
            <v:shape style="position:absolute;left:2367;top:2942;width:8232;height:349" coordorigin="2367,2942" coordsize="8232,349" path="m2367,2942l10599,2942m2367,2942l2367,3291e" filled="false" stroked="true" strokeweight=".75pt" strokecolor="#d9d9d9">
              <v:path arrowok="t"/>
              <v:stroke dashstyle="solid"/>
            </v:shape>
            <v:shape style="position:absolute;left:9325;top:716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3,615,461</w:t>
                    </w:r>
                  </w:p>
                </w:txbxContent>
              </v:textbox>
              <w10:wrap type="none"/>
            </v:shape>
            <v:shape style="position:absolute;left:4501;top:1058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2,996,887</w:t>
                    </w:r>
                  </w:p>
                </w:txbxContent>
              </v:textbox>
              <w10:wrap type="none"/>
            </v:shape>
            <v:shape style="position:absolute;left:7203;top:1179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2,777,739</w:t>
                    </w:r>
                  </w:p>
                </w:txbxContent>
              </v:textbox>
              <w10:wrap type="none"/>
            </v:shape>
            <v:shape style="position:absolute;left:3086;top:1821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1,613,238</w:t>
                    </w:r>
                  </w:p>
                </w:txbxContent>
              </v:textbox>
              <w10:wrap type="none"/>
            </v:shape>
            <v:shape style="position:absolute;left:5209;top:1743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1,756,005</w:t>
                    </w:r>
                  </w:p>
                </w:txbxContent>
              </v:textbox>
              <w10:wrap type="none"/>
            </v:shape>
            <v:shape style="position:absolute;left:7963;top:2366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625,829</w:t>
                    </w:r>
                  </w:p>
                </w:txbxContent>
              </v:textbox>
              <w10:wrap type="none"/>
            </v:shape>
            <v:shape style="position:absolute;left:3847;top:2540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311,072</w:t>
                    </w:r>
                  </w:p>
                </w:txbxContent>
              </v:textbox>
              <w10:wrap type="none"/>
            </v:shape>
            <v:shape style="position:absolute;left:4147;top:3092;width:6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Hombre</w:t>
                    </w:r>
                  </w:p>
                </w:txbxContent>
              </v:textbox>
              <w10:wrap type="none"/>
            </v:shape>
            <v:shape style="position:absolute;left:8340;top:3092;width:46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Mujer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5,000,000</w:t>
      </w:r>
    </w:p>
    <w:p>
      <w:pPr>
        <w:pStyle w:val="BodyText"/>
      </w:pPr>
    </w:p>
    <w:p>
      <w:pPr>
        <w:spacing w:before="64"/>
        <w:ind w:left="1472" w:right="0" w:firstLine="0"/>
        <w:jc w:val="left"/>
        <w:rPr>
          <w:sz w:val="18"/>
        </w:rPr>
      </w:pPr>
      <w:r>
        <w:rPr>
          <w:color w:val="585858"/>
          <w:sz w:val="18"/>
        </w:rPr>
        <w:t>4,000,000</w:t>
      </w:r>
    </w:p>
    <w:p>
      <w:pPr>
        <w:pStyle w:val="BodyText"/>
      </w:pPr>
    </w:p>
    <w:p>
      <w:pPr>
        <w:spacing w:before="64"/>
        <w:ind w:left="1472" w:right="0" w:firstLine="0"/>
        <w:jc w:val="left"/>
        <w:rPr>
          <w:sz w:val="18"/>
        </w:rPr>
      </w:pPr>
      <w:r>
        <w:rPr>
          <w:color w:val="585858"/>
          <w:sz w:val="18"/>
        </w:rPr>
        <w:t>3,000,000</w:t>
      </w:r>
    </w:p>
    <w:p>
      <w:pPr>
        <w:pStyle w:val="BodyText"/>
        <w:spacing w:before="11"/>
        <w:rPr>
          <w:sz w:val="21"/>
        </w:rPr>
      </w:pPr>
    </w:p>
    <w:p>
      <w:pPr>
        <w:spacing w:before="64"/>
        <w:ind w:left="1472" w:right="0" w:firstLine="0"/>
        <w:jc w:val="left"/>
        <w:rPr>
          <w:sz w:val="18"/>
        </w:rPr>
      </w:pPr>
      <w:r>
        <w:rPr>
          <w:color w:val="585858"/>
          <w:sz w:val="18"/>
        </w:rPr>
        <w:t>2,000,000</w:t>
      </w:r>
    </w:p>
    <w:p>
      <w:pPr>
        <w:pStyle w:val="BodyText"/>
      </w:pPr>
    </w:p>
    <w:p>
      <w:pPr>
        <w:spacing w:before="64"/>
        <w:ind w:left="1472" w:right="0" w:firstLine="0"/>
        <w:jc w:val="left"/>
        <w:rPr>
          <w:sz w:val="18"/>
        </w:rPr>
      </w:pPr>
      <w:r>
        <w:rPr>
          <w:color w:val="585858"/>
          <w:sz w:val="18"/>
        </w:rPr>
        <w:t>1,000,000</w:t>
      </w:r>
    </w:p>
    <w:p>
      <w:pPr>
        <w:pStyle w:val="BodyText"/>
      </w:pPr>
    </w:p>
    <w:p>
      <w:pPr>
        <w:spacing w:before="64"/>
        <w:ind w:left="2109" w:right="0" w:firstLine="0"/>
        <w:jc w:val="left"/>
        <w:rPr>
          <w:sz w:val="18"/>
        </w:rPr>
      </w:pPr>
      <w:r>
        <w:rPr>
          <w:color w:val="585858"/>
          <w:sz w:val="18"/>
        </w:rPr>
        <w:t>0</w:t>
      </w:r>
    </w:p>
    <w:p>
      <w:pPr>
        <w:pStyle w:val="BodyText"/>
        <w:spacing w:before="4"/>
        <w:rPr>
          <w:sz w:val="27"/>
        </w:rPr>
      </w:pPr>
    </w:p>
    <w:p>
      <w:pPr>
        <w:tabs>
          <w:tab w:pos="1171" w:val="left" w:leader="none"/>
          <w:tab w:pos="2452" w:val="left" w:leader="none"/>
          <w:tab w:pos="3487" w:val="left" w:leader="none"/>
        </w:tabs>
        <w:spacing w:before="64"/>
        <w:ind w:left="133" w:right="0" w:firstLine="0"/>
        <w:jc w:val="center"/>
        <w:rPr>
          <w:sz w:val="18"/>
        </w:rPr>
      </w:pPr>
      <w:r>
        <w:rPr/>
        <w:pict>
          <v:rect style="position:absolute;margin-left:153.979996pt;margin-top:6.706048pt;width:4.9433pt;height:4.9433pt;mso-position-horizontal-relative:page;mso-position-vertical-relative:paragraph;z-index:15759872" filled="true" fillcolor="#5b9bd4" stroked="false">
            <v:fill type="solid"/>
            <w10:wrap type="none"/>
          </v:rect>
        </w:pict>
      </w:r>
      <w:r>
        <w:rPr/>
        <w:pict>
          <v:rect style="position:absolute;margin-left:205.860001pt;margin-top:6.706048pt;width:4.9433pt;height:4.9433pt;mso-position-horizontal-relative:page;mso-position-vertical-relative:paragraph;z-index:-28973056" filled="true" fillcolor="#ec7c30" stroked="false">
            <v:fill type="solid"/>
            <w10:wrap type="none"/>
          </v:rect>
        </w:pict>
      </w:r>
      <w:r>
        <w:rPr/>
        <w:pict>
          <v:rect style="position:absolute;margin-left:269.910004pt;margin-top:6.706048pt;width:4.9433pt;height:4.9433pt;mso-position-horizontal-relative:page;mso-position-vertical-relative:paragraph;z-index:-28972544" filled="true" fillcolor="#a4a4a4" stroked="false">
            <v:fill type="solid"/>
            <w10:wrap type="none"/>
          </v:rect>
        </w:pict>
      </w:r>
      <w:r>
        <w:rPr/>
        <w:pict>
          <v:rect style="position:absolute;margin-left:321.619995pt;margin-top:6.706048pt;width:4.9433pt;height:4.9433pt;mso-position-horizontal-relative:page;mso-position-vertical-relative:paragraph;z-index:-28972032" filled="true" fillcolor="#ffc000" stroked="false">
            <v:fill type="solid"/>
            <w10:wrap type="none"/>
          </v:rect>
        </w:pict>
      </w:r>
      <w:r>
        <w:rPr>
          <w:color w:val="585858"/>
          <w:sz w:val="18"/>
        </w:rPr>
        <w:t>Ninguno</w:t>
        <w:tab/>
        <w:t>Preprimaria</w:t>
        <w:tab/>
        <w:t>Primaria</w:t>
        <w:tab/>
        <w:t>Nivel</w:t>
      </w:r>
      <w:r>
        <w:rPr>
          <w:color w:val="585858"/>
          <w:spacing w:val="-4"/>
          <w:sz w:val="18"/>
        </w:rPr>
        <w:t> </w:t>
      </w:r>
      <w:r>
        <w:rPr>
          <w:color w:val="585858"/>
          <w:sz w:val="18"/>
        </w:rPr>
        <w:t>medio</w:t>
      </w:r>
      <w:r>
        <w:rPr>
          <w:color w:val="585858"/>
          <w:spacing w:val="-4"/>
          <w:sz w:val="18"/>
        </w:rPr>
        <w:t> </w:t>
      </w:r>
      <w:r>
        <w:rPr>
          <w:color w:val="585858"/>
          <w:sz w:val="18"/>
        </w:rPr>
        <w:t>(básico</w:t>
      </w:r>
      <w:r>
        <w:rPr>
          <w:color w:val="585858"/>
          <w:spacing w:val="-4"/>
          <w:sz w:val="18"/>
        </w:rPr>
        <w:t> </w:t>
      </w:r>
      <w:r>
        <w:rPr>
          <w:color w:val="585858"/>
          <w:sz w:val="18"/>
        </w:rPr>
        <w:t>y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diversificado)</w:t>
      </w:r>
    </w:p>
    <w:p>
      <w:pPr>
        <w:pStyle w:val="BodyText"/>
        <w:spacing w:before="9"/>
        <w:rPr>
          <w:sz w:val="29"/>
        </w:rPr>
      </w:pPr>
    </w:p>
    <w:p>
      <w:pPr>
        <w:spacing w:before="69"/>
        <w:ind w:left="1418" w:right="0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</w:t>
      </w:r>
      <w:r>
        <w:rPr>
          <w:spacing w:val="2"/>
          <w:sz w:val="16"/>
        </w:rPr>
        <w:t> </w:t>
      </w:r>
      <w:r>
        <w:rPr>
          <w:sz w:val="16"/>
        </w:rPr>
        <w:t>Guatemala.</w:t>
      </w:r>
      <w:r>
        <w:rPr>
          <w:spacing w:val="-2"/>
          <w:sz w:val="16"/>
        </w:rPr>
        <w:t> </w:t>
      </w:r>
      <w:r>
        <w:rPr>
          <w:sz w:val="16"/>
        </w:rPr>
        <w:t>Procesado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Redatam</w:t>
      </w:r>
      <w:r>
        <w:rPr>
          <w:spacing w:val="-2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1418" w:right="1418" w:firstLine="0"/>
        <w:jc w:val="both"/>
        <w:rPr>
          <w:sz w:val="24"/>
        </w:rPr>
      </w:pPr>
      <w:r>
        <w:rPr>
          <w:sz w:val="24"/>
        </w:rPr>
        <w:t>Puede observarse que, en los distintos niveles de educación, en el caso de las mujeres, se</w:t>
      </w:r>
      <w:r>
        <w:rPr>
          <w:spacing w:val="1"/>
          <w:sz w:val="24"/>
        </w:rPr>
        <w:t> </w:t>
      </w:r>
      <w:r>
        <w:rPr>
          <w:sz w:val="24"/>
        </w:rPr>
        <w:t>evidencia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doble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cantidad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personas con</w:t>
      </w:r>
      <w:r>
        <w:rPr>
          <w:spacing w:val="1"/>
          <w:sz w:val="24"/>
        </w:rPr>
        <w:t> </w:t>
      </w:r>
      <w:r>
        <w:rPr>
          <w:sz w:val="24"/>
        </w:rPr>
        <w:t>respecto</w:t>
      </w:r>
      <w:r>
        <w:rPr>
          <w:spacing w:val="-3"/>
          <w:sz w:val="24"/>
        </w:rPr>
        <w:t> </w:t>
      </w:r>
      <w:r>
        <w:rPr>
          <w:sz w:val="24"/>
        </w:rPr>
        <w:t>a los</w:t>
      </w:r>
      <w:r>
        <w:rPr>
          <w:spacing w:val="-2"/>
          <w:sz w:val="24"/>
        </w:rPr>
        <w:t> </w:t>
      </w:r>
      <w:r>
        <w:rPr>
          <w:sz w:val="24"/>
        </w:rPr>
        <w:t>hombres.</w:t>
      </w:r>
    </w:p>
    <w:p>
      <w:pPr>
        <w:pStyle w:val="BodyText"/>
        <w:spacing w:before="11"/>
        <w:rPr>
          <w:sz w:val="23"/>
        </w:rPr>
      </w:pPr>
    </w:p>
    <w:p>
      <w:pPr>
        <w:spacing w:before="1"/>
        <w:ind w:left="1418" w:right="1415" w:firstLine="0"/>
        <w:jc w:val="both"/>
        <w:rPr>
          <w:sz w:val="24"/>
        </w:rPr>
      </w:pPr>
      <w:r>
        <w:rPr>
          <w:sz w:val="24"/>
        </w:rPr>
        <w:t>En el gráfico a continuación, puede observarse la diferencia en el nivel de estudios más alto</w:t>
      </w:r>
      <w:r>
        <w:rPr>
          <w:spacing w:val="1"/>
          <w:sz w:val="24"/>
        </w:rPr>
        <w:t> </w:t>
      </w:r>
      <w:r>
        <w:rPr>
          <w:sz w:val="24"/>
        </w:rPr>
        <w:t>aprobado,</w:t>
      </w:r>
      <w:r>
        <w:rPr>
          <w:spacing w:val="-3"/>
          <w:sz w:val="24"/>
        </w:rPr>
        <w:t> </w:t>
      </w:r>
      <w:r>
        <w:rPr>
          <w:sz w:val="24"/>
        </w:rPr>
        <w:t>según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pueblo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pertenencia</w:t>
      </w:r>
      <w:r>
        <w:rPr>
          <w:spacing w:val="1"/>
          <w:sz w:val="24"/>
        </w:rPr>
        <w:t> </w:t>
      </w:r>
      <w:r>
        <w:rPr>
          <w:sz w:val="24"/>
        </w:rPr>
        <w:t>y sexo.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418" w:right="1413" w:firstLine="0"/>
        <w:jc w:val="both"/>
        <w:rPr>
          <w:sz w:val="24"/>
        </w:rPr>
      </w:pPr>
      <w:r>
        <w:rPr>
          <w:sz w:val="24"/>
        </w:rPr>
        <w:t>Nuevamente, puede notarse que la población femenina es afectada en superior cantidad a la de</w:t>
      </w:r>
      <w:r>
        <w:rPr>
          <w:spacing w:val="-52"/>
          <w:sz w:val="24"/>
        </w:rPr>
        <w:t> </w:t>
      </w:r>
      <w:r>
        <w:rPr>
          <w:sz w:val="24"/>
        </w:rPr>
        <w:t>la población masculina y relativamente se incrementa según se avanza en el nivel de educación</w:t>
      </w:r>
      <w:r>
        <w:rPr>
          <w:spacing w:val="1"/>
          <w:sz w:val="24"/>
        </w:rPr>
        <w:t> </w:t>
      </w:r>
      <w:r>
        <w:rPr>
          <w:sz w:val="24"/>
        </w:rPr>
        <w:t>más alto aprobado. Así también, se confirma que el nivel más alto aprobado de la población, en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caso,</w:t>
      </w:r>
      <w:r>
        <w:rPr>
          <w:spacing w:val="-2"/>
          <w:sz w:val="24"/>
        </w:rPr>
        <w:t> </w:t>
      </w:r>
      <w:r>
        <w:rPr>
          <w:sz w:val="24"/>
        </w:rPr>
        <w:t>por autoidentificación por</w:t>
      </w:r>
      <w:r>
        <w:rPr>
          <w:spacing w:val="-2"/>
          <w:sz w:val="24"/>
        </w:rPr>
        <w:t> </w:t>
      </w:r>
      <w:r>
        <w:rPr>
          <w:sz w:val="24"/>
        </w:rPr>
        <w:t>pueblo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sexo, es el</w:t>
      </w:r>
      <w:r>
        <w:rPr>
          <w:spacing w:val="-4"/>
          <w:sz w:val="24"/>
        </w:rPr>
        <w:t> </w:t>
      </w:r>
      <w:r>
        <w:rPr>
          <w:sz w:val="24"/>
        </w:rPr>
        <w:t>nivel</w:t>
      </w:r>
      <w:r>
        <w:rPr>
          <w:spacing w:val="-3"/>
          <w:sz w:val="24"/>
        </w:rPr>
        <w:t> </w:t>
      </w:r>
      <w:r>
        <w:rPr>
          <w:sz w:val="24"/>
        </w:rPr>
        <w:t>de educación</w:t>
      </w:r>
      <w:r>
        <w:rPr>
          <w:spacing w:val="1"/>
          <w:sz w:val="24"/>
        </w:rPr>
        <w:t> </w:t>
      </w:r>
      <w:r>
        <w:rPr>
          <w:sz w:val="24"/>
        </w:rPr>
        <w:t>primaria.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  <w:r>
        <w:rPr/>
        <w:pict>
          <v:rect style="position:absolute;margin-left:563.880005pt;margin-top:19.915251pt;width:25.44pt;height:1.4399pt;mso-position-horizontal-relative:page;mso-position-vertical-relative:paragraph;z-index:-1569945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ind w:right="551"/>
      </w:pPr>
      <w:r>
        <w:rPr/>
        <w:t>18</w:t>
      </w:r>
    </w:p>
    <w:p>
      <w:pPr>
        <w:pStyle w:val="BodyText"/>
        <w:spacing w:line="88" w:lineRule="exact"/>
        <w:ind w:left="1127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type w:val="continuous"/>
          <w:pgSz w:w="12240" w:h="15840"/>
          <w:pgMar w:top="340" w:bottom="280" w:left="0" w:right="0"/>
        </w:sectPr>
      </w:pPr>
    </w:p>
    <w:p>
      <w:pPr>
        <w:pStyle w:val="BodyText"/>
        <w:spacing w:before="8"/>
        <w:rPr>
          <w:rFonts w:ascii="Arial MT"/>
          <w:sz w:val="19"/>
        </w:rPr>
      </w:pPr>
    </w:p>
    <w:p>
      <w:pPr>
        <w:pStyle w:val="Heading3"/>
        <w:numPr>
          <w:ilvl w:val="1"/>
          <w:numId w:val="4"/>
        </w:numPr>
        <w:tabs>
          <w:tab w:pos="682" w:val="left" w:leader="none"/>
          <w:tab w:pos="683" w:val="left" w:leader="none"/>
        </w:tabs>
        <w:spacing w:line="240" w:lineRule="auto" w:before="52" w:after="0"/>
        <w:ind w:left="682" w:right="1267" w:hanging="576"/>
        <w:jc w:val="left"/>
      </w:pPr>
      <w:bookmarkStart w:name="_bookmark23" w:id="34"/>
      <w:bookmarkEnd w:id="34"/>
      <w:r>
        <w:rPr>
          <w:b w:val="0"/>
        </w:rPr>
      </w:r>
      <w:bookmarkStart w:name="_bookmark23" w:id="35"/>
      <w:bookmarkEnd w:id="35"/>
      <w:r>
        <w:rPr>
          <w:color w:val="1F4E79"/>
        </w:rPr>
        <w:t>N</w:t>
      </w:r>
      <w:r>
        <w:rPr>
          <w:color w:val="1F4E79"/>
        </w:rPr>
        <w:t>ivel de estudios de la población afectada en los departamentos con mayor déficit de cobertura en los distintos</w:t>
      </w:r>
      <w:r>
        <w:rPr>
          <w:color w:val="1F4E79"/>
          <w:spacing w:val="-52"/>
        </w:rPr>
        <w:t> </w:t>
      </w:r>
      <w:r>
        <w:rPr>
          <w:color w:val="1F4E79"/>
        </w:rPr>
        <w:t>niveles</w:t>
      </w:r>
      <w:r>
        <w:rPr>
          <w:color w:val="1F4E79"/>
          <w:spacing w:val="-1"/>
        </w:rPr>
        <w:t> </w:t>
      </w:r>
      <w:r>
        <w:rPr>
          <w:color w:val="1F4E79"/>
        </w:rPr>
        <w:t>de</w:t>
      </w:r>
      <w:r>
        <w:rPr>
          <w:color w:val="1F4E79"/>
          <w:spacing w:val="-1"/>
        </w:rPr>
        <w:t> </w:t>
      </w:r>
      <w:r>
        <w:rPr>
          <w:color w:val="1F4E79"/>
        </w:rPr>
        <w:t>educación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5840" w:h="12240" w:orient="landscape"/>
          <w:pgMar w:top="1140" w:bottom="280" w:left="2020" w:right="720"/>
        </w:sect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spacing w:before="140"/>
        <w:ind w:left="237" w:right="0" w:firstLine="0"/>
        <w:jc w:val="left"/>
        <w:rPr>
          <w:sz w:val="18"/>
        </w:rPr>
      </w:pPr>
      <w:bookmarkStart w:name="_bookmark24" w:id="36"/>
      <w:bookmarkEnd w:id="36"/>
      <w:r>
        <w:rPr/>
      </w:r>
      <w:r>
        <w:rPr>
          <w:color w:val="585858"/>
          <w:sz w:val="18"/>
        </w:rPr>
        <w:t>3,500,000</w:t>
      </w:r>
    </w:p>
    <w:p>
      <w:pPr>
        <w:pStyle w:val="BodyText"/>
        <w:spacing w:before="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237" w:right="0" w:firstLine="0"/>
        <w:jc w:val="left"/>
        <w:rPr>
          <w:sz w:val="20"/>
        </w:rPr>
      </w:pPr>
      <w:r>
        <w:rPr>
          <w:sz w:val="20"/>
        </w:rPr>
        <w:t>Gráfico</w:t>
      </w:r>
      <w:r>
        <w:rPr>
          <w:spacing w:val="-2"/>
          <w:sz w:val="20"/>
        </w:rPr>
        <w:t> </w:t>
      </w:r>
      <w:r>
        <w:rPr>
          <w:sz w:val="20"/>
        </w:rPr>
        <w:t>8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estudios</w:t>
      </w:r>
      <w:r>
        <w:rPr>
          <w:spacing w:val="-3"/>
          <w:sz w:val="20"/>
        </w:rPr>
        <w:t> </w:t>
      </w:r>
      <w:r>
        <w:rPr>
          <w:sz w:val="20"/>
        </w:rPr>
        <w:t>más</w:t>
      </w:r>
      <w:r>
        <w:rPr>
          <w:spacing w:val="-3"/>
          <w:sz w:val="20"/>
        </w:rPr>
        <w:t> </w:t>
      </w:r>
      <w:r>
        <w:rPr>
          <w:sz w:val="20"/>
        </w:rPr>
        <w:t>alto</w:t>
      </w:r>
      <w:r>
        <w:rPr>
          <w:spacing w:val="-2"/>
          <w:sz w:val="20"/>
        </w:rPr>
        <w:t> </w:t>
      </w:r>
      <w:r>
        <w:rPr>
          <w:sz w:val="20"/>
        </w:rPr>
        <w:t>aprobado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pueblo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pertenencia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sexo.</w:t>
      </w:r>
      <w:r>
        <w:rPr>
          <w:spacing w:val="-1"/>
          <w:sz w:val="20"/>
        </w:rPr>
        <w:t> </w:t>
      </w:r>
      <w:r>
        <w:rPr>
          <w:sz w:val="20"/>
        </w:rPr>
        <w:t>Guatemala</w:t>
      </w:r>
      <w:r>
        <w:rPr>
          <w:spacing w:val="-2"/>
          <w:sz w:val="20"/>
        </w:rPr>
        <w:t> </w:t>
      </w:r>
      <w:r>
        <w:rPr>
          <w:sz w:val="20"/>
        </w:rPr>
        <w:t>2018.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340" w:bottom="280" w:left="2020" w:right="720"/>
          <w:cols w:num="2" w:equalWidth="0">
            <w:col w:w="1005" w:space="657"/>
            <w:col w:w="11438"/>
          </w:cols>
        </w:sectPr>
      </w:pPr>
    </w:p>
    <w:p>
      <w:pPr>
        <w:pStyle w:val="BodyText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5840" w:h="12240" w:orient="landscape"/>
          <w:pgMar w:top="340" w:bottom="280" w:left="2020" w:right="720"/>
        </w:sectPr>
      </w:pPr>
    </w:p>
    <w:p>
      <w:pPr>
        <w:pStyle w:val="BodyText"/>
        <w:rPr>
          <w:sz w:val="18"/>
        </w:rPr>
      </w:pPr>
    </w:p>
    <w:p>
      <w:pPr>
        <w:spacing w:before="130"/>
        <w:ind w:left="237" w:right="0" w:firstLine="0"/>
        <w:jc w:val="left"/>
        <w:rPr>
          <w:sz w:val="18"/>
        </w:rPr>
      </w:pPr>
      <w:r>
        <w:rPr>
          <w:color w:val="585858"/>
          <w:sz w:val="18"/>
        </w:rPr>
        <w:t>3,000,000</w:t>
      </w:r>
    </w:p>
    <w:p>
      <w:pPr>
        <w:spacing w:before="71"/>
        <w:ind w:left="237" w:right="0" w:firstLine="0"/>
        <w:jc w:val="left"/>
        <w:rPr>
          <w:sz w:val="14"/>
        </w:rPr>
      </w:pPr>
      <w:r>
        <w:rPr/>
        <w:br w:type="column"/>
      </w:r>
      <w:r>
        <w:rPr>
          <w:color w:val="404040"/>
          <w:sz w:val="14"/>
        </w:rPr>
        <w:t>3,080,766</w:t>
      </w:r>
    </w:p>
    <w:p>
      <w:pPr>
        <w:spacing w:after="0"/>
        <w:jc w:val="left"/>
        <w:rPr>
          <w:sz w:val="14"/>
        </w:rPr>
        <w:sectPr>
          <w:type w:val="continuous"/>
          <w:pgSz w:w="15840" w:h="12240" w:orient="landscape"/>
          <w:pgMar w:top="340" w:bottom="280" w:left="2020" w:right="720"/>
          <w:cols w:num="2" w:equalWidth="0">
            <w:col w:w="1005" w:space="10298"/>
            <w:col w:w="1797"/>
          </w:cols>
        </w:sectPr>
      </w:pP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5840" w:h="12240" w:orient="landscape"/>
          <w:pgMar w:top="340" w:bottom="280" w:left="2020" w:right="72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"/>
        <w:ind w:left="237" w:right="0" w:firstLine="0"/>
        <w:jc w:val="left"/>
        <w:rPr>
          <w:sz w:val="18"/>
        </w:rPr>
      </w:pPr>
      <w:r>
        <w:rPr>
          <w:color w:val="585858"/>
          <w:sz w:val="18"/>
        </w:rPr>
        <w:t>2,500,000</w:t>
      </w:r>
    </w:p>
    <w:p>
      <w:pPr>
        <w:spacing w:before="72"/>
        <w:ind w:left="237" w:right="0" w:firstLine="0"/>
        <w:jc w:val="left"/>
        <w:rPr>
          <w:sz w:val="14"/>
        </w:rPr>
      </w:pPr>
      <w:r>
        <w:rPr/>
        <w:br w:type="column"/>
      </w:r>
      <w:r>
        <w:rPr>
          <w:color w:val="404040"/>
          <w:sz w:val="14"/>
        </w:rPr>
        <w:t>2,632,912</w:t>
      </w:r>
    </w:p>
    <w:p>
      <w:pPr>
        <w:pStyle w:val="BodyText"/>
        <w:spacing w:before="2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237" w:right="0" w:firstLine="0"/>
        <w:jc w:val="left"/>
        <w:rPr>
          <w:sz w:val="14"/>
        </w:rPr>
      </w:pPr>
      <w:r>
        <w:rPr>
          <w:color w:val="404040"/>
          <w:sz w:val="14"/>
        </w:rPr>
        <w:t>2,545,582</w:t>
      </w:r>
    </w:p>
    <w:p>
      <w:pPr>
        <w:spacing w:after="0"/>
        <w:jc w:val="left"/>
        <w:rPr>
          <w:sz w:val="14"/>
        </w:rPr>
        <w:sectPr>
          <w:type w:val="continuous"/>
          <w:pgSz w:w="15840" w:h="12240" w:orient="landscape"/>
          <w:pgMar w:top="340" w:bottom="280" w:left="2020" w:right="720"/>
          <w:cols w:num="3" w:equalWidth="0">
            <w:col w:w="1005" w:space="1381"/>
            <w:col w:w="833" w:space="8276"/>
            <w:col w:w="160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64"/>
        <w:ind w:left="237" w:right="0" w:firstLine="0"/>
        <w:jc w:val="left"/>
        <w:rPr>
          <w:sz w:val="18"/>
        </w:rPr>
      </w:pPr>
      <w:r>
        <w:rPr>
          <w:color w:val="585858"/>
          <w:sz w:val="18"/>
        </w:rPr>
        <w:t>2,000,000</w:t>
      </w:r>
    </w:p>
    <w:p>
      <w:pPr>
        <w:pStyle w:val="BodyText"/>
        <w:spacing w:before="1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5840" w:h="12240" w:orient="landscape"/>
          <w:pgMar w:top="340" w:bottom="280" w:left="2020" w:right="72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3"/>
        </w:rPr>
      </w:pPr>
    </w:p>
    <w:p>
      <w:pPr>
        <w:spacing w:before="1"/>
        <w:ind w:left="237" w:right="0" w:firstLine="0"/>
        <w:jc w:val="left"/>
        <w:rPr>
          <w:sz w:val="18"/>
        </w:rPr>
      </w:pPr>
      <w:r>
        <w:rPr>
          <w:color w:val="585858"/>
          <w:sz w:val="18"/>
        </w:rPr>
        <w:t>1,500,000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0"/>
        <w:ind w:left="237" w:right="0" w:firstLine="0"/>
        <w:jc w:val="left"/>
        <w:rPr>
          <w:sz w:val="14"/>
        </w:rPr>
      </w:pPr>
      <w:r>
        <w:rPr>
          <w:color w:val="404040"/>
          <w:spacing w:val="-2"/>
          <w:sz w:val="14"/>
        </w:rPr>
        <w:t>1,325,779</w:t>
      </w:r>
    </w:p>
    <w:p>
      <w:pPr>
        <w:spacing w:before="71"/>
        <w:ind w:left="136" w:right="0" w:firstLine="0"/>
        <w:jc w:val="left"/>
        <w:rPr>
          <w:sz w:val="14"/>
        </w:rPr>
      </w:pPr>
      <w:r>
        <w:rPr/>
        <w:br w:type="column"/>
      </w:r>
      <w:r>
        <w:rPr>
          <w:color w:val="404040"/>
          <w:sz w:val="14"/>
        </w:rPr>
        <w:t>1,601,795</w:t>
      </w:r>
    </w:p>
    <w:p>
      <w:pPr>
        <w:spacing w:before="84"/>
        <w:ind w:left="237" w:right="0" w:firstLine="0"/>
        <w:jc w:val="left"/>
        <w:rPr>
          <w:sz w:val="14"/>
        </w:rPr>
      </w:pPr>
      <w:r>
        <w:rPr/>
        <w:br w:type="column"/>
      </w:r>
      <w:r>
        <w:rPr>
          <w:color w:val="404040"/>
          <w:sz w:val="14"/>
        </w:rPr>
        <w:t>1,594,327</w:t>
      </w:r>
    </w:p>
    <w:p>
      <w:pPr>
        <w:pStyle w:val="BodyText"/>
        <w:rPr>
          <w:sz w:val="14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0"/>
        <w:ind w:left="428" w:right="0" w:firstLine="0"/>
        <w:jc w:val="left"/>
        <w:rPr>
          <w:sz w:val="14"/>
        </w:rPr>
      </w:pPr>
      <w:r>
        <w:rPr>
          <w:color w:val="404040"/>
          <w:sz w:val="14"/>
        </w:rPr>
        <w:t>1,280,349</w:t>
      </w:r>
    </w:p>
    <w:p>
      <w:pPr>
        <w:spacing w:after="0"/>
        <w:jc w:val="left"/>
        <w:rPr>
          <w:sz w:val="14"/>
        </w:rPr>
        <w:sectPr>
          <w:type w:val="continuous"/>
          <w:pgSz w:w="15840" w:h="12240" w:orient="landscape"/>
          <w:pgMar w:top="340" w:bottom="280" w:left="2020" w:right="720"/>
          <w:cols w:num="4" w:equalWidth="0">
            <w:col w:w="1005" w:space="266"/>
            <w:col w:w="793" w:space="40"/>
            <w:col w:w="732" w:space="7353"/>
            <w:col w:w="2911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9"/>
        </w:rPr>
      </w:pPr>
    </w:p>
    <w:p>
      <w:pPr>
        <w:spacing w:before="0"/>
        <w:ind w:left="237" w:right="0" w:firstLine="0"/>
        <w:jc w:val="left"/>
        <w:rPr>
          <w:sz w:val="18"/>
        </w:rPr>
      </w:pPr>
      <w:r>
        <w:rPr>
          <w:color w:val="585858"/>
          <w:spacing w:val="-1"/>
          <w:sz w:val="18"/>
        </w:rPr>
        <w:t>1,000,000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8"/>
        <w:rPr>
          <w:sz w:val="17"/>
        </w:rPr>
      </w:pPr>
    </w:p>
    <w:p>
      <w:pPr>
        <w:spacing w:before="0"/>
        <w:ind w:left="171" w:right="0" w:firstLine="0"/>
        <w:jc w:val="left"/>
        <w:rPr>
          <w:sz w:val="14"/>
        </w:rPr>
      </w:pPr>
      <w:r>
        <w:rPr>
          <w:color w:val="404040"/>
          <w:sz w:val="14"/>
        </w:rPr>
        <w:t>957,234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2"/>
        </w:rPr>
      </w:pPr>
    </w:p>
    <w:p>
      <w:pPr>
        <w:spacing w:before="0"/>
        <w:ind w:left="237" w:right="0" w:firstLine="0"/>
        <w:jc w:val="left"/>
        <w:rPr>
          <w:sz w:val="14"/>
        </w:rPr>
      </w:pPr>
      <w:r>
        <w:rPr>
          <w:color w:val="404040"/>
          <w:sz w:val="14"/>
        </w:rPr>
        <w:t>997,440</w:t>
      </w:r>
    </w:p>
    <w:p>
      <w:pPr>
        <w:spacing w:before="116"/>
        <w:ind w:left="237" w:right="0" w:firstLine="0"/>
        <w:jc w:val="left"/>
        <w:rPr>
          <w:sz w:val="14"/>
        </w:rPr>
      </w:pPr>
      <w:r>
        <w:rPr/>
        <w:br w:type="column"/>
      </w:r>
      <w:r>
        <w:rPr>
          <w:color w:val="404040"/>
          <w:sz w:val="14"/>
        </w:rPr>
        <w:t>1,113,833</w:t>
      </w:r>
    </w:p>
    <w:p>
      <w:pPr>
        <w:spacing w:after="0"/>
        <w:jc w:val="left"/>
        <w:rPr>
          <w:sz w:val="14"/>
        </w:rPr>
        <w:sectPr>
          <w:type w:val="continuous"/>
          <w:pgSz w:w="15840" w:h="12240" w:orient="landscape"/>
          <w:pgMar w:top="340" w:bottom="280" w:left="2020" w:right="720"/>
          <w:cols w:num="4" w:equalWidth="0">
            <w:col w:w="965" w:space="40"/>
            <w:col w:w="664" w:space="959"/>
            <w:col w:w="730" w:space="7563"/>
            <w:col w:w="2179"/>
          </w:cols>
        </w:sectPr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5840" w:h="12240" w:orient="landscape"/>
          <w:pgMar w:top="340" w:bottom="280" w:left="2020" w:right="72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0"/>
        <w:ind w:left="373" w:right="0" w:firstLine="0"/>
        <w:jc w:val="left"/>
        <w:rPr>
          <w:sz w:val="18"/>
        </w:rPr>
      </w:pPr>
      <w:r>
        <w:rPr>
          <w:color w:val="585858"/>
          <w:sz w:val="18"/>
        </w:rPr>
        <w:t>500,000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4"/>
        <w:rPr>
          <w:sz w:val="17"/>
        </w:rPr>
      </w:pPr>
    </w:p>
    <w:p>
      <w:pPr>
        <w:spacing w:before="0"/>
        <w:ind w:left="745" w:right="0" w:firstLine="0"/>
        <w:jc w:val="left"/>
        <w:rPr>
          <w:sz w:val="14"/>
        </w:rPr>
      </w:pPr>
      <w:r>
        <w:rPr>
          <w:color w:val="404040"/>
          <w:w w:val="95"/>
          <w:sz w:val="14"/>
        </w:rPr>
        <w:t>441,265</w:t>
      </w: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6"/>
        </w:rPr>
      </w:pPr>
    </w:p>
    <w:p>
      <w:pPr>
        <w:spacing w:line="135" w:lineRule="exact" w:before="0"/>
        <w:ind w:left="362" w:right="0" w:firstLine="0"/>
        <w:jc w:val="left"/>
        <w:rPr>
          <w:sz w:val="14"/>
        </w:rPr>
      </w:pPr>
      <w:r>
        <w:rPr>
          <w:color w:val="404040"/>
          <w:sz w:val="14"/>
        </w:rPr>
        <w:t>127,559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5"/>
        <w:rPr>
          <w:sz w:val="15"/>
        </w:rPr>
      </w:pPr>
    </w:p>
    <w:p>
      <w:pPr>
        <w:spacing w:before="1"/>
        <w:ind w:left="239" w:right="0" w:firstLine="0"/>
        <w:jc w:val="left"/>
        <w:rPr>
          <w:sz w:val="14"/>
        </w:rPr>
      </w:pPr>
      <w:r>
        <w:rPr>
          <w:color w:val="404040"/>
          <w:sz w:val="14"/>
        </w:rPr>
        <w:t>256,126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8"/>
        <w:rPr>
          <w:sz w:val="19"/>
        </w:rPr>
      </w:pPr>
    </w:p>
    <w:p>
      <w:pPr>
        <w:spacing w:line="136" w:lineRule="exact" w:before="0"/>
        <w:ind w:left="373" w:right="0" w:firstLine="0"/>
        <w:jc w:val="left"/>
        <w:rPr>
          <w:sz w:val="14"/>
        </w:rPr>
      </w:pPr>
      <w:r>
        <w:rPr>
          <w:color w:val="404040"/>
          <w:w w:val="95"/>
          <w:sz w:val="14"/>
        </w:rPr>
        <w:t>1,790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tabs>
          <w:tab w:pos="1226" w:val="left" w:leader="none"/>
          <w:tab w:pos="2307" w:val="left" w:leader="none"/>
          <w:tab w:pos="3385" w:val="left" w:leader="none"/>
        </w:tabs>
        <w:spacing w:line="211" w:lineRule="exact" w:before="1"/>
        <w:ind w:left="152" w:right="0" w:firstLine="0"/>
        <w:jc w:val="left"/>
        <w:rPr>
          <w:sz w:val="14"/>
        </w:rPr>
      </w:pPr>
      <w:r>
        <w:rPr>
          <w:color w:val="404040"/>
          <w:position w:val="6"/>
          <w:sz w:val="14"/>
        </w:rPr>
        <w:t>3,854</w:t>
        <w:tab/>
      </w:r>
      <w:r>
        <w:rPr>
          <w:color w:val="404040"/>
          <w:sz w:val="14"/>
        </w:rPr>
        <w:t>7,435</w:t>
        <w:tab/>
      </w:r>
      <w:r>
        <w:rPr>
          <w:color w:val="404040"/>
          <w:position w:val="1"/>
          <w:sz w:val="14"/>
        </w:rPr>
        <w:t>63,370</w:t>
        <w:tab/>
        <w:t>124,002</w:t>
      </w:r>
    </w:p>
    <w:p>
      <w:pPr>
        <w:tabs>
          <w:tab w:pos="2875" w:val="left" w:leader="none"/>
          <w:tab w:pos="4078" w:val="left" w:leader="none"/>
        </w:tabs>
        <w:spacing w:line="146" w:lineRule="exact" w:before="0"/>
        <w:ind w:left="1774" w:right="0" w:firstLine="0"/>
        <w:jc w:val="left"/>
        <w:rPr>
          <w:sz w:val="14"/>
        </w:rPr>
      </w:pPr>
      <w:r>
        <w:rPr>
          <w:color w:val="404040"/>
          <w:position w:val="3"/>
          <w:sz w:val="14"/>
        </w:rPr>
        <w:t>29,497</w:t>
        <w:tab/>
      </w:r>
      <w:r>
        <w:rPr>
          <w:color w:val="404040"/>
          <w:sz w:val="14"/>
        </w:rPr>
        <w:t>52,921</w:t>
        <w:tab/>
      </w:r>
      <w:r>
        <w:rPr>
          <w:color w:val="404040"/>
          <w:spacing w:val="-3"/>
          <w:sz w:val="14"/>
        </w:rPr>
        <w:t>2,046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5"/>
        <w:rPr>
          <w:sz w:val="17"/>
        </w:rPr>
      </w:pPr>
    </w:p>
    <w:p>
      <w:pPr>
        <w:spacing w:line="162" w:lineRule="exact" w:before="0"/>
        <w:ind w:left="139" w:right="0" w:firstLine="0"/>
        <w:jc w:val="left"/>
        <w:rPr>
          <w:sz w:val="14"/>
        </w:rPr>
      </w:pPr>
      <w:r>
        <w:rPr>
          <w:color w:val="404040"/>
          <w:w w:val="95"/>
          <w:sz w:val="14"/>
        </w:rPr>
        <w:t>4,811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0"/>
        <w:ind w:left="270" w:right="0" w:firstLine="0"/>
        <w:jc w:val="left"/>
        <w:rPr>
          <w:sz w:val="14"/>
        </w:rPr>
      </w:pPr>
      <w:r>
        <w:rPr>
          <w:color w:val="404040"/>
          <w:w w:val="95"/>
          <w:sz w:val="14"/>
        </w:rPr>
        <w:t>3,680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8" w:right="0" w:firstLine="0"/>
        <w:jc w:val="left"/>
        <w:rPr>
          <w:sz w:val="14"/>
        </w:rPr>
      </w:pPr>
      <w:r>
        <w:rPr>
          <w:color w:val="404040"/>
          <w:w w:val="95"/>
          <w:sz w:val="14"/>
        </w:rPr>
        <w:t>9,770</w:t>
      </w:r>
    </w:p>
    <w:p>
      <w:pPr>
        <w:spacing w:before="72"/>
        <w:ind w:left="309" w:right="0" w:firstLine="0"/>
        <w:jc w:val="left"/>
        <w:rPr>
          <w:sz w:val="14"/>
        </w:rPr>
      </w:pPr>
      <w:r>
        <w:rPr/>
        <w:br w:type="column"/>
      </w:r>
      <w:r>
        <w:rPr>
          <w:color w:val="404040"/>
          <w:sz w:val="14"/>
        </w:rPr>
        <w:t>621,245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2"/>
        <w:rPr>
          <w:sz w:val="20"/>
        </w:rPr>
      </w:pPr>
    </w:p>
    <w:p>
      <w:pPr>
        <w:spacing w:before="0"/>
        <w:ind w:left="500" w:right="0" w:firstLine="0"/>
        <w:jc w:val="left"/>
        <w:rPr>
          <w:sz w:val="14"/>
        </w:rPr>
      </w:pPr>
      <w:r>
        <w:rPr>
          <w:color w:val="404040"/>
          <w:sz w:val="14"/>
        </w:rPr>
        <w:t>175,690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8"/>
        <w:rPr>
          <w:sz w:val="15"/>
        </w:rPr>
      </w:pPr>
    </w:p>
    <w:p>
      <w:pPr>
        <w:spacing w:before="0"/>
        <w:ind w:left="373" w:right="0" w:firstLine="0"/>
        <w:jc w:val="left"/>
        <w:rPr>
          <w:sz w:val="14"/>
        </w:rPr>
      </w:pPr>
      <w:r>
        <w:rPr>
          <w:color w:val="404040"/>
          <w:sz w:val="14"/>
        </w:rPr>
        <w:t>353,904</w:t>
      </w:r>
    </w:p>
    <w:p>
      <w:pPr>
        <w:spacing w:after="0"/>
        <w:jc w:val="left"/>
        <w:rPr>
          <w:sz w:val="14"/>
        </w:rPr>
        <w:sectPr>
          <w:type w:val="continuous"/>
          <w:pgSz w:w="15840" w:h="12240" w:orient="landscape"/>
          <w:pgMar w:top="340" w:bottom="280" w:left="2020" w:right="720"/>
          <w:cols w:num="10" w:equalWidth="0">
            <w:col w:w="966" w:space="40"/>
            <w:col w:w="1198" w:space="39"/>
            <w:col w:w="732" w:space="45"/>
            <w:col w:w="687" w:space="40"/>
            <w:col w:w="4391" w:space="39"/>
            <w:col w:w="453" w:space="40"/>
            <w:col w:w="584" w:space="40"/>
            <w:col w:w="452" w:space="39"/>
            <w:col w:w="993" w:space="248"/>
            <w:col w:w="2074"/>
          </w:cols>
        </w:sectPr>
      </w:pPr>
    </w:p>
    <w:p>
      <w:pPr>
        <w:spacing w:line="155" w:lineRule="exact" w:before="84"/>
        <w:ind w:left="0" w:right="0" w:firstLine="0"/>
        <w:jc w:val="right"/>
        <w:rPr>
          <w:sz w:val="14"/>
        </w:rPr>
      </w:pPr>
      <w:r>
        <w:rPr>
          <w:color w:val="404040"/>
          <w:sz w:val="14"/>
        </w:rPr>
        <w:t>429</w:t>
      </w:r>
    </w:p>
    <w:p>
      <w:pPr>
        <w:spacing w:line="204" w:lineRule="exact" w:before="0"/>
        <w:ind w:left="874" w:right="0" w:firstLine="0"/>
        <w:jc w:val="left"/>
        <w:rPr>
          <w:sz w:val="18"/>
        </w:rPr>
      </w:pPr>
      <w:r>
        <w:rPr>
          <w:color w:val="585858"/>
          <w:sz w:val="18"/>
        </w:rPr>
        <w:t>0</w:t>
      </w:r>
    </w:p>
    <w:p>
      <w:pPr>
        <w:spacing w:line="113" w:lineRule="exact" w:before="0"/>
        <w:ind w:left="485" w:right="0" w:firstLine="0"/>
        <w:jc w:val="left"/>
        <w:rPr>
          <w:sz w:val="14"/>
        </w:rPr>
      </w:pPr>
      <w:r>
        <w:rPr/>
        <w:br w:type="column"/>
      </w:r>
      <w:r>
        <w:rPr>
          <w:color w:val="404040"/>
          <w:sz w:val="14"/>
        </w:rPr>
        <w:t>3,091</w:t>
      </w:r>
    </w:p>
    <w:p>
      <w:pPr>
        <w:tabs>
          <w:tab w:pos="865" w:val="left" w:leader="none"/>
        </w:tabs>
        <w:spacing w:line="142" w:lineRule="exact" w:before="0"/>
        <w:ind w:left="81" w:right="0" w:firstLine="0"/>
        <w:jc w:val="left"/>
        <w:rPr>
          <w:sz w:val="14"/>
        </w:rPr>
      </w:pPr>
      <w:r>
        <w:rPr>
          <w:color w:val="404040"/>
          <w:sz w:val="14"/>
        </w:rPr>
        <w:t>2,903</w:t>
        <w:tab/>
      </w:r>
      <w:r>
        <w:rPr>
          <w:color w:val="404040"/>
          <w:spacing w:val="-4"/>
          <w:sz w:val="14"/>
        </w:rPr>
        <w:t>879</w:t>
      </w:r>
    </w:p>
    <w:p>
      <w:pPr>
        <w:spacing w:before="75"/>
        <w:ind w:left="81" w:right="0" w:firstLine="0"/>
        <w:jc w:val="left"/>
        <w:rPr>
          <w:sz w:val="14"/>
        </w:rPr>
      </w:pPr>
      <w:r>
        <w:rPr/>
        <w:br w:type="column"/>
      </w:r>
      <w:r>
        <w:rPr>
          <w:color w:val="404040"/>
          <w:w w:val="95"/>
          <w:sz w:val="14"/>
        </w:rPr>
        <w:t>5,772</w:t>
      </w:r>
    </w:p>
    <w:p>
      <w:pPr>
        <w:spacing w:before="49"/>
        <w:ind w:left="378" w:right="0" w:firstLine="0"/>
        <w:jc w:val="left"/>
        <w:rPr>
          <w:sz w:val="14"/>
        </w:rPr>
      </w:pPr>
      <w:r>
        <w:rPr/>
        <w:br w:type="column"/>
      </w:r>
      <w:r>
        <w:rPr>
          <w:color w:val="404040"/>
          <w:spacing w:val="-2"/>
          <w:position w:val="-2"/>
          <w:sz w:val="14"/>
        </w:rPr>
        <w:t>6,275</w:t>
      </w:r>
      <w:r>
        <w:rPr>
          <w:color w:val="404040"/>
          <w:spacing w:val="-6"/>
          <w:position w:val="-2"/>
          <w:sz w:val="14"/>
        </w:rPr>
        <w:t> </w:t>
      </w:r>
      <w:r>
        <w:rPr>
          <w:color w:val="404040"/>
          <w:spacing w:val="-2"/>
          <w:sz w:val="14"/>
        </w:rPr>
        <w:t>20,741</w:t>
      </w:r>
    </w:p>
    <w:p>
      <w:pPr>
        <w:spacing w:before="6"/>
        <w:ind w:left="309" w:right="0" w:firstLine="0"/>
        <w:jc w:val="left"/>
        <w:rPr>
          <w:sz w:val="14"/>
        </w:rPr>
      </w:pPr>
      <w:r>
        <w:rPr/>
        <w:br w:type="column"/>
      </w:r>
      <w:r>
        <w:rPr>
          <w:color w:val="404040"/>
          <w:w w:val="95"/>
          <w:position w:val="-5"/>
          <w:sz w:val="14"/>
        </w:rPr>
        <w:t>12,626</w:t>
      </w:r>
      <w:r>
        <w:rPr>
          <w:color w:val="404040"/>
          <w:w w:val="95"/>
          <w:sz w:val="14"/>
        </w:rPr>
        <w:t>45,789</w:t>
      </w:r>
    </w:p>
    <w:p>
      <w:pPr>
        <w:spacing w:before="84"/>
        <w:ind w:left="395" w:right="0" w:firstLine="0"/>
        <w:jc w:val="left"/>
        <w:rPr>
          <w:sz w:val="14"/>
        </w:rPr>
      </w:pPr>
      <w:r>
        <w:rPr/>
        <w:br w:type="column"/>
      </w:r>
      <w:r>
        <w:rPr>
          <w:color w:val="404040"/>
          <w:w w:val="95"/>
          <w:sz w:val="14"/>
        </w:rPr>
        <w:t>659</w:t>
      </w:r>
    </w:p>
    <w:p>
      <w:pPr>
        <w:spacing w:before="78"/>
        <w:ind w:left="81" w:right="0" w:firstLine="0"/>
        <w:jc w:val="left"/>
        <w:rPr>
          <w:sz w:val="14"/>
        </w:rPr>
      </w:pPr>
      <w:r>
        <w:rPr/>
        <w:br w:type="column"/>
      </w:r>
      <w:r>
        <w:rPr>
          <w:color w:val="404040"/>
          <w:w w:val="95"/>
          <w:sz w:val="14"/>
        </w:rPr>
        <w:t>3,873</w:t>
      </w:r>
    </w:p>
    <w:p>
      <w:pPr>
        <w:spacing w:before="72"/>
        <w:ind w:left="378" w:right="0" w:firstLine="0"/>
        <w:jc w:val="left"/>
        <w:rPr>
          <w:sz w:val="14"/>
        </w:rPr>
      </w:pPr>
      <w:r>
        <w:rPr/>
        <w:br w:type="column"/>
      </w:r>
      <w:r>
        <w:rPr>
          <w:color w:val="404040"/>
          <w:sz w:val="14"/>
        </w:rPr>
        <w:t>1,356</w:t>
      </w:r>
      <w:r>
        <w:rPr>
          <w:color w:val="404040"/>
          <w:spacing w:val="18"/>
          <w:sz w:val="14"/>
        </w:rPr>
        <w:t> </w:t>
      </w:r>
      <w:r>
        <w:rPr>
          <w:color w:val="404040"/>
          <w:position w:val="1"/>
          <w:sz w:val="14"/>
        </w:rPr>
        <w:t>8,307</w:t>
      </w:r>
    </w:p>
    <w:p>
      <w:pPr>
        <w:spacing w:after="0"/>
        <w:jc w:val="left"/>
        <w:rPr>
          <w:sz w:val="14"/>
        </w:rPr>
        <w:sectPr>
          <w:type w:val="continuous"/>
          <w:pgSz w:w="15840" w:h="12240" w:orient="landscape"/>
          <w:pgMar w:top="340" w:bottom="280" w:left="2020" w:right="720"/>
          <w:cols w:num="8" w:equalWidth="0">
            <w:col w:w="3929" w:space="40"/>
            <w:col w:w="1075" w:space="39"/>
            <w:col w:w="395" w:space="40"/>
            <w:col w:w="1111" w:space="39"/>
            <w:col w:w="1075" w:space="40"/>
            <w:col w:w="605" w:space="39"/>
            <w:col w:w="395" w:space="39"/>
            <w:col w:w="4239"/>
          </w:cols>
        </w:sectPr>
      </w:pPr>
    </w:p>
    <w:p>
      <w:pPr>
        <w:tabs>
          <w:tab w:pos="2602" w:val="left" w:leader="none"/>
          <w:tab w:pos="3640" w:val="left" w:leader="none"/>
          <w:tab w:pos="4832" w:val="left" w:leader="none"/>
          <w:tab w:pos="5869" w:val="left" w:leader="none"/>
          <w:tab w:pos="7061" w:val="left" w:leader="none"/>
          <w:tab w:pos="8099" w:val="left" w:leader="none"/>
          <w:tab w:pos="9290" w:val="left" w:leader="none"/>
          <w:tab w:pos="10328" w:val="left" w:leader="none"/>
          <w:tab w:pos="11520" w:val="left" w:leader="none"/>
        </w:tabs>
        <w:spacing w:before="14"/>
        <w:ind w:left="1411" w:right="0" w:firstLine="0"/>
        <w:jc w:val="left"/>
        <w:rPr>
          <w:sz w:val="18"/>
        </w:rPr>
      </w:pPr>
      <w:r>
        <w:rPr/>
        <w:pict>
          <v:group style="position:absolute;margin-left:25.4pt;margin-top:16.999195pt;width:700.45pt;height:566.2pt;mso-position-horizontal-relative:page;mso-position-vertical-relative:page;z-index:-28971520" coordorigin="508,340" coordsize="14009,11324">
            <v:shape style="position:absolute;left:508;top:339;width:12421;height:11324" type="#_x0000_t75" stroked="false">
              <v:imagedata r:id="rId16" o:title=""/>
            </v:shape>
            <v:rect style="position:absolute;left:2127;top:2728;width:12390;height:7166" filled="true" fillcolor="#ffffff" stroked="false">
              <v:fill type="solid"/>
            </v:rect>
            <v:shape style="position:absolute;left:3326;top:6223;width:10222;height:2765" coordorigin="3326,6223" coordsize="10222,2765" path="m3518,7337l3326,7337,3326,8988,3518,8988,3518,7337xm4632,6223l4440,6223,4440,8988,4632,8988,4632,6223xm5748,8986l5556,8986,5556,8988,5748,8988,5748,8986xm6862,8983l6670,8983,6670,8988,6862,8988,6862,8983xm7975,8938l7783,8938,7783,8988,7975,8988,7975,8938xm9091,8897l8899,8897,8899,8988,9091,8988,9091,8897xm10205,8983l10013,8983,10013,8988,10205,8988,10205,8983xm11318,8981l11129,8981,11129,8988,11318,8988,11318,8981xm12434,7915l12242,7915,12242,8988,12434,8988,12434,7915xm13548,7066l13356,7066,13356,8988,13548,8988,13548,7066xe" filled="true" fillcolor="#5b9bd4" stroked="false">
              <v:path arrowok="t"/>
              <v:fill type="solid"/>
            </v:shape>
            <v:shape style="position:absolute;left:3518;top:8376;width:10222;height:612" coordorigin="3518,8376" coordsize="10222,612" path="m3710,8767l3518,8767,3518,8988,3710,8988,3710,8767xm4824,8546l4632,8546,4632,8988,4824,8988,4824,8546xm5938,8985l5748,8985,5748,8988,5938,8988,5938,8985xm7054,8985l6862,8985,6862,8988,7054,8988,7054,8985xm8167,8976l7975,8976,7975,8988,8167,8988,8167,8976xm9281,8966l9091,8966,9091,8988,9281,8988,9281,8966xm10397,8985l10205,8985,10205,8988,10397,8988,10397,8985xm11510,8985l11318,8985,11318,8988,11510,8988,11510,8985xm12626,8686l12434,8686,12434,8988,12626,8988,12626,8686xm13740,8376l13548,8376,13548,8988,13740,8988,13740,8376xe" filled="true" fillcolor="#ec7c30" stroked="false">
              <v:path arrowok="t"/>
              <v:fill type="solid"/>
            </v:shape>
            <v:shape style="position:absolute;left:3710;top:3672;width:10222;height:5316" coordorigin="3710,3672" coordsize="10222,5316" path="m3900,6701l3710,6701,3710,8988,3900,8988,3900,6701xm5016,4445l4824,4445,4824,8988,5016,8988,5016,4445xm6130,8981l5938,8981,5938,8988,6130,8988,6130,8981xm7243,8974l7054,8974,7054,8988,7243,8988,7243,8974xm8359,8878l8167,8878,8167,8988,8359,8988,8359,8878xm9473,8774l9281,8774,9281,8988,9473,8988,9473,8774xm10589,8978l10397,8978,10397,8988,10589,8988,10589,8978xm11702,8971l11510,8971,11510,8988,11702,8988,11702,8971xm12816,6238l12626,6238,12626,8988,12816,8988,12816,6238xm13932,3672l13740,3672,13740,8988,13932,8988,13932,3672xe" filled="true" fillcolor="#a4a4a4" stroked="false">
              <v:path arrowok="t"/>
              <v:fill type="solid"/>
            </v:shape>
            <v:shape style="position:absolute;left:3900;top:4596;width:10222;height:4392" coordorigin="3900,4596" coordsize="10222,4392" path="m4092,8227l3900,8227,3900,8988,4092,8988,4092,8227xm5208,7267l5016,7267,5016,8988,5208,8988,5208,7267xm6322,8983l6130,8983,6130,8988,6322,8988,6322,8983xm7435,8978l7243,8978,7243,8988,7435,8988,7435,8978xm8551,8952l8359,8952,8359,8988,8551,8988,8551,8952xm9665,8909l9473,8909,9473,8988,9665,8988,9665,8909xm10778,8981l10589,8981,10589,8988,10778,8988,10778,8981xm11894,8974l11702,8974,11702,8988,11894,8988,11894,8974xm13008,6778l12816,6778,12816,8988,13008,8988,13008,6778xm14122,4596l13932,4596,13932,8988,14122,8988,14122,4596xe" filled="true" fillcolor="#ffc000" stroked="false">
              <v:path arrowok="t"/>
              <v:fill type="solid"/>
            </v:shape>
            <v:shape style="position:absolute;left:3152;top:8987;width:11145;height:349" coordorigin="3152,8988" coordsize="11145,349" path="m3152,8988l14297,8988m3152,8988l3152,9337e" filled="false" stroked="true" strokeweight=".75pt" strokecolor="#d9d9d9">
              <v:path arrowok="t"/>
              <v:stroke dashstyle="solid"/>
            </v:shape>
            <v:shape style="position:absolute;left:5569;top:8660;width:5654;height:324" coordorigin="5570,8661" coordsize="5654,324" path="m5651,8985l5570,8707m6766,8982l6630,8814m7880,8937l7731,8681m8995,8896l8832,8706m10109,8984l10001,8707m11224,8981l11115,8661e" filled="false" stroked="true" strokeweight=".75pt" strokecolor="#a6a6a6">
              <v:path arrowok="t"/>
              <v:stroke dashstyle="solid"/>
            </v:shape>
            <v:line style="position:absolute" from="6054,8479" to="6054,8989" stroked="true" strokeweight="2.78pt" strokecolor="#a6a6a6">
              <v:stroke dashstyle="solid"/>
            </v:line>
            <v:shape style="position:absolute;left:7148;top:8536;width:4458;height:444" coordorigin="7149,8536" coordsize="4458,444" path="m7149,8975l7149,8546m8263,8878l8263,8536m9378,8774l9378,8540m10492,8979l10492,8680m11607,8971l11607,8607e" filled="false" stroked="true" strokeweight=".75pt" strokecolor="#a6a6a6">
              <v:path arrowok="t"/>
              <v:stroke dashstyle="solid"/>
            </v:shape>
            <v:rect style="position:absolute;left:5321;top:9555;width:99;height:99" filled="true" fillcolor="#5b9bd4" stroked="false">
              <v:fill type="solid"/>
            </v:rect>
            <v:rect style="position:absolute;left:6358;top:9555;width:99;height:99" filled="true" fillcolor="#ec7c30" stroked="false">
              <v:fill type="solid"/>
            </v:rect>
            <v:rect style="position:absolute;left:7639;top:9555;width:99;height:99" filled="true" fillcolor="#a4a4a4" stroked="false">
              <v:fill type="solid"/>
            </v:rect>
            <v:rect style="position:absolute;left:8673;top:9555;width:99;height:99" filled="true" fillcolor="#ffc000" stroked="false">
              <v:fill type="solid"/>
            </v:rect>
            <w10:wrap type="none"/>
          </v:group>
        </w:pict>
      </w:r>
      <w:r>
        <w:rPr>
          <w:color w:val="585858"/>
          <w:sz w:val="18"/>
        </w:rPr>
        <w:t>Hombre</w:t>
        <w:tab/>
        <w:t>Mujer</w:t>
        <w:tab/>
        <w:t>Hombre</w:t>
        <w:tab/>
        <w:t>Mujer</w:t>
        <w:tab/>
        <w:t>Hombre</w:t>
        <w:tab/>
        <w:t>Mujer</w:t>
        <w:tab/>
        <w:t>Hombre</w:t>
        <w:tab/>
        <w:t>Mujer</w:t>
        <w:tab/>
        <w:t>Hombre</w:t>
        <w:tab/>
        <w:t>Mujer</w:t>
      </w:r>
    </w:p>
    <w:p>
      <w:pPr>
        <w:pStyle w:val="BodyText"/>
        <w:spacing w:before="3"/>
        <w:rPr>
          <w:sz w:val="8"/>
        </w:rPr>
      </w:pPr>
    </w:p>
    <w:p>
      <w:pPr>
        <w:tabs>
          <w:tab w:pos="1037" w:val="left" w:leader="none"/>
          <w:tab w:pos="2318" w:val="left" w:leader="none"/>
          <w:tab w:pos="3353" w:val="left" w:leader="none"/>
        </w:tabs>
        <w:spacing w:before="64"/>
        <w:ind w:left="0" w:right="281" w:firstLine="0"/>
        <w:jc w:val="center"/>
        <w:rPr>
          <w:sz w:val="18"/>
        </w:rPr>
      </w:pPr>
      <w:r>
        <w:rPr>
          <w:color w:val="585858"/>
          <w:sz w:val="18"/>
        </w:rPr>
        <w:t>Ninguno</w:t>
        <w:tab/>
        <w:t>Preprimaria</w:t>
        <w:tab/>
        <w:t>Primaria</w:t>
        <w:tab/>
        <w:t>Nivel</w:t>
      </w:r>
      <w:r>
        <w:rPr>
          <w:color w:val="585858"/>
          <w:spacing w:val="-4"/>
          <w:sz w:val="18"/>
        </w:rPr>
        <w:t> </w:t>
      </w:r>
      <w:r>
        <w:rPr>
          <w:color w:val="585858"/>
          <w:sz w:val="18"/>
        </w:rPr>
        <w:t>medio</w:t>
      </w:r>
      <w:r>
        <w:rPr>
          <w:color w:val="585858"/>
          <w:spacing w:val="-4"/>
          <w:sz w:val="18"/>
        </w:rPr>
        <w:t> </w:t>
      </w:r>
      <w:r>
        <w:rPr>
          <w:color w:val="585858"/>
          <w:sz w:val="18"/>
        </w:rPr>
        <w:t>(básico</w:t>
      </w:r>
      <w:r>
        <w:rPr>
          <w:color w:val="585858"/>
          <w:spacing w:val="-4"/>
          <w:sz w:val="18"/>
        </w:rPr>
        <w:t> </w:t>
      </w:r>
      <w:r>
        <w:rPr>
          <w:color w:val="585858"/>
          <w:sz w:val="18"/>
        </w:rPr>
        <w:t>y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diversificado)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1"/>
        <w:ind w:left="106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2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Guatemala.</w:t>
      </w:r>
      <w:r>
        <w:rPr>
          <w:spacing w:val="-1"/>
          <w:sz w:val="16"/>
        </w:rPr>
        <w:t> </w:t>
      </w:r>
      <w:r>
        <w:rPr>
          <w:sz w:val="16"/>
        </w:rPr>
        <w:t>Procesado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Redatam</w:t>
      </w:r>
      <w:r>
        <w:rPr>
          <w:spacing w:val="-1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Heading1"/>
        <w:spacing w:line="240" w:lineRule="auto" w:after="0"/>
        <w:ind w:right="113"/>
      </w:pPr>
      <w:r>
        <w:rPr/>
        <w:pict>
          <v:rect style="position:absolute;margin-left:729.700012pt;margin-top:-2.348165pt;width:25.464pt;height:1.44pt;mso-position-horizontal-relative:page;mso-position-vertical-relative:paragraph;z-index:15762432" filled="true" fillcolor="#a4a4a4" stroked="false">
            <v:fill type="solid"/>
            <w10:wrap type="none"/>
          </v:rect>
        </w:pict>
      </w:r>
      <w:r>
        <w:rPr/>
        <w:pict>
          <v:rect style="position:absolute;margin-left:729.700012pt;margin-top:17.091835pt;width:25.464pt;height:4.560pt;mso-position-horizontal-relative:page;mso-position-vertical-relative:paragraph;z-index:15762944" filled="true" fillcolor="#a4a4a4" stroked="false">
            <v:fill type="solid"/>
            <w10:wrap type="none"/>
          </v:rect>
        </w:pict>
      </w:r>
      <w:r>
        <w:rPr/>
        <w:t>19</w:t>
      </w:r>
    </w:p>
    <w:p>
      <w:pPr>
        <w:spacing w:after="0" w:line="240" w:lineRule="auto"/>
        <w:sectPr>
          <w:type w:val="continuous"/>
          <w:pgSz w:w="15840" w:h="12240" w:orient="landscape"/>
          <w:pgMar w:top="340" w:bottom="280" w:left="2020" w:right="720"/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group style="position:absolute;margin-left:1.3999pt;margin-top:24.348774pt;width:610.6pt;height:748.15pt;mso-position-horizontal-relative:page;mso-position-vertical-relative:page;z-index:-28969984" coordorigin="28,487" coordsize="12212,14963">
            <v:shape style="position:absolute;left:28;top:486;width:12212;height:14963" type="#_x0000_t75" stroked="false">
              <v:imagedata r:id="rId17" o:title=""/>
            </v:shape>
            <v:shape style="position:absolute;left:11277;top:14538;width:509;height:481" coordorigin="11278,14539" coordsize="509,481" path="m11786,14930l11278,14930,11278,15019,11786,15019,11786,14930xm11786,14539l11278,14539,11278,14568,11786,14568,11786,14539xe" filled="true" fillcolor="#a4a4a4" stroked="false">
              <v:path arrowok="t"/>
              <v:fill type="solid"/>
            </v:shape>
            <v:rect style="position:absolute;left:1418;top:4231;width:9404;height:5025" filled="true" fillcolor="#ffffff" stroked="false">
              <v:fill type="solid"/>
            </v:rect>
            <v:shape style="position:absolute;left:2762;top:6477;width:6411;height:1872" coordorigin="2762,6478" coordsize="6411,1872" path="m3053,7625l2762,7625,2762,8350,3053,8350,3053,7625xm5093,7128l4802,7128,4802,8350,5093,8350,5093,7128xm7133,7277l6842,7277,6842,8350,7133,8350,7133,7277xm9173,6478l8882,6478,8882,8350,9173,8350,9173,6478xe" filled="true" fillcolor="#5b9bd4" stroked="false">
              <v:path arrowok="t"/>
              <v:fill type="solid"/>
            </v:shape>
            <v:shape style="position:absolute;left:3132;top:7972;width:6411;height:377" coordorigin="3132,7973" coordsize="6411,377" path="m3425,8162l3132,8162,3132,8350,3425,8350,3425,8162xm5462,7973l5172,7973,5172,8350,5462,8350,5462,7973xm7502,8191l7212,8191,7212,8350,7502,8350,7502,8191xm9542,8028l9252,8028,9252,8350,9542,8350,9542,8028xe" filled="true" fillcolor="#ec7c30" stroked="false">
              <v:path arrowok="t"/>
              <v:fill type="solid"/>
            </v:shape>
            <v:shape style="position:absolute;left:3501;top:4932;width:6411;height:3418" coordorigin="3502,4932" coordsize="6411,3418" path="m3794,6730l3502,6730,3502,8350,3794,8350,3794,6730xm5834,5234l5542,5234,5542,8350,5834,8350,5834,5234xm7872,6631l7582,6631,7582,8350,7872,8350,7872,6631xm9912,4932l9622,4932,9622,8350,9912,8350,9912,4932xe" filled="true" fillcolor="#a4a4a4" stroked="false">
              <v:path arrowok="t"/>
              <v:fill type="solid"/>
            </v:shape>
            <v:shape style="position:absolute;left:3873;top:5503;width:6411;height:2847" coordorigin="3874,5503" coordsize="6411,2847" path="m4164,6926l3874,6926,3874,8350,4164,8350,4164,6926xm6204,5503l5911,5503,5911,8350,6204,8350,6204,5503xm8244,7817l7951,7817,7951,8350,8244,8350,8244,7817xm10284,7169l9991,7169,9991,8350,10284,8350,10284,7169xe" filled="true" fillcolor="#ffc000" stroked="false">
              <v:path arrowok="t"/>
              <v:fill type="solid"/>
            </v:shape>
            <v:shape style="position:absolute;left:2443;top:8349;width:8159;height:349" coordorigin="2443,8350" coordsize="8159,349" path="m2443,8350l10602,8350m2443,8350l2443,8699e" filled="false" stroked="true" strokeweight=".75pt" strokecolor="#d9d9d9">
              <v:path arrowok="t"/>
              <v:stroke dashstyle="solid"/>
            </v:shape>
            <v:rect style="position:absolute;left:3119;top:8917;width:99;height:99" filled="true" fillcolor="#5b9bd4" stroked="false">
              <v:fill type="solid"/>
            </v:rect>
            <v:rect style="position:absolute;left:4156;top:8917;width:99;height:99" filled="true" fillcolor="#ec7c30" stroked="false">
              <v:fill type="solid"/>
            </v:rect>
            <v:rect style="position:absolute;left:5437;top:8917;width:99;height:99" filled="true" fillcolor="#a4a4a4" stroked="false">
              <v:fill type="solid"/>
            </v:rect>
            <v:rect style="position:absolute;left:6471;top:8917;width:99;height:99" filled="true" fillcolor="#ffc000" stroked="false">
              <v:fill type="solid"/>
            </v:rect>
            <v:shape style="position:absolute;left:1548;top:4367;width:7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3,500,000</w:t>
                    </w:r>
                  </w:p>
                </w:txbxContent>
              </v:textbox>
              <w10:wrap type="none"/>
            </v:shape>
            <v:shape style="position:absolute;left:9404;top:4659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3,067,495</w:t>
                    </w:r>
                  </w:p>
                </w:txbxContent>
              </v:textbox>
              <w10:wrap type="none"/>
            </v:shape>
            <v:shape style="position:absolute;left:1548;top:4923;width:748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3,000,000</w:t>
                    </w:r>
                  </w:p>
                </w:txbxContent>
              </v:textbox>
              <w10:wrap type="none"/>
            </v:shape>
            <v:shape style="position:absolute;left:5324;top:4961;width:1360;height:44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2,796,002</w:t>
                    </w:r>
                  </w:p>
                  <w:p>
                    <w:pPr>
                      <w:spacing w:line="216" w:lineRule="exact" w:before="47"/>
                      <w:ind w:left="61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2,556,069</w:t>
                    </w:r>
                  </w:p>
                </w:txbxContent>
              </v:textbox>
              <w10:wrap type="none"/>
            </v:shape>
            <v:shape style="position:absolute;left:1548;top:5481;width:748;height:73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2,500,000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16" w:lineRule="exact" w:before="11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2,000,000</w:t>
                    </w:r>
                  </w:p>
                </w:txbxContent>
              </v:textbox>
              <w10:wrap type="none"/>
            </v:shape>
            <v:shape style="position:absolute;left:8664;top:6203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1,681,136</w:t>
                    </w:r>
                  </w:p>
                </w:txbxContent>
              </v:textbox>
              <w10:wrap type="none"/>
            </v:shape>
            <v:shape style="position:absolute;left:7364;top:6358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1,542,699</w:t>
                    </w:r>
                  </w:p>
                </w:txbxContent>
              </v:textbox>
              <w10:wrap type="none"/>
            </v:shape>
            <v:shape style="position:absolute;left:1548;top:6595;width:7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1,500,000</w:t>
                    </w:r>
                  </w:p>
                </w:txbxContent>
              </v:textbox>
              <w10:wrap type="none"/>
            </v:shape>
            <v:shape style="position:absolute;left:3284;top:6456;width:2050;height:579" type="#_x0000_t202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1,454,188</w:t>
                    </w:r>
                  </w:p>
                  <w:p>
                    <w:pPr>
                      <w:spacing w:line="199" w:lineRule="exact" w:before="0"/>
                      <w:ind w:left="61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1,277,172</w:t>
                    </w:r>
                  </w:p>
                  <w:p>
                    <w:pPr>
                      <w:spacing w:line="207" w:lineRule="exact" w:before="0"/>
                      <w:ind w:left="129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1,096,603</w:t>
                    </w:r>
                  </w:p>
                </w:txbxContent>
              </v:textbox>
              <w10:wrap type="none"/>
            </v:shape>
            <v:shape style="position:absolute;left:6691;top:7004;width:6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962,595</w:t>
                    </w:r>
                  </w:p>
                </w:txbxContent>
              </v:textbox>
              <w10:wrap type="none"/>
            </v:shape>
            <v:shape style="position:absolute;left:9935;top:6896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1,059,392</w:t>
                    </w:r>
                  </w:p>
                </w:txbxContent>
              </v:textbox>
              <w10:wrap type="none"/>
            </v:shape>
            <v:shape style="position:absolute;left:1548;top:7152;width:7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1,000,000</w:t>
                    </w:r>
                  </w:p>
                </w:txbxContent>
              </v:textbox>
              <w10:wrap type="none"/>
            </v:shape>
            <v:shape style="position:absolute;left:2611;top:7351;width:6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650,643</w:t>
                    </w:r>
                  </w:p>
                </w:txbxContent>
              </v:textbox>
              <w10:wrap type="none"/>
            </v:shape>
            <v:shape style="position:absolute;left:7802;top:7543;width:6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478,833</w:t>
                    </w:r>
                  </w:p>
                </w:txbxContent>
              </v:textbox>
              <w10:wrap type="none"/>
            </v:shape>
            <v:shape style="position:absolute;left:1684;top:7709;width:6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500,000</w:t>
                    </w:r>
                  </w:p>
                </w:txbxContent>
              </v:textbox>
              <w10:wrap type="none"/>
            </v:shape>
            <v:shape style="position:absolute;left:5021;top:7700;width:6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337,476</w:t>
                    </w:r>
                  </w:p>
                </w:txbxContent>
              </v:textbox>
              <w10:wrap type="none"/>
            </v:shape>
            <v:shape style="position:absolute;left:2981;top:7889;width:6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168,304</w:t>
                    </w:r>
                  </w:p>
                </w:txbxContent>
              </v:textbox>
              <w10:wrap type="none"/>
            </v:shape>
            <v:shape style="position:absolute;left:9101;top:7755;width:6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288,353</w:t>
                    </w:r>
                  </w:p>
                </w:txbxContent>
              </v:textbox>
              <w10:wrap type="none"/>
            </v:shape>
            <v:shape style="position:absolute;left:7061;top:7917;width:6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142,768</w:t>
                    </w:r>
                  </w:p>
                </w:txbxContent>
              </v:textbox>
              <w10:wrap type="none"/>
            </v:shape>
            <v:shape style="position:absolute;left:2185;top:826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185;top:8500;width:6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Hombre</w:t>
                    </w:r>
                  </w:p>
                </w:txbxContent>
              </v:textbox>
              <w10:wrap type="none"/>
            </v:shape>
            <v:shape style="position:absolute;left:5301;top:8500;width:46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Mujer</w:t>
                    </w:r>
                  </w:p>
                </w:txbxContent>
              </v:textbox>
              <w10:wrap type="none"/>
            </v:shape>
            <v:shape style="position:absolute;left:7265;top:8500;width:6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Hombre</w:t>
                    </w:r>
                  </w:p>
                </w:txbxContent>
              </v:textbox>
              <w10:wrap type="none"/>
            </v:shape>
            <v:shape style="position:absolute;left:9382;top:8500;width:46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Mujer</w:t>
                    </w:r>
                  </w:p>
                </w:txbxContent>
              </v:textbox>
              <w10:wrap type="none"/>
            </v:shape>
            <v:shape style="position:absolute;left:3260;top:8884;width:64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Ninguno</w:t>
                    </w:r>
                  </w:p>
                </w:txbxContent>
              </v:textbox>
              <w10:wrap type="none"/>
            </v:shape>
            <v:shape style="position:absolute;left:4298;top:8884;width:88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Preprimaria</w:t>
                    </w:r>
                  </w:p>
                </w:txbxContent>
              </v:textbox>
              <w10:wrap type="none"/>
            </v:shape>
            <v:shape style="position:absolute;left:5579;top:8884;width:63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Primaria</w:t>
                    </w:r>
                  </w:p>
                </w:txbxContent>
              </v:textbox>
              <w10:wrap type="none"/>
            </v:shape>
            <v:shape style="position:absolute;left:6614;top:8884;width:259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Nivel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medio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(básico</w:t>
                    </w:r>
                    <w:r>
                      <w:rPr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y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diversificado)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spacing w:before="52"/>
        <w:ind w:left="118" w:right="976" w:firstLine="0"/>
        <w:jc w:val="both"/>
        <w:rPr>
          <w:sz w:val="24"/>
        </w:rPr>
      </w:pPr>
      <w:r>
        <w:rPr>
          <w:sz w:val="24"/>
        </w:rPr>
        <w:t>Con base a lo anterior, puede establecerse que la población objetivo mayormente afectada es la</w:t>
      </w:r>
      <w:r>
        <w:rPr>
          <w:spacing w:val="-52"/>
          <w:sz w:val="24"/>
        </w:rPr>
        <w:t> </w:t>
      </w:r>
      <w:r>
        <w:rPr>
          <w:sz w:val="24"/>
        </w:rPr>
        <w:t>población femenina, por lo que a continuación, se definirá el área, rural o urbana, en la que se</w:t>
      </w:r>
      <w:r>
        <w:rPr>
          <w:spacing w:val="1"/>
          <w:sz w:val="24"/>
        </w:rPr>
        <w:t> </w:t>
      </w:r>
      <w:r>
        <w:rPr>
          <w:sz w:val="24"/>
        </w:rPr>
        <w:t>ubica</w:t>
      </w:r>
      <w:r>
        <w:rPr>
          <w:spacing w:val="-1"/>
          <w:sz w:val="24"/>
        </w:rPr>
        <w:t> </w:t>
      </w:r>
      <w:r>
        <w:rPr>
          <w:sz w:val="24"/>
        </w:rPr>
        <w:t>esta</w:t>
      </w:r>
      <w:r>
        <w:rPr>
          <w:spacing w:val="-2"/>
          <w:sz w:val="24"/>
        </w:rPr>
        <w:t> </w:t>
      </w:r>
      <w:r>
        <w:rPr>
          <w:sz w:val="24"/>
        </w:rPr>
        <w:t>población</w:t>
      </w:r>
      <w:r>
        <w:rPr>
          <w:spacing w:val="-1"/>
          <w:sz w:val="24"/>
        </w:rPr>
        <w:t> </w:t>
      </w:r>
      <w:r>
        <w:rPr>
          <w:sz w:val="24"/>
        </w:rPr>
        <w:t>femenina</w:t>
      </w:r>
      <w:r>
        <w:rPr>
          <w:spacing w:val="-2"/>
          <w:sz w:val="24"/>
        </w:rPr>
        <w:t> </w:t>
      </w:r>
      <w:r>
        <w:rPr>
          <w:sz w:val="24"/>
        </w:rPr>
        <w:t>afectada.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18" w:right="973" w:firstLine="0"/>
        <w:jc w:val="both"/>
        <w:rPr>
          <w:sz w:val="24"/>
        </w:rPr>
      </w:pPr>
      <w:r>
        <w:rPr>
          <w:spacing w:val="-1"/>
          <w:sz w:val="24"/>
        </w:rPr>
        <w:t>En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siguiente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gráfico,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puede</w:t>
      </w:r>
      <w:r>
        <w:rPr>
          <w:spacing w:val="-13"/>
          <w:sz w:val="24"/>
        </w:rPr>
        <w:t> </w:t>
      </w:r>
      <w:r>
        <w:rPr>
          <w:sz w:val="24"/>
        </w:rPr>
        <w:t>observarse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cantidad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población</w:t>
      </w:r>
      <w:r>
        <w:rPr>
          <w:spacing w:val="-11"/>
          <w:sz w:val="24"/>
        </w:rPr>
        <w:t> </w:t>
      </w:r>
      <w:r>
        <w:rPr>
          <w:sz w:val="24"/>
        </w:rPr>
        <w:t>afectada,</w:t>
      </w:r>
      <w:r>
        <w:rPr>
          <w:spacing w:val="-11"/>
          <w:sz w:val="24"/>
        </w:rPr>
        <w:t> </w:t>
      </w:r>
      <w:r>
        <w:rPr>
          <w:sz w:val="24"/>
        </w:rPr>
        <w:t>en</w:t>
      </w:r>
      <w:r>
        <w:rPr>
          <w:spacing w:val="-9"/>
          <w:sz w:val="24"/>
        </w:rPr>
        <w:t> </w:t>
      </w:r>
      <w:r>
        <w:rPr>
          <w:sz w:val="24"/>
        </w:rPr>
        <w:t>su</w:t>
      </w:r>
      <w:r>
        <w:rPr>
          <w:spacing w:val="-12"/>
          <w:sz w:val="24"/>
        </w:rPr>
        <w:t> </w:t>
      </w:r>
      <w:r>
        <w:rPr>
          <w:sz w:val="24"/>
        </w:rPr>
        <w:t>caso,</w:t>
      </w:r>
      <w:r>
        <w:rPr>
          <w:spacing w:val="-12"/>
          <w:sz w:val="24"/>
        </w:rPr>
        <w:t> </w:t>
      </w:r>
      <w:r>
        <w:rPr>
          <w:sz w:val="24"/>
        </w:rPr>
        <w:t>femenina,</w:t>
      </w:r>
      <w:r>
        <w:rPr>
          <w:spacing w:val="-52"/>
          <w:sz w:val="24"/>
        </w:rPr>
        <w:t> </w:t>
      </w:r>
      <w:r>
        <w:rPr>
          <w:sz w:val="24"/>
        </w:rPr>
        <w:t>según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área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ubica.</w:t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836" w:right="0" w:firstLine="0"/>
        <w:jc w:val="left"/>
        <w:rPr>
          <w:sz w:val="20"/>
        </w:rPr>
      </w:pPr>
      <w:bookmarkStart w:name="_bookmark25" w:id="37"/>
      <w:bookmarkEnd w:id="37"/>
      <w:r>
        <w:rPr/>
      </w:r>
      <w:r>
        <w:rPr>
          <w:sz w:val="20"/>
        </w:rPr>
        <w:t>Gráfico</w:t>
      </w:r>
      <w:r>
        <w:rPr>
          <w:spacing w:val="-2"/>
          <w:sz w:val="20"/>
        </w:rPr>
        <w:t> </w:t>
      </w:r>
      <w:r>
        <w:rPr>
          <w:sz w:val="20"/>
        </w:rPr>
        <w:t>9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educación</w:t>
      </w:r>
      <w:r>
        <w:rPr>
          <w:spacing w:val="-1"/>
          <w:sz w:val="20"/>
        </w:rPr>
        <w:t> </w:t>
      </w:r>
      <w:r>
        <w:rPr>
          <w:sz w:val="20"/>
        </w:rPr>
        <w:t>más</w:t>
      </w:r>
      <w:r>
        <w:rPr>
          <w:spacing w:val="-3"/>
          <w:sz w:val="20"/>
        </w:rPr>
        <w:t> </w:t>
      </w:r>
      <w:r>
        <w:rPr>
          <w:sz w:val="20"/>
        </w:rPr>
        <w:t>alto</w:t>
      </w:r>
      <w:r>
        <w:rPr>
          <w:spacing w:val="-2"/>
          <w:sz w:val="20"/>
        </w:rPr>
        <w:t> </w:t>
      </w:r>
      <w:r>
        <w:rPr>
          <w:sz w:val="20"/>
        </w:rPr>
        <w:t>aprobado,</w:t>
      </w:r>
      <w:r>
        <w:rPr>
          <w:spacing w:val="-2"/>
          <w:sz w:val="20"/>
        </w:rPr>
        <w:t> </w:t>
      </w:r>
      <w:r>
        <w:rPr>
          <w:sz w:val="20"/>
        </w:rPr>
        <w:t>según</w:t>
      </w:r>
      <w:r>
        <w:rPr>
          <w:spacing w:val="-2"/>
          <w:sz w:val="20"/>
        </w:rPr>
        <w:t> </w:t>
      </w:r>
      <w:r>
        <w:rPr>
          <w:sz w:val="20"/>
        </w:rPr>
        <w:t>sexo</w:t>
      </w:r>
      <w:r>
        <w:rPr>
          <w:spacing w:val="-2"/>
          <w:sz w:val="20"/>
        </w:rPr>
        <w:t> </w:t>
      </w:r>
      <w:r>
        <w:rPr>
          <w:sz w:val="20"/>
        </w:rPr>
        <w:t>y área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ubicación</w:t>
      </w:r>
      <w:r>
        <w:rPr>
          <w:spacing w:val="-2"/>
          <w:sz w:val="20"/>
        </w:rPr>
        <w:t> </w:t>
      </w:r>
      <w:r>
        <w:rPr>
          <w:sz w:val="20"/>
        </w:rPr>
        <w:t>(urbano</w:t>
      </w:r>
      <w:r>
        <w:rPr>
          <w:spacing w:val="-5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rural)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42"/>
        <w:ind w:left="118" w:right="0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partir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Guatemala.</w:t>
      </w:r>
      <w:r>
        <w:rPr>
          <w:spacing w:val="-2"/>
          <w:sz w:val="16"/>
        </w:rPr>
        <w:t> </w:t>
      </w:r>
      <w:r>
        <w:rPr>
          <w:sz w:val="16"/>
        </w:rPr>
        <w:t>Procesado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Redatam</w:t>
      </w:r>
      <w:r>
        <w:rPr>
          <w:spacing w:val="-2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rPr>
          <w:sz w:val="20"/>
        </w:rPr>
      </w:pPr>
    </w:p>
    <w:p>
      <w:pPr>
        <w:spacing w:before="0"/>
        <w:ind w:left="118" w:right="975" w:firstLine="0"/>
        <w:jc w:val="both"/>
        <w:rPr>
          <w:sz w:val="24"/>
        </w:rPr>
      </w:pPr>
      <w:r>
        <w:rPr>
          <w:sz w:val="24"/>
        </w:rPr>
        <w:t>Con el propósito de confirmar aún más las características de la población afectada, se presenta</w:t>
      </w:r>
      <w:r>
        <w:rPr>
          <w:spacing w:val="1"/>
          <w:sz w:val="24"/>
        </w:rPr>
        <w:t> </w:t>
      </w:r>
      <w:r>
        <w:rPr>
          <w:sz w:val="24"/>
        </w:rPr>
        <w:t>en el siguiente gráfico, la cantidad de población, según el área en la que se encuentra y la</w:t>
      </w:r>
      <w:r>
        <w:rPr>
          <w:spacing w:val="1"/>
          <w:sz w:val="24"/>
        </w:rPr>
        <w:t> </w:t>
      </w:r>
      <w:r>
        <w:rPr>
          <w:sz w:val="24"/>
        </w:rPr>
        <w:t>autodeterminación por pueblo, a nivel nacional y en los departamentos en los que se identifican</w:t>
      </w:r>
      <w:r>
        <w:rPr>
          <w:spacing w:val="-52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mayor</w:t>
      </w:r>
      <w:r>
        <w:rPr>
          <w:spacing w:val="-3"/>
          <w:sz w:val="24"/>
        </w:rPr>
        <w:t> </w:t>
      </w:r>
      <w:r>
        <w:rPr>
          <w:sz w:val="24"/>
        </w:rPr>
        <w:t>porcentaje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déficit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cobertura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menor</w:t>
      </w:r>
      <w:r>
        <w:rPr>
          <w:spacing w:val="-3"/>
          <w:sz w:val="24"/>
        </w:rPr>
        <w:t> </w:t>
      </w:r>
      <w:r>
        <w:rPr>
          <w:sz w:val="24"/>
        </w:rPr>
        <w:t>cantidad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inscritos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distintos</w:t>
      </w:r>
      <w:r>
        <w:rPr>
          <w:spacing w:val="-6"/>
          <w:sz w:val="24"/>
        </w:rPr>
        <w:t> </w:t>
      </w:r>
      <w:r>
        <w:rPr>
          <w:sz w:val="24"/>
        </w:rPr>
        <w:t>niveles</w:t>
      </w:r>
      <w:r>
        <w:rPr>
          <w:spacing w:val="-52"/>
          <w:sz w:val="24"/>
        </w:rPr>
        <w:t> </w:t>
      </w:r>
      <w:r>
        <w:rPr>
          <w:sz w:val="24"/>
        </w:rPr>
        <w:t>educativos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sistema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educación.</w:t>
      </w:r>
    </w:p>
    <w:p>
      <w:pPr>
        <w:pStyle w:val="BodyText"/>
        <w:spacing w:before="12"/>
        <w:rPr>
          <w:sz w:val="23"/>
        </w:rPr>
      </w:pPr>
    </w:p>
    <w:p>
      <w:pPr>
        <w:spacing w:line="240" w:lineRule="auto" w:before="0"/>
        <w:ind w:left="118" w:right="972" w:firstLine="0"/>
        <w:jc w:val="both"/>
        <w:rPr>
          <w:sz w:val="24"/>
        </w:rPr>
      </w:pPr>
      <w:r>
        <w:rPr>
          <w:sz w:val="24"/>
        </w:rPr>
        <w:t>A continuación, la cantidad de población con nivel de estudio más alto aprobado, según el área</w:t>
      </w:r>
      <w:r>
        <w:rPr>
          <w:spacing w:val="1"/>
          <w:sz w:val="24"/>
        </w:rPr>
        <w:t> </w:t>
      </w:r>
      <w:r>
        <w:rPr>
          <w:sz w:val="24"/>
        </w:rPr>
        <w:t>de ubicación y el pueblo de pertenencia. Puede observarse en la gráfica, que en el área rural se</w:t>
      </w:r>
      <w:r>
        <w:rPr>
          <w:spacing w:val="1"/>
          <w:sz w:val="24"/>
        </w:rPr>
        <w:t> </w:t>
      </w:r>
      <w:r>
        <w:rPr>
          <w:sz w:val="24"/>
        </w:rPr>
        <w:t>ubica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población</w:t>
      </w:r>
      <w:r>
        <w:rPr>
          <w:spacing w:val="1"/>
          <w:sz w:val="24"/>
        </w:rPr>
        <w:t> </w:t>
      </w:r>
      <w:r>
        <w:rPr>
          <w:sz w:val="24"/>
        </w:rPr>
        <w:t>más</w:t>
      </w:r>
      <w:r>
        <w:rPr>
          <w:spacing w:val="1"/>
          <w:sz w:val="24"/>
        </w:rPr>
        <w:t> </w:t>
      </w:r>
      <w:r>
        <w:rPr>
          <w:sz w:val="24"/>
        </w:rPr>
        <w:t>afectada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cuanto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nivel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educación,</w:t>
      </w:r>
      <w:r>
        <w:rPr>
          <w:spacing w:val="1"/>
          <w:sz w:val="24"/>
        </w:rPr>
        <w:t> </w:t>
      </w:r>
      <w:r>
        <w:rPr>
          <w:sz w:val="24"/>
        </w:rPr>
        <w:t>especialmente</w:t>
      </w:r>
      <w:r>
        <w:rPr>
          <w:spacing w:val="1"/>
          <w:sz w:val="24"/>
        </w:rPr>
        <w:t> </w:t>
      </w:r>
      <w:r>
        <w:rPr>
          <w:sz w:val="24"/>
        </w:rPr>
        <w:t>si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pertenencia a uno de los pueblos Maya, Garífuna, Xinka o Afrodescendiente, confirmándose que</w:t>
      </w:r>
      <w:r>
        <w:rPr>
          <w:spacing w:val="-53"/>
          <w:sz w:val="24"/>
        </w:rPr>
        <w:t> </w:t>
      </w:r>
      <w:r>
        <w:rPr>
          <w:sz w:val="24"/>
        </w:rPr>
        <w:t>el nivel más alto de la población tanto urbana como rural es el nivel de educación primaria, con</w:t>
      </w:r>
      <w:r>
        <w:rPr>
          <w:spacing w:val="1"/>
          <w:sz w:val="24"/>
        </w:rPr>
        <w:t> </w:t>
      </w:r>
      <w:r>
        <w:rPr>
          <w:sz w:val="24"/>
        </w:rPr>
        <w:t>excepción de la población ladina, la cual es la menos afectada en el área urbana ya que cuenta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población</w:t>
      </w:r>
      <w:r>
        <w:rPr>
          <w:spacing w:val="1"/>
          <w:sz w:val="24"/>
        </w:rPr>
        <w:t> </w:t>
      </w:r>
      <w:r>
        <w:rPr>
          <w:sz w:val="24"/>
        </w:rPr>
        <w:t>mayoritariamente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nivel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educación media.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Heading1"/>
        <w:spacing w:line="240" w:lineRule="auto" w:before="92" w:after="0"/>
        <w:ind w:right="111"/>
      </w:pPr>
      <w:r>
        <w:rPr/>
        <w:t>20</w:t>
      </w:r>
    </w:p>
    <w:p>
      <w:pPr>
        <w:spacing w:after="0" w:line="240" w:lineRule="auto"/>
        <w:sectPr>
          <w:pgSz w:w="12240" w:h="15840"/>
          <w:pgMar w:top="1500" w:bottom="280" w:left="1300" w:right="44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5840" w:h="12240" w:orient="landscape"/>
          <w:pgMar w:top="480" w:bottom="0" w:left="1600" w:right="260"/>
        </w:sect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spacing w:before="143"/>
        <w:ind w:left="231" w:right="0" w:firstLine="0"/>
        <w:jc w:val="left"/>
        <w:rPr>
          <w:sz w:val="18"/>
        </w:rPr>
      </w:pPr>
      <w:r>
        <w:rPr/>
        <w:pict>
          <v:group style="position:absolute;margin-left:85.050003pt;margin-top:2.169332pt;width:640.4pt;height:401.85pt;mso-position-horizontal-relative:page;mso-position-vertical-relative:paragraph;z-index:-28967936" coordorigin="1701,43" coordsize="12808,8037">
            <v:rect style="position:absolute;left:1701;top:43;width:12808;height:8037" filled="true" fillcolor="#ffffff" stroked="false">
              <v:fill type="solid"/>
            </v:rect>
            <v:shape style="position:absolute;left:2930;top:3118;width:10594;height:2186" coordorigin="2930,3119" coordsize="10594,2186" path="m3118,4261l2930,4261,2930,5304,3118,5304,3118,4261xm4274,5303l4087,5303,4087,5304,4274,5304,4274,5303xm5431,5235l5244,5235,5244,5304,5431,5304,5431,5235xm6586,5300l6398,5300,6398,5304,6586,5304,6586,5300xm7742,4215l7555,4215,7555,5304,7742,5304,7742,4215xm8899,3119l8712,3119,8712,5304,8899,5304,8899,3119xm10056,5300l9869,5300,9869,5304,10056,5304,10056,5300xm11210,5269l11026,5269,11026,5304,11210,5304,11210,5269xm12367,5300l12180,5300,12180,5304,12367,5304,12367,5300xm13524,4146l13337,4146,13337,5304,13524,5304,13524,4146xe" filled="true" fillcolor="#5b9bd4" stroked="false">
              <v:path arrowok="t"/>
              <v:fill type="solid"/>
            </v:shape>
            <v:shape style="position:absolute;left:3117;top:4839;width:10594;height:465" coordorigin="3118,4839" coordsize="10594,465" path="m3305,5111l3118,5111,3118,5304,3305,5304,3305,5111xm4462,5302l4274,5302,4274,5304,4462,5304,4462,5302xm5616,5288l5431,5288,5431,5304,5616,5304,5616,5288xm6773,5302l6586,5302,6586,5304,6773,5304,6773,5302xm7930,4839l7742,4839,7742,5304,7930,5304,7930,4839xm9086,4983l8899,4983,8899,5304,9086,5304,9086,4983xm10243,5302l10056,5302,10056,5304,10243,5304,10243,5302xm11398,5295l11210,5295,11210,5304,11398,5304,11398,5295xm12554,5302l12367,5302,12367,5304,12554,5304,12554,5302xm13711,5055l13524,5055,13524,5304,13711,5304,13711,5055xe" filled="true" fillcolor="#ec7c30" stroked="false">
              <v:path arrowok="t"/>
              <v:fill type="solid"/>
            </v:shape>
            <v:shape style="position:absolute;left:3304;top:1798;width:10594;height:3506" coordorigin="3305,1799" coordsize="10594,3506" path="m3492,3361l3305,3361,3305,5304,3492,5304,3492,3361xm4646,5295l4462,5295,4462,5304,4646,5304,4646,5295xm5803,5149l5616,5149,5616,5304,5803,5304,5803,5149xm6960,5295l6773,5295,6773,5304,6960,5304,6960,5295xm8117,1799l7930,1799,7930,5304,8117,5304,8117,1799xm9274,1938l9086,1938,9086,5304,9274,5304,9274,1938xm10428,5298l10243,5298,10243,5304,10428,5304,10428,5298xm11585,5211l11398,5211,11398,5304,11585,5304,11585,5211xm12742,5295l12554,5295,12554,5304,12742,5304,12742,5295xm13898,2600l13711,2600,13711,5304,13898,5304,13898,2600xe" filled="true" fillcolor="#a4a4a4" stroked="false">
              <v:path arrowok="t"/>
              <v:fill type="solid"/>
            </v:shape>
            <v:shape style="position:absolute;left:3492;top:1371;width:10594;height:3933" coordorigin="3492,1371" coordsize="10594,3933" path="m3677,4184l3492,4184,3492,5304,3677,5304,3677,4184xm4834,5295l4646,5295,4646,5304,4834,5304,4834,5295xm5990,5247l5803,5247,5803,5304,5990,5304,5990,5247xm7147,5293l6960,5293,6960,5304,7147,5304,7147,5293xm8304,1371l8117,1371,8117,5304,8304,5304,8304,1371xm9458,4412l9274,4412,9274,5304,9458,5304,9458,4412xm10615,5302l10428,5302,10428,5304,10615,5304,10615,5302xm11772,5271l11585,5271,11585,5304,11772,5304,11772,5271xm12929,5300l12742,5300,12742,5304,12929,5304,12929,5300xm14086,4105l13898,4105,13898,5304,14086,5304,14086,4105xe" filled="true" fillcolor="#ffc000" stroked="false">
              <v:path arrowok="t"/>
              <v:fill type="solid"/>
            </v:shape>
            <v:shape style="position:absolute;left:2726;top:5304;width:11563;height:2219" coordorigin="2726,5304" coordsize="11563,2219" path="m2726,5304l14289,5304m2726,5304l2726,7100m14289,5304l14289,7100m2726,7100l2726,7523m14289,7100l14289,7523e" filled="false" stroked="true" strokeweight=".75pt" strokecolor="#d9d9d9">
              <v:path arrowok="t"/>
              <v:stroke dashstyle="solid"/>
            </v:shape>
            <v:shape style="position:absolute;left:3584;top:3018;width:10567;height:2286" coordorigin="3585,3019" coordsize="10567,2286" path="m4180,5302l4080,5124m8806,3118l8666,3019m11118,5268l11078,5110m12274,5300l12074,5120m13431,4147l13111,4008m4367,5303l4367,4340m5523,5288l5523,4796m6680,5303l6660,4360m10149,5304l10109,4989m11305,5296l11105,4745m4554,5296l4674,4548m5710,5148l5730,4401m6867,5294l6927,4940m10335,5298l10355,4689m11492,5211l11592,4503m12648,5295l12648,4935m3585,4185l3658,3769,3748,3769m4741,5295l4981,4823m5897,5246l5997,5049m9366,4413l9606,4254m10522,5302l10542,5183m11678,5270l11738,4560,11828,4560m12835,5300l13115,4880m13991,4104l14151,4005e" filled="false" stroked="true" strokeweight=".75pt" strokecolor="#a6a6a6">
              <v:path arrowok="t"/>
              <v:stroke dashstyle="solid"/>
            </v:shape>
            <v:rect style="position:absolute;left:5104;top:7742;width:99;height:99" filled="true" fillcolor="#5b9bd4" stroked="false">
              <v:fill type="solid"/>
            </v:rect>
            <v:rect style="position:absolute;left:6141;top:7742;width:99;height:99" filled="true" fillcolor="#ec7c30" stroked="false">
              <v:fill type="solid"/>
            </v:rect>
            <v:rect style="position:absolute;left:7422;top:7742;width:99;height:99" filled="true" fillcolor="#a4a4a4" stroked="false">
              <v:fill type="solid"/>
            </v:rect>
            <v:rect style="position:absolute;left:8456;top:7742;width:99;height:99" filled="true" fillcolor="#ffc000" stroked="false">
              <v:fill type="solid"/>
            </v:rect>
            <w10:wrap type="none"/>
          </v:group>
        </w:pict>
      </w:r>
      <w:bookmarkStart w:name="_bookmark26" w:id="38"/>
      <w:bookmarkEnd w:id="38"/>
      <w:r>
        <w:rPr/>
      </w:r>
      <w:r>
        <w:rPr>
          <w:color w:val="585858"/>
          <w:sz w:val="18"/>
        </w:rPr>
        <w:t>2,500,000</w:t>
      </w:r>
    </w:p>
    <w:p>
      <w:pPr>
        <w:pStyle w:val="BodyText"/>
        <w:spacing w:before="7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231" w:right="0" w:firstLine="0"/>
        <w:jc w:val="left"/>
        <w:rPr>
          <w:sz w:val="20"/>
        </w:rPr>
      </w:pPr>
      <w:r>
        <w:rPr>
          <w:sz w:val="20"/>
        </w:rPr>
        <w:t>Gráfico</w:t>
      </w:r>
      <w:r>
        <w:rPr>
          <w:spacing w:val="-2"/>
          <w:sz w:val="20"/>
        </w:rPr>
        <w:t> </w:t>
      </w:r>
      <w:r>
        <w:rPr>
          <w:sz w:val="20"/>
        </w:rPr>
        <w:t>10</w:t>
      </w:r>
      <w:r>
        <w:rPr>
          <w:spacing w:val="-2"/>
          <w:sz w:val="20"/>
        </w:rPr>
        <w:t> </w:t>
      </w:r>
      <w:r>
        <w:rPr>
          <w:sz w:val="20"/>
        </w:rPr>
        <w:t>Población</w:t>
      </w:r>
      <w:r>
        <w:rPr>
          <w:spacing w:val="-1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estudio</w:t>
      </w:r>
      <w:r>
        <w:rPr>
          <w:spacing w:val="-2"/>
          <w:sz w:val="20"/>
        </w:rPr>
        <w:t> </w:t>
      </w:r>
      <w:r>
        <w:rPr>
          <w:sz w:val="20"/>
        </w:rPr>
        <w:t>más</w:t>
      </w:r>
      <w:r>
        <w:rPr>
          <w:spacing w:val="-3"/>
          <w:sz w:val="20"/>
        </w:rPr>
        <w:t> </w:t>
      </w:r>
      <w:r>
        <w:rPr>
          <w:sz w:val="20"/>
        </w:rPr>
        <w:t>alto</w:t>
      </w:r>
      <w:r>
        <w:rPr>
          <w:spacing w:val="-2"/>
          <w:sz w:val="20"/>
        </w:rPr>
        <w:t> </w:t>
      </w:r>
      <w:r>
        <w:rPr>
          <w:sz w:val="20"/>
        </w:rPr>
        <w:t>aprobado,</w:t>
      </w:r>
      <w:r>
        <w:rPr>
          <w:spacing w:val="-2"/>
          <w:sz w:val="20"/>
        </w:rPr>
        <w:t> </w:t>
      </w:r>
      <w:r>
        <w:rPr>
          <w:sz w:val="20"/>
        </w:rPr>
        <w:t>según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área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ubicación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pueblo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pertenencia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340" w:bottom="280" w:left="1600" w:right="260"/>
          <w:cols w:num="2" w:equalWidth="0">
            <w:col w:w="999" w:space="182"/>
            <w:col w:w="127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5840" w:h="12240" w:orient="landscape"/>
          <w:pgMar w:top="340" w:bottom="280" w:left="1600" w:right="260"/>
        </w:sectPr>
      </w:pPr>
    </w:p>
    <w:p>
      <w:pPr>
        <w:pStyle w:val="BodyText"/>
        <w:spacing w:before="7"/>
        <w:rPr>
          <w:sz w:val="24"/>
        </w:rPr>
      </w:pPr>
    </w:p>
    <w:p>
      <w:pPr>
        <w:spacing w:before="0"/>
        <w:ind w:left="231" w:right="0" w:firstLine="0"/>
        <w:jc w:val="left"/>
        <w:rPr>
          <w:sz w:val="18"/>
        </w:rPr>
      </w:pPr>
      <w:r>
        <w:rPr>
          <w:color w:val="585858"/>
          <w:sz w:val="18"/>
        </w:rPr>
        <w:t>2,000,000</w:t>
      </w:r>
    </w:p>
    <w:p>
      <w:pPr>
        <w:pStyle w:val="BodyText"/>
        <w:spacing w:before="3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418" w:right="0" w:firstLine="0"/>
        <w:jc w:val="left"/>
        <w:rPr>
          <w:sz w:val="18"/>
        </w:rPr>
      </w:pPr>
      <w:r>
        <w:rPr>
          <w:color w:val="404040"/>
          <w:sz w:val="18"/>
        </w:rPr>
        <w:t>1,950,357</w:t>
      </w:r>
    </w:p>
    <w:p>
      <w:pPr>
        <w:pStyle w:val="BodyText"/>
        <w:spacing w:before="10"/>
        <w:rPr>
          <w:sz w:val="16"/>
        </w:rPr>
      </w:pPr>
    </w:p>
    <w:p>
      <w:pPr>
        <w:spacing w:before="1"/>
        <w:ind w:left="231" w:right="0" w:firstLine="0"/>
        <w:jc w:val="left"/>
        <w:rPr>
          <w:sz w:val="18"/>
        </w:rPr>
      </w:pPr>
      <w:r>
        <w:rPr>
          <w:color w:val="404040"/>
          <w:sz w:val="18"/>
        </w:rPr>
        <w:t>1,739,109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17"/>
        <w:ind w:left="200" w:right="0" w:firstLine="0"/>
        <w:jc w:val="left"/>
        <w:rPr>
          <w:sz w:val="18"/>
        </w:rPr>
      </w:pPr>
      <w:r>
        <w:rPr>
          <w:color w:val="404040"/>
          <w:sz w:val="18"/>
        </w:rPr>
        <w:t>1,669,588</w:t>
      </w:r>
    </w:p>
    <w:p>
      <w:pPr>
        <w:spacing w:after="0"/>
        <w:jc w:val="left"/>
        <w:rPr>
          <w:sz w:val="18"/>
        </w:rPr>
        <w:sectPr>
          <w:type w:val="continuous"/>
          <w:pgSz w:w="15840" w:h="12240" w:orient="landscape"/>
          <w:pgMar w:top="340" w:bottom="280" w:left="1600" w:right="260"/>
          <w:cols w:num="3" w:equalWidth="0">
            <w:col w:w="999" w:space="4827"/>
            <w:col w:w="1148" w:space="40"/>
            <w:col w:w="6966"/>
          </w:cols>
        </w:sectPr>
      </w:pP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5840" w:h="12240" w:orient="landscape"/>
          <w:pgMar w:top="340" w:bottom="280" w:left="1600" w:right="260"/>
        </w:sectPr>
      </w:pPr>
    </w:p>
    <w:p>
      <w:pPr>
        <w:spacing w:before="64"/>
        <w:ind w:left="231" w:right="0" w:firstLine="0"/>
        <w:jc w:val="left"/>
        <w:rPr>
          <w:sz w:val="18"/>
        </w:rPr>
      </w:pPr>
      <w:r>
        <w:rPr>
          <w:color w:val="585858"/>
          <w:sz w:val="18"/>
        </w:rPr>
        <w:t>1,500,000</w:t>
      </w:r>
    </w:p>
    <w:p>
      <w:pPr>
        <w:pStyle w:val="BodyText"/>
        <w:spacing w:before="9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1"/>
        <w:ind w:left="231" w:right="0" w:firstLine="0"/>
        <w:jc w:val="left"/>
        <w:rPr>
          <w:sz w:val="18"/>
        </w:rPr>
      </w:pPr>
      <w:r>
        <w:rPr>
          <w:color w:val="404040"/>
          <w:sz w:val="18"/>
        </w:rPr>
        <w:t>1,341,657</w:t>
      </w:r>
    </w:p>
    <w:p>
      <w:pPr>
        <w:spacing w:after="0"/>
        <w:jc w:val="left"/>
        <w:rPr>
          <w:sz w:val="18"/>
        </w:rPr>
        <w:sectPr>
          <w:type w:val="continuous"/>
          <w:pgSz w:w="15840" w:h="12240" w:orient="landscape"/>
          <w:pgMar w:top="340" w:bottom="280" w:left="1600" w:right="260"/>
          <w:cols w:num="2" w:equalWidth="0">
            <w:col w:w="999" w:space="10610"/>
            <w:col w:w="2371"/>
          </w:cols>
        </w:sectPr>
      </w:pP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5840" w:h="12240" w:orient="landscape"/>
          <w:pgMar w:top="340" w:bottom="280" w:left="1600" w:right="26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19"/>
        </w:rPr>
      </w:pPr>
    </w:p>
    <w:p>
      <w:pPr>
        <w:spacing w:before="0"/>
        <w:ind w:left="231" w:right="0" w:firstLine="0"/>
        <w:jc w:val="left"/>
        <w:rPr>
          <w:sz w:val="18"/>
        </w:rPr>
      </w:pPr>
      <w:r>
        <w:rPr>
          <w:color w:val="585858"/>
          <w:sz w:val="18"/>
        </w:rPr>
        <w:t>1,000,000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27"/>
        <w:ind w:left="231" w:right="0" w:firstLine="0"/>
        <w:jc w:val="left"/>
        <w:rPr>
          <w:sz w:val="18"/>
        </w:rPr>
      </w:pPr>
      <w:r>
        <w:rPr>
          <w:color w:val="404040"/>
          <w:sz w:val="18"/>
        </w:rPr>
        <w:t>963,324</w:t>
      </w:r>
    </w:p>
    <w:p>
      <w:pPr>
        <w:spacing w:before="64"/>
        <w:ind w:left="231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</w:rPr>
        <w:t>1,084,316</w:t>
      </w:r>
    </w:p>
    <w:p>
      <w:pPr>
        <w:spacing w:after="0"/>
        <w:jc w:val="left"/>
        <w:rPr>
          <w:sz w:val="18"/>
        </w:rPr>
        <w:sectPr>
          <w:type w:val="continuous"/>
          <w:pgSz w:w="15840" w:h="12240" w:orient="landscape"/>
          <w:pgMar w:top="340" w:bottom="280" w:left="1600" w:right="260"/>
          <w:cols w:num="3" w:equalWidth="0">
            <w:col w:w="999" w:space="271"/>
            <w:col w:w="864" w:space="4335"/>
            <w:col w:w="7511"/>
          </w:cols>
        </w:sectPr>
      </w:pP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5840" w:h="12240" w:orient="landscape"/>
          <w:pgMar w:top="340" w:bottom="280" w:left="1600" w:right="26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42"/>
        <w:ind w:left="367" w:right="0" w:firstLine="0"/>
        <w:jc w:val="left"/>
        <w:rPr>
          <w:sz w:val="18"/>
        </w:rPr>
      </w:pPr>
      <w:r>
        <w:rPr>
          <w:color w:val="585858"/>
          <w:sz w:val="18"/>
        </w:rPr>
        <w:t>500,000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36"/>
        <w:ind w:left="127" w:right="0" w:firstLine="0"/>
        <w:jc w:val="left"/>
        <w:rPr>
          <w:sz w:val="18"/>
        </w:rPr>
      </w:pPr>
      <w:r>
        <w:rPr>
          <w:color w:val="404040"/>
          <w:sz w:val="18"/>
        </w:rPr>
        <w:t>517,479</w:t>
      </w:r>
    </w:p>
    <w:p>
      <w:pPr>
        <w:spacing w:before="64"/>
        <w:ind w:left="367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</w:rPr>
        <w:t>555,135</w:t>
      </w:r>
    </w:p>
    <w:p>
      <w:pPr>
        <w:pStyle w:val="BodyText"/>
        <w:spacing w:before="4"/>
        <w:rPr>
          <w:sz w:val="17"/>
        </w:rPr>
      </w:pPr>
    </w:p>
    <w:p>
      <w:pPr>
        <w:spacing w:line="214" w:lineRule="exact" w:before="0"/>
        <w:ind w:left="392" w:right="287" w:firstLine="0"/>
        <w:jc w:val="center"/>
        <w:rPr>
          <w:sz w:val="18"/>
        </w:rPr>
      </w:pPr>
      <w:r>
        <w:rPr>
          <w:color w:val="404040"/>
          <w:sz w:val="18"/>
        </w:rPr>
        <w:t>588</w:t>
      </w:r>
    </w:p>
    <w:p>
      <w:pPr>
        <w:spacing w:line="214" w:lineRule="exact" w:before="0"/>
        <w:ind w:left="768" w:right="47" w:firstLine="0"/>
        <w:jc w:val="center"/>
        <w:rPr>
          <w:sz w:val="18"/>
        </w:rPr>
      </w:pPr>
      <w:r>
        <w:rPr>
          <w:color w:val="404040"/>
          <w:sz w:val="18"/>
        </w:rPr>
        <w:t>4,442</w:t>
      </w:r>
    </w:p>
    <w:p>
      <w:pPr>
        <w:spacing w:line="93" w:lineRule="exact" w:before="55"/>
        <w:ind w:left="0" w:right="0" w:firstLine="0"/>
        <w:jc w:val="right"/>
        <w:rPr>
          <w:sz w:val="18"/>
        </w:rPr>
      </w:pPr>
      <w:r>
        <w:rPr>
          <w:color w:val="404040"/>
          <w:sz w:val="18"/>
        </w:rPr>
        <w:t>4,679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spacing w:before="117"/>
        <w:ind w:left="254" w:right="0" w:firstLine="0"/>
        <w:jc w:val="left"/>
        <w:rPr>
          <w:sz w:val="18"/>
        </w:rPr>
      </w:pPr>
      <w:r>
        <w:rPr>
          <w:color w:val="404040"/>
          <w:sz w:val="18"/>
        </w:rPr>
        <w:t>77,441</w:t>
      </w:r>
    </w:p>
    <w:p>
      <w:pPr>
        <w:pStyle w:val="BodyText"/>
        <w:spacing w:before="4"/>
        <w:rPr>
          <w:sz w:val="14"/>
        </w:rPr>
      </w:pPr>
    </w:p>
    <w:p>
      <w:pPr>
        <w:spacing w:line="120" w:lineRule="exact" w:before="0"/>
        <w:ind w:left="92" w:right="0" w:firstLine="0"/>
        <w:jc w:val="left"/>
        <w:rPr>
          <w:sz w:val="18"/>
        </w:rPr>
      </w:pPr>
      <w:r>
        <w:rPr>
          <w:color w:val="404040"/>
          <w:sz w:val="18"/>
        </w:rPr>
        <w:t>8,261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367" w:right="0" w:firstLine="0"/>
        <w:jc w:val="left"/>
        <w:rPr>
          <w:sz w:val="18"/>
        </w:rPr>
      </w:pPr>
      <w:r>
        <w:rPr>
          <w:color w:val="404040"/>
          <w:sz w:val="18"/>
        </w:rPr>
        <w:t>731</w:t>
      </w:r>
    </w:p>
    <w:p>
      <w:pPr>
        <w:pStyle w:val="BodyText"/>
        <w:spacing w:before="6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367" w:right="0" w:firstLine="0"/>
        <w:jc w:val="left"/>
        <w:rPr>
          <w:sz w:val="18"/>
        </w:rPr>
      </w:pPr>
      <w:r>
        <w:rPr>
          <w:color w:val="404040"/>
          <w:sz w:val="18"/>
        </w:rPr>
        <w:t>539,602</w:t>
      </w: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15"/>
        </w:rPr>
      </w:pPr>
    </w:p>
    <w:p>
      <w:pPr>
        <w:spacing w:line="136" w:lineRule="exact" w:before="0"/>
        <w:ind w:left="554" w:right="0" w:firstLine="0"/>
        <w:jc w:val="left"/>
        <w:rPr>
          <w:sz w:val="18"/>
        </w:rPr>
      </w:pPr>
      <w:r>
        <w:rPr>
          <w:color w:val="404040"/>
          <w:sz w:val="18"/>
        </w:rPr>
        <w:t>230,607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7"/>
        <w:rPr>
          <w:sz w:val="15"/>
        </w:rPr>
      </w:pPr>
    </w:p>
    <w:p>
      <w:pPr>
        <w:spacing w:before="0"/>
        <w:ind w:left="367" w:right="0" w:firstLine="0"/>
        <w:jc w:val="left"/>
        <w:rPr>
          <w:sz w:val="18"/>
        </w:rPr>
      </w:pPr>
      <w:r>
        <w:rPr>
          <w:color w:val="404040"/>
          <w:sz w:val="18"/>
        </w:rPr>
        <w:t>442,305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5"/>
        </w:rPr>
      </w:pPr>
    </w:p>
    <w:p>
      <w:pPr>
        <w:spacing w:before="0"/>
        <w:ind w:left="208" w:right="0" w:firstLine="0"/>
        <w:jc w:val="left"/>
        <w:rPr>
          <w:sz w:val="18"/>
        </w:rPr>
      </w:pPr>
      <w:r>
        <w:rPr>
          <w:color w:val="404040"/>
          <w:sz w:val="18"/>
        </w:rPr>
        <w:t>2,993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9"/>
        </w:rPr>
      </w:pPr>
    </w:p>
    <w:p>
      <w:pPr>
        <w:spacing w:line="171" w:lineRule="exact" w:before="0"/>
        <w:ind w:left="299" w:right="0" w:firstLine="0"/>
        <w:jc w:val="left"/>
        <w:rPr>
          <w:sz w:val="18"/>
        </w:rPr>
      </w:pPr>
      <w:r>
        <w:rPr>
          <w:color w:val="404040"/>
          <w:sz w:val="18"/>
        </w:rPr>
        <w:t>4,365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0"/>
        <w:ind w:left="-9" w:right="0" w:firstLine="0"/>
        <w:jc w:val="left"/>
        <w:rPr>
          <w:sz w:val="18"/>
        </w:rPr>
      </w:pPr>
      <w:r>
        <w:rPr>
          <w:color w:val="404040"/>
          <w:sz w:val="18"/>
        </w:rPr>
        <w:t>46,561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6"/>
        </w:rPr>
      </w:pPr>
    </w:p>
    <w:p>
      <w:pPr>
        <w:spacing w:line="216" w:lineRule="exact" w:before="1"/>
        <w:ind w:left="5" w:right="0" w:firstLine="0"/>
        <w:jc w:val="left"/>
        <w:rPr>
          <w:sz w:val="18"/>
        </w:rPr>
      </w:pPr>
      <w:r>
        <w:rPr>
          <w:color w:val="404040"/>
          <w:sz w:val="18"/>
        </w:rPr>
        <w:t>16,893</w:t>
      </w:r>
    </w:p>
    <w:p>
      <w:pPr>
        <w:pStyle w:val="BodyText"/>
        <w:spacing w:before="4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367" w:right="0" w:firstLine="0"/>
        <w:jc w:val="left"/>
        <w:rPr>
          <w:sz w:val="18"/>
        </w:rPr>
      </w:pPr>
      <w:r>
        <w:rPr>
          <w:color w:val="404040"/>
          <w:sz w:val="18"/>
        </w:rPr>
        <w:t>574,231</w:t>
      </w:r>
    </w:p>
    <w:p>
      <w:pPr>
        <w:spacing w:before="160"/>
        <w:ind w:left="367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</w:rPr>
        <w:t>595,225</w:t>
      </w:r>
    </w:p>
    <w:p>
      <w:pPr>
        <w:spacing w:after="0"/>
        <w:jc w:val="left"/>
        <w:rPr>
          <w:sz w:val="18"/>
        </w:rPr>
        <w:sectPr>
          <w:type w:val="continuous"/>
          <w:pgSz w:w="15840" w:h="12240" w:orient="landscape"/>
          <w:pgMar w:top="340" w:bottom="280" w:left="1600" w:right="260"/>
          <w:cols w:num="13" w:equalWidth="0">
            <w:col w:w="961" w:space="40"/>
            <w:col w:w="761" w:space="79"/>
            <w:col w:w="1746" w:space="39"/>
            <w:col w:w="797" w:space="132"/>
            <w:col w:w="682" w:space="149"/>
            <w:col w:w="1187" w:space="770"/>
            <w:col w:w="961" w:space="40"/>
            <w:col w:w="619" w:space="39"/>
            <w:col w:w="710" w:space="39"/>
            <w:col w:w="493" w:space="39"/>
            <w:col w:w="507" w:space="58"/>
            <w:col w:w="1001" w:space="40"/>
            <w:col w:w="2091"/>
          </w:cols>
        </w:sectPr>
      </w:pPr>
    </w:p>
    <w:p>
      <w:pPr>
        <w:spacing w:before="134"/>
        <w:ind w:left="0" w:right="0" w:firstLine="0"/>
        <w:jc w:val="right"/>
        <w:rPr>
          <w:sz w:val="18"/>
        </w:rPr>
      </w:pPr>
      <w:r>
        <w:rPr>
          <w:color w:val="404040"/>
          <w:sz w:val="18"/>
        </w:rPr>
        <w:t>96,522</w:t>
      </w:r>
    </w:p>
    <w:p>
      <w:pPr>
        <w:pStyle w:val="BodyText"/>
        <w:spacing w:before="6"/>
        <w:rPr>
          <w:sz w:val="13"/>
        </w:rPr>
      </w:pPr>
    </w:p>
    <w:p>
      <w:pPr>
        <w:spacing w:before="0"/>
        <w:ind w:left="0" w:right="31" w:firstLine="0"/>
        <w:jc w:val="center"/>
        <w:rPr>
          <w:sz w:val="18"/>
        </w:rPr>
      </w:pPr>
      <w:r>
        <w:rPr/>
        <w:pict>
          <v:shape style="position:absolute;margin-left:159.679993pt;margin-top:11.966909pt;width:13.05pt;height:27pt;mso-position-horizontal-relative:page;mso-position-vertical-relative:paragraph;z-index:157660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45" w:lineRule="exact"/>
                    <w:ind w:left="20"/>
                  </w:pPr>
                  <w:r>
                    <w:rPr>
                      <w:color w:val="585858"/>
                    </w:rPr>
                    <w:t>Maya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18"/>
        </w:rPr>
        <w:t>0</w:t>
      </w:r>
    </w:p>
    <w:p>
      <w:pPr>
        <w:pStyle w:val="BodyText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374" w:right="0" w:firstLine="0"/>
        <w:jc w:val="left"/>
        <w:rPr>
          <w:sz w:val="18"/>
        </w:rPr>
      </w:pPr>
      <w:r>
        <w:rPr>
          <w:color w:val="404040"/>
          <w:sz w:val="18"/>
        </w:rPr>
        <w:t>1,408</w:t>
      </w:r>
    </w:p>
    <w:p>
      <w:pPr>
        <w:pStyle w:val="BodyText"/>
        <w:spacing w:before="2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660" w:right="0" w:firstLine="0"/>
        <w:jc w:val="left"/>
        <w:rPr>
          <w:sz w:val="18"/>
        </w:rPr>
      </w:pPr>
      <w:r>
        <w:rPr>
          <w:color w:val="404040"/>
          <w:sz w:val="18"/>
        </w:rPr>
        <w:t>34,819</w:t>
      </w:r>
    </w:p>
    <w:p>
      <w:pPr>
        <w:spacing w:before="133"/>
        <w:ind w:left="218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</w:rPr>
        <w:t>28,896</w:t>
      </w:r>
    </w:p>
    <w:p>
      <w:pPr>
        <w:pStyle w:val="BodyText"/>
        <w:spacing w:before="8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0"/>
        <w:ind w:left="0" w:right="0" w:firstLine="0"/>
        <w:jc w:val="left"/>
        <w:rPr>
          <w:sz w:val="18"/>
        </w:rPr>
      </w:pPr>
      <w:r>
        <w:rPr/>
        <w:pict>
          <v:shape style="position:absolute;margin-left:217.520004pt;margin-top:21.654692pt;width:13.05pt;height:40.8pt;mso-position-horizontal-relative:page;mso-position-vertical-relative:paragraph;z-index:157665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45" w:lineRule="exact"/>
                    <w:ind w:left="20"/>
                  </w:pPr>
                  <w:r>
                    <w:rPr>
                      <w:color w:val="585858"/>
                    </w:rPr>
                    <w:t>Garífuna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339996pt;margin-top:21.698412pt;width:13.05pt;height:26.3pt;mso-position-horizontal-relative:page;mso-position-vertical-relative:paragraph;z-index:157670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45" w:lineRule="exact"/>
                    <w:ind w:left="20"/>
                  </w:pPr>
                  <w:r>
                    <w:rPr>
                      <w:color w:val="585858"/>
                    </w:rPr>
                    <w:t>Xinka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0.970001pt;margin-top:21.619902pt;width:13.05pt;height:31.35pt;mso-position-horizontal-relative:page;mso-position-vertical-relative:paragraph;z-index:157680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45" w:lineRule="exact"/>
                    <w:ind w:left="20"/>
                  </w:pPr>
                  <w:r>
                    <w:rPr>
                      <w:color w:val="585858"/>
                    </w:rPr>
                    <w:t>Ladina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8.809998pt;margin-top:21.636908pt;width:13.05pt;height:27pt;mso-position-horizontal-relative:page;mso-position-vertical-relative:paragraph;z-index:157685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45" w:lineRule="exact"/>
                    <w:ind w:left="20"/>
                  </w:pPr>
                  <w:r>
                    <w:rPr>
                      <w:color w:val="585858"/>
                    </w:rPr>
                    <w:t>Maya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6.619995pt;margin-top:21.654692pt;width:13.05pt;height:40.8pt;mso-position-horizontal-relative:page;mso-position-vertical-relative:paragraph;z-index:157690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45" w:lineRule="exact"/>
                    <w:ind w:left="20"/>
                  </w:pPr>
                  <w:r>
                    <w:rPr>
                      <w:color w:val="585858"/>
                    </w:rPr>
                    <w:t>Garífuna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4.440002pt;margin-top:21.698412pt;width:13.05pt;height:26.3pt;mso-position-horizontal-relative:page;mso-position-vertical-relative:paragraph;z-index:157696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45" w:lineRule="exact"/>
                    <w:ind w:left="20"/>
                  </w:pPr>
                  <w:r>
                    <w:rPr>
                      <w:color w:val="585858"/>
                    </w:rPr>
                    <w:t>Xinka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0.099976pt;margin-top:21.619902pt;width:13.05pt;height:31.35pt;mso-position-horizontal-relative:page;mso-position-vertical-relative:paragraph;z-index:157706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45" w:lineRule="exact"/>
                    <w:ind w:left="20"/>
                  </w:pPr>
                  <w:r>
                    <w:rPr>
                      <w:color w:val="585858"/>
                    </w:rPr>
                    <w:t>Ladina</w:t>
                  </w:r>
                </w:p>
              </w:txbxContent>
            </v:textbox>
            <w10:wrap type="none"/>
          </v:shape>
        </w:pict>
      </w:r>
      <w:r>
        <w:rPr>
          <w:color w:val="404040"/>
          <w:sz w:val="18"/>
        </w:rPr>
        <w:t>1,694</w:t>
      </w:r>
    </w:p>
    <w:p>
      <w:pPr>
        <w:spacing w:before="24"/>
        <w:ind w:left="-17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</w:rPr>
        <w:t>5,082</w:t>
      </w:r>
    </w:p>
    <w:p>
      <w:pPr>
        <w:spacing w:before="73"/>
        <w:ind w:left="290" w:right="0" w:firstLine="0"/>
        <w:jc w:val="left"/>
        <w:rPr>
          <w:sz w:val="18"/>
        </w:rPr>
      </w:pPr>
      <w:r>
        <w:rPr>
          <w:color w:val="404040"/>
          <w:sz w:val="18"/>
        </w:rPr>
        <w:t>5,868</w:t>
      </w:r>
    </w:p>
    <w:p>
      <w:pPr>
        <w:spacing w:before="6"/>
        <w:ind w:left="868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</w:rPr>
        <w:t>159,604</w:t>
      </w:r>
    </w:p>
    <w:p>
      <w:pPr>
        <w:pStyle w:val="BodyText"/>
        <w:spacing w:before="8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0"/>
        <w:ind w:left="208" w:right="0" w:firstLine="0"/>
        <w:jc w:val="left"/>
        <w:rPr>
          <w:sz w:val="18"/>
        </w:rPr>
      </w:pPr>
      <w:r>
        <w:rPr>
          <w:color w:val="404040"/>
          <w:sz w:val="18"/>
        </w:rPr>
        <w:t>1,683</w:t>
      </w:r>
    </w:p>
    <w:p>
      <w:pPr>
        <w:spacing w:before="73"/>
        <w:ind w:left="-16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pacing w:val="-1"/>
          <w:sz w:val="18"/>
        </w:rPr>
        <w:t>291</w:t>
      </w:r>
    </w:p>
    <w:p>
      <w:pPr>
        <w:spacing w:line="247" w:lineRule="exact" w:before="0"/>
        <w:ind w:left="2140" w:right="1646" w:firstLine="0"/>
        <w:jc w:val="center"/>
        <w:rPr>
          <w:sz w:val="18"/>
        </w:rPr>
      </w:pPr>
      <w:r>
        <w:rPr/>
        <w:br w:type="column"/>
      </w:r>
      <w:r>
        <w:rPr>
          <w:color w:val="404040"/>
          <w:position w:val="6"/>
          <w:sz w:val="18"/>
        </w:rPr>
        <w:t>4,688</w:t>
      </w:r>
      <w:r>
        <w:rPr>
          <w:color w:val="404040"/>
          <w:spacing w:val="16"/>
          <w:position w:val="6"/>
          <w:sz w:val="18"/>
        </w:rPr>
        <w:t> </w:t>
      </w:r>
      <w:r>
        <w:rPr>
          <w:color w:val="404040"/>
          <w:position w:val="12"/>
          <w:sz w:val="18"/>
        </w:rPr>
        <w:t>2,439</w:t>
      </w:r>
      <w:r>
        <w:rPr>
          <w:color w:val="404040"/>
          <w:sz w:val="18"/>
        </w:rPr>
        <w:t>123,297</w:t>
      </w:r>
    </w:p>
    <w:p>
      <w:pPr>
        <w:tabs>
          <w:tab w:pos="1532" w:val="left" w:leader="none"/>
        </w:tabs>
        <w:spacing w:line="180" w:lineRule="auto" w:before="0"/>
        <w:ind w:left="0" w:right="2927" w:firstLine="0"/>
        <w:jc w:val="center"/>
        <w:rPr>
          <w:sz w:val="18"/>
        </w:rPr>
      </w:pPr>
      <w:r>
        <w:rPr>
          <w:color w:val="404040"/>
          <w:position w:val="-5"/>
          <w:sz w:val="18"/>
        </w:rPr>
        <w:t>1,093</w:t>
      </w:r>
      <w:r>
        <w:rPr>
          <w:color w:val="404040"/>
          <w:spacing w:val="38"/>
          <w:position w:val="-5"/>
          <w:sz w:val="18"/>
        </w:rPr>
        <w:t> </w:t>
      </w:r>
      <w:r>
        <w:rPr>
          <w:color w:val="404040"/>
          <w:position w:val="1"/>
          <w:sz w:val="18"/>
        </w:rPr>
        <w:t>18,102</w:t>
        <w:tab/>
      </w:r>
      <w:r>
        <w:rPr>
          <w:color w:val="404040"/>
          <w:sz w:val="18"/>
        </w:rPr>
        <w:t>1,986</w:t>
      </w:r>
      <w:r>
        <w:rPr>
          <w:color w:val="404040"/>
          <w:spacing w:val="2"/>
          <w:sz w:val="18"/>
        </w:rPr>
        <w:t> </w:t>
      </w:r>
      <w:r>
        <w:rPr>
          <w:color w:val="404040"/>
          <w:position w:val="-11"/>
          <w:sz w:val="18"/>
        </w:rPr>
        <w:t>625</w:t>
      </w:r>
    </w:p>
    <w:p>
      <w:pPr>
        <w:spacing w:after="0" w:line="180" w:lineRule="auto"/>
        <w:jc w:val="center"/>
        <w:rPr>
          <w:sz w:val="18"/>
        </w:rPr>
        <w:sectPr>
          <w:type w:val="continuous"/>
          <w:pgSz w:w="15840" w:h="12240" w:orient="landscape"/>
          <w:pgMar w:top="340" w:bottom="280" w:left="1600" w:right="260"/>
          <w:cols w:num="10" w:equalWidth="0">
            <w:col w:w="1862" w:space="40"/>
            <w:col w:w="785" w:space="39"/>
            <w:col w:w="1163" w:space="39"/>
            <w:col w:w="720" w:space="40"/>
            <w:col w:w="411" w:space="39"/>
            <w:col w:w="741" w:space="350"/>
            <w:col w:w="1461" w:space="39"/>
            <w:col w:w="619" w:space="40"/>
            <w:col w:w="258" w:space="39"/>
            <w:col w:w="5295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4348032">
            <wp:simplePos x="0" y="0"/>
            <wp:positionH relativeFrom="page">
              <wp:posOffset>2145586</wp:posOffset>
            </wp:positionH>
            <wp:positionV relativeFrom="page">
              <wp:posOffset>309248</wp:posOffset>
            </wp:positionV>
            <wp:extent cx="5760797" cy="7463147"/>
            <wp:effectExtent l="0" t="0" r="0" b="0"/>
            <wp:wrapNone/>
            <wp:docPr id="3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63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57"/>
        <w:ind w:left="830" w:right="990"/>
        <w:jc w:val="center"/>
      </w:pPr>
      <w:r>
        <w:rPr/>
        <w:pict>
          <v:shape style="position:absolute;margin-left:333.149994pt;margin-top:-87.951996pt;width:13.05pt;height:81.6pt;mso-position-horizontal-relative:page;mso-position-vertical-relative:paragraph;z-index:157675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45" w:lineRule="exact"/>
                    <w:ind w:left="20"/>
                  </w:pPr>
                  <w:r>
                    <w:rPr>
                      <w:color w:val="585858"/>
                    </w:rPr>
                    <w:t>Afrodescendiente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2.242004pt;margin-top:-87.988014pt;width:13.1pt;height:81.650pt;mso-position-horizontal-relative:page;mso-position-vertical-relative:paragraph;z-index:157701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45" w:lineRule="exact"/>
                    <w:ind w:left="20"/>
                  </w:pPr>
                  <w:r>
                    <w:rPr>
                      <w:color w:val="585858"/>
                    </w:rPr>
                    <w:t>Afrodescendiente</w:t>
                  </w:r>
                </w:p>
              </w:txbxContent>
            </v:textbox>
            <w10:wrap type="none"/>
          </v:shape>
        </w:pict>
      </w:r>
      <w:r>
        <w:rPr>
          <w:color w:val="585858"/>
        </w:rPr>
        <w:t>Urbano</w:t>
      </w:r>
    </w:p>
    <w:p>
      <w:pPr>
        <w:pStyle w:val="BodyText"/>
        <w:spacing w:before="2"/>
        <w:rPr>
          <w:sz w:val="8"/>
        </w:rPr>
      </w:pPr>
    </w:p>
    <w:p>
      <w:pPr>
        <w:tabs>
          <w:tab w:pos="4683" w:val="left" w:leader="none"/>
          <w:tab w:pos="5964" w:val="left" w:leader="none"/>
          <w:tab w:pos="6998" w:val="left" w:leader="none"/>
        </w:tabs>
        <w:spacing w:before="64"/>
        <w:ind w:left="3645" w:right="0" w:firstLine="0"/>
        <w:jc w:val="left"/>
        <w:rPr>
          <w:sz w:val="18"/>
        </w:rPr>
      </w:pPr>
      <w:r>
        <w:rPr>
          <w:color w:val="585858"/>
          <w:sz w:val="18"/>
        </w:rPr>
        <w:t>Ninguno</w:t>
        <w:tab/>
        <w:t>Preprimaria</w:t>
        <w:tab/>
        <w:t>Primaria</w:t>
        <w:tab/>
        <w:t>Nivel</w:t>
      </w:r>
      <w:r>
        <w:rPr>
          <w:color w:val="585858"/>
          <w:spacing w:val="-4"/>
          <w:sz w:val="18"/>
        </w:rPr>
        <w:t> </w:t>
      </w:r>
      <w:r>
        <w:rPr>
          <w:color w:val="585858"/>
          <w:sz w:val="18"/>
        </w:rPr>
        <w:t>medio</w:t>
      </w:r>
      <w:r>
        <w:rPr>
          <w:color w:val="585858"/>
          <w:spacing w:val="-4"/>
          <w:sz w:val="18"/>
        </w:rPr>
        <w:t> </w:t>
      </w:r>
      <w:r>
        <w:rPr>
          <w:color w:val="585858"/>
          <w:sz w:val="18"/>
        </w:rPr>
        <w:t>(básico</w:t>
      </w:r>
      <w:r>
        <w:rPr>
          <w:color w:val="585858"/>
          <w:spacing w:val="-4"/>
          <w:sz w:val="18"/>
        </w:rPr>
        <w:t> </w:t>
      </w:r>
      <w:r>
        <w:rPr>
          <w:color w:val="585858"/>
          <w:sz w:val="18"/>
        </w:rPr>
        <w:t>y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diversificado)</w:t>
      </w:r>
    </w:p>
    <w:p>
      <w:pPr>
        <w:pStyle w:val="BodyText"/>
        <w:spacing w:before="2"/>
        <w:rPr>
          <w:sz w:val="10"/>
        </w:rPr>
      </w:pPr>
    </w:p>
    <w:p>
      <w:pPr>
        <w:spacing w:before="68"/>
        <w:ind w:left="147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partir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Guatemala.</w:t>
      </w:r>
      <w:r>
        <w:rPr>
          <w:spacing w:val="-2"/>
          <w:sz w:val="16"/>
        </w:rPr>
        <w:t> </w:t>
      </w:r>
      <w:r>
        <w:rPr>
          <w:sz w:val="16"/>
        </w:rPr>
        <w:t>Procesado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Redatam</w:t>
      </w:r>
      <w:r>
        <w:rPr>
          <w:spacing w:val="-2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pict>
          <v:rect style="position:absolute;margin-left:729.700012pt;margin-top:11.912118pt;width:25.464pt;height:1.44pt;mso-position-horizontal-relative:page;mso-position-vertical-relative:paragraph;z-index:-1569331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573"/>
      </w:pPr>
      <w:r>
        <w:rPr/>
        <w:t>21</w:t>
      </w:r>
    </w:p>
    <w:p>
      <w:pPr>
        <w:pStyle w:val="BodyText"/>
        <w:spacing w:line="91" w:lineRule="exact"/>
        <w:ind w:left="12994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5pt;height:4.6pt;mso-position-horizontal-relative:char;mso-position-vertical-relative:line" coordorigin="0,0" coordsize="510,92">
            <v:rect style="position:absolute;left:0;top:0;width:510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type w:val="continuous"/>
          <w:pgSz w:w="15840" w:h="12240" w:orient="landscape"/>
          <w:pgMar w:top="340" w:bottom="280" w:left="1600" w:right="26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55200">
            <wp:simplePos x="0" y="0"/>
            <wp:positionH relativeFrom="page">
              <wp:posOffset>2145586</wp:posOffset>
            </wp:positionH>
            <wp:positionV relativeFrom="page">
              <wp:posOffset>309248</wp:posOffset>
            </wp:positionV>
            <wp:extent cx="5760797" cy="7463147"/>
            <wp:effectExtent l="0" t="0" r="0" b="0"/>
            <wp:wrapNone/>
            <wp:docPr id="4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63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8"/>
        </w:rPr>
      </w:pPr>
    </w:p>
    <w:p>
      <w:pPr>
        <w:pStyle w:val="Heading3"/>
        <w:numPr>
          <w:ilvl w:val="1"/>
          <w:numId w:val="4"/>
        </w:numPr>
        <w:tabs>
          <w:tab w:pos="1102" w:val="left" w:leader="none"/>
          <w:tab w:pos="1103" w:val="left" w:leader="none"/>
        </w:tabs>
        <w:spacing w:line="240" w:lineRule="auto" w:before="52" w:after="0"/>
        <w:ind w:left="1102" w:right="0" w:hanging="577"/>
        <w:jc w:val="left"/>
      </w:pPr>
      <w:bookmarkStart w:name="_bookmark27" w:id="39"/>
      <w:bookmarkEnd w:id="39"/>
      <w:r>
        <w:rPr>
          <w:b w:val="0"/>
        </w:rPr>
      </w:r>
      <w:bookmarkStart w:name="_bookmark27" w:id="40"/>
      <w:bookmarkEnd w:id="40"/>
      <w:r>
        <w:rPr>
          <w:color w:val="1F4E79"/>
        </w:rPr>
        <w:t>De</w:t>
      </w:r>
      <w:r>
        <w:rPr>
          <w:color w:val="1F4E79"/>
        </w:rPr>
        <w:t>partamentos</w:t>
      </w:r>
      <w:r>
        <w:rPr>
          <w:color w:val="1F4E79"/>
          <w:spacing w:val="-4"/>
        </w:rPr>
        <w:t> </w:t>
      </w:r>
      <w:r>
        <w:rPr>
          <w:color w:val="1F4E79"/>
        </w:rPr>
        <w:t>con</w:t>
      </w:r>
      <w:r>
        <w:rPr>
          <w:color w:val="1F4E79"/>
          <w:spacing w:val="-5"/>
        </w:rPr>
        <w:t> </w:t>
      </w:r>
      <w:r>
        <w:rPr>
          <w:color w:val="1F4E79"/>
        </w:rPr>
        <w:t>mayor</w:t>
      </w:r>
      <w:r>
        <w:rPr>
          <w:color w:val="1F4E79"/>
          <w:spacing w:val="-2"/>
        </w:rPr>
        <w:t> </w:t>
      </w:r>
      <w:r>
        <w:rPr>
          <w:color w:val="1F4E79"/>
        </w:rPr>
        <w:t>porcentaje</w:t>
      </w:r>
      <w:r>
        <w:rPr>
          <w:color w:val="1F4E79"/>
          <w:spacing w:val="-4"/>
        </w:rPr>
        <w:t> </w:t>
      </w:r>
      <w:r>
        <w:rPr>
          <w:color w:val="1F4E79"/>
        </w:rPr>
        <w:t>de</w:t>
      </w:r>
      <w:r>
        <w:rPr>
          <w:color w:val="1F4E79"/>
          <w:spacing w:val="-5"/>
        </w:rPr>
        <w:t> </w:t>
      </w:r>
      <w:r>
        <w:rPr>
          <w:color w:val="1F4E79"/>
        </w:rPr>
        <w:t>población</w:t>
      </w:r>
      <w:r>
        <w:rPr>
          <w:color w:val="1F4E79"/>
          <w:spacing w:val="-2"/>
        </w:rPr>
        <w:t> </w:t>
      </w:r>
      <w:r>
        <w:rPr>
          <w:color w:val="1F4E79"/>
        </w:rPr>
        <w:t>afectada</w:t>
      </w:r>
      <w:r>
        <w:rPr>
          <w:color w:val="1F4E79"/>
          <w:spacing w:val="-2"/>
        </w:rPr>
        <w:t> </w:t>
      </w:r>
      <w:r>
        <w:rPr>
          <w:color w:val="1F4E79"/>
        </w:rPr>
        <w:t>sin</w:t>
      </w:r>
      <w:r>
        <w:rPr>
          <w:color w:val="1F4E79"/>
          <w:spacing w:val="-5"/>
        </w:rPr>
        <w:t> </w:t>
      </w:r>
      <w:r>
        <w:rPr>
          <w:color w:val="1F4E79"/>
        </w:rPr>
        <w:t>ningún</w:t>
      </w:r>
      <w:r>
        <w:rPr>
          <w:color w:val="1F4E79"/>
          <w:spacing w:val="-3"/>
        </w:rPr>
        <w:t> </w:t>
      </w:r>
      <w:r>
        <w:rPr>
          <w:color w:val="1F4E79"/>
        </w:rPr>
        <w:t>nivel</w:t>
      </w:r>
      <w:r>
        <w:rPr>
          <w:color w:val="1F4E79"/>
          <w:spacing w:val="-2"/>
        </w:rPr>
        <w:t> </w:t>
      </w:r>
      <w:r>
        <w:rPr>
          <w:color w:val="1F4E79"/>
        </w:rPr>
        <w:t>de</w:t>
      </w:r>
      <w:r>
        <w:rPr>
          <w:color w:val="1F4E79"/>
          <w:spacing w:val="-5"/>
        </w:rPr>
        <w:t> </w:t>
      </w:r>
      <w:r>
        <w:rPr>
          <w:color w:val="1F4E79"/>
        </w:rPr>
        <w:t>estudio</w:t>
      </w:r>
      <w:r>
        <w:rPr>
          <w:color w:val="1F4E79"/>
          <w:spacing w:val="-5"/>
        </w:rPr>
        <w:t> </w:t>
      </w:r>
      <w:r>
        <w:rPr>
          <w:color w:val="1F4E79"/>
        </w:rPr>
        <w:t>aprobado</w:t>
      </w:r>
    </w:p>
    <w:p>
      <w:pPr>
        <w:pStyle w:val="BodyText"/>
        <w:rPr>
          <w:b/>
          <w:sz w:val="24"/>
        </w:rPr>
      </w:pPr>
    </w:p>
    <w:p>
      <w:pPr>
        <w:spacing w:before="189"/>
        <w:ind w:left="526" w:right="1520" w:firstLine="0"/>
        <w:jc w:val="left"/>
        <w:rPr>
          <w:sz w:val="20"/>
        </w:rPr>
      </w:pPr>
      <w:r>
        <w:rPr>
          <w:sz w:val="20"/>
        </w:rPr>
        <w:t>En</w:t>
      </w:r>
      <w:r>
        <w:rPr>
          <w:spacing w:val="9"/>
          <w:sz w:val="20"/>
        </w:rPr>
        <w:t> </w:t>
      </w:r>
      <w:r>
        <w:rPr>
          <w:sz w:val="20"/>
        </w:rPr>
        <w:t>cuanto</w:t>
      </w:r>
      <w:r>
        <w:rPr>
          <w:spacing w:val="7"/>
          <w:sz w:val="20"/>
        </w:rPr>
        <w:t> </w:t>
      </w:r>
      <w:r>
        <w:rPr>
          <w:sz w:val="20"/>
        </w:rPr>
        <w:t>a</w:t>
      </w:r>
      <w:r>
        <w:rPr>
          <w:spacing w:val="8"/>
          <w:sz w:val="20"/>
        </w:rPr>
        <w:t> </w:t>
      </w:r>
      <w:r>
        <w:rPr>
          <w:sz w:val="20"/>
        </w:rPr>
        <w:t>la</w:t>
      </w:r>
      <w:r>
        <w:rPr>
          <w:spacing w:val="9"/>
          <w:sz w:val="20"/>
        </w:rPr>
        <w:t> </w:t>
      </w:r>
      <w:r>
        <w:rPr>
          <w:sz w:val="20"/>
        </w:rPr>
        <w:t>categoría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ningún</w:t>
      </w:r>
      <w:r>
        <w:rPr>
          <w:spacing w:val="9"/>
          <w:sz w:val="20"/>
        </w:rPr>
        <w:t> </w:t>
      </w:r>
      <w:r>
        <w:rPr>
          <w:sz w:val="20"/>
        </w:rPr>
        <w:t>nivel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estudio</w:t>
      </w:r>
      <w:r>
        <w:rPr>
          <w:spacing w:val="9"/>
          <w:sz w:val="20"/>
        </w:rPr>
        <w:t> </w:t>
      </w:r>
      <w:r>
        <w:rPr>
          <w:sz w:val="20"/>
        </w:rPr>
        <w:t>aprobado,</w:t>
      </w:r>
      <w:r>
        <w:rPr>
          <w:spacing w:val="9"/>
          <w:sz w:val="20"/>
        </w:rPr>
        <w:t> </w:t>
      </w:r>
      <w:r>
        <w:rPr>
          <w:sz w:val="20"/>
        </w:rPr>
        <w:t>son</w:t>
      </w:r>
      <w:r>
        <w:rPr>
          <w:spacing w:val="16"/>
          <w:sz w:val="20"/>
        </w:rPr>
        <w:t> </w:t>
      </w:r>
      <w:r>
        <w:rPr>
          <w:sz w:val="20"/>
        </w:rPr>
        <w:t>16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los</w:t>
      </w:r>
      <w:r>
        <w:rPr>
          <w:spacing w:val="8"/>
          <w:sz w:val="20"/>
        </w:rPr>
        <w:t> </w:t>
      </w:r>
      <w:r>
        <w:rPr>
          <w:sz w:val="20"/>
        </w:rPr>
        <w:t>22</w:t>
      </w:r>
      <w:r>
        <w:rPr>
          <w:spacing w:val="9"/>
          <w:sz w:val="20"/>
        </w:rPr>
        <w:t> </w:t>
      </w:r>
      <w:r>
        <w:rPr>
          <w:sz w:val="20"/>
        </w:rPr>
        <w:t>departamentos</w:t>
      </w:r>
      <w:r>
        <w:rPr>
          <w:spacing w:val="8"/>
          <w:sz w:val="20"/>
        </w:rPr>
        <w:t> </w:t>
      </w:r>
      <w:r>
        <w:rPr>
          <w:sz w:val="20"/>
        </w:rPr>
        <w:t>con</w:t>
      </w:r>
      <w:r>
        <w:rPr>
          <w:spacing w:val="10"/>
          <w:sz w:val="20"/>
        </w:rPr>
        <w:t> </w:t>
      </w:r>
      <w:r>
        <w:rPr>
          <w:sz w:val="20"/>
        </w:rPr>
        <w:t>mayor</w:t>
      </w:r>
      <w:r>
        <w:rPr>
          <w:spacing w:val="10"/>
          <w:sz w:val="20"/>
        </w:rPr>
        <w:t> </w:t>
      </w:r>
      <w:r>
        <w:rPr>
          <w:sz w:val="20"/>
        </w:rPr>
        <w:t>porcentaje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población</w:t>
      </w:r>
      <w:r>
        <w:rPr>
          <w:spacing w:val="10"/>
          <w:sz w:val="20"/>
        </w:rPr>
        <w:t> </w:t>
      </w:r>
      <w:r>
        <w:rPr>
          <w:sz w:val="20"/>
        </w:rPr>
        <w:t>sin</w:t>
      </w:r>
      <w:r>
        <w:rPr>
          <w:spacing w:val="9"/>
          <w:sz w:val="20"/>
        </w:rPr>
        <w:t> </w:t>
      </w:r>
      <w:r>
        <w:rPr>
          <w:sz w:val="20"/>
        </w:rPr>
        <w:t>ningún</w:t>
      </w:r>
      <w:r>
        <w:rPr>
          <w:spacing w:val="1"/>
          <w:sz w:val="20"/>
        </w:rPr>
        <w:t> </w:t>
      </w:r>
      <w:r>
        <w:rPr>
          <w:sz w:val="20"/>
        </w:rPr>
        <w:t>nivel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estudio aprobado,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cuales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pueden observar a</w:t>
      </w:r>
      <w:r>
        <w:rPr>
          <w:spacing w:val="2"/>
          <w:sz w:val="20"/>
        </w:rPr>
        <w:t> </w:t>
      </w:r>
      <w:r>
        <w:rPr>
          <w:sz w:val="20"/>
        </w:rPr>
        <w:t>continuación, en el</w:t>
      </w:r>
      <w:r>
        <w:rPr>
          <w:spacing w:val="-2"/>
          <w:sz w:val="20"/>
        </w:rPr>
        <w:t> </w:t>
      </w:r>
      <w:r>
        <w:rPr>
          <w:sz w:val="20"/>
        </w:rPr>
        <w:t>siguiente</w:t>
      </w:r>
      <w:r>
        <w:rPr>
          <w:spacing w:val="1"/>
          <w:sz w:val="20"/>
        </w:rPr>
        <w:t> </w:t>
      </w:r>
      <w:r>
        <w:rPr>
          <w:sz w:val="20"/>
        </w:rPr>
        <w:t>gráfico.</w:t>
      </w:r>
    </w:p>
    <w:p>
      <w:pPr>
        <w:pStyle w:val="BodyText"/>
        <w:spacing w:before="12"/>
        <w:rPr>
          <w:sz w:val="19"/>
        </w:rPr>
      </w:pPr>
    </w:p>
    <w:p>
      <w:pPr>
        <w:spacing w:before="0"/>
        <w:ind w:left="1246" w:right="2162" w:hanging="425"/>
        <w:jc w:val="left"/>
        <w:rPr>
          <w:sz w:val="20"/>
        </w:rPr>
      </w:pPr>
      <w:bookmarkStart w:name="_bookmark28" w:id="41"/>
      <w:bookmarkEnd w:id="41"/>
      <w:r>
        <w:rPr/>
      </w:r>
      <w:r>
        <w:rPr>
          <w:sz w:val="20"/>
        </w:rPr>
        <w:t>Gráfico 11 Departamentos con mayor porcentaje de población Maya afectada sin ningún nivel de estudio aprobado, según área urbana</w:t>
      </w:r>
      <w:r>
        <w:rPr>
          <w:spacing w:val="-43"/>
          <w:sz w:val="20"/>
        </w:rPr>
        <w:t> </w:t>
      </w:r>
      <w:r>
        <w:rPr>
          <w:sz w:val="20"/>
        </w:rPr>
        <w:t>o rural</w:t>
      </w:r>
    </w:p>
    <w:p>
      <w:pPr>
        <w:pStyle w:val="BodyText"/>
        <w:ind w:left="527"/>
        <w:rPr>
          <w:sz w:val="20"/>
        </w:rPr>
      </w:pPr>
      <w:r>
        <w:rPr>
          <w:sz w:val="20"/>
        </w:rPr>
        <w:drawing>
          <wp:inline distT="0" distB="0" distL="0" distR="0">
            <wp:extent cx="7883935" cy="4157472"/>
            <wp:effectExtent l="0" t="0" r="0" b="0"/>
            <wp:docPr id="4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3935" cy="415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526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2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Guatemala.</w:t>
      </w:r>
      <w:r>
        <w:rPr>
          <w:spacing w:val="-1"/>
          <w:sz w:val="16"/>
        </w:rPr>
        <w:t> </w:t>
      </w:r>
      <w:r>
        <w:rPr>
          <w:sz w:val="16"/>
        </w:rPr>
        <w:t>Procesado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Redatam</w:t>
      </w:r>
      <w:r>
        <w:rPr>
          <w:spacing w:val="-1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rect style="position:absolute;margin-left:729.700012pt;margin-top:14.473907pt;width:25.464pt;height:1.44pt;mso-position-horizontal-relative:page;mso-position-vertical-relative:paragraph;z-index:-1568614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573"/>
      </w:pPr>
      <w:r>
        <w:rPr/>
        <w:t>22</w:t>
      </w:r>
    </w:p>
    <w:p>
      <w:pPr>
        <w:pStyle w:val="BodyText"/>
        <w:spacing w:line="91" w:lineRule="exact"/>
        <w:ind w:left="12994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5pt;height:4.6pt;mso-position-horizontal-relative:char;mso-position-vertical-relative:line" coordorigin="0,0" coordsize="510,92">
            <v:rect style="position:absolute;left:0;top:0;width:510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5840" w:h="12240" w:orient="landscape"/>
          <w:pgMar w:top="480" w:bottom="0" w:left="1600" w:right="26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56736">
            <wp:simplePos x="0" y="0"/>
            <wp:positionH relativeFrom="page">
              <wp:posOffset>2145586</wp:posOffset>
            </wp:positionH>
            <wp:positionV relativeFrom="page">
              <wp:posOffset>309248</wp:posOffset>
            </wp:positionV>
            <wp:extent cx="5760797" cy="7463147"/>
            <wp:effectExtent l="0" t="0" r="0" b="0"/>
            <wp:wrapNone/>
            <wp:docPr id="4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63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213"/>
        <w:ind w:left="526" w:right="1725" w:firstLine="0"/>
        <w:jc w:val="both"/>
        <w:rPr>
          <w:sz w:val="24"/>
        </w:rPr>
      </w:pP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puede</w:t>
      </w:r>
      <w:r>
        <w:rPr>
          <w:spacing w:val="1"/>
          <w:sz w:val="24"/>
        </w:rPr>
        <w:t> </w:t>
      </w:r>
      <w:r>
        <w:rPr>
          <w:sz w:val="24"/>
        </w:rPr>
        <w:t>observarse,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categoría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ningún</w:t>
      </w:r>
      <w:r>
        <w:rPr>
          <w:spacing w:val="1"/>
          <w:sz w:val="24"/>
        </w:rPr>
        <w:t> </w:t>
      </w:r>
      <w:r>
        <w:rPr>
          <w:sz w:val="24"/>
        </w:rPr>
        <w:t>nivel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estudios</w:t>
      </w:r>
      <w:r>
        <w:rPr>
          <w:spacing w:val="1"/>
          <w:sz w:val="24"/>
        </w:rPr>
        <w:t> </w:t>
      </w:r>
      <w:r>
        <w:rPr>
          <w:sz w:val="24"/>
        </w:rPr>
        <w:t>aprobado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superior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población</w:t>
      </w:r>
      <w:r>
        <w:rPr>
          <w:spacing w:val="1"/>
          <w:sz w:val="24"/>
        </w:rPr>
        <w:t> </w:t>
      </w:r>
      <w:r>
        <w:rPr>
          <w:sz w:val="24"/>
        </w:rPr>
        <w:t>Maya,</w:t>
      </w:r>
      <w:r>
        <w:rPr>
          <w:spacing w:val="1"/>
          <w:sz w:val="24"/>
        </w:rPr>
        <w:t> </w:t>
      </w:r>
      <w:r>
        <w:rPr>
          <w:sz w:val="24"/>
        </w:rPr>
        <w:t>especialmente,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área</w:t>
      </w:r>
      <w:r>
        <w:rPr>
          <w:spacing w:val="-6"/>
          <w:sz w:val="24"/>
        </w:rPr>
        <w:t> </w:t>
      </w:r>
      <w:r>
        <w:rPr>
          <w:sz w:val="24"/>
        </w:rPr>
        <w:t>rural.</w:t>
      </w:r>
      <w:r>
        <w:rPr>
          <w:spacing w:val="-6"/>
          <w:sz w:val="24"/>
        </w:rPr>
        <w:t> </w:t>
      </w:r>
      <w:r>
        <w:rPr>
          <w:sz w:val="24"/>
        </w:rPr>
        <w:t>Similar</w:t>
      </w:r>
      <w:r>
        <w:rPr>
          <w:spacing w:val="-7"/>
          <w:sz w:val="24"/>
        </w:rPr>
        <w:t> </w:t>
      </w:r>
      <w:r>
        <w:rPr>
          <w:sz w:val="24"/>
        </w:rPr>
        <w:t>situación</w:t>
      </w:r>
      <w:r>
        <w:rPr>
          <w:spacing w:val="-8"/>
          <w:sz w:val="24"/>
        </w:rPr>
        <w:t> </w:t>
      </w:r>
      <w:r>
        <w:rPr>
          <w:sz w:val="24"/>
        </w:rPr>
        <w:t>enfrenta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población</w:t>
      </w:r>
      <w:r>
        <w:rPr>
          <w:spacing w:val="-5"/>
          <w:sz w:val="24"/>
        </w:rPr>
        <w:t> </w:t>
      </w:r>
      <w:r>
        <w:rPr>
          <w:sz w:val="24"/>
        </w:rPr>
        <w:t>Garífuna,</w:t>
      </w:r>
      <w:r>
        <w:rPr>
          <w:spacing w:val="-6"/>
          <w:sz w:val="24"/>
        </w:rPr>
        <w:t> </w:t>
      </w:r>
      <w:r>
        <w:rPr>
          <w:sz w:val="24"/>
        </w:rPr>
        <w:t>Xinca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Afrodescendiente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mismos</w:t>
      </w:r>
      <w:r>
        <w:rPr>
          <w:spacing w:val="-52"/>
          <w:sz w:val="24"/>
        </w:rPr>
        <w:t> </w:t>
      </w:r>
      <w:r>
        <w:rPr>
          <w:sz w:val="24"/>
        </w:rPr>
        <w:t>departamentos y en las</w:t>
      </w:r>
      <w:r>
        <w:rPr>
          <w:spacing w:val="-2"/>
          <w:sz w:val="24"/>
        </w:rPr>
        <w:t> </w:t>
      </w:r>
      <w:r>
        <w:rPr>
          <w:sz w:val="24"/>
        </w:rPr>
        <w:t>áreas rurales,</w:t>
      </w:r>
      <w:r>
        <w:rPr>
          <w:spacing w:val="-2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puede</w:t>
      </w:r>
      <w:r>
        <w:rPr>
          <w:spacing w:val="-2"/>
          <w:sz w:val="24"/>
        </w:rPr>
        <w:t> </w:t>
      </w:r>
      <w:r>
        <w:rPr>
          <w:sz w:val="24"/>
        </w:rPr>
        <w:t>observar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continuación.</w:t>
      </w:r>
    </w:p>
    <w:p>
      <w:pPr>
        <w:pStyle w:val="BodyText"/>
        <w:spacing w:before="2"/>
        <w:rPr>
          <w:sz w:val="20"/>
        </w:rPr>
      </w:pPr>
    </w:p>
    <w:p>
      <w:pPr>
        <w:spacing w:line="243" w:lineRule="exact" w:before="0"/>
        <w:ind w:left="830" w:right="2183" w:firstLine="0"/>
        <w:jc w:val="center"/>
        <w:rPr>
          <w:sz w:val="20"/>
        </w:rPr>
      </w:pPr>
      <w:bookmarkStart w:name="_bookmark29" w:id="42"/>
      <w:bookmarkEnd w:id="42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12</w:t>
      </w:r>
      <w:r>
        <w:rPr>
          <w:spacing w:val="-2"/>
          <w:sz w:val="20"/>
        </w:rPr>
        <w:t> </w:t>
      </w:r>
      <w:r>
        <w:rPr>
          <w:sz w:val="20"/>
        </w:rPr>
        <w:t>Departamentos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mayor</w:t>
      </w:r>
      <w:r>
        <w:rPr>
          <w:spacing w:val="-2"/>
          <w:sz w:val="20"/>
        </w:rPr>
        <w:t> </w:t>
      </w:r>
      <w:r>
        <w:rPr>
          <w:sz w:val="20"/>
        </w:rPr>
        <w:t>porcentaje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población</w:t>
      </w:r>
      <w:r>
        <w:rPr>
          <w:spacing w:val="-2"/>
          <w:sz w:val="20"/>
        </w:rPr>
        <w:t> </w:t>
      </w:r>
      <w:r>
        <w:rPr>
          <w:sz w:val="20"/>
        </w:rPr>
        <w:t>Garífuna</w:t>
      </w:r>
      <w:r>
        <w:rPr>
          <w:spacing w:val="-2"/>
          <w:sz w:val="20"/>
        </w:rPr>
        <w:t> </w:t>
      </w:r>
      <w:r>
        <w:rPr>
          <w:sz w:val="20"/>
        </w:rPr>
        <w:t>afectada</w:t>
      </w:r>
      <w:r>
        <w:rPr>
          <w:spacing w:val="-2"/>
          <w:sz w:val="20"/>
        </w:rPr>
        <w:t> </w:t>
      </w:r>
      <w:r>
        <w:rPr>
          <w:sz w:val="20"/>
        </w:rPr>
        <w:t>sin</w:t>
      </w:r>
      <w:r>
        <w:rPr>
          <w:spacing w:val="-2"/>
          <w:sz w:val="20"/>
        </w:rPr>
        <w:t> </w:t>
      </w:r>
      <w:r>
        <w:rPr>
          <w:sz w:val="20"/>
        </w:rPr>
        <w:t>ningún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estudio</w:t>
      </w:r>
      <w:r>
        <w:rPr>
          <w:spacing w:val="-3"/>
          <w:sz w:val="20"/>
        </w:rPr>
        <w:t> </w:t>
      </w:r>
      <w:r>
        <w:rPr>
          <w:sz w:val="20"/>
        </w:rPr>
        <w:t>aprobado,</w:t>
      </w:r>
      <w:r>
        <w:rPr>
          <w:spacing w:val="-4"/>
          <w:sz w:val="20"/>
        </w:rPr>
        <w:t> </w:t>
      </w:r>
      <w:r>
        <w:rPr>
          <w:sz w:val="20"/>
        </w:rPr>
        <w:t>según</w:t>
      </w:r>
      <w:r>
        <w:rPr>
          <w:spacing w:val="-2"/>
          <w:sz w:val="20"/>
        </w:rPr>
        <w:t> </w:t>
      </w:r>
      <w:r>
        <w:rPr>
          <w:sz w:val="20"/>
        </w:rPr>
        <w:t>área</w:t>
      </w:r>
    </w:p>
    <w:p>
      <w:pPr>
        <w:spacing w:line="243" w:lineRule="exact" w:before="0"/>
        <w:ind w:left="830" w:right="1754" w:firstLine="0"/>
        <w:jc w:val="center"/>
        <w:rPr>
          <w:sz w:val="20"/>
        </w:rPr>
      </w:pPr>
      <w:r>
        <w:rPr>
          <w:sz w:val="20"/>
        </w:rPr>
        <w:t>urbana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rural</w:t>
      </w:r>
    </w:p>
    <w:p>
      <w:pPr>
        <w:pStyle w:val="BodyText"/>
        <w:ind w:left="527"/>
        <w:rPr>
          <w:sz w:val="20"/>
        </w:rPr>
      </w:pPr>
      <w:r>
        <w:rPr>
          <w:sz w:val="20"/>
        </w:rPr>
        <w:drawing>
          <wp:inline distT="0" distB="0" distL="0" distR="0">
            <wp:extent cx="8028803" cy="4326540"/>
            <wp:effectExtent l="0" t="0" r="0" b="0"/>
            <wp:docPr id="4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8803" cy="43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526" w:right="0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2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Guatemala.</w:t>
      </w:r>
      <w:r>
        <w:rPr>
          <w:spacing w:val="-1"/>
          <w:sz w:val="16"/>
        </w:rPr>
        <w:t> </w:t>
      </w:r>
      <w:r>
        <w:rPr>
          <w:sz w:val="16"/>
        </w:rPr>
        <w:t>Procesado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Redatam</w:t>
      </w:r>
      <w:r>
        <w:rPr>
          <w:spacing w:val="-1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  <w:r>
        <w:rPr/>
        <w:pict>
          <v:rect style="position:absolute;margin-left:729.700012pt;margin-top:17.115826pt;width:25.464pt;height:1.44pt;mso-position-horizontal-relative:page;mso-position-vertical-relative:paragraph;z-index:-1568460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573"/>
      </w:pPr>
      <w:r>
        <w:rPr/>
        <w:t>23</w:t>
      </w:r>
    </w:p>
    <w:p>
      <w:pPr>
        <w:pStyle w:val="BodyText"/>
        <w:spacing w:line="91" w:lineRule="exact"/>
        <w:ind w:left="12994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5pt;height:4.6pt;mso-position-horizontal-relative:char;mso-position-vertical-relative:line" coordorigin="0,0" coordsize="510,92">
            <v:rect style="position:absolute;left:0;top:0;width:510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5840" w:h="12240" w:orient="landscape"/>
          <w:pgMar w:top="480" w:bottom="0" w:left="1600" w:right="26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58272">
            <wp:simplePos x="0" y="0"/>
            <wp:positionH relativeFrom="page">
              <wp:posOffset>2145586</wp:posOffset>
            </wp:positionH>
            <wp:positionV relativeFrom="page">
              <wp:posOffset>309248</wp:posOffset>
            </wp:positionV>
            <wp:extent cx="5760797" cy="7463147"/>
            <wp:effectExtent l="0" t="0" r="0" b="0"/>
            <wp:wrapNone/>
            <wp:docPr id="4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63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8"/>
        </w:rPr>
      </w:pPr>
    </w:p>
    <w:p>
      <w:pPr>
        <w:spacing w:line="243" w:lineRule="exact" w:before="0"/>
        <w:ind w:left="830" w:right="2187" w:firstLine="0"/>
        <w:jc w:val="center"/>
        <w:rPr>
          <w:sz w:val="20"/>
        </w:rPr>
      </w:pPr>
      <w:bookmarkStart w:name="_bookmark30" w:id="43"/>
      <w:bookmarkEnd w:id="43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13</w:t>
      </w:r>
      <w:r>
        <w:rPr>
          <w:spacing w:val="-2"/>
          <w:sz w:val="20"/>
        </w:rPr>
        <w:t> </w:t>
      </w:r>
      <w:r>
        <w:rPr>
          <w:sz w:val="20"/>
        </w:rPr>
        <w:t>Departamentos</w:t>
      </w:r>
      <w:r>
        <w:rPr>
          <w:spacing w:val="-5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mayor</w:t>
      </w:r>
      <w:r>
        <w:rPr>
          <w:spacing w:val="-3"/>
          <w:sz w:val="20"/>
        </w:rPr>
        <w:t> </w:t>
      </w:r>
      <w:r>
        <w:rPr>
          <w:sz w:val="20"/>
        </w:rPr>
        <w:t>porcentaje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población</w:t>
      </w:r>
      <w:r>
        <w:rPr>
          <w:spacing w:val="-1"/>
          <w:sz w:val="20"/>
        </w:rPr>
        <w:t> </w:t>
      </w:r>
      <w:r>
        <w:rPr>
          <w:sz w:val="20"/>
        </w:rPr>
        <w:t>Xinca</w:t>
      </w:r>
      <w:r>
        <w:rPr>
          <w:spacing w:val="-3"/>
          <w:sz w:val="20"/>
        </w:rPr>
        <w:t> </w:t>
      </w:r>
      <w:r>
        <w:rPr>
          <w:sz w:val="20"/>
        </w:rPr>
        <w:t>afectada</w:t>
      </w:r>
      <w:r>
        <w:rPr>
          <w:spacing w:val="-2"/>
          <w:sz w:val="20"/>
        </w:rPr>
        <w:t> </w:t>
      </w:r>
      <w:r>
        <w:rPr>
          <w:sz w:val="20"/>
        </w:rPr>
        <w:t>sin</w:t>
      </w:r>
      <w:r>
        <w:rPr>
          <w:spacing w:val="-3"/>
          <w:sz w:val="20"/>
        </w:rPr>
        <w:t> </w:t>
      </w:r>
      <w:r>
        <w:rPr>
          <w:sz w:val="20"/>
        </w:rPr>
        <w:t>ningún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estudio</w:t>
      </w:r>
      <w:r>
        <w:rPr>
          <w:spacing w:val="-3"/>
          <w:sz w:val="20"/>
        </w:rPr>
        <w:t> </w:t>
      </w:r>
      <w:r>
        <w:rPr>
          <w:sz w:val="20"/>
        </w:rPr>
        <w:t>aprobado,</w:t>
      </w:r>
      <w:r>
        <w:rPr>
          <w:spacing w:val="-2"/>
          <w:sz w:val="20"/>
        </w:rPr>
        <w:t> </w:t>
      </w:r>
      <w:r>
        <w:rPr>
          <w:sz w:val="20"/>
        </w:rPr>
        <w:t>según</w:t>
      </w:r>
      <w:r>
        <w:rPr>
          <w:spacing w:val="-3"/>
          <w:sz w:val="20"/>
        </w:rPr>
        <w:t> </w:t>
      </w:r>
      <w:r>
        <w:rPr>
          <w:sz w:val="20"/>
        </w:rPr>
        <w:t>área</w:t>
      </w:r>
      <w:r>
        <w:rPr>
          <w:spacing w:val="-2"/>
          <w:sz w:val="20"/>
        </w:rPr>
        <w:t> </w:t>
      </w:r>
      <w:r>
        <w:rPr>
          <w:sz w:val="20"/>
        </w:rPr>
        <w:t>urbana</w:t>
      </w:r>
    </w:p>
    <w:p>
      <w:pPr>
        <w:spacing w:line="243" w:lineRule="exact" w:before="0"/>
        <w:ind w:left="830" w:right="1753" w:firstLine="0"/>
        <w:jc w:val="center"/>
        <w:rPr>
          <w:sz w:val="20"/>
        </w:rPr>
      </w:pP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rural</w:t>
      </w:r>
    </w:p>
    <w:p>
      <w:pPr>
        <w:pStyle w:val="BodyText"/>
        <w:ind w:left="527"/>
        <w:rPr>
          <w:sz w:val="20"/>
        </w:rPr>
      </w:pPr>
      <w:r>
        <w:rPr>
          <w:sz w:val="20"/>
        </w:rPr>
        <w:drawing>
          <wp:inline distT="0" distB="0" distL="0" distR="0">
            <wp:extent cx="8010270" cy="5096256"/>
            <wp:effectExtent l="0" t="0" r="0" b="0"/>
            <wp:docPr id="5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0270" cy="509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"/>
        <w:ind w:left="526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</w:t>
      </w:r>
      <w:r>
        <w:rPr>
          <w:spacing w:val="2"/>
          <w:sz w:val="16"/>
        </w:rPr>
        <w:t> </w:t>
      </w:r>
      <w:r>
        <w:rPr>
          <w:sz w:val="16"/>
        </w:rPr>
        <w:t>Guatemala.</w:t>
      </w:r>
      <w:r>
        <w:rPr>
          <w:spacing w:val="-2"/>
          <w:sz w:val="16"/>
        </w:rPr>
        <w:t> </w:t>
      </w:r>
      <w:r>
        <w:rPr>
          <w:sz w:val="16"/>
        </w:rPr>
        <w:t>Procesado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Redatam</w:t>
      </w:r>
      <w:r>
        <w:rPr>
          <w:spacing w:val="-2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729.700012pt;margin-top:12.019048pt;width:25.464pt;height:1.44pt;mso-position-horizontal-relative:page;mso-position-vertical-relative:paragraph;z-index:-1568307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573"/>
      </w:pPr>
      <w:r>
        <w:rPr/>
        <w:t>24</w:t>
      </w:r>
    </w:p>
    <w:p>
      <w:pPr>
        <w:pStyle w:val="BodyText"/>
        <w:spacing w:line="91" w:lineRule="exact"/>
        <w:ind w:left="12994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5pt;height:4.6pt;mso-position-horizontal-relative:char;mso-position-vertical-relative:line" coordorigin="0,0" coordsize="510,92">
            <v:rect style="position:absolute;left:0;top:0;width:510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5840" w:h="12240" w:orient="landscape"/>
          <w:pgMar w:top="480" w:bottom="0" w:left="1600" w:right="26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59808">
            <wp:simplePos x="0" y="0"/>
            <wp:positionH relativeFrom="page">
              <wp:posOffset>2145586</wp:posOffset>
            </wp:positionH>
            <wp:positionV relativeFrom="page">
              <wp:posOffset>309248</wp:posOffset>
            </wp:positionV>
            <wp:extent cx="5760797" cy="7463147"/>
            <wp:effectExtent l="0" t="0" r="0" b="0"/>
            <wp:wrapNone/>
            <wp:docPr id="5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63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</w:rPr>
      </w:pPr>
    </w:p>
    <w:p>
      <w:pPr>
        <w:spacing w:before="59"/>
        <w:ind w:left="827" w:right="2187" w:firstLine="0"/>
        <w:jc w:val="center"/>
        <w:rPr>
          <w:sz w:val="20"/>
        </w:rPr>
      </w:pPr>
      <w:bookmarkStart w:name="_bookmark31" w:id="44"/>
      <w:bookmarkEnd w:id="44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14</w:t>
      </w:r>
      <w:r>
        <w:rPr>
          <w:spacing w:val="-3"/>
          <w:sz w:val="20"/>
        </w:rPr>
        <w:t> </w:t>
      </w:r>
      <w:r>
        <w:rPr>
          <w:sz w:val="20"/>
        </w:rPr>
        <w:t>Departamentos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mayor</w:t>
      </w:r>
      <w:r>
        <w:rPr>
          <w:spacing w:val="-3"/>
          <w:sz w:val="20"/>
        </w:rPr>
        <w:t> </w:t>
      </w:r>
      <w:r>
        <w:rPr>
          <w:sz w:val="20"/>
        </w:rPr>
        <w:t>porcentaje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población</w:t>
      </w:r>
      <w:r>
        <w:rPr>
          <w:spacing w:val="-1"/>
          <w:sz w:val="20"/>
        </w:rPr>
        <w:t> </w:t>
      </w:r>
      <w:r>
        <w:rPr>
          <w:sz w:val="20"/>
        </w:rPr>
        <w:t>Afrodescendiente</w:t>
      </w:r>
      <w:r>
        <w:rPr>
          <w:spacing w:val="-4"/>
          <w:sz w:val="20"/>
        </w:rPr>
        <w:t> </w:t>
      </w:r>
      <w:r>
        <w:rPr>
          <w:sz w:val="20"/>
        </w:rPr>
        <w:t>afectada</w:t>
      </w:r>
      <w:r>
        <w:rPr>
          <w:spacing w:val="-3"/>
          <w:sz w:val="20"/>
        </w:rPr>
        <w:t> </w:t>
      </w:r>
      <w:r>
        <w:rPr>
          <w:sz w:val="20"/>
        </w:rPr>
        <w:t>sin</w:t>
      </w:r>
      <w:r>
        <w:rPr>
          <w:spacing w:val="-2"/>
          <w:sz w:val="20"/>
        </w:rPr>
        <w:t> </w:t>
      </w:r>
      <w:r>
        <w:rPr>
          <w:sz w:val="20"/>
        </w:rPr>
        <w:t>ningún</w:t>
      </w:r>
      <w:r>
        <w:rPr>
          <w:spacing w:val="-3"/>
          <w:sz w:val="20"/>
        </w:rPr>
        <w:t> </w:t>
      </w:r>
      <w:r>
        <w:rPr>
          <w:sz w:val="20"/>
        </w:rPr>
        <w:t>nivel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estudio</w:t>
      </w:r>
      <w:r>
        <w:rPr>
          <w:spacing w:val="-3"/>
          <w:sz w:val="20"/>
        </w:rPr>
        <w:t> </w:t>
      </w:r>
      <w:r>
        <w:rPr>
          <w:sz w:val="20"/>
        </w:rPr>
        <w:t>aprobado,</w:t>
      </w:r>
      <w:r>
        <w:rPr>
          <w:spacing w:val="-2"/>
          <w:sz w:val="20"/>
        </w:rPr>
        <w:t> </w:t>
      </w:r>
      <w:r>
        <w:rPr>
          <w:sz w:val="20"/>
        </w:rPr>
        <w:t>según</w:t>
      </w:r>
    </w:p>
    <w:p>
      <w:pPr>
        <w:spacing w:before="0"/>
        <w:ind w:left="830" w:right="1752" w:firstLine="0"/>
        <w:jc w:val="center"/>
        <w:rPr>
          <w:sz w:val="20"/>
        </w:rPr>
      </w:pPr>
      <w:r>
        <w:rPr>
          <w:sz w:val="20"/>
        </w:rPr>
        <w:t>área</w:t>
      </w:r>
      <w:r>
        <w:rPr>
          <w:spacing w:val="-2"/>
          <w:sz w:val="20"/>
        </w:rPr>
        <w:t> </w:t>
      </w:r>
      <w:r>
        <w:rPr>
          <w:sz w:val="20"/>
        </w:rPr>
        <w:t>urbana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rural</w:t>
      </w:r>
    </w:p>
    <w:p>
      <w:pPr>
        <w:pStyle w:val="BodyText"/>
        <w:ind w:left="527"/>
        <w:rPr>
          <w:sz w:val="20"/>
        </w:rPr>
      </w:pPr>
      <w:r>
        <w:rPr>
          <w:sz w:val="20"/>
        </w:rPr>
        <w:drawing>
          <wp:inline distT="0" distB="0" distL="0" distR="0">
            <wp:extent cx="7999058" cy="4767072"/>
            <wp:effectExtent l="0" t="0" r="0" b="0"/>
            <wp:docPr id="5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9058" cy="476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526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2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Guatemala.</w:t>
      </w:r>
      <w:r>
        <w:rPr>
          <w:spacing w:val="-2"/>
          <w:sz w:val="16"/>
        </w:rPr>
        <w:t> </w:t>
      </w:r>
      <w:r>
        <w:rPr>
          <w:sz w:val="16"/>
        </w:rPr>
        <w:t>Procesado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Redatam</w:t>
      </w:r>
      <w:r>
        <w:rPr>
          <w:spacing w:val="-2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rect style="position:absolute;margin-left:729.700012pt;margin-top:9.018145pt;width:25.464pt;height:1.44pt;mso-position-horizontal-relative:page;mso-position-vertical-relative:paragraph;z-index:-1568153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573"/>
      </w:pPr>
      <w:r>
        <w:rPr/>
        <w:t>25</w:t>
      </w:r>
    </w:p>
    <w:p>
      <w:pPr>
        <w:pStyle w:val="BodyText"/>
        <w:spacing w:line="91" w:lineRule="exact"/>
        <w:ind w:left="12994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5pt;height:4.6pt;mso-position-horizontal-relative:char;mso-position-vertical-relative:line" coordorigin="0,0" coordsize="510,92">
            <v:rect style="position:absolute;left:0;top:0;width:510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5840" w:h="12240" w:orient="landscape"/>
          <w:pgMar w:top="480" w:bottom="0" w:left="1600" w:right="26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61344">
            <wp:simplePos x="0" y="0"/>
            <wp:positionH relativeFrom="page">
              <wp:posOffset>2145586</wp:posOffset>
            </wp:positionH>
            <wp:positionV relativeFrom="page">
              <wp:posOffset>309248</wp:posOffset>
            </wp:positionV>
            <wp:extent cx="5760797" cy="7463147"/>
            <wp:effectExtent l="0" t="0" r="0" b="0"/>
            <wp:wrapNone/>
            <wp:docPr id="5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63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5"/>
        </w:rPr>
      </w:pPr>
    </w:p>
    <w:p>
      <w:pPr>
        <w:spacing w:before="59"/>
        <w:ind w:left="830" w:right="2187" w:firstLine="0"/>
        <w:jc w:val="center"/>
        <w:rPr>
          <w:sz w:val="20"/>
        </w:rPr>
      </w:pPr>
      <w:bookmarkStart w:name="_bookmark32" w:id="45"/>
      <w:bookmarkEnd w:id="45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15</w:t>
      </w:r>
      <w:r>
        <w:rPr>
          <w:spacing w:val="-2"/>
          <w:sz w:val="20"/>
        </w:rPr>
        <w:t> </w:t>
      </w:r>
      <w:r>
        <w:rPr>
          <w:sz w:val="20"/>
        </w:rPr>
        <w:t>Departamentos</w:t>
      </w:r>
      <w:r>
        <w:rPr>
          <w:spacing w:val="-5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mayor</w:t>
      </w:r>
      <w:r>
        <w:rPr>
          <w:spacing w:val="-3"/>
          <w:sz w:val="20"/>
        </w:rPr>
        <w:t> </w:t>
      </w:r>
      <w:r>
        <w:rPr>
          <w:sz w:val="20"/>
        </w:rPr>
        <w:t>porcentaje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población</w:t>
      </w:r>
      <w:r>
        <w:rPr>
          <w:spacing w:val="-2"/>
          <w:sz w:val="20"/>
        </w:rPr>
        <w:t> </w:t>
      </w:r>
      <w:r>
        <w:rPr>
          <w:sz w:val="20"/>
        </w:rPr>
        <w:t>ladina</w:t>
      </w:r>
      <w:r>
        <w:rPr>
          <w:spacing w:val="-2"/>
          <w:sz w:val="20"/>
        </w:rPr>
        <w:t> </w:t>
      </w:r>
      <w:r>
        <w:rPr>
          <w:sz w:val="20"/>
        </w:rPr>
        <w:t>afectada</w:t>
      </w:r>
      <w:r>
        <w:rPr>
          <w:spacing w:val="-3"/>
          <w:sz w:val="20"/>
        </w:rPr>
        <w:t> </w:t>
      </w:r>
      <w:r>
        <w:rPr>
          <w:sz w:val="20"/>
        </w:rPr>
        <w:t>sin</w:t>
      </w:r>
      <w:r>
        <w:rPr>
          <w:spacing w:val="-2"/>
          <w:sz w:val="20"/>
        </w:rPr>
        <w:t> </w:t>
      </w:r>
      <w:r>
        <w:rPr>
          <w:sz w:val="20"/>
        </w:rPr>
        <w:t>ningún</w:t>
      </w:r>
      <w:r>
        <w:rPr>
          <w:spacing w:val="-5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estudio</w:t>
      </w:r>
      <w:r>
        <w:rPr>
          <w:spacing w:val="-2"/>
          <w:sz w:val="20"/>
        </w:rPr>
        <w:t> </w:t>
      </w:r>
      <w:r>
        <w:rPr>
          <w:sz w:val="20"/>
        </w:rPr>
        <w:t>aprobado,</w:t>
      </w:r>
      <w:r>
        <w:rPr>
          <w:spacing w:val="-3"/>
          <w:sz w:val="20"/>
        </w:rPr>
        <w:t> </w:t>
      </w:r>
      <w:r>
        <w:rPr>
          <w:sz w:val="20"/>
        </w:rPr>
        <w:t>según</w:t>
      </w:r>
      <w:r>
        <w:rPr>
          <w:spacing w:val="-2"/>
          <w:sz w:val="20"/>
        </w:rPr>
        <w:t> </w:t>
      </w:r>
      <w:r>
        <w:rPr>
          <w:sz w:val="20"/>
        </w:rPr>
        <w:t>área</w:t>
      </w:r>
    </w:p>
    <w:p>
      <w:pPr>
        <w:spacing w:before="1"/>
        <w:ind w:left="830" w:right="1754" w:firstLine="0"/>
        <w:jc w:val="center"/>
        <w:rPr>
          <w:sz w:val="20"/>
        </w:rPr>
      </w:pPr>
      <w:r>
        <w:rPr>
          <w:sz w:val="20"/>
        </w:rPr>
        <w:t>urbana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rural</w:t>
      </w:r>
    </w:p>
    <w:p>
      <w:pPr>
        <w:pStyle w:val="BodyText"/>
        <w:ind w:left="527"/>
        <w:rPr>
          <w:sz w:val="20"/>
        </w:rPr>
      </w:pPr>
      <w:r>
        <w:rPr>
          <w:sz w:val="20"/>
        </w:rPr>
        <w:drawing>
          <wp:inline distT="0" distB="0" distL="0" distR="0">
            <wp:extent cx="7800647" cy="4874799"/>
            <wp:effectExtent l="0" t="0" r="0" b="0"/>
            <wp:docPr id="5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0647" cy="487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62"/>
        <w:ind w:left="526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3"/>
          <w:sz w:val="16"/>
        </w:rPr>
        <w:t> </w:t>
      </w:r>
      <w:r>
        <w:rPr>
          <w:sz w:val="16"/>
        </w:rPr>
        <w:t>y Vivienda</w:t>
      </w:r>
      <w:r>
        <w:rPr>
          <w:spacing w:val="-3"/>
          <w:sz w:val="16"/>
        </w:rPr>
        <w:t> </w:t>
      </w:r>
      <w:r>
        <w:rPr>
          <w:sz w:val="16"/>
        </w:rPr>
        <w:t>2018, Guatemala.</w:t>
      </w:r>
      <w:r>
        <w:rPr>
          <w:spacing w:val="-2"/>
          <w:sz w:val="16"/>
        </w:rPr>
        <w:t> </w:t>
      </w:r>
      <w:r>
        <w:rPr>
          <w:sz w:val="16"/>
        </w:rPr>
        <w:t>Procesado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Redatam</w:t>
      </w:r>
      <w:r>
        <w:rPr>
          <w:spacing w:val="-2"/>
          <w:sz w:val="16"/>
        </w:rPr>
        <w:t> </w:t>
      </w:r>
      <w:r>
        <w:rPr>
          <w:sz w:val="16"/>
        </w:rPr>
        <w:t>WebServer.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  <w:r>
        <w:rPr/>
        <w:pict>
          <v:rect style="position:absolute;margin-left:729.700012pt;margin-top:19.807354pt;width:25.464pt;height:1.44pt;mso-position-horizontal-relative:page;mso-position-vertical-relative:paragraph;z-index:-1568000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573"/>
      </w:pPr>
      <w:r>
        <w:rPr/>
        <w:t>26</w:t>
      </w:r>
    </w:p>
    <w:p>
      <w:pPr>
        <w:pStyle w:val="BodyText"/>
        <w:spacing w:line="91" w:lineRule="exact"/>
        <w:ind w:left="12994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5pt;height:4.6pt;mso-position-horizontal-relative:char;mso-position-vertical-relative:line" coordorigin="0,0" coordsize="510,92">
            <v:rect style="position:absolute;left:0;top:0;width:510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5840" w:h="12240" w:orient="landscape"/>
          <w:pgMar w:top="480" w:bottom="0" w:left="1600" w:right="26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62880">
            <wp:simplePos x="0" y="0"/>
            <wp:positionH relativeFrom="page">
              <wp:posOffset>2145586</wp:posOffset>
            </wp:positionH>
            <wp:positionV relativeFrom="page">
              <wp:posOffset>309248</wp:posOffset>
            </wp:positionV>
            <wp:extent cx="5760797" cy="7463147"/>
            <wp:effectExtent l="0" t="0" r="0" b="0"/>
            <wp:wrapNone/>
            <wp:docPr id="6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63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spacing w:before="52"/>
        <w:ind w:left="526" w:right="1520" w:firstLine="0"/>
        <w:jc w:val="left"/>
        <w:rPr>
          <w:sz w:val="24"/>
        </w:rPr>
      </w:pPr>
      <w:r>
        <w:rPr>
          <w:spacing w:val="-1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manera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conjunta,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se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puede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observar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continuación,</w:t>
      </w:r>
      <w:r>
        <w:rPr>
          <w:spacing w:val="-10"/>
          <w:sz w:val="24"/>
        </w:rPr>
        <w:t> </w:t>
      </w:r>
      <w:r>
        <w:rPr>
          <w:sz w:val="24"/>
        </w:rPr>
        <w:t>los</w:t>
      </w:r>
      <w:r>
        <w:rPr>
          <w:spacing w:val="-11"/>
          <w:sz w:val="24"/>
        </w:rPr>
        <w:t> </w:t>
      </w:r>
      <w:r>
        <w:rPr>
          <w:sz w:val="24"/>
        </w:rPr>
        <w:t>departamentos</w:t>
      </w:r>
      <w:r>
        <w:rPr>
          <w:spacing w:val="-14"/>
          <w:sz w:val="24"/>
        </w:rPr>
        <w:t> </w:t>
      </w:r>
      <w:r>
        <w:rPr>
          <w:sz w:val="24"/>
        </w:rPr>
        <w:t>anteriores</w:t>
      </w:r>
      <w:r>
        <w:rPr>
          <w:spacing w:val="-11"/>
          <w:sz w:val="24"/>
        </w:rPr>
        <w:t> </w:t>
      </w:r>
      <w:r>
        <w:rPr>
          <w:sz w:val="24"/>
        </w:rPr>
        <w:t>con</w:t>
      </w:r>
      <w:r>
        <w:rPr>
          <w:spacing w:val="-11"/>
          <w:sz w:val="24"/>
        </w:rPr>
        <w:t> </w:t>
      </w:r>
      <w:r>
        <w:rPr>
          <w:sz w:val="24"/>
        </w:rPr>
        <w:t>mayor</w:t>
      </w:r>
      <w:r>
        <w:rPr>
          <w:spacing w:val="-13"/>
          <w:sz w:val="24"/>
        </w:rPr>
        <w:t> </w:t>
      </w:r>
      <w:r>
        <w:rPr>
          <w:sz w:val="24"/>
        </w:rPr>
        <w:t>porcentaje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población</w:t>
      </w:r>
      <w:r>
        <w:rPr>
          <w:spacing w:val="-51"/>
          <w:sz w:val="24"/>
        </w:rPr>
        <w:t> </w:t>
      </w:r>
      <w:r>
        <w:rPr>
          <w:sz w:val="24"/>
        </w:rPr>
        <w:t>sin ningún</w:t>
      </w:r>
      <w:r>
        <w:rPr>
          <w:spacing w:val="1"/>
          <w:sz w:val="24"/>
        </w:rPr>
        <w:t> </w:t>
      </w:r>
      <w:r>
        <w:rPr>
          <w:sz w:val="24"/>
        </w:rPr>
        <w:t>nivel de</w:t>
      </w:r>
      <w:r>
        <w:rPr>
          <w:spacing w:val="1"/>
          <w:sz w:val="24"/>
        </w:rPr>
        <w:t> </w:t>
      </w:r>
      <w:r>
        <w:rPr>
          <w:sz w:val="24"/>
        </w:rPr>
        <w:t>estudio</w:t>
      </w:r>
      <w:r>
        <w:rPr>
          <w:spacing w:val="1"/>
          <w:sz w:val="24"/>
        </w:rPr>
        <w:t> </w:t>
      </w:r>
      <w:r>
        <w:rPr>
          <w:sz w:val="24"/>
        </w:rPr>
        <w:t>aprobado, según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área urbana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rural.</w:t>
      </w:r>
    </w:p>
    <w:p>
      <w:pPr>
        <w:pStyle w:val="BodyText"/>
        <w:rPr>
          <w:sz w:val="20"/>
        </w:rPr>
      </w:pPr>
    </w:p>
    <w:p>
      <w:pPr>
        <w:spacing w:before="0"/>
        <w:ind w:left="941" w:right="0" w:firstLine="0"/>
        <w:jc w:val="left"/>
        <w:rPr>
          <w:sz w:val="20"/>
        </w:rPr>
      </w:pPr>
      <w:bookmarkStart w:name="_bookmark33" w:id="46"/>
      <w:bookmarkEnd w:id="46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16</w:t>
      </w:r>
      <w:r>
        <w:rPr>
          <w:spacing w:val="-3"/>
          <w:sz w:val="20"/>
        </w:rPr>
        <w:t> </w:t>
      </w:r>
      <w:r>
        <w:rPr>
          <w:sz w:val="20"/>
        </w:rPr>
        <w:t>Departamentos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mayor</w:t>
      </w:r>
      <w:r>
        <w:rPr>
          <w:spacing w:val="-2"/>
          <w:sz w:val="20"/>
        </w:rPr>
        <w:t> </w:t>
      </w:r>
      <w:r>
        <w:rPr>
          <w:sz w:val="20"/>
        </w:rPr>
        <w:t>porcentaje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población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autoidentificación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pueblo</w:t>
      </w:r>
      <w:r>
        <w:rPr>
          <w:spacing w:val="-2"/>
          <w:sz w:val="20"/>
        </w:rPr>
        <w:t> </w:t>
      </w:r>
      <w:r>
        <w:rPr>
          <w:sz w:val="20"/>
        </w:rPr>
        <w:t>afectada</w:t>
      </w:r>
      <w:r>
        <w:rPr>
          <w:spacing w:val="-3"/>
          <w:sz w:val="20"/>
        </w:rPr>
        <w:t> </w:t>
      </w:r>
      <w:r>
        <w:rPr>
          <w:sz w:val="20"/>
        </w:rPr>
        <w:t>sin</w:t>
      </w:r>
      <w:r>
        <w:rPr>
          <w:spacing w:val="-3"/>
          <w:sz w:val="20"/>
        </w:rPr>
        <w:t> </w:t>
      </w:r>
      <w:r>
        <w:rPr>
          <w:sz w:val="20"/>
        </w:rPr>
        <w:t>ningún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estudio</w:t>
      </w:r>
    </w:p>
    <w:p>
      <w:pPr>
        <w:spacing w:before="0"/>
        <w:ind w:left="5845" w:right="7039" w:firstLine="288"/>
        <w:jc w:val="left"/>
        <w:rPr>
          <w:sz w:val="20"/>
        </w:rPr>
      </w:pPr>
      <w:r>
        <w:rPr>
          <w:sz w:val="20"/>
        </w:rPr>
        <w:t>aprobado</w:t>
      </w:r>
      <w:r>
        <w:rPr>
          <w:spacing w:val="-43"/>
          <w:sz w:val="20"/>
        </w:rPr>
        <w:t> </w:t>
      </w:r>
      <w:r>
        <w:rPr>
          <w:sz w:val="20"/>
        </w:rPr>
        <w:t>área</w:t>
      </w:r>
      <w:r>
        <w:rPr>
          <w:spacing w:val="-1"/>
          <w:sz w:val="20"/>
        </w:rPr>
        <w:t> </w:t>
      </w:r>
      <w:r>
        <w:rPr>
          <w:sz w:val="20"/>
        </w:rPr>
        <w:t>urbana</w:t>
      </w:r>
    </w:p>
    <w:p>
      <w:pPr>
        <w:pStyle w:val="BodyText"/>
        <w:ind w:left="527"/>
        <w:rPr>
          <w:sz w:val="20"/>
        </w:rPr>
      </w:pPr>
      <w:r>
        <w:rPr>
          <w:sz w:val="20"/>
        </w:rPr>
        <w:drawing>
          <wp:inline distT="0" distB="0" distL="0" distR="0">
            <wp:extent cx="7970744" cy="4517136"/>
            <wp:effectExtent l="0" t="0" r="0" b="0"/>
            <wp:docPr id="6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0744" cy="451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526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Población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Guatemala.</w:t>
      </w:r>
      <w:r>
        <w:rPr>
          <w:spacing w:val="-2"/>
          <w:sz w:val="16"/>
        </w:rPr>
        <w:t> </w:t>
      </w:r>
      <w:r>
        <w:rPr>
          <w:sz w:val="16"/>
        </w:rPr>
        <w:t>Procesado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Redatam</w:t>
      </w:r>
      <w:r>
        <w:rPr>
          <w:spacing w:val="-2"/>
          <w:sz w:val="16"/>
        </w:rPr>
        <w:t> </w:t>
      </w:r>
      <w:r>
        <w:rPr>
          <w:sz w:val="16"/>
        </w:rPr>
        <w:t>WebServer.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pict>
          <v:rect style="position:absolute;margin-left:729.700012pt;margin-top:11.635312pt;width:25.464pt;height:1.44pt;mso-position-horizontal-relative:page;mso-position-vertical-relative:paragraph;z-index:-1567846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573"/>
      </w:pPr>
      <w:r>
        <w:rPr/>
        <w:t>27</w:t>
      </w:r>
    </w:p>
    <w:p>
      <w:pPr>
        <w:pStyle w:val="BodyText"/>
        <w:spacing w:line="91" w:lineRule="exact"/>
        <w:ind w:left="12994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5pt;height:4.6pt;mso-position-horizontal-relative:char;mso-position-vertical-relative:line" coordorigin="0,0" coordsize="510,92">
            <v:rect style="position:absolute;left:0;top:0;width:510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5840" w:h="12240" w:orient="landscape"/>
          <w:pgMar w:top="480" w:bottom="0" w:left="1600" w:right="260"/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group style="position:absolute;margin-left:106.349998pt;margin-top:24.350262pt;width:654.8pt;height:587.65pt;mso-position-horizontal-relative:page;mso-position-vertical-relative:page;z-index:-28952064" coordorigin="2127,487" coordsize="13096,11753">
            <v:shape style="position:absolute;left:3378;top:487;width:9073;height:11753" type="#_x0000_t75" stroked="false">
              <v:imagedata r:id="rId18" o:title=""/>
            </v:shape>
            <v:shape style="position:absolute;left:2127;top:2575;width:13096;height:7618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before="0"/>
        <w:ind w:left="828" w:right="2187" w:firstLine="0"/>
        <w:jc w:val="center"/>
        <w:rPr>
          <w:sz w:val="20"/>
        </w:rPr>
      </w:pPr>
      <w:bookmarkStart w:name="_bookmark34" w:id="47"/>
      <w:bookmarkEnd w:id="47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17</w:t>
      </w:r>
      <w:r>
        <w:rPr>
          <w:spacing w:val="-3"/>
          <w:sz w:val="20"/>
        </w:rPr>
        <w:t> </w:t>
      </w:r>
      <w:r>
        <w:rPr>
          <w:sz w:val="20"/>
        </w:rPr>
        <w:t>Departamentos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mayor</w:t>
      </w:r>
      <w:r>
        <w:rPr>
          <w:spacing w:val="-2"/>
          <w:sz w:val="20"/>
        </w:rPr>
        <w:t> </w:t>
      </w:r>
      <w:r>
        <w:rPr>
          <w:sz w:val="20"/>
        </w:rPr>
        <w:t>porcentaje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población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autoidentificación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pueblo</w:t>
      </w:r>
      <w:r>
        <w:rPr>
          <w:spacing w:val="-2"/>
          <w:sz w:val="20"/>
        </w:rPr>
        <w:t> </w:t>
      </w:r>
      <w:r>
        <w:rPr>
          <w:sz w:val="20"/>
        </w:rPr>
        <w:t>afectada</w:t>
      </w:r>
      <w:r>
        <w:rPr>
          <w:spacing w:val="-3"/>
          <w:sz w:val="20"/>
        </w:rPr>
        <w:t> </w:t>
      </w:r>
      <w:r>
        <w:rPr>
          <w:sz w:val="20"/>
        </w:rPr>
        <w:t>sin</w:t>
      </w:r>
      <w:r>
        <w:rPr>
          <w:spacing w:val="-3"/>
          <w:sz w:val="20"/>
        </w:rPr>
        <w:t> </w:t>
      </w:r>
      <w:r>
        <w:rPr>
          <w:sz w:val="20"/>
        </w:rPr>
        <w:t>ningún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estudio</w:t>
      </w:r>
    </w:p>
    <w:p>
      <w:pPr>
        <w:spacing w:before="1"/>
        <w:ind w:left="830" w:right="1755" w:firstLine="0"/>
        <w:jc w:val="center"/>
        <w:rPr>
          <w:sz w:val="20"/>
        </w:rPr>
      </w:pPr>
      <w:r>
        <w:rPr>
          <w:sz w:val="20"/>
        </w:rPr>
        <w:t>aprobado,</w:t>
      </w:r>
      <w:r>
        <w:rPr>
          <w:spacing w:val="-2"/>
          <w:sz w:val="20"/>
        </w:rPr>
        <w:t> </w:t>
      </w:r>
      <w:r>
        <w:rPr>
          <w:sz w:val="20"/>
        </w:rPr>
        <w:t>según</w:t>
      </w:r>
      <w:r>
        <w:rPr>
          <w:spacing w:val="-2"/>
          <w:sz w:val="20"/>
        </w:rPr>
        <w:t> </w:t>
      </w:r>
      <w:r>
        <w:rPr>
          <w:sz w:val="20"/>
        </w:rPr>
        <w:t>área</w:t>
      </w:r>
      <w:r>
        <w:rPr>
          <w:spacing w:val="-2"/>
          <w:sz w:val="20"/>
        </w:rPr>
        <w:t> </w:t>
      </w:r>
      <w:r>
        <w:rPr>
          <w:sz w:val="20"/>
        </w:rPr>
        <w:t>rural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spacing w:before="0"/>
        <w:ind w:left="526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Guatemala.</w:t>
      </w:r>
      <w:r>
        <w:rPr>
          <w:spacing w:val="-2"/>
          <w:sz w:val="16"/>
        </w:rPr>
        <w:t> </w:t>
      </w:r>
      <w:r>
        <w:rPr>
          <w:sz w:val="16"/>
        </w:rPr>
        <w:t>Procesado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Redatam</w:t>
      </w:r>
      <w:r>
        <w:rPr>
          <w:spacing w:val="-1"/>
          <w:sz w:val="16"/>
        </w:rPr>
        <w:t> </w:t>
      </w:r>
      <w:r>
        <w:rPr>
          <w:sz w:val="16"/>
        </w:rPr>
        <w:t>WebServer.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pict>
          <v:rect style="position:absolute;margin-left:729.700012pt;margin-top:8.541631pt;width:25.464pt;height:1.44pt;mso-position-horizontal-relative:page;mso-position-vertical-relative:paragraph;z-index:-1567692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573"/>
      </w:pPr>
      <w:r>
        <w:rPr/>
        <w:t>28</w:t>
      </w:r>
    </w:p>
    <w:p>
      <w:pPr>
        <w:pStyle w:val="BodyText"/>
        <w:spacing w:line="91" w:lineRule="exact"/>
        <w:ind w:left="12994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5pt;height:4.6pt;mso-position-horizontal-relative:char;mso-position-vertical-relative:line" coordorigin="0,0" coordsize="510,92">
            <v:rect style="position:absolute;left:0;top:0;width:510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5840" w:h="12240" w:orient="landscape"/>
          <w:pgMar w:top="480" w:bottom="0" w:left="1600" w:right="26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65952">
            <wp:simplePos x="0" y="0"/>
            <wp:positionH relativeFrom="page">
              <wp:posOffset>4297602</wp:posOffset>
            </wp:positionH>
            <wp:positionV relativeFrom="page">
              <wp:posOffset>295736</wp:posOffset>
            </wp:positionV>
            <wp:extent cx="5760797" cy="7476659"/>
            <wp:effectExtent l="0" t="0" r="0" b="0"/>
            <wp:wrapNone/>
            <wp:docPr id="6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7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Heading3"/>
        <w:numPr>
          <w:ilvl w:val="1"/>
          <w:numId w:val="4"/>
        </w:numPr>
        <w:tabs>
          <w:tab w:pos="1102" w:val="left" w:leader="none"/>
          <w:tab w:pos="1103" w:val="left" w:leader="none"/>
        </w:tabs>
        <w:spacing w:line="240" w:lineRule="auto" w:before="51" w:after="0"/>
        <w:ind w:left="1102" w:right="1723" w:hanging="576"/>
        <w:jc w:val="left"/>
      </w:pPr>
      <w:bookmarkStart w:name="_bookmark35" w:id="48"/>
      <w:bookmarkEnd w:id="48"/>
      <w:r>
        <w:rPr>
          <w:b w:val="0"/>
        </w:rPr>
      </w:r>
      <w:bookmarkStart w:name="_bookmark35" w:id="49"/>
      <w:bookmarkEnd w:id="49"/>
      <w:r>
        <w:rPr>
          <w:color w:val="1F4E79"/>
        </w:rPr>
        <w:t>De</w:t>
      </w:r>
      <w:r>
        <w:rPr>
          <w:color w:val="1F4E79"/>
        </w:rPr>
        <w:t>partamentos</w:t>
      </w:r>
      <w:r>
        <w:rPr>
          <w:color w:val="1F4E79"/>
          <w:spacing w:val="43"/>
        </w:rPr>
        <w:t> </w:t>
      </w:r>
      <w:r>
        <w:rPr>
          <w:color w:val="1F4E79"/>
        </w:rPr>
        <w:t>afectados</w:t>
      </w:r>
      <w:r>
        <w:rPr>
          <w:color w:val="1F4E79"/>
          <w:spacing w:val="43"/>
        </w:rPr>
        <w:t> </w:t>
      </w:r>
      <w:r>
        <w:rPr>
          <w:color w:val="1F4E79"/>
        </w:rPr>
        <w:t>con</w:t>
      </w:r>
      <w:r>
        <w:rPr>
          <w:color w:val="1F4E79"/>
          <w:spacing w:val="43"/>
        </w:rPr>
        <w:t> </w:t>
      </w:r>
      <w:r>
        <w:rPr>
          <w:color w:val="1F4E79"/>
        </w:rPr>
        <w:t>menor</w:t>
      </w:r>
      <w:r>
        <w:rPr>
          <w:color w:val="1F4E79"/>
          <w:spacing w:val="42"/>
        </w:rPr>
        <w:t> </w:t>
      </w:r>
      <w:r>
        <w:rPr>
          <w:color w:val="1F4E79"/>
        </w:rPr>
        <w:t>porcentaje</w:t>
      </w:r>
      <w:r>
        <w:rPr>
          <w:color w:val="1F4E79"/>
          <w:spacing w:val="43"/>
        </w:rPr>
        <w:t> </w:t>
      </w:r>
      <w:r>
        <w:rPr>
          <w:color w:val="1F4E79"/>
        </w:rPr>
        <w:t>de</w:t>
      </w:r>
      <w:r>
        <w:rPr>
          <w:color w:val="1F4E79"/>
          <w:spacing w:val="42"/>
        </w:rPr>
        <w:t> </w:t>
      </w:r>
      <w:r>
        <w:rPr>
          <w:color w:val="1F4E79"/>
        </w:rPr>
        <w:t>población</w:t>
      </w:r>
      <w:r>
        <w:rPr>
          <w:color w:val="1F4E79"/>
          <w:spacing w:val="44"/>
        </w:rPr>
        <w:t> </w:t>
      </w:r>
      <w:r>
        <w:rPr>
          <w:color w:val="1F4E79"/>
        </w:rPr>
        <w:t>con</w:t>
      </w:r>
      <w:r>
        <w:rPr>
          <w:color w:val="1F4E79"/>
          <w:spacing w:val="51"/>
        </w:rPr>
        <w:t> </w:t>
      </w:r>
      <w:r>
        <w:rPr>
          <w:color w:val="1F4E79"/>
        </w:rPr>
        <w:t>nivel</w:t>
      </w:r>
      <w:r>
        <w:rPr>
          <w:color w:val="1F4E79"/>
          <w:spacing w:val="43"/>
        </w:rPr>
        <w:t> </w:t>
      </w:r>
      <w:r>
        <w:rPr>
          <w:color w:val="1F4E79"/>
        </w:rPr>
        <w:t>de</w:t>
      </w:r>
      <w:r>
        <w:rPr>
          <w:color w:val="1F4E79"/>
          <w:spacing w:val="43"/>
        </w:rPr>
        <w:t> </w:t>
      </w:r>
      <w:r>
        <w:rPr>
          <w:color w:val="1F4E79"/>
        </w:rPr>
        <w:t>educación</w:t>
      </w:r>
      <w:r>
        <w:rPr>
          <w:color w:val="1F4E79"/>
          <w:spacing w:val="44"/>
        </w:rPr>
        <w:t> </w:t>
      </w:r>
      <w:r>
        <w:rPr>
          <w:color w:val="1F4E79"/>
        </w:rPr>
        <w:t>inicial</w:t>
      </w:r>
      <w:r>
        <w:rPr>
          <w:color w:val="1F4E79"/>
          <w:spacing w:val="41"/>
        </w:rPr>
        <w:t> </w:t>
      </w:r>
      <w:r>
        <w:rPr>
          <w:color w:val="1F4E79"/>
        </w:rPr>
        <w:t>y</w:t>
      </w:r>
      <w:r>
        <w:rPr>
          <w:color w:val="1F4E79"/>
          <w:spacing w:val="42"/>
        </w:rPr>
        <w:t> </w:t>
      </w:r>
      <w:r>
        <w:rPr>
          <w:color w:val="1F4E79"/>
        </w:rPr>
        <w:t>preprimaria</w:t>
      </w:r>
      <w:r>
        <w:rPr>
          <w:color w:val="1F4E79"/>
          <w:spacing w:val="-51"/>
        </w:rPr>
        <w:t> </w:t>
      </w:r>
      <w:r>
        <w:rPr>
          <w:color w:val="1F4E79"/>
        </w:rPr>
        <w:t>aprobada</w:t>
      </w:r>
    </w:p>
    <w:p>
      <w:pPr>
        <w:pStyle w:val="BodyText"/>
        <w:rPr>
          <w:b/>
          <w:sz w:val="24"/>
        </w:rPr>
      </w:pPr>
    </w:p>
    <w:p>
      <w:pPr>
        <w:spacing w:before="189"/>
        <w:ind w:left="827" w:right="2187" w:firstLine="0"/>
        <w:jc w:val="center"/>
        <w:rPr>
          <w:sz w:val="20"/>
        </w:rPr>
      </w:pPr>
      <w:bookmarkStart w:name="_bookmark36" w:id="50"/>
      <w:bookmarkEnd w:id="50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18</w:t>
      </w:r>
      <w:r>
        <w:rPr>
          <w:spacing w:val="-2"/>
          <w:sz w:val="20"/>
        </w:rPr>
        <w:t> </w:t>
      </w:r>
      <w:r>
        <w:rPr>
          <w:sz w:val="20"/>
        </w:rPr>
        <w:t>Departamentos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menor</w:t>
      </w:r>
      <w:r>
        <w:rPr>
          <w:spacing w:val="-2"/>
          <w:sz w:val="20"/>
        </w:rPr>
        <w:t> </w:t>
      </w:r>
      <w:r>
        <w:rPr>
          <w:sz w:val="20"/>
        </w:rPr>
        <w:t>porcentaje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población</w:t>
      </w:r>
      <w:r>
        <w:rPr>
          <w:spacing w:val="-1"/>
          <w:sz w:val="20"/>
        </w:rPr>
        <w:t> </w:t>
      </w:r>
      <w:r>
        <w:rPr>
          <w:sz w:val="20"/>
        </w:rPr>
        <w:t>Maya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inicial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preprimaria</w:t>
      </w:r>
      <w:r>
        <w:rPr>
          <w:spacing w:val="-2"/>
          <w:sz w:val="20"/>
        </w:rPr>
        <w:t> </w:t>
      </w:r>
      <w:r>
        <w:rPr>
          <w:sz w:val="20"/>
        </w:rPr>
        <w:t>aprobado</w:t>
      </w:r>
      <w:r>
        <w:rPr>
          <w:spacing w:val="-2"/>
          <w:sz w:val="20"/>
        </w:rPr>
        <w:t> </w:t>
      </w:r>
      <w:r>
        <w:rPr>
          <w:sz w:val="20"/>
        </w:rPr>
        <w:t>según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área</w:t>
      </w:r>
      <w:r>
        <w:rPr>
          <w:spacing w:val="-2"/>
          <w:sz w:val="20"/>
        </w:rPr>
        <w:t> </w:t>
      </w:r>
      <w:r>
        <w:rPr>
          <w:sz w:val="20"/>
        </w:rPr>
        <w:t>urbana</w:t>
      </w:r>
      <w:r>
        <w:rPr>
          <w:spacing w:val="-2"/>
          <w:sz w:val="20"/>
        </w:rPr>
        <w:t> </w:t>
      </w:r>
      <w:r>
        <w:rPr>
          <w:sz w:val="20"/>
        </w:rPr>
        <w:t>o</w:t>
      </w:r>
    </w:p>
    <w:p>
      <w:pPr>
        <w:spacing w:before="1"/>
        <w:ind w:left="830" w:right="1755" w:firstLine="0"/>
        <w:jc w:val="center"/>
        <w:rPr>
          <w:sz w:val="20"/>
        </w:rPr>
      </w:pPr>
      <w:r>
        <w:rPr>
          <w:sz w:val="20"/>
        </w:rPr>
        <w:t>rural</w:t>
      </w:r>
    </w:p>
    <w:p>
      <w:pPr>
        <w:pStyle w:val="BodyText"/>
        <w:ind w:left="527"/>
        <w:rPr>
          <w:sz w:val="20"/>
        </w:rPr>
      </w:pPr>
      <w:r>
        <w:rPr>
          <w:sz w:val="20"/>
        </w:rPr>
        <w:drawing>
          <wp:inline distT="0" distB="0" distL="0" distR="0">
            <wp:extent cx="7945418" cy="4358640"/>
            <wp:effectExtent l="0" t="0" r="0" b="0"/>
            <wp:docPr id="6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5418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"/>
        <w:ind w:left="526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Guatemala.</w:t>
      </w:r>
      <w:r>
        <w:rPr>
          <w:spacing w:val="-2"/>
          <w:sz w:val="16"/>
        </w:rPr>
        <w:t> </w:t>
      </w:r>
      <w:r>
        <w:rPr>
          <w:sz w:val="16"/>
        </w:rPr>
        <w:t>Procesado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Redatam</w:t>
      </w:r>
      <w:r>
        <w:rPr>
          <w:spacing w:val="3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  <w:r>
        <w:rPr/>
        <w:pict>
          <v:rect style="position:absolute;margin-left:729.700012pt;margin-top:17.161552pt;width:25.464pt;height:1.44pt;mso-position-horizontal-relative:page;mso-position-vertical-relative:paragraph;z-index:-1567539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573"/>
      </w:pPr>
      <w:r>
        <w:rPr/>
        <w:t>29</w:t>
      </w:r>
    </w:p>
    <w:p>
      <w:pPr>
        <w:pStyle w:val="BodyText"/>
        <w:spacing w:line="91" w:lineRule="exact"/>
        <w:ind w:left="12994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5pt;height:4.6pt;mso-position-horizontal-relative:char;mso-position-vertical-relative:line" coordorigin="0,0" coordsize="510,92">
            <v:rect style="position:absolute;left:0;top:0;width:510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5840" w:h="12240" w:orient="landscape"/>
          <w:pgMar w:top="460" w:bottom="0" w:left="1600" w:right="26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67488">
            <wp:simplePos x="0" y="0"/>
            <wp:positionH relativeFrom="page">
              <wp:posOffset>4297602</wp:posOffset>
            </wp:positionH>
            <wp:positionV relativeFrom="page">
              <wp:posOffset>295736</wp:posOffset>
            </wp:positionV>
            <wp:extent cx="5760797" cy="7476659"/>
            <wp:effectExtent l="0" t="0" r="0" b="0"/>
            <wp:wrapNone/>
            <wp:docPr id="6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7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7"/>
        </w:rPr>
      </w:pPr>
    </w:p>
    <w:p>
      <w:pPr>
        <w:spacing w:before="59"/>
        <w:ind w:left="830" w:right="2187" w:firstLine="0"/>
        <w:jc w:val="center"/>
        <w:rPr>
          <w:sz w:val="20"/>
        </w:rPr>
      </w:pPr>
      <w:bookmarkStart w:name="_bookmark37" w:id="51"/>
      <w:bookmarkEnd w:id="51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19</w:t>
      </w:r>
      <w:r>
        <w:rPr>
          <w:spacing w:val="-2"/>
          <w:sz w:val="20"/>
        </w:rPr>
        <w:t> </w:t>
      </w:r>
      <w:r>
        <w:rPr>
          <w:sz w:val="20"/>
        </w:rPr>
        <w:t>Departamentos</w:t>
      </w:r>
      <w:r>
        <w:rPr>
          <w:spacing w:val="-5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menor</w:t>
      </w:r>
      <w:r>
        <w:rPr>
          <w:spacing w:val="-3"/>
          <w:sz w:val="20"/>
        </w:rPr>
        <w:t> </w:t>
      </w:r>
      <w:r>
        <w:rPr>
          <w:sz w:val="20"/>
        </w:rPr>
        <w:t>porcentaje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población</w:t>
      </w:r>
      <w:r>
        <w:rPr>
          <w:spacing w:val="-2"/>
          <w:sz w:val="20"/>
        </w:rPr>
        <w:t> </w:t>
      </w:r>
      <w:r>
        <w:rPr>
          <w:sz w:val="20"/>
        </w:rPr>
        <w:t>Garífuna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inicial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preprimaria</w:t>
      </w:r>
      <w:r>
        <w:rPr>
          <w:spacing w:val="-3"/>
          <w:sz w:val="20"/>
        </w:rPr>
        <w:t> </w:t>
      </w:r>
      <w:r>
        <w:rPr>
          <w:sz w:val="20"/>
        </w:rPr>
        <w:t>aprobado</w:t>
      </w:r>
      <w:r>
        <w:rPr>
          <w:spacing w:val="-2"/>
          <w:sz w:val="20"/>
        </w:rPr>
        <w:t> </w:t>
      </w:r>
      <w:r>
        <w:rPr>
          <w:sz w:val="20"/>
        </w:rPr>
        <w:t>según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área</w:t>
      </w:r>
      <w:r>
        <w:rPr>
          <w:spacing w:val="-3"/>
          <w:sz w:val="20"/>
        </w:rPr>
        <w:t> </w:t>
      </w:r>
      <w:r>
        <w:rPr>
          <w:sz w:val="20"/>
        </w:rPr>
        <w:t>urbana</w:t>
      </w:r>
    </w:p>
    <w:p>
      <w:pPr>
        <w:spacing w:before="0"/>
        <w:ind w:left="830" w:right="1753" w:firstLine="0"/>
        <w:jc w:val="center"/>
        <w:rPr>
          <w:sz w:val="20"/>
        </w:rPr>
      </w:pP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rural</w:t>
      </w:r>
    </w:p>
    <w:p>
      <w:pPr>
        <w:pStyle w:val="BodyText"/>
        <w:ind w:left="527"/>
        <w:rPr>
          <w:sz w:val="20"/>
        </w:rPr>
      </w:pPr>
      <w:r>
        <w:rPr>
          <w:sz w:val="20"/>
        </w:rPr>
        <w:drawing>
          <wp:inline distT="0" distB="0" distL="0" distR="0">
            <wp:extent cx="7932284" cy="4718304"/>
            <wp:effectExtent l="0" t="0" r="0" b="0"/>
            <wp:docPr id="7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2284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"/>
        <w:ind w:left="526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Vivienda</w:t>
      </w:r>
      <w:r>
        <w:rPr>
          <w:spacing w:val="-2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Guatemala.</w:t>
      </w:r>
      <w:r>
        <w:rPr>
          <w:spacing w:val="-2"/>
          <w:sz w:val="16"/>
        </w:rPr>
        <w:t> </w:t>
      </w:r>
      <w:r>
        <w:rPr>
          <w:sz w:val="16"/>
        </w:rPr>
        <w:t>Procesado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Redatam</w:t>
      </w:r>
      <w:r>
        <w:rPr>
          <w:spacing w:val="-2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pict>
          <v:rect style="position:absolute;margin-left:729.700012pt;margin-top:17.508917pt;width:25.464pt;height:1.44pt;mso-position-horizontal-relative:page;mso-position-vertical-relative:paragraph;z-index:-1567385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573"/>
      </w:pPr>
      <w:r>
        <w:rPr/>
        <w:t>30</w:t>
      </w:r>
    </w:p>
    <w:p>
      <w:pPr>
        <w:pStyle w:val="BodyText"/>
        <w:spacing w:line="91" w:lineRule="exact"/>
        <w:ind w:left="12994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5pt;height:4.6pt;mso-position-horizontal-relative:char;mso-position-vertical-relative:line" coordorigin="0,0" coordsize="510,92">
            <v:rect style="position:absolute;left:0;top:0;width:510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5840" w:h="12240" w:orient="landscape"/>
          <w:pgMar w:top="460" w:bottom="0" w:left="1600" w:right="26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69024">
            <wp:simplePos x="0" y="0"/>
            <wp:positionH relativeFrom="page">
              <wp:posOffset>4297602</wp:posOffset>
            </wp:positionH>
            <wp:positionV relativeFrom="page">
              <wp:posOffset>295736</wp:posOffset>
            </wp:positionV>
            <wp:extent cx="5760797" cy="7476659"/>
            <wp:effectExtent l="0" t="0" r="0" b="0"/>
            <wp:wrapNone/>
            <wp:docPr id="7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7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spacing w:before="59"/>
        <w:ind w:left="828" w:right="2187" w:firstLine="0"/>
        <w:jc w:val="center"/>
        <w:rPr>
          <w:sz w:val="20"/>
        </w:rPr>
      </w:pPr>
      <w:bookmarkStart w:name="_bookmark38" w:id="52"/>
      <w:bookmarkEnd w:id="52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20</w:t>
      </w:r>
      <w:r>
        <w:rPr>
          <w:spacing w:val="-2"/>
          <w:sz w:val="20"/>
        </w:rPr>
        <w:t> </w:t>
      </w:r>
      <w:r>
        <w:rPr>
          <w:sz w:val="20"/>
        </w:rPr>
        <w:t>Departamentos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menor</w:t>
      </w:r>
      <w:r>
        <w:rPr>
          <w:spacing w:val="-3"/>
          <w:sz w:val="20"/>
        </w:rPr>
        <w:t> </w:t>
      </w:r>
      <w:r>
        <w:rPr>
          <w:sz w:val="20"/>
        </w:rPr>
        <w:t>porcentaje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población</w:t>
      </w:r>
      <w:r>
        <w:rPr>
          <w:spacing w:val="-1"/>
          <w:sz w:val="20"/>
        </w:rPr>
        <w:t> </w:t>
      </w:r>
      <w:r>
        <w:rPr>
          <w:sz w:val="20"/>
        </w:rPr>
        <w:t>Xinca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inicial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preprimaria</w:t>
      </w:r>
      <w:r>
        <w:rPr>
          <w:spacing w:val="-3"/>
          <w:sz w:val="20"/>
        </w:rPr>
        <w:t> </w:t>
      </w:r>
      <w:r>
        <w:rPr>
          <w:sz w:val="20"/>
        </w:rPr>
        <w:t>aprobado</w:t>
      </w:r>
      <w:r>
        <w:rPr>
          <w:spacing w:val="-2"/>
          <w:sz w:val="20"/>
        </w:rPr>
        <w:t> </w:t>
      </w:r>
      <w:r>
        <w:rPr>
          <w:sz w:val="20"/>
        </w:rPr>
        <w:t>según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área</w:t>
      </w:r>
      <w:r>
        <w:rPr>
          <w:spacing w:val="-2"/>
          <w:sz w:val="20"/>
        </w:rPr>
        <w:t> </w:t>
      </w:r>
      <w:r>
        <w:rPr>
          <w:sz w:val="20"/>
        </w:rPr>
        <w:t>urbana</w:t>
      </w:r>
      <w:r>
        <w:rPr>
          <w:spacing w:val="-2"/>
          <w:sz w:val="20"/>
        </w:rPr>
        <w:t> </w:t>
      </w:r>
      <w:r>
        <w:rPr>
          <w:sz w:val="20"/>
        </w:rPr>
        <w:t>o</w:t>
      </w:r>
    </w:p>
    <w:p>
      <w:pPr>
        <w:spacing w:before="1"/>
        <w:ind w:left="830" w:right="1755" w:firstLine="0"/>
        <w:jc w:val="center"/>
        <w:rPr>
          <w:sz w:val="20"/>
        </w:rPr>
      </w:pPr>
      <w:r>
        <w:rPr>
          <w:sz w:val="20"/>
        </w:rPr>
        <w:t>rural</w:t>
      </w:r>
    </w:p>
    <w:p>
      <w:pPr>
        <w:pStyle w:val="BodyText"/>
        <w:ind w:left="527"/>
        <w:rPr>
          <w:sz w:val="20"/>
        </w:rPr>
      </w:pPr>
      <w:r>
        <w:rPr>
          <w:sz w:val="20"/>
        </w:rPr>
        <w:drawing>
          <wp:inline distT="0" distB="0" distL="0" distR="0">
            <wp:extent cx="8188708" cy="4840224"/>
            <wp:effectExtent l="0" t="0" r="0" b="0"/>
            <wp:docPr id="7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8708" cy="484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526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partir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Guatemala.</w:t>
      </w:r>
      <w:r>
        <w:rPr>
          <w:spacing w:val="-2"/>
          <w:sz w:val="16"/>
        </w:rPr>
        <w:t> </w:t>
      </w:r>
      <w:r>
        <w:rPr>
          <w:sz w:val="16"/>
        </w:rPr>
        <w:t>Procesado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Redatam</w:t>
      </w:r>
      <w:r>
        <w:rPr>
          <w:spacing w:val="-2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pict>
          <v:rect style="position:absolute;margin-left:729.700012pt;margin-top:8.375859pt;width:25.464pt;height:1.44pt;mso-position-horizontal-relative:page;mso-position-vertical-relative:paragraph;z-index:-1567232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573"/>
      </w:pPr>
      <w:r>
        <w:rPr/>
        <w:t>31</w:t>
      </w:r>
    </w:p>
    <w:p>
      <w:pPr>
        <w:pStyle w:val="BodyText"/>
        <w:spacing w:line="91" w:lineRule="exact"/>
        <w:ind w:left="12994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5pt;height:4.6pt;mso-position-horizontal-relative:char;mso-position-vertical-relative:line" coordorigin="0,0" coordsize="510,92">
            <v:rect style="position:absolute;left:0;top:0;width:510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5840" w:h="12240" w:orient="landscape"/>
          <w:pgMar w:top="460" w:bottom="0" w:left="1600" w:right="26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70560">
            <wp:simplePos x="0" y="0"/>
            <wp:positionH relativeFrom="page">
              <wp:posOffset>4297602</wp:posOffset>
            </wp:positionH>
            <wp:positionV relativeFrom="page">
              <wp:posOffset>295736</wp:posOffset>
            </wp:positionV>
            <wp:extent cx="5760797" cy="7476659"/>
            <wp:effectExtent l="0" t="0" r="0" b="0"/>
            <wp:wrapNone/>
            <wp:docPr id="7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7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spacing w:before="59"/>
        <w:ind w:left="830" w:right="2187" w:firstLine="0"/>
        <w:jc w:val="center"/>
        <w:rPr>
          <w:sz w:val="20"/>
        </w:rPr>
      </w:pPr>
      <w:bookmarkStart w:name="_bookmark39" w:id="53"/>
      <w:bookmarkEnd w:id="53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21</w:t>
      </w:r>
      <w:r>
        <w:rPr>
          <w:spacing w:val="-3"/>
          <w:sz w:val="20"/>
        </w:rPr>
        <w:t> </w:t>
      </w:r>
      <w:r>
        <w:rPr>
          <w:sz w:val="20"/>
        </w:rPr>
        <w:t>Departamentos</w:t>
      </w:r>
      <w:r>
        <w:rPr>
          <w:spacing w:val="-5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menor</w:t>
      </w:r>
      <w:r>
        <w:rPr>
          <w:spacing w:val="-3"/>
          <w:sz w:val="20"/>
        </w:rPr>
        <w:t> </w:t>
      </w:r>
      <w:r>
        <w:rPr>
          <w:sz w:val="20"/>
        </w:rPr>
        <w:t>porcentaje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población</w:t>
      </w:r>
      <w:r>
        <w:rPr>
          <w:spacing w:val="-2"/>
          <w:sz w:val="20"/>
        </w:rPr>
        <w:t> </w:t>
      </w:r>
      <w:r>
        <w:rPr>
          <w:sz w:val="20"/>
        </w:rPr>
        <w:t>Afrodescendiente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3"/>
          <w:sz w:val="20"/>
        </w:rPr>
        <w:t> </w:t>
      </w:r>
      <w:r>
        <w:rPr>
          <w:sz w:val="20"/>
        </w:rPr>
        <w:t>inicial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preprimaria</w:t>
      </w:r>
      <w:r>
        <w:rPr>
          <w:spacing w:val="-2"/>
          <w:sz w:val="20"/>
        </w:rPr>
        <w:t> </w:t>
      </w:r>
      <w:r>
        <w:rPr>
          <w:sz w:val="20"/>
        </w:rPr>
        <w:t>aprobado</w:t>
      </w:r>
      <w:r>
        <w:rPr>
          <w:spacing w:val="-3"/>
          <w:sz w:val="20"/>
        </w:rPr>
        <w:t> </w:t>
      </w:r>
      <w:r>
        <w:rPr>
          <w:sz w:val="20"/>
        </w:rPr>
        <w:t>según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área</w:t>
      </w:r>
    </w:p>
    <w:p>
      <w:pPr>
        <w:spacing w:before="1"/>
        <w:ind w:left="830" w:right="1754" w:firstLine="0"/>
        <w:jc w:val="center"/>
        <w:rPr>
          <w:sz w:val="20"/>
        </w:rPr>
      </w:pPr>
      <w:r>
        <w:rPr>
          <w:sz w:val="20"/>
        </w:rPr>
        <w:t>urbana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rural</w:t>
      </w:r>
    </w:p>
    <w:p>
      <w:pPr>
        <w:pStyle w:val="BodyText"/>
        <w:ind w:left="527"/>
        <w:rPr>
          <w:sz w:val="20"/>
        </w:rPr>
      </w:pPr>
      <w:r>
        <w:rPr>
          <w:sz w:val="20"/>
        </w:rPr>
        <w:drawing>
          <wp:inline distT="0" distB="0" distL="0" distR="0">
            <wp:extent cx="8164548" cy="4974336"/>
            <wp:effectExtent l="0" t="0" r="0" b="0"/>
            <wp:docPr id="7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4548" cy="497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526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Guatemala.</w:t>
      </w:r>
      <w:r>
        <w:rPr>
          <w:spacing w:val="-2"/>
          <w:sz w:val="16"/>
        </w:rPr>
        <w:t> </w:t>
      </w:r>
      <w:r>
        <w:rPr>
          <w:sz w:val="16"/>
        </w:rPr>
        <w:t>Procesado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Redatam</w:t>
      </w:r>
      <w:r>
        <w:rPr>
          <w:spacing w:val="-2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rect style="position:absolute;margin-left:729.700012pt;margin-top:10.03289pt;width:25.464pt;height:1.44pt;mso-position-horizontal-relative:page;mso-position-vertical-relative:paragraph;z-index:-1567078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573"/>
      </w:pPr>
      <w:r>
        <w:rPr/>
        <w:t>32</w:t>
      </w:r>
    </w:p>
    <w:p>
      <w:pPr>
        <w:pStyle w:val="BodyText"/>
        <w:spacing w:line="91" w:lineRule="exact"/>
        <w:ind w:left="12994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5pt;height:4.6pt;mso-position-horizontal-relative:char;mso-position-vertical-relative:line" coordorigin="0,0" coordsize="510,92">
            <v:rect style="position:absolute;left:0;top:0;width:510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5840" w:h="12240" w:orient="landscape"/>
          <w:pgMar w:top="460" w:bottom="0" w:left="1600" w:right="26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72096">
            <wp:simplePos x="0" y="0"/>
            <wp:positionH relativeFrom="page">
              <wp:posOffset>4297602</wp:posOffset>
            </wp:positionH>
            <wp:positionV relativeFrom="page">
              <wp:posOffset>295736</wp:posOffset>
            </wp:positionV>
            <wp:extent cx="5760797" cy="7476659"/>
            <wp:effectExtent l="0" t="0" r="0" b="0"/>
            <wp:wrapNone/>
            <wp:docPr id="8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7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spacing w:before="59"/>
        <w:ind w:left="870" w:right="0" w:firstLine="0"/>
        <w:jc w:val="left"/>
        <w:rPr>
          <w:sz w:val="20"/>
        </w:rPr>
      </w:pPr>
      <w:bookmarkStart w:name="_bookmark40" w:id="54"/>
      <w:bookmarkEnd w:id="54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22</w:t>
      </w:r>
      <w:r>
        <w:rPr>
          <w:spacing w:val="-2"/>
          <w:sz w:val="20"/>
        </w:rPr>
        <w:t> </w:t>
      </w:r>
      <w:r>
        <w:rPr>
          <w:sz w:val="20"/>
        </w:rPr>
        <w:t>Departamentos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menor</w:t>
      </w:r>
      <w:r>
        <w:rPr>
          <w:spacing w:val="-3"/>
          <w:sz w:val="20"/>
        </w:rPr>
        <w:t> </w:t>
      </w:r>
      <w:r>
        <w:rPr>
          <w:sz w:val="20"/>
        </w:rPr>
        <w:t>porcentaje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población</w:t>
      </w:r>
      <w:r>
        <w:rPr>
          <w:spacing w:val="-2"/>
          <w:sz w:val="20"/>
        </w:rPr>
        <w:t> </w:t>
      </w:r>
      <w:r>
        <w:rPr>
          <w:sz w:val="20"/>
        </w:rPr>
        <w:t>ladina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inicial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preprimaria</w:t>
      </w:r>
      <w:r>
        <w:rPr>
          <w:spacing w:val="-2"/>
          <w:sz w:val="20"/>
        </w:rPr>
        <w:t> </w:t>
      </w:r>
      <w:r>
        <w:rPr>
          <w:sz w:val="20"/>
        </w:rPr>
        <w:t>aprobado</w:t>
      </w:r>
      <w:r>
        <w:rPr>
          <w:spacing w:val="-2"/>
          <w:sz w:val="20"/>
        </w:rPr>
        <w:t> </w:t>
      </w:r>
      <w:r>
        <w:rPr>
          <w:sz w:val="20"/>
        </w:rPr>
        <w:t>según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4"/>
          <w:sz w:val="20"/>
        </w:rPr>
        <w:t> </w:t>
      </w:r>
      <w:r>
        <w:rPr>
          <w:sz w:val="20"/>
        </w:rPr>
        <w:t>área urbana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rural</w:t>
      </w:r>
    </w:p>
    <w:p>
      <w:pPr>
        <w:pStyle w:val="BodyText"/>
        <w:ind w:left="527"/>
        <w:rPr>
          <w:sz w:val="20"/>
        </w:rPr>
      </w:pPr>
      <w:r>
        <w:rPr>
          <w:sz w:val="20"/>
        </w:rPr>
        <w:drawing>
          <wp:inline distT="0" distB="0" distL="0" distR="0">
            <wp:extent cx="8114232" cy="4760976"/>
            <wp:effectExtent l="0" t="0" r="0" b="0"/>
            <wp:docPr id="8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4232" cy="476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"/>
        <w:ind w:left="526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 Guatemala.</w:t>
      </w:r>
      <w:r>
        <w:rPr>
          <w:spacing w:val="-2"/>
          <w:sz w:val="16"/>
        </w:rPr>
        <w:t> </w:t>
      </w:r>
      <w:r>
        <w:rPr>
          <w:sz w:val="16"/>
        </w:rPr>
        <w:t>Procesado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Redatam</w:t>
      </w:r>
      <w:r>
        <w:rPr>
          <w:spacing w:val="-2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w:pict>
          <v:rect style="position:absolute;margin-left:729.700012pt;margin-top:14.56625pt;width:25.464pt;height:1.44pt;mso-position-horizontal-relative:page;mso-position-vertical-relative:paragraph;z-index:-1566924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573"/>
      </w:pPr>
      <w:r>
        <w:rPr/>
        <w:t>33</w:t>
      </w:r>
    </w:p>
    <w:p>
      <w:pPr>
        <w:pStyle w:val="BodyText"/>
        <w:spacing w:line="91" w:lineRule="exact"/>
        <w:ind w:left="12994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5pt;height:4.6pt;mso-position-horizontal-relative:char;mso-position-vertical-relative:line" coordorigin="0,0" coordsize="510,92">
            <v:rect style="position:absolute;left:0;top:0;width:510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5840" w:h="12240" w:orient="landscape"/>
          <w:pgMar w:top="460" w:bottom="0" w:left="1600" w:right="26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73632">
            <wp:simplePos x="0" y="0"/>
            <wp:positionH relativeFrom="page">
              <wp:posOffset>4297602</wp:posOffset>
            </wp:positionH>
            <wp:positionV relativeFrom="page">
              <wp:posOffset>295736</wp:posOffset>
            </wp:positionV>
            <wp:extent cx="5760797" cy="7476659"/>
            <wp:effectExtent l="0" t="0" r="0" b="0"/>
            <wp:wrapNone/>
            <wp:docPr id="8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7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5"/>
        </w:rPr>
      </w:pPr>
    </w:p>
    <w:p>
      <w:pPr>
        <w:spacing w:before="51"/>
        <w:ind w:left="526" w:right="1520" w:firstLine="0"/>
        <w:jc w:val="left"/>
        <w:rPr>
          <w:sz w:val="24"/>
        </w:rPr>
      </w:pPr>
      <w:r>
        <w:rPr>
          <w:spacing w:val="-1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manera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conjunta,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se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puede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observar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continuación,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14"/>
          <w:sz w:val="24"/>
        </w:rPr>
        <w:t> </w:t>
      </w:r>
      <w:r>
        <w:rPr>
          <w:sz w:val="24"/>
        </w:rPr>
        <w:t>departamentos</w:t>
      </w:r>
      <w:r>
        <w:rPr>
          <w:spacing w:val="-14"/>
          <w:sz w:val="24"/>
        </w:rPr>
        <w:t> </w:t>
      </w:r>
      <w:r>
        <w:rPr>
          <w:sz w:val="24"/>
        </w:rPr>
        <w:t>anteriores</w:t>
      </w:r>
      <w:r>
        <w:rPr>
          <w:spacing w:val="-13"/>
          <w:sz w:val="24"/>
        </w:rPr>
        <w:t> </w:t>
      </w:r>
      <w:r>
        <w:rPr>
          <w:sz w:val="24"/>
        </w:rPr>
        <w:t>con</w:t>
      </w:r>
      <w:r>
        <w:rPr>
          <w:spacing w:val="-12"/>
          <w:sz w:val="24"/>
        </w:rPr>
        <w:t> </w:t>
      </w:r>
      <w:r>
        <w:rPr>
          <w:sz w:val="24"/>
        </w:rPr>
        <w:t>menor</w:t>
      </w:r>
      <w:r>
        <w:rPr>
          <w:spacing w:val="-13"/>
          <w:sz w:val="24"/>
        </w:rPr>
        <w:t> </w:t>
      </w:r>
      <w:r>
        <w:rPr>
          <w:sz w:val="24"/>
        </w:rPr>
        <w:t>porcentaje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población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-6"/>
          <w:sz w:val="24"/>
        </w:rPr>
        <w:t> </w:t>
      </w:r>
      <w:r>
        <w:rPr>
          <w:sz w:val="24"/>
        </w:rPr>
        <w:t>autoidentificación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pertenencia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pueblo,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5"/>
          <w:sz w:val="24"/>
        </w:rPr>
        <w:t> </w:t>
      </w:r>
      <w:r>
        <w:rPr>
          <w:sz w:val="24"/>
        </w:rPr>
        <w:t>nivel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educación</w:t>
      </w:r>
      <w:r>
        <w:rPr>
          <w:spacing w:val="-4"/>
          <w:sz w:val="24"/>
        </w:rPr>
        <w:t> </w:t>
      </w:r>
      <w:r>
        <w:rPr>
          <w:sz w:val="24"/>
        </w:rPr>
        <w:t>inicial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preprimaria,</w:t>
      </w:r>
      <w:r>
        <w:rPr>
          <w:spacing w:val="-6"/>
          <w:sz w:val="24"/>
        </w:rPr>
        <w:t> </w:t>
      </w:r>
      <w:r>
        <w:rPr>
          <w:sz w:val="24"/>
        </w:rPr>
        <w:t>según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área</w:t>
      </w:r>
      <w:r>
        <w:rPr>
          <w:spacing w:val="-6"/>
          <w:sz w:val="24"/>
        </w:rPr>
        <w:t> </w:t>
      </w:r>
      <w:r>
        <w:rPr>
          <w:sz w:val="24"/>
        </w:rPr>
        <w:t>urbana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rural.</w:t>
      </w:r>
    </w:p>
    <w:p>
      <w:pPr>
        <w:pStyle w:val="BodyText"/>
        <w:spacing w:before="5"/>
        <w:rPr>
          <w:sz w:val="14"/>
        </w:rPr>
      </w:pPr>
    </w:p>
    <w:p>
      <w:pPr>
        <w:spacing w:before="93" w:after="4"/>
        <w:ind w:left="1230" w:right="4240" w:hanging="425"/>
        <w:jc w:val="left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Gráfico</w:t>
      </w:r>
      <w:r>
        <w:rPr>
          <w:rFonts w:ascii="Arial MT" w:hAnsi="Arial MT"/>
          <w:spacing w:val="9"/>
          <w:sz w:val="20"/>
        </w:rPr>
        <w:t> </w:t>
      </w:r>
      <w:r>
        <w:rPr>
          <w:rFonts w:ascii="Arial MT" w:hAnsi="Arial MT"/>
          <w:sz w:val="20"/>
        </w:rPr>
        <w:t>23</w:t>
      </w:r>
      <w:r>
        <w:rPr>
          <w:rFonts w:ascii="Arial MT" w:hAnsi="Arial MT"/>
          <w:spacing w:val="9"/>
          <w:sz w:val="20"/>
        </w:rPr>
        <w:t> </w:t>
      </w:r>
      <w:r>
        <w:rPr>
          <w:rFonts w:ascii="Arial MT" w:hAnsi="Arial MT"/>
          <w:sz w:val="20"/>
        </w:rPr>
        <w:t>Departamentos</w:t>
      </w:r>
      <w:r>
        <w:rPr>
          <w:rFonts w:ascii="Arial MT" w:hAnsi="Arial MT"/>
          <w:spacing w:val="11"/>
          <w:sz w:val="20"/>
        </w:rPr>
        <w:t> </w:t>
      </w:r>
      <w:r>
        <w:rPr>
          <w:rFonts w:ascii="Arial MT" w:hAnsi="Arial MT"/>
          <w:sz w:val="20"/>
        </w:rPr>
        <w:t>con</w:t>
      </w:r>
      <w:r>
        <w:rPr>
          <w:rFonts w:ascii="Arial MT" w:hAnsi="Arial MT"/>
          <w:spacing w:val="8"/>
          <w:sz w:val="20"/>
        </w:rPr>
        <w:t> </w:t>
      </w:r>
      <w:r>
        <w:rPr>
          <w:rFonts w:ascii="Arial MT" w:hAnsi="Arial MT"/>
          <w:sz w:val="20"/>
        </w:rPr>
        <w:t>menor</w:t>
      </w:r>
      <w:r>
        <w:rPr>
          <w:rFonts w:ascii="Arial MT" w:hAnsi="Arial MT"/>
          <w:spacing w:val="9"/>
          <w:sz w:val="20"/>
        </w:rPr>
        <w:t> </w:t>
      </w:r>
      <w:r>
        <w:rPr>
          <w:rFonts w:ascii="Arial MT" w:hAnsi="Arial MT"/>
          <w:sz w:val="20"/>
        </w:rPr>
        <w:t>porcentaje</w:t>
      </w:r>
      <w:r>
        <w:rPr>
          <w:rFonts w:ascii="Arial MT" w:hAnsi="Arial MT"/>
          <w:spacing w:val="10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0"/>
          <w:sz w:val="20"/>
        </w:rPr>
        <w:t> </w:t>
      </w:r>
      <w:r>
        <w:rPr>
          <w:rFonts w:ascii="Arial MT" w:hAnsi="Arial MT"/>
          <w:sz w:val="20"/>
        </w:rPr>
        <w:t>población</w:t>
      </w:r>
      <w:r>
        <w:rPr>
          <w:rFonts w:ascii="Arial MT" w:hAnsi="Arial MT"/>
          <w:spacing w:val="9"/>
          <w:sz w:val="20"/>
        </w:rPr>
        <w:t> </w:t>
      </w:r>
      <w:r>
        <w:rPr>
          <w:rFonts w:ascii="Arial MT" w:hAnsi="Arial MT"/>
          <w:sz w:val="20"/>
        </w:rPr>
        <w:t>por</w:t>
      </w:r>
      <w:r>
        <w:rPr>
          <w:rFonts w:ascii="Arial MT" w:hAnsi="Arial MT"/>
          <w:spacing w:val="12"/>
          <w:sz w:val="20"/>
        </w:rPr>
        <w:t> </w:t>
      </w:r>
      <w:r>
        <w:rPr>
          <w:rFonts w:ascii="Arial MT" w:hAnsi="Arial MT"/>
          <w:sz w:val="20"/>
        </w:rPr>
        <w:t>autoidentificación</w:t>
      </w:r>
      <w:r>
        <w:rPr>
          <w:rFonts w:ascii="Arial MT" w:hAnsi="Arial MT"/>
          <w:spacing w:val="9"/>
          <w:sz w:val="20"/>
        </w:rPr>
        <w:t> </w:t>
      </w:r>
      <w:r>
        <w:rPr>
          <w:rFonts w:ascii="Arial MT" w:hAnsi="Arial MT"/>
          <w:sz w:val="20"/>
        </w:rPr>
        <w:t>por</w:t>
      </w:r>
      <w:r>
        <w:rPr>
          <w:rFonts w:ascii="Arial MT" w:hAnsi="Arial MT"/>
          <w:spacing w:val="9"/>
          <w:sz w:val="20"/>
        </w:rPr>
        <w:t> </w:t>
      </w:r>
      <w:r>
        <w:rPr>
          <w:rFonts w:ascii="Arial MT" w:hAnsi="Arial MT"/>
          <w:sz w:val="20"/>
        </w:rPr>
        <w:t>pueblo,</w:t>
      </w:r>
      <w:r>
        <w:rPr>
          <w:rFonts w:ascii="Arial MT" w:hAnsi="Arial MT"/>
          <w:spacing w:val="-52"/>
          <w:sz w:val="20"/>
        </w:rPr>
        <w:t> </w:t>
      </w:r>
      <w:r>
        <w:rPr>
          <w:rFonts w:ascii="Arial MT" w:hAnsi="Arial MT"/>
          <w:sz w:val="20"/>
        </w:rPr>
        <w:t>con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nivel inicial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preprimaria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aprobado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según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el área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urbana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o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rural.</w:t>
      </w:r>
    </w:p>
    <w:p>
      <w:pPr>
        <w:pStyle w:val="BodyText"/>
        <w:ind w:left="527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8176314" cy="4517135"/>
            <wp:effectExtent l="0" t="0" r="0" b="0"/>
            <wp:docPr id="8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314" cy="451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spacing w:before="0"/>
        <w:ind w:left="526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2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Guatemala.</w:t>
      </w:r>
      <w:r>
        <w:rPr>
          <w:spacing w:val="-2"/>
          <w:sz w:val="16"/>
        </w:rPr>
        <w:t> </w:t>
      </w:r>
      <w:r>
        <w:rPr>
          <w:sz w:val="16"/>
        </w:rPr>
        <w:t>Procesado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Redatam</w:t>
      </w:r>
      <w:r>
        <w:rPr>
          <w:spacing w:val="-2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  <w:r>
        <w:rPr/>
        <w:pict>
          <v:rect style="position:absolute;margin-left:729.700012pt;margin-top:16.770313pt;width:25.464pt;height:1.44pt;mso-position-horizontal-relative:page;mso-position-vertical-relative:paragraph;z-index:-1566771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573"/>
      </w:pPr>
      <w:r>
        <w:rPr/>
        <w:t>34</w:t>
      </w:r>
    </w:p>
    <w:p>
      <w:pPr>
        <w:pStyle w:val="BodyText"/>
        <w:spacing w:line="91" w:lineRule="exact"/>
        <w:ind w:left="12994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5pt;height:4.6pt;mso-position-horizontal-relative:char;mso-position-vertical-relative:line" coordorigin="0,0" coordsize="510,92">
            <v:rect style="position:absolute;left:0;top:0;width:510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5840" w:h="12240" w:orient="landscape"/>
          <w:pgMar w:top="460" w:bottom="0" w:left="1600" w:right="26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75168">
            <wp:simplePos x="0" y="0"/>
            <wp:positionH relativeFrom="page">
              <wp:posOffset>4297602</wp:posOffset>
            </wp:positionH>
            <wp:positionV relativeFrom="page">
              <wp:posOffset>295736</wp:posOffset>
            </wp:positionV>
            <wp:extent cx="5760797" cy="7476659"/>
            <wp:effectExtent l="0" t="0" r="0" b="0"/>
            <wp:wrapNone/>
            <wp:docPr id="8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7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0"/>
        </w:rPr>
      </w:pPr>
    </w:p>
    <w:p>
      <w:pPr>
        <w:spacing w:line="243" w:lineRule="exact" w:before="0"/>
        <w:ind w:left="830" w:right="2181" w:firstLine="0"/>
        <w:jc w:val="center"/>
        <w:rPr>
          <w:sz w:val="20"/>
        </w:rPr>
      </w:pPr>
      <w:bookmarkStart w:name="_bookmark41" w:id="55"/>
      <w:bookmarkEnd w:id="55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24</w:t>
      </w:r>
      <w:r>
        <w:rPr>
          <w:spacing w:val="-2"/>
          <w:sz w:val="20"/>
        </w:rPr>
        <w:t> </w:t>
      </w:r>
      <w:r>
        <w:rPr>
          <w:sz w:val="20"/>
        </w:rPr>
        <w:t>Departamentos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menor</w:t>
      </w:r>
      <w:r>
        <w:rPr>
          <w:spacing w:val="-2"/>
          <w:sz w:val="20"/>
        </w:rPr>
        <w:t> </w:t>
      </w:r>
      <w:r>
        <w:rPr>
          <w:sz w:val="20"/>
        </w:rPr>
        <w:t>porcentaje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población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autoidentificación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pueblo,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inicial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preprimaria</w:t>
      </w:r>
    </w:p>
    <w:p>
      <w:pPr>
        <w:spacing w:line="243" w:lineRule="exact" w:before="0"/>
        <w:ind w:left="830" w:right="1757" w:firstLine="0"/>
        <w:jc w:val="center"/>
        <w:rPr>
          <w:sz w:val="20"/>
        </w:rPr>
      </w:pPr>
      <w:r>
        <w:rPr>
          <w:sz w:val="20"/>
        </w:rPr>
        <w:t>aprobado,</w:t>
      </w:r>
      <w:r>
        <w:rPr>
          <w:spacing w:val="-2"/>
          <w:sz w:val="20"/>
        </w:rPr>
        <w:t> </w:t>
      </w:r>
      <w:r>
        <w:rPr>
          <w:sz w:val="20"/>
        </w:rPr>
        <w:t>ubicada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área</w:t>
      </w:r>
      <w:r>
        <w:rPr>
          <w:spacing w:val="-2"/>
          <w:sz w:val="20"/>
        </w:rPr>
        <w:t> </w:t>
      </w:r>
      <w:r>
        <w:rPr>
          <w:sz w:val="20"/>
        </w:rPr>
        <w:t>rural.</w:t>
      </w:r>
    </w:p>
    <w:p>
      <w:pPr>
        <w:pStyle w:val="BodyText"/>
        <w:ind w:left="527"/>
        <w:rPr>
          <w:sz w:val="20"/>
        </w:rPr>
      </w:pPr>
      <w:r>
        <w:rPr>
          <w:sz w:val="20"/>
        </w:rPr>
        <w:drawing>
          <wp:inline distT="0" distB="0" distL="0" distR="0">
            <wp:extent cx="8357882" cy="4919472"/>
            <wp:effectExtent l="0" t="0" r="0" b="0"/>
            <wp:docPr id="9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7882" cy="491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"/>
        <w:ind w:left="526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2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Guatemala.</w:t>
      </w:r>
      <w:r>
        <w:rPr>
          <w:spacing w:val="-1"/>
          <w:sz w:val="16"/>
        </w:rPr>
        <w:t> </w:t>
      </w:r>
      <w:r>
        <w:rPr>
          <w:sz w:val="16"/>
        </w:rPr>
        <w:t>Procesado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Redatam</w:t>
      </w:r>
      <w:r>
        <w:rPr>
          <w:spacing w:val="-1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pict>
          <v:rect style="position:absolute;margin-left:729.700012pt;margin-top:14.312115pt;width:25.464pt;height:1.44pt;mso-position-horizontal-relative:page;mso-position-vertical-relative:paragraph;z-index:-1566617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573"/>
      </w:pPr>
      <w:r>
        <w:rPr/>
        <w:t>35</w:t>
      </w:r>
    </w:p>
    <w:p>
      <w:pPr>
        <w:pStyle w:val="BodyText"/>
        <w:spacing w:line="91" w:lineRule="exact"/>
        <w:ind w:left="12994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5pt;height:4.6pt;mso-position-horizontal-relative:char;mso-position-vertical-relative:line" coordorigin="0,0" coordsize="510,92">
            <v:rect style="position:absolute;left:0;top:0;width:510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5840" w:h="12240" w:orient="landscape"/>
          <w:pgMar w:top="460" w:bottom="0" w:left="1600" w:right="26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76704">
            <wp:simplePos x="0" y="0"/>
            <wp:positionH relativeFrom="page">
              <wp:posOffset>4297602</wp:posOffset>
            </wp:positionH>
            <wp:positionV relativeFrom="page">
              <wp:posOffset>295736</wp:posOffset>
            </wp:positionV>
            <wp:extent cx="5760797" cy="7476659"/>
            <wp:effectExtent l="0" t="0" r="0" b="0"/>
            <wp:wrapNone/>
            <wp:docPr id="9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7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Heading3"/>
        <w:numPr>
          <w:ilvl w:val="1"/>
          <w:numId w:val="4"/>
        </w:numPr>
        <w:tabs>
          <w:tab w:pos="1102" w:val="left" w:leader="none"/>
          <w:tab w:pos="1103" w:val="left" w:leader="none"/>
        </w:tabs>
        <w:spacing w:line="240" w:lineRule="auto" w:before="51" w:after="0"/>
        <w:ind w:left="1102" w:right="0" w:hanging="577"/>
        <w:jc w:val="left"/>
      </w:pPr>
      <w:bookmarkStart w:name="_bookmark42" w:id="56"/>
      <w:bookmarkEnd w:id="56"/>
      <w:r>
        <w:rPr>
          <w:b w:val="0"/>
        </w:rPr>
      </w:r>
      <w:bookmarkStart w:name="_bookmark42" w:id="57"/>
      <w:bookmarkEnd w:id="57"/>
      <w:r>
        <w:rPr>
          <w:color w:val="1F4E79"/>
        </w:rPr>
        <w:t>De</w:t>
      </w:r>
      <w:r>
        <w:rPr>
          <w:color w:val="1F4E79"/>
        </w:rPr>
        <w:t>partamentos</w:t>
      </w:r>
      <w:r>
        <w:rPr>
          <w:color w:val="1F4E79"/>
          <w:spacing w:val="-4"/>
        </w:rPr>
        <w:t> </w:t>
      </w:r>
      <w:r>
        <w:rPr>
          <w:color w:val="1F4E79"/>
        </w:rPr>
        <w:t>afectados</w:t>
      </w:r>
      <w:r>
        <w:rPr>
          <w:color w:val="1F4E79"/>
          <w:spacing w:val="-3"/>
        </w:rPr>
        <w:t> </w:t>
      </w:r>
      <w:r>
        <w:rPr>
          <w:color w:val="1F4E79"/>
        </w:rPr>
        <w:t>con</w:t>
      </w:r>
      <w:r>
        <w:rPr>
          <w:color w:val="1F4E79"/>
          <w:spacing w:val="-5"/>
        </w:rPr>
        <w:t> </w:t>
      </w:r>
      <w:r>
        <w:rPr>
          <w:color w:val="1F4E79"/>
        </w:rPr>
        <w:t>menor</w:t>
      </w:r>
      <w:r>
        <w:rPr>
          <w:color w:val="1F4E79"/>
          <w:spacing w:val="-3"/>
        </w:rPr>
        <w:t> </w:t>
      </w:r>
      <w:r>
        <w:rPr>
          <w:color w:val="1F4E79"/>
        </w:rPr>
        <w:t>porcentaje</w:t>
      </w:r>
      <w:r>
        <w:rPr>
          <w:color w:val="1F4E79"/>
          <w:spacing w:val="-5"/>
        </w:rPr>
        <w:t> </w:t>
      </w:r>
      <w:r>
        <w:rPr>
          <w:color w:val="1F4E79"/>
        </w:rPr>
        <w:t>de</w:t>
      </w:r>
      <w:r>
        <w:rPr>
          <w:color w:val="1F4E79"/>
          <w:spacing w:val="-5"/>
        </w:rPr>
        <w:t> </w:t>
      </w:r>
      <w:r>
        <w:rPr>
          <w:color w:val="1F4E79"/>
        </w:rPr>
        <w:t>población</w:t>
      </w:r>
      <w:r>
        <w:rPr>
          <w:color w:val="1F4E79"/>
          <w:spacing w:val="-3"/>
        </w:rPr>
        <w:t> </w:t>
      </w:r>
      <w:r>
        <w:rPr>
          <w:color w:val="1F4E79"/>
        </w:rPr>
        <w:t>con</w:t>
      </w:r>
      <w:r>
        <w:rPr>
          <w:color w:val="1F4E79"/>
          <w:spacing w:val="-2"/>
        </w:rPr>
        <w:t> </w:t>
      </w:r>
      <w:r>
        <w:rPr>
          <w:color w:val="1F4E79"/>
        </w:rPr>
        <w:t>nivel</w:t>
      </w:r>
      <w:r>
        <w:rPr>
          <w:color w:val="1F4E79"/>
          <w:spacing w:val="2"/>
        </w:rPr>
        <w:t> </w:t>
      </w:r>
      <w:r>
        <w:rPr>
          <w:color w:val="1F4E79"/>
        </w:rPr>
        <w:t>de</w:t>
      </w:r>
      <w:r>
        <w:rPr>
          <w:color w:val="1F4E79"/>
          <w:spacing w:val="-4"/>
        </w:rPr>
        <w:t> </w:t>
      </w:r>
      <w:r>
        <w:rPr>
          <w:color w:val="1F4E79"/>
        </w:rPr>
        <w:t>educación</w:t>
      </w:r>
      <w:r>
        <w:rPr>
          <w:color w:val="1F4E79"/>
          <w:spacing w:val="-5"/>
        </w:rPr>
        <w:t> </w:t>
      </w:r>
      <w:r>
        <w:rPr>
          <w:color w:val="1F4E79"/>
        </w:rPr>
        <w:t>primaria</w:t>
      </w:r>
      <w:r>
        <w:rPr>
          <w:color w:val="1F4E79"/>
          <w:spacing w:val="-4"/>
        </w:rPr>
        <w:t> </w:t>
      </w:r>
      <w:r>
        <w:rPr>
          <w:color w:val="1F4E79"/>
        </w:rPr>
        <w:t>aprobada</w:t>
      </w:r>
    </w:p>
    <w:p>
      <w:pPr>
        <w:pStyle w:val="BodyText"/>
        <w:rPr>
          <w:b/>
          <w:sz w:val="24"/>
        </w:rPr>
      </w:pPr>
    </w:p>
    <w:p>
      <w:pPr>
        <w:spacing w:line="243" w:lineRule="exact" w:before="189"/>
        <w:ind w:left="830" w:right="2186" w:firstLine="0"/>
        <w:jc w:val="center"/>
        <w:rPr>
          <w:sz w:val="20"/>
        </w:rPr>
      </w:pPr>
      <w:bookmarkStart w:name="_bookmark43" w:id="58"/>
      <w:bookmarkEnd w:id="58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25</w:t>
      </w:r>
      <w:r>
        <w:rPr>
          <w:spacing w:val="-2"/>
          <w:sz w:val="20"/>
        </w:rPr>
        <w:t> </w:t>
      </w:r>
      <w:r>
        <w:rPr>
          <w:sz w:val="20"/>
        </w:rPr>
        <w:t>Departamentos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menores</w:t>
      </w:r>
      <w:r>
        <w:rPr>
          <w:spacing w:val="-4"/>
          <w:sz w:val="20"/>
        </w:rPr>
        <w:t> </w:t>
      </w:r>
      <w:r>
        <w:rPr>
          <w:sz w:val="20"/>
        </w:rPr>
        <w:t>porcentajes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población</w:t>
      </w:r>
      <w:r>
        <w:rPr>
          <w:spacing w:val="-1"/>
          <w:sz w:val="20"/>
        </w:rPr>
        <w:t> </w:t>
      </w:r>
      <w:r>
        <w:rPr>
          <w:sz w:val="20"/>
        </w:rPr>
        <w:t>Maya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nivel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educación</w:t>
      </w:r>
      <w:r>
        <w:rPr>
          <w:spacing w:val="-1"/>
          <w:sz w:val="20"/>
        </w:rPr>
        <w:t> </w:t>
      </w:r>
      <w:r>
        <w:rPr>
          <w:sz w:val="20"/>
        </w:rPr>
        <w:t>primaria</w:t>
      </w:r>
      <w:r>
        <w:rPr>
          <w:spacing w:val="-2"/>
          <w:sz w:val="20"/>
        </w:rPr>
        <w:t> </w:t>
      </w:r>
      <w:r>
        <w:rPr>
          <w:sz w:val="20"/>
        </w:rPr>
        <w:t>aprobado</w:t>
      </w:r>
      <w:r>
        <w:rPr>
          <w:spacing w:val="-2"/>
          <w:sz w:val="20"/>
        </w:rPr>
        <w:t> </w:t>
      </w:r>
      <w:r>
        <w:rPr>
          <w:sz w:val="20"/>
        </w:rPr>
        <w:t>según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área</w:t>
      </w:r>
    </w:p>
    <w:p>
      <w:pPr>
        <w:spacing w:line="243" w:lineRule="exact" w:before="0"/>
        <w:ind w:left="830" w:right="1754" w:firstLine="0"/>
        <w:jc w:val="center"/>
        <w:rPr>
          <w:sz w:val="20"/>
        </w:rPr>
      </w:pPr>
      <w:r>
        <w:rPr>
          <w:sz w:val="20"/>
        </w:rPr>
        <w:t>urbana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rural</w:t>
      </w:r>
    </w:p>
    <w:p>
      <w:pPr>
        <w:pStyle w:val="BodyText"/>
        <w:ind w:left="527"/>
        <w:rPr>
          <w:sz w:val="20"/>
        </w:rPr>
      </w:pPr>
      <w:r>
        <w:rPr>
          <w:sz w:val="20"/>
        </w:rPr>
        <w:drawing>
          <wp:inline distT="0" distB="0" distL="0" distR="0">
            <wp:extent cx="7955694" cy="4590287"/>
            <wp:effectExtent l="0" t="0" r="0" b="0"/>
            <wp:docPr id="9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694" cy="459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"/>
        <w:ind w:left="526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Población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2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Guatemala.</w:t>
      </w:r>
      <w:r>
        <w:rPr>
          <w:spacing w:val="-2"/>
          <w:sz w:val="16"/>
        </w:rPr>
        <w:t> </w:t>
      </w:r>
      <w:r>
        <w:rPr>
          <w:sz w:val="16"/>
        </w:rPr>
        <w:t>Procesado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Redatam</w:t>
      </w:r>
      <w:r>
        <w:rPr>
          <w:spacing w:val="-2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pict>
          <v:rect style="position:absolute;margin-left:729.700012pt;margin-top:13.778313pt;width:25.464pt;height:1.44pt;mso-position-horizontal-relative:page;mso-position-vertical-relative:paragraph;z-index:-1566464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573"/>
      </w:pPr>
      <w:r>
        <w:rPr/>
        <w:t>36</w:t>
      </w:r>
    </w:p>
    <w:p>
      <w:pPr>
        <w:pStyle w:val="BodyText"/>
        <w:spacing w:line="91" w:lineRule="exact"/>
        <w:ind w:left="12994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5pt;height:4.6pt;mso-position-horizontal-relative:char;mso-position-vertical-relative:line" coordorigin="0,0" coordsize="510,92">
            <v:rect style="position:absolute;left:0;top:0;width:510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5840" w:h="12240" w:orient="landscape"/>
          <w:pgMar w:top="460" w:bottom="0" w:left="1600" w:right="26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78240">
            <wp:simplePos x="0" y="0"/>
            <wp:positionH relativeFrom="page">
              <wp:posOffset>4297602</wp:posOffset>
            </wp:positionH>
            <wp:positionV relativeFrom="page">
              <wp:posOffset>295736</wp:posOffset>
            </wp:positionV>
            <wp:extent cx="5760797" cy="7476659"/>
            <wp:effectExtent l="0" t="0" r="0" b="0"/>
            <wp:wrapNone/>
            <wp:docPr id="9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7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0"/>
        </w:rPr>
      </w:pPr>
    </w:p>
    <w:p>
      <w:pPr>
        <w:spacing w:line="243" w:lineRule="exact" w:before="0"/>
        <w:ind w:left="828" w:right="2187" w:firstLine="0"/>
        <w:jc w:val="center"/>
        <w:rPr>
          <w:sz w:val="20"/>
        </w:rPr>
      </w:pPr>
      <w:bookmarkStart w:name="_bookmark44" w:id="59"/>
      <w:bookmarkEnd w:id="59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26</w:t>
      </w:r>
      <w:r>
        <w:rPr>
          <w:spacing w:val="-2"/>
          <w:sz w:val="20"/>
        </w:rPr>
        <w:t> </w:t>
      </w:r>
      <w:r>
        <w:rPr>
          <w:sz w:val="20"/>
        </w:rPr>
        <w:t>Departamentos</w:t>
      </w:r>
      <w:r>
        <w:rPr>
          <w:spacing w:val="-5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menores</w:t>
      </w:r>
      <w:r>
        <w:rPr>
          <w:spacing w:val="-4"/>
          <w:sz w:val="20"/>
        </w:rPr>
        <w:t> </w:t>
      </w:r>
      <w:r>
        <w:rPr>
          <w:sz w:val="20"/>
        </w:rPr>
        <w:t>porcentajes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población</w:t>
      </w:r>
      <w:r>
        <w:rPr>
          <w:spacing w:val="-1"/>
          <w:sz w:val="20"/>
        </w:rPr>
        <w:t> </w:t>
      </w:r>
      <w:r>
        <w:rPr>
          <w:sz w:val="20"/>
        </w:rPr>
        <w:t>Garífuna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nivel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educación</w:t>
      </w:r>
      <w:r>
        <w:rPr>
          <w:spacing w:val="-2"/>
          <w:sz w:val="20"/>
        </w:rPr>
        <w:t> </w:t>
      </w:r>
      <w:r>
        <w:rPr>
          <w:sz w:val="20"/>
        </w:rPr>
        <w:t>primaria</w:t>
      </w:r>
      <w:r>
        <w:rPr>
          <w:spacing w:val="-2"/>
          <w:sz w:val="20"/>
        </w:rPr>
        <w:t> </w:t>
      </w:r>
      <w:r>
        <w:rPr>
          <w:sz w:val="20"/>
        </w:rPr>
        <w:t>aprobado</w:t>
      </w:r>
      <w:r>
        <w:rPr>
          <w:spacing w:val="-2"/>
          <w:sz w:val="20"/>
        </w:rPr>
        <w:t> </w:t>
      </w:r>
      <w:r>
        <w:rPr>
          <w:sz w:val="20"/>
        </w:rPr>
        <w:t>según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área</w:t>
      </w:r>
    </w:p>
    <w:p>
      <w:pPr>
        <w:spacing w:line="243" w:lineRule="exact" w:before="0"/>
        <w:ind w:left="830" w:right="1754" w:firstLine="0"/>
        <w:jc w:val="center"/>
        <w:rPr>
          <w:sz w:val="20"/>
        </w:rPr>
      </w:pPr>
      <w:r>
        <w:rPr>
          <w:sz w:val="20"/>
        </w:rPr>
        <w:t>urbana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rural</w:t>
      </w:r>
    </w:p>
    <w:p>
      <w:pPr>
        <w:pStyle w:val="BodyText"/>
        <w:ind w:left="527"/>
        <w:rPr>
          <w:sz w:val="20"/>
        </w:rPr>
      </w:pPr>
      <w:r>
        <w:rPr>
          <w:sz w:val="20"/>
        </w:rPr>
        <w:drawing>
          <wp:inline distT="0" distB="0" distL="0" distR="0">
            <wp:extent cx="8071084" cy="5230368"/>
            <wp:effectExtent l="0" t="0" r="0" b="0"/>
            <wp:docPr id="9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1084" cy="523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"/>
        <w:ind w:left="526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2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Guatemala.</w:t>
      </w:r>
      <w:r>
        <w:rPr>
          <w:spacing w:val="-2"/>
          <w:sz w:val="16"/>
        </w:rPr>
        <w:t> </w:t>
      </w:r>
      <w:r>
        <w:rPr>
          <w:sz w:val="16"/>
        </w:rPr>
        <w:t>Procesado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Redatam</w:t>
      </w:r>
      <w:r>
        <w:rPr>
          <w:spacing w:val="-2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pict>
          <v:rect style="position:absolute;margin-left:729.700012pt;margin-top:13.626177pt;width:25.464pt;height:1.44pt;mso-position-horizontal-relative:page;mso-position-vertical-relative:paragraph;z-index:-1566310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573"/>
      </w:pPr>
      <w:r>
        <w:rPr/>
        <w:t>37</w:t>
      </w:r>
    </w:p>
    <w:p>
      <w:pPr>
        <w:pStyle w:val="BodyText"/>
        <w:spacing w:line="91" w:lineRule="exact"/>
        <w:ind w:left="12994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5pt;height:4.6pt;mso-position-horizontal-relative:char;mso-position-vertical-relative:line" coordorigin="0,0" coordsize="510,92">
            <v:rect style="position:absolute;left:0;top:0;width:510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5840" w:h="12240" w:orient="landscape"/>
          <w:pgMar w:top="460" w:bottom="0" w:left="1600" w:right="26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79776">
            <wp:simplePos x="0" y="0"/>
            <wp:positionH relativeFrom="page">
              <wp:posOffset>4297602</wp:posOffset>
            </wp:positionH>
            <wp:positionV relativeFrom="page">
              <wp:posOffset>295736</wp:posOffset>
            </wp:positionV>
            <wp:extent cx="5760797" cy="7476659"/>
            <wp:effectExtent l="0" t="0" r="0" b="0"/>
            <wp:wrapNone/>
            <wp:docPr id="10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7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spacing w:before="59"/>
        <w:ind w:left="830" w:right="2181" w:firstLine="0"/>
        <w:jc w:val="center"/>
        <w:rPr>
          <w:sz w:val="20"/>
        </w:rPr>
      </w:pPr>
      <w:bookmarkStart w:name="_bookmark45" w:id="60"/>
      <w:bookmarkEnd w:id="60"/>
      <w:r>
        <w:rPr/>
      </w:r>
      <w:r>
        <w:rPr>
          <w:sz w:val="20"/>
        </w:rPr>
        <w:t>Gráfico</w:t>
      </w:r>
      <w:r>
        <w:rPr>
          <w:spacing w:val="-2"/>
          <w:sz w:val="20"/>
        </w:rPr>
        <w:t> </w:t>
      </w:r>
      <w:r>
        <w:rPr>
          <w:sz w:val="20"/>
        </w:rPr>
        <w:t>27</w:t>
      </w:r>
      <w:r>
        <w:rPr>
          <w:spacing w:val="-2"/>
          <w:sz w:val="20"/>
        </w:rPr>
        <w:t> </w:t>
      </w:r>
      <w:r>
        <w:rPr>
          <w:sz w:val="20"/>
        </w:rPr>
        <w:t>Departamentos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menores</w:t>
      </w:r>
      <w:r>
        <w:rPr>
          <w:spacing w:val="-3"/>
          <w:sz w:val="20"/>
        </w:rPr>
        <w:t> </w:t>
      </w:r>
      <w:r>
        <w:rPr>
          <w:sz w:val="20"/>
        </w:rPr>
        <w:t>porcentajes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población</w:t>
      </w:r>
      <w:r>
        <w:rPr>
          <w:spacing w:val="-1"/>
          <w:sz w:val="20"/>
        </w:rPr>
        <w:t> </w:t>
      </w:r>
      <w:r>
        <w:rPr>
          <w:sz w:val="20"/>
        </w:rPr>
        <w:t>Xinca</w:t>
      </w:r>
      <w:r>
        <w:rPr>
          <w:spacing w:val="-1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educación</w:t>
      </w:r>
      <w:r>
        <w:rPr>
          <w:spacing w:val="-1"/>
          <w:sz w:val="20"/>
        </w:rPr>
        <w:t> </w:t>
      </w:r>
      <w:r>
        <w:rPr>
          <w:sz w:val="20"/>
        </w:rPr>
        <w:t>primaria</w:t>
      </w:r>
      <w:r>
        <w:rPr>
          <w:spacing w:val="-1"/>
          <w:sz w:val="20"/>
        </w:rPr>
        <w:t> </w:t>
      </w:r>
      <w:r>
        <w:rPr>
          <w:sz w:val="20"/>
        </w:rPr>
        <w:t>aprobado</w:t>
      </w:r>
      <w:r>
        <w:rPr>
          <w:spacing w:val="-2"/>
          <w:sz w:val="20"/>
        </w:rPr>
        <w:t> </w:t>
      </w:r>
      <w:r>
        <w:rPr>
          <w:sz w:val="20"/>
        </w:rPr>
        <w:t>según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área</w:t>
      </w:r>
    </w:p>
    <w:p>
      <w:pPr>
        <w:spacing w:before="1"/>
        <w:ind w:left="830" w:right="1754" w:firstLine="0"/>
        <w:jc w:val="center"/>
        <w:rPr>
          <w:sz w:val="20"/>
        </w:rPr>
      </w:pPr>
      <w:r>
        <w:rPr>
          <w:sz w:val="20"/>
        </w:rPr>
        <w:t>urbana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rural</w:t>
      </w:r>
    </w:p>
    <w:p>
      <w:pPr>
        <w:pStyle w:val="BodyText"/>
        <w:ind w:left="527"/>
        <w:rPr>
          <w:sz w:val="20"/>
        </w:rPr>
      </w:pPr>
      <w:r>
        <w:rPr>
          <w:sz w:val="20"/>
        </w:rPr>
        <w:drawing>
          <wp:inline distT="0" distB="0" distL="0" distR="0">
            <wp:extent cx="8084314" cy="5084064"/>
            <wp:effectExtent l="0" t="0" r="0" b="0"/>
            <wp:docPr id="10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4314" cy="508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"/>
        <w:ind w:left="526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2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Guatemala.</w:t>
      </w:r>
      <w:r>
        <w:rPr>
          <w:spacing w:val="-1"/>
          <w:sz w:val="16"/>
        </w:rPr>
        <w:t> </w:t>
      </w:r>
      <w:r>
        <w:rPr>
          <w:sz w:val="16"/>
        </w:rPr>
        <w:t>Procesado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Redatam</w:t>
      </w:r>
      <w:r>
        <w:rPr>
          <w:spacing w:val="-1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  <w:r>
        <w:rPr/>
        <w:pict>
          <v:rect style="position:absolute;margin-left:729.700012pt;margin-top:13.389922pt;width:25.464pt;height:1.44pt;mso-position-horizontal-relative:page;mso-position-vertical-relative:paragraph;z-index:-1566156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573"/>
      </w:pPr>
      <w:r>
        <w:rPr/>
        <w:t>38</w:t>
      </w:r>
    </w:p>
    <w:p>
      <w:pPr>
        <w:pStyle w:val="BodyText"/>
        <w:spacing w:line="91" w:lineRule="exact"/>
        <w:ind w:left="12994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5pt;height:4.6pt;mso-position-horizontal-relative:char;mso-position-vertical-relative:line" coordorigin="0,0" coordsize="510,92">
            <v:rect style="position:absolute;left:0;top:0;width:510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5840" w:h="12240" w:orient="landscape"/>
          <w:pgMar w:top="460" w:bottom="0" w:left="1600" w:right="26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81312">
            <wp:simplePos x="0" y="0"/>
            <wp:positionH relativeFrom="page">
              <wp:posOffset>4297602</wp:posOffset>
            </wp:positionH>
            <wp:positionV relativeFrom="page">
              <wp:posOffset>295736</wp:posOffset>
            </wp:positionV>
            <wp:extent cx="5760797" cy="7476659"/>
            <wp:effectExtent l="0" t="0" r="0" b="0"/>
            <wp:wrapNone/>
            <wp:docPr id="10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7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spacing w:before="59"/>
        <w:ind w:left="830" w:right="2187" w:firstLine="0"/>
        <w:jc w:val="center"/>
        <w:rPr>
          <w:sz w:val="20"/>
        </w:rPr>
      </w:pPr>
      <w:bookmarkStart w:name="_bookmark46" w:id="61"/>
      <w:bookmarkEnd w:id="61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28</w:t>
      </w:r>
      <w:r>
        <w:rPr>
          <w:spacing w:val="-3"/>
          <w:sz w:val="20"/>
        </w:rPr>
        <w:t> </w:t>
      </w:r>
      <w:r>
        <w:rPr>
          <w:sz w:val="20"/>
        </w:rPr>
        <w:t>Departamentos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menores</w:t>
      </w:r>
      <w:r>
        <w:rPr>
          <w:spacing w:val="-4"/>
          <w:sz w:val="20"/>
        </w:rPr>
        <w:t> </w:t>
      </w:r>
      <w:r>
        <w:rPr>
          <w:sz w:val="20"/>
        </w:rPr>
        <w:t>porcentajes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población</w:t>
      </w:r>
      <w:r>
        <w:rPr>
          <w:spacing w:val="-2"/>
          <w:sz w:val="20"/>
        </w:rPr>
        <w:t> </w:t>
      </w:r>
      <w:r>
        <w:rPr>
          <w:sz w:val="20"/>
        </w:rPr>
        <w:t>Afrodescendientes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educación</w:t>
      </w:r>
      <w:r>
        <w:rPr>
          <w:spacing w:val="-1"/>
          <w:sz w:val="20"/>
        </w:rPr>
        <w:t> </w:t>
      </w:r>
      <w:r>
        <w:rPr>
          <w:sz w:val="20"/>
        </w:rPr>
        <w:t>primaria aprobado</w:t>
      </w:r>
      <w:r>
        <w:rPr>
          <w:spacing w:val="-2"/>
          <w:sz w:val="20"/>
        </w:rPr>
        <w:t> </w:t>
      </w:r>
      <w:r>
        <w:rPr>
          <w:sz w:val="20"/>
        </w:rPr>
        <w:t>según</w:t>
      </w:r>
    </w:p>
    <w:p>
      <w:pPr>
        <w:spacing w:before="1"/>
        <w:ind w:left="830" w:right="1754" w:firstLine="0"/>
        <w:jc w:val="center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área</w:t>
      </w:r>
      <w:r>
        <w:rPr>
          <w:spacing w:val="-1"/>
          <w:sz w:val="20"/>
        </w:rPr>
        <w:t> </w:t>
      </w:r>
      <w:r>
        <w:rPr>
          <w:sz w:val="20"/>
        </w:rPr>
        <w:t>urbana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rural</w:t>
      </w:r>
    </w:p>
    <w:p>
      <w:pPr>
        <w:pStyle w:val="BodyText"/>
        <w:ind w:left="527"/>
        <w:rPr>
          <w:sz w:val="20"/>
        </w:rPr>
      </w:pPr>
      <w:r>
        <w:rPr>
          <w:sz w:val="20"/>
        </w:rPr>
        <w:drawing>
          <wp:inline distT="0" distB="0" distL="0" distR="0">
            <wp:extent cx="8134094" cy="4828032"/>
            <wp:effectExtent l="0" t="0" r="0" b="0"/>
            <wp:docPr id="10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4094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526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Guatemala.</w:t>
      </w:r>
      <w:r>
        <w:rPr>
          <w:spacing w:val="-2"/>
          <w:sz w:val="16"/>
        </w:rPr>
        <w:t> </w:t>
      </w:r>
      <w:r>
        <w:rPr>
          <w:sz w:val="16"/>
        </w:rPr>
        <w:t>Procesado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Redatam</w:t>
      </w:r>
      <w:r>
        <w:rPr>
          <w:spacing w:val="-2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pict>
          <v:rect style="position:absolute;margin-left:729.700012pt;margin-top:9.325859pt;width:25.464pt;height:1.44pt;mso-position-horizontal-relative:page;mso-position-vertical-relative:paragraph;z-index:-1566003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573"/>
      </w:pPr>
      <w:r>
        <w:rPr/>
        <w:t>39</w:t>
      </w:r>
    </w:p>
    <w:p>
      <w:pPr>
        <w:pStyle w:val="BodyText"/>
        <w:spacing w:line="91" w:lineRule="exact"/>
        <w:ind w:left="12994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5pt;height:4.6pt;mso-position-horizontal-relative:char;mso-position-vertical-relative:line" coordorigin="0,0" coordsize="510,92">
            <v:rect style="position:absolute;left:0;top:0;width:510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5840" w:h="12240" w:orient="landscape"/>
          <w:pgMar w:top="460" w:bottom="0" w:left="1600" w:right="26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82848">
            <wp:simplePos x="0" y="0"/>
            <wp:positionH relativeFrom="page">
              <wp:posOffset>4297602</wp:posOffset>
            </wp:positionH>
            <wp:positionV relativeFrom="page">
              <wp:posOffset>295736</wp:posOffset>
            </wp:positionV>
            <wp:extent cx="5760797" cy="7476659"/>
            <wp:effectExtent l="0" t="0" r="0" b="0"/>
            <wp:wrapNone/>
            <wp:docPr id="10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7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spacing w:before="59"/>
        <w:ind w:left="830" w:right="2186" w:firstLine="0"/>
        <w:jc w:val="center"/>
        <w:rPr>
          <w:sz w:val="20"/>
        </w:rPr>
      </w:pPr>
      <w:bookmarkStart w:name="_bookmark47" w:id="62"/>
      <w:bookmarkEnd w:id="62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29</w:t>
      </w:r>
      <w:r>
        <w:rPr>
          <w:spacing w:val="-2"/>
          <w:sz w:val="20"/>
        </w:rPr>
        <w:t> </w:t>
      </w:r>
      <w:r>
        <w:rPr>
          <w:sz w:val="20"/>
        </w:rPr>
        <w:t>Departamentos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menores</w:t>
      </w:r>
      <w:r>
        <w:rPr>
          <w:spacing w:val="-4"/>
          <w:sz w:val="20"/>
        </w:rPr>
        <w:t> </w:t>
      </w:r>
      <w:r>
        <w:rPr>
          <w:sz w:val="20"/>
        </w:rPr>
        <w:t>porcentajes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población</w:t>
      </w:r>
      <w:r>
        <w:rPr>
          <w:spacing w:val="-1"/>
          <w:sz w:val="20"/>
        </w:rPr>
        <w:t> </w:t>
      </w:r>
      <w:r>
        <w:rPr>
          <w:sz w:val="20"/>
        </w:rPr>
        <w:t>ladina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educación</w:t>
      </w:r>
      <w:r>
        <w:rPr>
          <w:spacing w:val="-1"/>
          <w:sz w:val="20"/>
        </w:rPr>
        <w:t> </w:t>
      </w:r>
      <w:r>
        <w:rPr>
          <w:sz w:val="20"/>
        </w:rPr>
        <w:t>primaria</w:t>
      </w:r>
      <w:r>
        <w:rPr>
          <w:spacing w:val="-2"/>
          <w:sz w:val="20"/>
        </w:rPr>
        <w:t> </w:t>
      </w:r>
      <w:r>
        <w:rPr>
          <w:sz w:val="20"/>
        </w:rPr>
        <w:t>aprobado</w:t>
      </w:r>
      <w:r>
        <w:rPr>
          <w:spacing w:val="-3"/>
          <w:sz w:val="20"/>
        </w:rPr>
        <w:t> </w:t>
      </w:r>
      <w:r>
        <w:rPr>
          <w:sz w:val="20"/>
        </w:rPr>
        <w:t>según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área</w:t>
      </w:r>
    </w:p>
    <w:p>
      <w:pPr>
        <w:spacing w:before="1"/>
        <w:ind w:left="830" w:right="1754" w:firstLine="0"/>
        <w:jc w:val="center"/>
        <w:rPr>
          <w:sz w:val="20"/>
        </w:rPr>
      </w:pPr>
      <w:r>
        <w:rPr>
          <w:sz w:val="20"/>
        </w:rPr>
        <w:t>urbana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rural</w:t>
      </w:r>
    </w:p>
    <w:p>
      <w:pPr>
        <w:pStyle w:val="BodyText"/>
        <w:ind w:left="527"/>
        <w:rPr>
          <w:sz w:val="20"/>
        </w:rPr>
      </w:pPr>
      <w:r>
        <w:rPr>
          <w:sz w:val="20"/>
        </w:rPr>
        <w:drawing>
          <wp:inline distT="0" distB="0" distL="0" distR="0">
            <wp:extent cx="8133418" cy="5004816"/>
            <wp:effectExtent l="0" t="0" r="0" b="0"/>
            <wp:docPr id="11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3418" cy="500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"/>
        <w:ind w:left="526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partir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2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Guatemala.</w:t>
      </w:r>
      <w:r>
        <w:rPr>
          <w:spacing w:val="-2"/>
          <w:sz w:val="16"/>
        </w:rPr>
        <w:t> </w:t>
      </w:r>
      <w:r>
        <w:rPr>
          <w:sz w:val="16"/>
        </w:rPr>
        <w:t>Procesado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Redatam</w:t>
      </w:r>
      <w:r>
        <w:rPr>
          <w:spacing w:val="-2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  <w:r>
        <w:rPr/>
        <w:pict>
          <v:rect style="position:absolute;margin-left:729.700012pt;margin-top:19.389921pt;width:25.464pt;height:1.44pt;mso-position-horizontal-relative:page;mso-position-vertical-relative:paragraph;z-index:-1565849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573"/>
      </w:pPr>
      <w:r>
        <w:rPr/>
        <w:t>40</w:t>
      </w:r>
    </w:p>
    <w:p>
      <w:pPr>
        <w:pStyle w:val="BodyText"/>
        <w:spacing w:line="91" w:lineRule="exact"/>
        <w:ind w:left="12994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5pt;height:4.6pt;mso-position-horizontal-relative:char;mso-position-vertical-relative:line" coordorigin="0,0" coordsize="510,92">
            <v:rect style="position:absolute;left:0;top:0;width:510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5840" w:h="12240" w:orient="landscape"/>
          <w:pgMar w:top="460" w:bottom="0" w:left="1600" w:right="26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84384">
            <wp:simplePos x="0" y="0"/>
            <wp:positionH relativeFrom="page">
              <wp:posOffset>4297602</wp:posOffset>
            </wp:positionH>
            <wp:positionV relativeFrom="page">
              <wp:posOffset>295736</wp:posOffset>
            </wp:positionV>
            <wp:extent cx="5760797" cy="7476659"/>
            <wp:effectExtent l="0" t="0" r="0" b="0"/>
            <wp:wrapNone/>
            <wp:docPr id="11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7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spacing w:before="59"/>
        <w:ind w:left="829" w:right="2187" w:firstLine="0"/>
        <w:jc w:val="center"/>
        <w:rPr>
          <w:sz w:val="20"/>
        </w:rPr>
      </w:pPr>
      <w:bookmarkStart w:name="_bookmark48" w:id="63"/>
      <w:bookmarkEnd w:id="63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30</w:t>
      </w:r>
      <w:r>
        <w:rPr>
          <w:spacing w:val="-2"/>
          <w:sz w:val="20"/>
        </w:rPr>
        <w:t> </w:t>
      </w:r>
      <w:r>
        <w:rPr>
          <w:sz w:val="20"/>
        </w:rPr>
        <w:t>Departamentos</w:t>
      </w:r>
      <w:r>
        <w:rPr>
          <w:spacing w:val="-5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menor</w:t>
      </w:r>
      <w:r>
        <w:rPr>
          <w:spacing w:val="-3"/>
          <w:sz w:val="20"/>
        </w:rPr>
        <w:t> </w:t>
      </w:r>
      <w:r>
        <w:rPr>
          <w:sz w:val="20"/>
        </w:rPr>
        <w:t>porcentaje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población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autodeterminación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pueblo,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educación</w:t>
      </w:r>
      <w:r>
        <w:rPr>
          <w:spacing w:val="-2"/>
          <w:sz w:val="20"/>
        </w:rPr>
        <w:t> </w:t>
      </w:r>
      <w:r>
        <w:rPr>
          <w:sz w:val="20"/>
        </w:rPr>
        <w:t>primaria</w:t>
      </w:r>
    </w:p>
    <w:p>
      <w:pPr>
        <w:spacing w:before="1"/>
        <w:ind w:left="830" w:right="1756" w:firstLine="0"/>
        <w:jc w:val="center"/>
        <w:rPr>
          <w:sz w:val="20"/>
        </w:rPr>
      </w:pPr>
      <w:r>
        <w:rPr>
          <w:sz w:val="20"/>
        </w:rPr>
        <w:t>aprobado,</w:t>
      </w:r>
      <w:r>
        <w:rPr>
          <w:spacing w:val="-3"/>
          <w:sz w:val="20"/>
        </w:rPr>
        <w:t> </w:t>
      </w:r>
      <w:r>
        <w:rPr>
          <w:sz w:val="20"/>
        </w:rPr>
        <w:t>ubicada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área</w:t>
      </w:r>
      <w:r>
        <w:rPr>
          <w:spacing w:val="-2"/>
          <w:sz w:val="20"/>
        </w:rPr>
        <w:t> </w:t>
      </w:r>
      <w:r>
        <w:rPr>
          <w:sz w:val="20"/>
        </w:rPr>
        <w:t>urbana</w:t>
      </w:r>
    </w:p>
    <w:p>
      <w:pPr>
        <w:pStyle w:val="BodyText"/>
        <w:ind w:left="527"/>
        <w:rPr>
          <w:sz w:val="20"/>
        </w:rPr>
      </w:pPr>
      <w:r>
        <w:rPr>
          <w:sz w:val="20"/>
        </w:rPr>
        <w:drawing>
          <wp:inline distT="0" distB="0" distL="0" distR="0">
            <wp:extent cx="8188116" cy="4730496"/>
            <wp:effectExtent l="0" t="0" r="0" b="0"/>
            <wp:docPr id="11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8116" cy="473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"/>
        <w:ind w:left="526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2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Guatemala.</w:t>
      </w:r>
      <w:r>
        <w:rPr>
          <w:spacing w:val="-1"/>
          <w:sz w:val="16"/>
        </w:rPr>
        <w:t> </w:t>
      </w:r>
      <w:r>
        <w:rPr>
          <w:sz w:val="16"/>
        </w:rPr>
        <w:t>Procesado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Redatam</w:t>
      </w:r>
      <w:r>
        <w:rPr>
          <w:spacing w:val="-1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  <w:r>
        <w:rPr/>
        <w:pict>
          <v:rect style="position:absolute;margin-left:729.700012pt;margin-top:16.925859pt;width:25.464pt;height:1.44pt;mso-position-horizontal-relative:page;mso-position-vertical-relative:paragraph;z-index:-1565696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573"/>
      </w:pPr>
      <w:r>
        <w:rPr/>
        <w:t>41</w:t>
      </w:r>
    </w:p>
    <w:p>
      <w:pPr>
        <w:pStyle w:val="BodyText"/>
        <w:spacing w:line="91" w:lineRule="exact"/>
        <w:ind w:left="12994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5pt;height:4.6pt;mso-position-horizontal-relative:char;mso-position-vertical-relative:line" coordorigin="0,0" coordsize="510,92">
            <v:rect style="position:absolute;left:0;top:0;width:510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5840" w:h="12240" w:orient="landscape"/>
          <w:pgMar w:top="460" w:bottom="0" w:left="1600" w:right="26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85920">
            <wp:simplePos x="0" y="0"/>
            <wp:positionH relativeFrom="page">
              <wp:posOffset>4297602</wp:posOffset>
            </wp:positionH>
            <wp:positionV relativeFrom="page">
              <wp:posOffset>295736</wp:posOffset>
            </wp:positionV>
            <wp:extent cx="5760797" cy="7476659"/>
            <wp:effectExtent l="0" t="0" r="0" b="0"/>
            <wp:wrapNone/>
            <wp:docPr id="11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7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0"/>
        </w:rPr>
      </w:pPr>
    </w:p>
    <w:p>
      <w:pPr>
        <w:spacing w:line="243" w:lineRule="exact" w:before="0"/>
        <w:ind w:left="829" w:right="2187" w:firstLine="0"/>
        <w:jc w:val="center"/>
        <w:rPr>
          <w:sz w:val="20"/>
        </w:rPr>
      </w:pPr>
      <w:bookmarkStart w:name="_bookmark49" w:id="64"/>
      <w:bookmarkEnd w:id="64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31</w:t>
      </w:r>
      <w:r>
        <w:rPr>
          <w:spacing w:val="-2"/>
          <w:sz w:val="20"/>
        </w:rPr>
        <w:t> </w:t>
      </w:r>
      <w:r>
        <w:rPr>
          <w:sz w:val="20"/>
        </w:rPr>
        <w:t>Departamentos</w:t>
      </w:r>
      <w:r>
        <w:rPr>
          <w:spacing w:val="-5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menores</w:t>
      </w:r>
      <w:r>
        <w:rPr>
          <w:spacing w:val="-4"/>
          <w:sz w:val="20"/>
        </w:rPr>
        <w:t> </w:t>
      </w:r>
      <w:r>
        <w:rPr>
          <w:sz w:val="20"/>
        </w:rPr>
        <w:t>porcentajes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población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autodeterminación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pertenencia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educación</w:t>
      </w:r>
    </w:p>
    <w:p>
      <w:pPr>
        <w:spacing w:line="243" w:lineRule="exact" w:before="0"/>
        <w:ind w:left="830" w:right="1757" w:firstLine="0"/>
        <w:jc w:val="center"/>
        <w:rPr>
          <w:sz w:val="20"/>
        </w:rPr>
      </w:pPr>
      <w:r>
        <w:rPr>
          <w:sz w:val="20"/>
        </w:rPr>
        <w:t>primaria</w:t>
      </w:r>
      <w:r>
        <w:rPr>
          <w:spacing w:val="-2"/>
          <w:sz w:val="20"/>
        </w:rPr>
        <w:t> </w:t>
      </w:r>
      <w:r>
        <w:rPr>
          <w:sz w:val="20"/>
        </w:rPr>
        <w:t>aprobado,</w:t>
      </w:r>
      <w:r>
        <w:rPr>
          <w:spacing w:val="-2"/>
          <w:sz w:val="20"/>
        </w:rPr>
        <w:t> </w:t>
      </w:r>
      <w:r>
        <w:rPr>
          <w:sz w:val="20"/>
        </w:rPr>
        <w:t>ubicado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área</w:t>
      </w:r>
      <w:r>
        <w:rPr>
          <w:spacing w:val="-2"/>
          <w:sz w:val="20"/>
        </w:rPr>
        <w:t> </w:t>
      </w:r>
      <w:r>
        <w:rPr>
          <w:sz w:val="20"/>
        </w:rPr>
        <w:t>rural</w:t>
      </w:r>
    </w:p>
    <w:p>
      <w:pPr>
        <w:pStyle w:val="BodyText"/>
        <w:ind w:left="527"/>
        <w:rPr>
          <w:sz w:val="20"/>
        </w:rPr>
      </w:pPr>
      <w:r>
        <w:rPr>
          <w:sz w:val="20"/>
        </w:rPr>
        <w:drawing>
          <wp:inline distT="0" distB="0" distL="0" distR="0">
            <wp:extent cx="8101800" cy="4998720"/>
            <wp:effectExtent l="0" t="0" r="0" b="0"/>
            <wp:docPr id="11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80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"/>
        <w:ind w:left="526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 Guatemala.</w:t>
      </w:r>
      <w:r>
        <w:rPr>
          <w:spacing w:val="-2"/>
          <w:sz w:val="16"/>
        </w:rPr>
        <w:t> </w:t>
      </w:r>
      <w:r>
        <w:rPr>
          <w:sz w:val="16"/>
        </w:rPr>
        <w:t>Procesado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Redatam</w:t>
      </w:r>
      <w:r>
        <w:rPr>
          <w:spacing w:val="-2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rect style="position:absolute;margin-left:729.700012pt;margin-top:8.062115pt;width:25.464pt;height:1.44pt;mso-position-horizontal-relative:page;mso-position-vertical-relative:paragraph;z-index:-1565542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573"/>
      </w:pPr>
      <w:r>
        <w:rPr/>
        <w:t>42</w:t>
      </w:r>
    </w:p>
    <w:p>
      <w:pPr>
        <w:pStyle w:val="BodyText"/>
        <w:spacing w:line="91" w:lineRule="exact"/>
        <w:ind w:left="12994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5pt;height:4.6pt;mso-position-horizontal-relative:char;mso-position-vertical-relative:line" coordorigin="0,0" coordsize="510,92">
            <v:rect style="position:absolute;left:0;top:0;width:510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5840" w:h="12240" w:orient="landscape"/>
          <w:pgMar w:top="460" w:bottom="0" w:left="1600" w:right="26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88480">
            <wp:simplePos x="0" y="0"/>
            <wp:positionH relativeFrom="page">
              <wp:posOffset>4297602</wp:posOffset>
            </wp:positionH>
            <wp:positionV relativeFrom="page">
              <wp:posOffset>295736</wp:posOffset>
            </wp:positionV>
            <wp:extent cx="5760797" cy="7476659"/>
            <wp:effectExtent l="0" t="0" r="0" b="0"/>
            <wp:wrapNone/>
            <wp:docPr id="12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7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Heading3"/>
        <w:numPr>
          <w:ilvl w:val="1"/>
          <w:numId w:val="4"/>
        </w:numPr>
        <w:tabs>
          <w:tab w:pos="1102" w:val="left" w:leader="none"/>
          <w:tab w:pos="1103" w:val="left" w:leader="none"/>
        </w:tabs>
        <w:spacing w:line="240" w:lineRule="auto" w:before="51" w:after="0"/>
        <w:ind w:left="1102" w:right="1732" w:hanging="576"/>
        <w:jc w:val="left"/>
      </w:pPr>
      <w:r>
        <w:rPr/>
        <w:pict>
          <v:shape style="position:absolute;margin-left:106.339996pt;margin-top:69.625793pt;width:444.45pt;height:8.0500pt;mso-position-horizontal-relative:page;mso-position-vertical-relative:paragraph;z-index:-28928512" type="#_x0000_t202" filled="false" stroked="false">
            <v:textbox inset="0,0,0,0">
              <w:txbxContent>
                <w:p>
                  <w:pPr>
                    <w:spacing w:line="161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Fuente: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Elaboración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propia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partir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los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datos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del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Censo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Población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y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Vivienda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2018,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Guatemala.</w:t>
                  </w:r>
                  <w:r>
                    <w:rPr>
                      <w:spacing w:val="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Procesado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con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Redatam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WebServer</w:t>
                  </w:r>
                </w:p>
              </w:txbxContent>
            </v:textbox>
            <w10:wrap type="none"/>
          </v:shape>
        </w:pict>
      </w:r>
      <w:bookmarkStart w:name="_bookmark50" w:id="65"/>
      <w:bookmarkEnd w:id="65"/>
      <w:r>
        <w:rPr>
          <w:color w:val="1F4E79"/>
        </w:rPr>
        <w:t>De</w:t>
      </w:r>
      <w:r>
        <w:rPr>
          <w:color w:val="1F4E79"/>
        </w:rPr>
        <w:t>partamentos afectados con menor porcentaje de población con nivel de educación media, ciclo de educación</w:t>
      </w:r>
      <w:r>
        <w:rPr>
          <w:color w:val="1F4E79"/>
          <w:spacing w:val="-52"/>
        </w:rPr>
        <w:t> </w:t>
      </w:r>
      <w:r>
        <w:rPr>
          <w:color w:val="1F4E79"/>
        </w:rPr>
        <w:t>básica</w:t>
      </w:r>
      <w:r>
        <w:rPr>
          <w:color w:val="1F4E79"/>
          <w:spacing w:val="-2"/>
        </w:rPr>
        <w:t> </w:t>
      </w:r>
      <w:r>
        <w:rPr>
          <w:color w:val="1F4E79"/>
        </w:rPr>
        <w:t>y ciclo</w:t>
      </w:r>
      <w:r>
        <w:rPr>
          <w:color w:val="1F4E79"/>
          <w:spacing w:val="-2"/>
        </w:rPr>
        <w:t> </w:t>
      </w:r>
      <w:r>
        <w:rPr>
          <w:color w:val="1F4E79"/>
        </w:rPr>
        <w:t>de</w:t>
      </w:r>
      <w:r>
        <w:rPr>
          <w:color w:val="1F4E79"/>
          <w:spacing w:val="-1"/>
        </w:rPr>
        <w:t> </w:t>
      </w:r>
      <w:r>
        <w:rPr>
          <w:color w:val="1F4E79"/>
        </w:rPr>
        <w:t>educación</w:t>
      </w:r>
      <w:r>
        <w:rPr>
          <w:color w:val="1F4E79"/>
          <w:spacing w:val="1"/>
        </w:rPr>
        <w:t> </w:t>
      </w:r>
      <w:r>
        <w:rPr>
          <w:color w:val="1F4E79"/>
        </w:rPr>
        <w:t>diversificada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5"/>
        </w:rPr>
      </w:pPr>
      <w:r>
        <w:rPr/>
        <w:pict>
          <v:group style="position:absolute;margin-left:105.449997pt;margin-top:11.126709pt;width:648.8pt;height:371.15pt;mso-position-horizontal-relative:page;mso-position-vertical-relative:paragraph;z-index:-15653888;mso-wrap-distance-left:0;mso-wrap-distance-right:0" coordorigin="2109,223" coordsize="12976,7423">
            <v:shape style="position:absolute;left:2422;top:675;width:12663;height:6970" type="#_x0000_t75" stroked="false">
              <v:imagedata r:id="rId41" o:title=""/>
            </v:shape>
            <v:rect style="position:absolute;left:2109;top:222;width:9404;height:461" filled="true" fillcolor="#ffffff" stroked="false">
              <v:fill type="solid"/>
            </v:rect>
            <v:shape style="position:absolute;left:2109;top:222;width:12976;height:7423" type="#_x0000_t202" filled="false" stroked="false">
              <v:textbox inset="0,0,0,0">
                <w:txbxContent>
                  <w:p>
                    <w:pPr>
                      <w:spacing w:before="0"/>
                      <w:ind w:left="721" w:right="3468" w:hanging="425"/>
                      <w:jc w:val="left"/>
                      <w:rPr>
                        <w:rFonts w:ascii="Arial MT" w:hAnsi="Arial MT"/>
                        <w:sz w:val="20"/>
                      </w:rPr>
                    </w:pPr>
                    <w:r>
                      <w:rPr>
                        <w:rFonts w:ascii="Arial MT" w:hAnsi="Arial MT"/>
                        <w:sz w:val="20"/>
                      </w:rPr>
                      <w:t>Gráfico</w:t>
                    </w:r>
                    <w:r>
                      <w:rPr>
                        <w:rFonts w:ascii="Arial MT" w:hAnsi="Arial MT"/>
                        <w:spacing w:val="14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sz w:val="20"/>
                      </w:rPr>
                      <w:t>32</w:t>
                    </w:r>
                    <w:r>
                      <w:rPr>
                        <w:rFonts w:ascii="Arial MT" w:hAnsi="Arial MT"/>
                        <w:spacing w:val="14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sz w:val="20"/>
                      </w:rPr>
                      <w:t>Departamentos</w:t>
                    </w:r>
                    <w:r>
                      <w:rPr>
                        <w:rFonts w:ascii="Arial MT" w:hAnsi="Arial MT"/>
                        <w:spacing w:val="14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sz w:val="20"/>
                      </w:rPr>
                      <w:t>con</w:t>
                    </w:r>
                    <w:r>
                      <w:rPr>
                        <w:rFonts w:ascii="Arial MT" w:hAnsi="Arial MT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sz w:val="20"/>
                      </w:rPr>
                      <w:t>menores</w:t>
                    </w:r>
                    <w:r>
                      <w:rPr>
                        <w:rFonts w:ascii="Arial MT" w:hAnsi="Arial MT"/>
                        <w:spacing w:val="15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sz w:val="20"/>
                      </w:rPr>
                      <w:t>porcentajes</w:t>
                    </w:r>
                    <w:r>
                      <w:rPr>
                        <w:rFonts w:ascii="Arial MT" w:hAnsi="Arial MT"/>
                        <w:spacing w:val="14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sz w:val="20"/>
                      </w:rPr>
                      <w:t>de</w:t>
                    </w:r>
                    <w:r>
                      <w:rPr>
                        <w:rFonts w:ascii="Arial MT" w:hAnsi="Arial MT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sz w:val="20"/>
                      </w:rPr>
                      <w:t>población</w:t>
                    </w:r>
                    <w:r>
                      <w:rPr>
                        <w:rFonts w:ascii="Arial MT" w:hAnsi="Arial MT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sz w:val="20"/>
                      </w:rPr>
                      <w:t>Maya</w:t>
                    </w:r>
                    <w:r>
                      <w:rPr>
                        <w:rFonts w:ascii="Arial MT" w:hAnsi="Arial MT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sz w:val="20"/>
                      </w:rPr>
                      <w:t>con</w:t>
                    </w:r>
                    <w:r>
                      <w:rPr>
                        <w:rFonts w:ascii="Arial MT" w:hAnsi="Arial MT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sz w:val="20"/>
                      </w:rPr>
                      <w:t>nivel</w:t>
                    </w:r>
                    <w:r>
                      <w:rPr>
                        <w:rFonts w:ascii="Arial MT" w:hAnsi="Arial MT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sz w:val="20"/>
                      </w:rPr>
                      <w:t>de</w:t>
                    </w:r>
                    <w:r>
                      <w:rPr>
                        <w:rFonts w:ascii="Arial MT" w:hAnsi="Arial MT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sz w:val="20"/>
                      </w:rPr>
                      <w:t>educación</w:t>
                    </w:r>
                    <w:r>
                      <w:rPr>
                        <w:rFonts w:ascii="Arial MT" w:hAnsi="Arial MT"/>
                        <w:spacing w:val="-52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sz w:val="20"/>
                      </w:rPr>
                      <w:t>media,</w:t>
                    </w:r>
                    <w:r>
                      <w:rPr>
                        <w:rFonts w:ascii="Arial MT" w:hAnsi="Arial MT"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sz w:val="20"/>
                      </w:rPr>
                      <w:t>ciclo</w:t>
                    </w:r>
                    <w:r>
                      <w:rPr>
                        <w:rFonts w:ascii="Arial MT" w:hAnsi="Arial MT"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sz w:val="20"/>
                      </w:rPr>
                      <w:t>de</w:t>
                    </w:r>
                    <w:r>
                      <w:rPr>
                        <w:rFonts w:ascii="Arial MT" w:hAnsi="Arial MT"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sz w:val="20"/>
                      </w:rPr>
                      <w:t>educación</w:t>
                    </w:r>
                    <w:r>
                      <w:rPr>
                        <w:rFonts w:ascii="Arial MT" w:hAnsi="Arial MT"/>
                        <w:spacing w:val="9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sz w:val="20"/>
                      </w:rPr>
                      <w:t>básica</w:t>
                    </w:r>
                    <w:r>
                      <w:rPr>
                        <w:rFonts w:ascii="Arial MT" w:hAnsi="Arial MT"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sz w:val="20"/>
                      </w:rPr>
                      <w:t>y</w:t>
                    </w:r>
                    <w:r>
                      <w:rPr>
                        <w:rFonts w:ascii="Arial MT" w:hAnsi="Arial MT"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sz w:val="20"/>
                      </w:rPr>
                      <w:t>ciclo</w:t>
                    </w:r>
                    <w:r>
                      <w:rPr>
                        <w:rFonts w:ascii="Arial MT" w:hAnsi="Arial MT"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sz w:val="20"/>
                      </w:rPr>
                      <w:t>de</w:t>
                    </w:r>
                    <w:r>
                      <w:rPr>
                        <w:rFonts w:ascii="Arial MT" w:hAnsi="Arial MT"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sz w:val="20"/>
                      </w:rPr>
                      <w:t>educación</w:t>
                    </w:r>
                    <w:r>
                      <w:rPr>
                        <w:rFonts w:ascii="Arial MT" w:hAnsi="Arial MT"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sz w:val="20"/>
                      </w:rPr>
                      <w:t>diversificada</w:t>
                    </w:r>
                    <w:r>
                      <w:rPr>
                        <w:rFonts w:ascii="Arial MT" w:hAnsi="Arial MT"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sz w:val="20"/>
                      </w:rPr>
                      <w:t>aprobado</w:t>
                    </w:r>
                    <w:r>
                      <w:rPr>
                        <w:rFonts w:ascii="Arial MT" w:hAnsi="Arial MT"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sz w:val="20"/>
                      </w:rPr>
                      <w:t>según</w:t>
                    </w:r>
                    <w:r>
                      <w:rPr>
                        <w:rFonts w:ascii="Arial MT" w:hAnsi="Arial MT"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sz w:val="20"/>
                      </w:rPr>
                      <w:t>el</w:t>
                    </w:r>
                    <w:r>
                      <w:rPr>
                        <w:rFonts w:ascii="Arial MT" w:hAnsi="Arial MT"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sz w:val="20"/>
                      </w:rPr>
                      <w:t>área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526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2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Guatemala.</w:t>
      </w:r>
      <w:r>
        <w:rPr>
          <w:spacing w:val="-1"/>
          <w:sz w:val="16"/>
        </w:rPr>
        <w:t> </w:t>
      </w:r>
      <w:r>
        <w:rPr>
          <w:sz w:val="16"/>
        </w:rPr>
        <w:t>Procesado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Redatam</w:t>
      </w:r>
      <w:r>
        <w:rPr>
          <w:spacing w:val="-1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pict>
          <v:rect style="position:absolute;margin-left:729.700012pt;margin-top:13.210313pt;width:25.464pt;height:1.44pt;mso-position-horizontal-relative:page;mso-position-vertical-relative:paragraph;z-index:-1565337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573"/>
      </w:pPr>
      <w:r>
        <w:rPr/>
        <w:t>43</w:t>
      </w:r>
    </w:p>
    <w:p>
      <w:pPr>
        <w:pStyle w:val="BodyText"/>
        <w:spacing w:line="91" w:lineRule="exact"/>
        <w:ind w:left="12994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5pt;height:4.6pt;mso-position-horizontal-relative:char;mso-position-vertical-relative:line" coordorigin="0,0" coordsize="510,92">
            <v:rect style="position:absolute;left:0;top:0;width:510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5840" w:h="12240" w:orient="landscape"/>
          <w:pgMar w:top="460" w:bottom="0" w:left="1600" w:right="26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90016">
            <wp:simplePos x="0" y="0"/>
            <wp:positionH relativeFrom="page">
              <wp:posOffset>4297602</wp:posOffset>
            </wp:positionH>
            <wp:positionV relativeFrom="page">
              <wp:posOffset>295736</wp:posOffset>
            </wp:positionV>
            <wp:extent cx="5760797" cy="7476659"/>
            <wp:effectExtent l="0" t="0" r="0" b="0"/>
            <wp:wrapNone/>
            <wp:docPr id="12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7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0"/>
        </w:rPr>
      </w:pPr>
    </w:p>
    <w:p>
      <w:pPr>
        <w:spacing w:before="0"/>
        <w:ind w:left="3666" w:right="2162" w:hanging="2766"/>
        <w:jc w:val="left"/>
        <w:rPr>
          <w:sz w:val="20"/>
        </w:rPr>
      </w:pPr>
      <w:bookmarkStart w:name="_bookmark51" w:id="66"/>
      <w:bookmarkEnd w:id="66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33</w:t>
      </w:r>
      <w:r>
        <w:rPr>
          <w:spacing w:val="-2"/>
          <w:sz w:val="20"/>
        </w:rPr>
        <w:t> </w:t>
      </w:r>
      <w:r>
        <w:rPr>
          <w:sz w:val="20"/>
        </w:rPr>
        <w:t>Departamentos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menores</w:t>
      </w:r>
      <w:r>
        <w:rPr>
          <w:spacing w:val="-4"/>
          <w:sz w:val="20"/>
        </w:rPr>
        <w:t> </w:t>
      </w:r>
      <w:r>
        <w:rPr>
          <w:sz w:val="20"/>
        </w:rPr>
        <w:t>porcentajes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población</w:t>
      </w:r>
      <w:r>
        <w:rPr>
          <w:spacing w:val="-1"/>
          <w:sz w:val="20"/>
        </w:rPr>
        <w:t> </w:t>
      </w:r>
      <w:r>
        <w:rPr>
          <w:sz w:val="20"/>
        </w:rPr>
        <w:t>Garífuna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nivel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educación</w:t>
      </w:r>
      <w:r>
        <w:rPr>
          <w:spacing w:val="-1"/>
          <w:sz w:val="20"/>
        </w:rPr>
        <w:t> </w:t>
      </w:r>
      <w:r>
        <w:rPr>
          <w:sz w:val="20"/>
        </w:rPr>
        <w:t>media,</w:t>
      </w:r>
      <w:r>
        <w:rPr>
          <w:spacing w:val="-2"/>
          <w:sz w:val="20"/>
        </w:rPr>
        <w:t> </w:t>
      </w:r>
      <w:r>
        <w:rPr>
          <w:sz w:val="20"/>
        </w:rPr>
        <w:t>ciclo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educación</w:t>
      </w:r>
      <w:r>
        <w:rPr>
          <w:spacing w:val="-1"/>
          <w:sz w:val="20"/>
        </w:rPr>
        <w:t> </w:t>
      </w:r>
      <w:r>
        <w:rPr>
          <w:sz w:val="20"/>
        </w:rPr>
        <w:t>básica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42"/>
          <w:sz w:val="20"/>
        </w:rPr>
        <w:t> </w:t>
      </w:r>
      <w:r>
        <w:rPr>
          <w:sz w:val="20"/>
        </w:rPr>
        <w:t>ciclo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educación</w:t>
      </w:r>
      <w:r>
        <w:rPr>
          <w:spacing w:val="1"/>
          <w:sz w:val="20"/>
        </w:rPr>
        <w:t> </w:t>
      </w:r>
      <w:r>
        <w:rPr>
          <w:sz w:val="20"/>
        </w:rPr>
        <w:t>diversificada</w:t>
      </w:r>
      <w:r>
        <w:rPr>
          <w:spacing w:val="-1"/>
          <w:sz w:val="20"/>
        </w:rPr>
        <w:t> </w:t>
      </w:r>
      <w:r>
        <w:rPr>
          <w:sz w:val="20"/>
        </w:rPr>
        <w:t>aprobado según el</w:t>
      </w:r>
      <w:r>
        <w:rPr>
          <w:spacing w:val="-2"/>
          <w:sz w:val="20"/>
        </w:rPr>
        <w:t> </w:t>
      </w:r>
      <w:r>
        <w:rPr>
          <w:sz w:val="20"/>
        </w:rPr>
        <w:t>área urbana o</w:t>
      </w:r>
      <w:r>
        <w:rPr>
          <w:spacing w:val="-1"/>
          <w:sz w:val="20"/>
        </w:rPr>
        <w:t> </w:t>
      </w:r>
      <w:r>
        <w:rPr>
          <w:sz w:val="20"/>
        </w:rPr>
        <w:t>rural</w:t>
      </w:r>
    </w:p>
    <w:p>
      <w:pPr>
        <w:pStyle w:val="BodyText"/>
        <w:ind w:left="527"/>
        <w:rPr>
          <w:sz w:val="20"/>
        </w:rPr>
      </w:pPr>
      <w:r>
        <w:rPr>
          <w:sz w:val="20"/>
        </w:rPr>
        <w:drawing>
          <wp:inline distT="0" distB="0" distL="0" distR="0">
            <wp:extent cx="8115570" cy="5029200"/>
            <wp:effectExtent l="0" t="0" r="0" b="0"/>
            <wp:docPr id="12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557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526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2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Guatemala.</w:t>
      </w:r>
      <w:r>
        <w:rPr>
          <w:spacing w:val="-2"/>
          <w:sz w:val="16"/>
        </w:rPr>
        <w:t> </w:t>
      </w:r>
      <w:r>
        <w:rPr>
          <w:sz w:val="16"/>
        </w:rPr>
        <w:t>Procesado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Redatam</w:t>
      </w:r>
      <w:r>
        <w:rPr>
          <w:spacing w:val="-1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  <w:r>
        <w:rPr/>
        <w:pict>
          <v:rect style="position:absolute;margin-left:729.700012pt;margin-top:17.882109pt;width:25.464pt;height:1.44pt;mso-position-horizontal-relative:page;mso-position-vertical-relative:paragraph;z-index:-1565132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573"/>
      </w:pPr>
      <w:r>
        <w:rPr/>
        <w:t>44</w:t>
      </w:r>
    </w:p>
    <w:p>
      <w:pPr>
        <w:pStyle w:val="BodyText"/>
        <w:spacing w:line="91" w:lineRule="exact"/>
        <w:ind w:left="12994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5pt;height:4.6pt;mso-position-horizontal-relative:char;mso-position-vertical-relative:line" coordorigin="0,0" coordsize="510,92">
            <v:rect style="position:absolute;left:0;top:0;width:510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5840" w:h="12240" w:orient="landscape"/>
          <w:pgMar w:top="460" w:bottom="0" w:left="1600" w:right="26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92064">
            <wp:simplePos x="0" y="0"/>
            <wp:positionH relativeFrom="page">
              <wp:posOffset>4297602</wp:posOffset>
            </wp:positionH>
            <wp:positionV relativeFrom="page">
              <wp:posOffset>295736</wp:posOffset>
            </wp:positionV>
            <wp:extent cx="5760797" cy="7476659"/>
            <wp:effectExtent l="0" t="0" r="0" b="0"/>
            <wp:wrapNone/>
            <wp:docPr id="12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7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9"/>
        </w:rPr>
      </w:pPr>
    </w:p>
    <w:p>
      <w:pPr>
        <w:spacing w:before="93"/>
        <w:ind w:left="1203" w:right="4644" w:hanging="425"/>
        <w:jc w:val="left"/>
        <w:rPr>
          <w:rFonts w:ascii="Arial MT" w:hAnsi="Arial MT"/>
          <w:sz w:val="20"/>
        </w:rPr>
      </w:pP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1350644</wp:posOffset>
            </wp:positionH>
            <wp:positionV relativeFrom="paragraph">
              <wp:posOffset>400569</wp:posOffset>
            </wp:positionV>
            <wp:extent cx="8174592" cy="5029200"/>
            <wp:effectExtent l="0" t="0" r="0" b="0"/>
            <wp:wrapTopAndBottom/>
            <wp:docPr id="12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4592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sz w:val="20"/>
        </w:rPr>
        <w:t>Gráfico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34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Departamentos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con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menores</w:t>
      </w:r>
      <w:r>
        <w:rPr>
          <w:rFonts w:ascii="Arial MT" w:hAnsi="Arial MT"/>
          <w:spacing w:val="5"/>
          <w:sz w:val="20"/>
        </w:rPr>
        <w:t> </w:t>
      </w:r>
      <w:r>
        <w:rPr>
          <w:rFonts w:ascii="Arial MT" w:hAnsi="Arial MT"/>
          <w:sz w:val="20"/>
        </w:rPr>
        <w:t>porcentajes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población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Xinca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con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nivel</w:t>
      </w:r>
      <w:r>
        <w:rPr>
          <w:rFonts w:ascii="Arial MT" w:hAnsi="Arial MT"/>
          <w:spacing w:val="5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3"/>
          <w:sz w:val="20"/>
        </w:rPr>
        <w:t> </w:t>
      </w:r>
      <w:r>
        <w:rPr>
          <w:rFonts w:ascii="Arial MT" w:hAnsi="Arial MT"/>
          <w:sz w:val="20"/>
        </w:rPr>
        <w:t>educación</w:t>
      </w:r>
      <w:r>
        <w:rPr>
          <w:rFonts w:ascii="Arial MT" w:hAnsi="Arial MT"/>
          <w:spacing w:val="-53"/>
          <w:sz w:val="20"/>
        </w:rPr>
        <w:t> </w:t>
      </w:r>
      <w:r>
        <w:rPr>
          <w:rFonts w:ascii="Arial MT" w:hAnsi="Arial MT"/>
          <w:sz w:val="20"/>
        </w:rPr>
        <w:t>media,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ciclo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de educación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básica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6"/>
          <w:sz w:val="20"/>
        </w:rPr>
        <w:t> </w:t>
      </w:r>
      <w:r>
        <w:rPr>
          <w:rFonts w:ascii="Arial MT" w:hAnsi="Arial MT"/>
          <w:sz w:val="20"/>
        </w:rPr>
        <w:t>ciclo de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educación diversificada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aprobado según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el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área</w:t>
      </w:r>
    </w:p>
    <w:p>
      <w:pPr>
        <w:spacing w:before="0"/>
        <w:ind w:left="526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2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Guatemala.</w:t>
      </w:r>
      <w:r>
        <w:rPr>
          <w:spacing w:val="-2"/>
          <w:sz w:val="16"/>
        </w:rPr>
        <w:t> </w:t>
      </w:r>
      <w:r>
        <w:rPr>
          <w:sz w:val="16"/>
        </w:rPr>
        <w:t>Procesado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Redatam</w:t>
      </w:r>
      <w:r>
        <w:rPr>
          <w:spacing w:val="-2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  <w:r>
        <w:rPr/>
        <w:pict>
          <v:rect style="position:absolute;margin-left:729.700012pt;margin-top:16.526344pt;width:25.464pt;height:1.44pt;mso-position-horizontal-relative:page;mso-position-vertical-relative:paragraph;z-index:-1564928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573"/>
      </w:pPr>
      <w:r>
        <w:rPr/>
        <w:t>45</w:t>
      </w:r>
    </w:p>
    <w:p>
      <w:pPr>
        <w:pStyle w:val="BodyText"/>
        <w:spacing w:line="91" w:lineRule="exact"/>
        <w:ind w:left="12994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5pt;height:4.6pt;mso-position-horizontal-relative:char;mso-position-vertical-relative:line" coordorigin="0,0" coordsize="510,92">
            <v:rect style="position:absolute;left:0;top:0;width:510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5840" w:h="12240" w:orient="landscape"/>
          <w:pgMar w:top="460" w:bottom="0" w:left="1600" w:right="26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93600">
            <wp:simplePos x="0" y="0"/>
            <wp:positionH relativeFrom="page">
              <wp:posOffset>4297602</wp:posOffset>
            </wp:positionH>
            <wp:positionV relativeFrom="page">
              <wp:posOffset>295736</wp:posOffset>
            </wp:positionV>
            <wp:extent cx="5760797" cy="7476659"/>
            <wp:effectExtent l="0" t="0" r="0" b="0"/>
            <wp:wrapNone/>
            <wp:docPr id="13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7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7"/>
        </w:rPr>
      </w:pPr>
    </w:p>
    <w:p>
      <w:pPr>
        <w:spacing w:before="0"/>
        <w:ind w:left="3323" w:right="1783" w:hanging="2449"/>
        <w:jc w:val="left"/>
        <w:rPr>
          <w:sz w:val="20"/>
        </w:rPr>
      </w:pPr>
      <w:bookmarkStart w:name="_bookmark52" w:id="67"/>
      <w:bookmarkEnd w:id="67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35</w:t>
      </w:r>
      <w:r>
        <w:rPr>
          <w:spacing w:val="-2"/>
          <w:sz w:val="20"/>
        </w:rPr>
        <w:t> </w:t>
      </w:r>
      <w:r>
        <w:rPr>
          <w:sz w:val="20"/>
        </w:rPr>
        <w:t>Departamentos</w:t>
      </w:r>
      <w:r>
        <w:rPr>
          <w:spacing w:val="-5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menores</w:t>
      </w:r>
      <w:r>
        <w:rPr>
          <w:spacing w:val="-4"/>
          <w:sz w:val="20"/>
        </w:rPr>
        <w:t> </w:t>
      </w:r>
      <w:r>
        <w:rPr>
          <w:sz w:val="20"/>
        </w:rPr>
        <w:t>porcentajes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población</w:t>
      </w:r>
      <w:r>
        <w:rPr>
          <w:spacing w:val="-2"/>
          <w:sz w:val="20"/>
        </w:rPr>
        <w:t> </w:t>
      </w:r>
      <w:r>
        <w:rPr>
          <w:sz w:val="20"/>
        </w:rPr>
        <w:t>Afrodescendiente</w:t>
      </w:r>
      <w:r>
        <w:rPr>
          <w:spacing w:val="-3"/>
          <w:sz w:val="20"/>
        </w:rPr>
        <w:t> </w:t>
      </w:r>
      <w:r>
        <w:rPr>
          <w:sz w:val="20"/>
        </w:rPr>
        <w:t>con nivel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educación media,</w:t>
      </w:r>
      <w:r>
        <w:rPr>
          <w:spacing w:val="-2"/>
          <w:sz w:val="20"/>
        </w:rPr>
        <w:t> </w:t>
      </w:r>
      <w:r>
        <w:rPr>
          <w:sz w:val="20"/>
        </w:rPr>
        <w:t>ciclo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educación</w:t>
      </w:r>
      <w:r>
        <w:rPr>
          <w:spacing w:val="-42"/>
          <w:sz w:val="20"/>
        </w:rPr>
        <w:t> </w:t>
      </w:r>
      <w:r>
        <w:rPr>
          <w:sz w:val="20"/>
        </w:rPr>
        <w:t>básica</w:t>
      </w:r>
      <w:r>
        <w:rPr>
          <w:spacing w:val="-1"/>
          <w:sz w:val="20"/>
        </w:rPr>
        <w:t> </w:t>
      </w:r>
      <w:r>
        <w:rPr>
          <w:sz w:val="20"/>
        </w:rPr>
        <w:t>y ciclo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educación</w:t>
      </w:r>
      <w:r>
        <w:rPr>
          <w:spacing w:val="1"/>
          <w:sz w:val="20"/>
        </w:rPr>
        <w:t> </w:t>
      </w:r>
      <w:r>
        <w:rPr>
          <w:sz w:val="20"/>
        </w:rPr>
        <w:t>diversificada</w:t>
      </w:r>
      <w:r>
        <w:rPr>
          <w:spacing w:val="-1"/>
          <w:sz w:val="20"/>
        </w:rPr>
        <w:t> </w:t>
      </w:r>
      <w:r>
        <w:rPr>
          <w:sz w:val="20"/>
        </w:rPr>
        <w:t>aprobado según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área urbana</w:t>
      </w:r>
      <w:r>
        <w:rPr>
          <w:spacing w:val="-1"/>
          <w:sz w:val="20"/>
        </w:rPr>
        <w:t> </w:t>
      </w:r>
      <w:r>
        <w:rPr>
          <w:sz w:val="20"/>
        </w:rPr>
        <w:t>o rural</w:t>
      </w:r>
    </w:p>
    <w:p>
      <w:pPr>
        <w:pStyle w:val="BodyText"/>
        <w:ind w:left="527"/>
        <w:rPr>
          <w:sz w:val="20"/>
        </w:rPr>
      </w:pPr>
      <w:r>
        <w:rPr>
          <w:sz w:val="20"/>
        </w:rPr>
        <w:drawing>
          <wp:inline distT="0" distB="0" distL="0" distR="0">
            <wp:extent cx="8005294" cy="4901184"/>
            <wp:effectExtent l="0" t="0" r="0" b="0"/>
            <wp:docPr id="13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5294" cy="490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526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Censo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 Guatemala.</w:t>
      </w:r>
      <w:r>
        <w:rPr>
          <w:spacing w:val="-2"/>
          <w:sz w:val="16"/>
        </w:rPr>
        <w:t> </w:t>
      </w:r>
      <w:r>
        <w:rPr>
          <w:sz w:val="16"/>
        </w:rPr>
        <w:t>Procesado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Redatam</w:t>
      </w:r>
      <w:r>
        <w:rPr>
          <w:spacing w:val="-2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pict>
          <v:rect style="position:absolute;margin-left:729.700012pt;margin-top:18.207939pt;width:25.464pt;height:1.44pt;mso-position-horizontal-relative:page;mso-position-vertical-relative:paragraph;z-index:-1564774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573"/>
      </w:pPr>
      <w:r>
        <w:rPr/>
        <w:t>46</w:t>
      </w:r>
    </w:p>
    <w:p>
      <w:pPr>
        <w:pStyle w:val="BodyText"/>
        <w:spacing w:line="91" w:lineRule="exact"/>
        <w:ind w:left="12994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5pt;height:4.6pt;mso-position-horizontal-relative:char;mso-position-vertical-relative:line" coordorigin="0,0" coordsize="510,92">
            <v:rect style="position:absolute;left:0;top:0;width:510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5840" w:h="12240" w:orient="landscape"/>
          <w:pgMar w:top="460" w:bottom="0" w:left="1600" w:right="26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95648">
            <wp:simplePos x="0" y="0"/>
            <wp:positionH relativeFrom="page">
              <wp:posOffset>4297602</wp:posOffset>
            </wp:positionH>
            <wp:positionV relativeFrom="page">
              <wp:posOffset>295736</wp:posOffset>
            </wp:positionV>
            <wp:extent cx="5760797" cy="7476659"/>
            <wp:effectExtent l="0" t="0" r="0" b="0"/>
            <wp:wrapNone/>
            <wp:docPr id="13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7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0"/>
        </w:rPr>
      </w:pPr>
    </w:p>
    <w:p>
      <w:pPr>
        <w:spacing w:before="93"/>
        <w:ind w:left="1246" w:right="4240" w:hanging="425"/>
        <w:jc w:val="left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Gráfico</w:t>
      </w:r>
      <w:r>
        <w:rPr>
          <w:rFonts w:ascii="Arial MT" w:hAnsi="Arial MT"/>
          <w:spacing w:val="10"/>
          <w:sz w:val="20"/>
        </w:rPr>
        <w:t> </w:t>
      </w:r>
      <w:r>
        <w:rPr>
          <w:rFonts w:ascii="Arial MT" w:hAnsi="Arial MT"/>
          <w:sz w:val="20"/>
        </w:rPr>
        <w:t>36</w:t>
      </w:r>
      <w:r>
        <w:rPr>
          <w:rFonts w:ascii="Arial MT" w:hAnsi="Arial MT"/>
          <w:spacing w:val="9"/>
          <w:sz w:val="20"/>
        </w:rPr>
        <w:t> </w:t>
      </w:r>
      <w:r>
        <w:rPr>
          <w:rFonts w:ascii="Arial MT" w:hAnsi="Arial MT"/>
          <w:sz w:val="20"/>
        </w:rPr>
        <w:t>Departamentos</w:t>
      </w:r>
      <w:r>
        <w:rPr>
          <w:rFonts w:ascii="Arial MT" w:hAnsi="Arial MT"/>
          <w:spacing w:val="12"/>
          <w:sz w:val="20"/>
        </w:rPr>
        <w:t> </w:t>
      </w:r>
      <w:r>
        <w:rPr>
          <w:rFonts w:ascii="Arial MT" w:hAnsi="Arial MT"/>
          <w:sz w:val="20"/>
        </w:rPr>
        <w:t>con</w:t>
      </w:r>
      <w:r>
        <w:rPr>
          <w:rFonts w:ascii="Arial MT" w:hAnsi="Arial MT"/>
          <w:spacing w:val="9"/>
          <w:sz w:val="20"/>
        </w:rPr>
        <w:t> </w:t>
      </w:r>
      <w:r>
        <w:rPr>
          <w:rFonts w:ascii="Arial MT" w:hAnsi="Arial MT"/>
          <w:sz w:val="20"/>
        </w:rPr>
        <w:t>menores</w:t>
      </w:r>
      <w:r>
        <w:rPr>
          <w:rFonts w:ascii="Arial MT" w:hAnsi="Arial MT"/>
          <w:spacing w:val="10"/>
          <w:sz w:val="20"/>
        </w:rPr>
        <w:t> </w:t>
      </w:r>
      <w:r>
        <w:rPr>
          <w:rFonts w:ascii="Arial MT" w:hAnsi="Arial MT"/>
          <w:sz w:val="20"/>
        </w:rPr>
        <w:t>porcentajes</w:t>
      </w:r>
      <w:r>
        <w:rPr>
          <w:rFonts w:ascii="Arial MT" w:hAnsi="Arial MT"/>
          <w:spacing w:val="9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0"/>
          <w:sz w:val="20"/>
        </w:rPr>
        <w:t> </w:t>
      </w:r>
      <w:r>
        <w:rPr>
          <w:rFonts w:ascii="Arial MT" w:hAnsi="Arial MT"/>
          <w:sz w:val="20"/>
        </w:rPr>
        <w:t>población</w:t>
      </w:r>
      <w:r>
        <w:rPr>
          <w:rFonts w:ascii="Arial MT" w:hAnsi="Arial MT"/>
          <w:spacing w:val="10"/>
          <w:sz w:val="20"/>
        </w:rPr>
        <w:t> </w:t>
      </w:r>
      <w:r>
        <w:rPr>
          <w:rFonts w:ascii="Arial MT" w:hAnsi="Arial MT"/>
          <w:sz w:val="20"/>
        </w:rPr>
        <w:t>ladina</w:t>
      </w:r>
      <w:r>
        <w:rPr>
          <w:rFonts w:ascii="Arial MT" w:hAnsi="Arial MT"/>
          <w:spacing w:val="8"/>
          <w:sz w:val="20"/>
        </w:rPr>
        <w:t> </w:t>
      </w:r>
      <w:r>
        <w:rPr>
          <w:rFonts w:ascii="Arial MT" w:hAnsi="Arial MT"/>
          <w:sz w:val="20"/>
        </w:rPr>
        <w:t>con</w:t>
      </w:r>
      <w:r>
        <w:rPr>
          <w:rFonts w:ascii="Arial MT" w:hAnsi="Arial MT"/>
          <w:spacing w:val="11"/>
          <w:sz w:val="20"/>
        </w:rPr>
        <w:t> </w:t>
      </w:r>
      <w:r>
        <w:rPr>
          <w:rFonts w:ascii="Arial MT" w:hAnsi="Arial MT"/>
          <w:sz w:val="20"/>
        </w:rPr>
        <w:t>nivel</w:t>
      </w:r>
      <w:r>
        <w:rPr>
          <w:rFonts w:ascii="Arial MT" w:hAnsi="Arial MT"/>
          <w:spacing w:val="7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9"/>
          <w:sz w:val="20"/>
        </w:rPr>
        <w:t> </w:t>
      </w:r>
      <w:r>
        <w:rPr>
          <w:rFonts w:ascii="Arial MT" w:hAnsi="Arial MT"/>
          <w:sz w:val="20"/>
        </w:rPr>
        <w:t>educación</w:t>
      </w:r>
      <w:r>
        <w:rPr>
          <w:rFonts w:ascii="Arial MT" w:hAnsi="Arial MT"/>
          <w:spacing w:val="-52"/>
          <w:sz w:val="20"/>
        </w:rPr>
        <w:t> </w:t>
      </w:r>
      <w:r>
        <w:rPr>
          <w:rFonts w:ascii="Arial MT" w:hAnsi="Arial MT"/>
          <w:sz w:val="20"/>
        </w:rPr>
        <w:t>media,</w:t>
      </w:r>
      <w:r>
        <w:rPr>
          <w:rFonts w:ascii="Arial MT" w:hAnsi="Arial MT"/>
          <w:spacing w:val="5"/>
          <w:sz w:val="20"/>
        </w:rPr>
        <w:t> </w:t>
      </w:r>
      <w:r>
        <w:rPr>
          <w:rFonts w:ascii="Arial MT" w:hAnsi="Arial MT"/>
          <w:sz w:val="20"/>
        </w:rPr>
        <w:t>ciclo</w:t>
      </w:r>
      <w:r>
        <w:rPr>
          <w:rFonts w:ascii="Arial MT" w:hAnsi="Arial MT"/>
          <w:spacing w:val="5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7"/>
          <w:sz w:val="20"/>
        </w:rPr>
        <w:t> </w:t>
      </w:r>
      <w:r>
        <w:rPr>
          <w:rFonts w:ascii="Arial MT" w:hAnsi="Arial MT"/>
          <w:sz w:val="20"/>
        </w:rPr>
        <w:t>educación</w:t>
      </w:r>
      <w:r>
        <w:rPr>
          <w:rFonts w:ascii="Arial MT" w:hAnsi="Arial MT"/>
          <w:spacing w:val="9"/>
          <w:sz w:val="20"/>
        </w:rPr>
        <w:t> </w:t>
      </w:r>
      <w:r>
        <w:rPr>
          <w:rFonts w:ascii="Arial MT" w:hAnsi="Arial MT"/>
          <w:sz w:val="20"/>
        </w:rPr>
        <w:t>básica</w:t>
      </w:r>
      <w:r>
        <w:rPr>
          <w:rFonts w:ascii="Arial MT" w:hAnsi="Arial MT"/>
          <w:spacing w:val="9"/>
          <w:sz w:val="20"/>
        </w:rPr>
        <w:t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ciclo</w:t>
      </w:r>
      <w:r>
        <w:rPr>
          <w:rFonts w:ascii="Arial MT" w:hAnsi="Arial MT"/>
          <w:spacing w:val="7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6"/>
          <w:sz w:val="20"/>
        </w:rPr>
        <w:t> </w:t>
      </w:r>
      <w:r>
        <w:rPr>
          <w:rFonts w:ascii="Arial MT" w:hAnsi="Arial MT"/>
          <w:sz w:val="20"/>
        </w:rPr>
        <w:t>educación</w:t>
      </w:r>
      <w:r>
        <w:rPr>
          <w:rFonts w:ascii="Arial MT" w:hAnsi="Arial MT"/>
          <w:spacing w:val="5"/>
          <w:sz w:val="20"/>
        </w:rPr>
        <w:t> </w:t>
      </w:r>
      <w:r>
        <w:rPr>
          <w:rFonts w:ascii="Arial MT" w:hAnsi="Arial MT"/>
          <w:sz w:val="20"/>
        </w:rPr>
        <w:t>diversificada</w:t>
      </w:r>
      <w:r>
        <w:rPr>
          <w:rFonts w:ascii="Arial MT" w:hAnsi="Arial MT"/>
          <w:spacing w:val="7"/>
          <w:sz w:val="20"/>
        </w:rPr>
        <w:t> </w:t>
      </w:r>
      <w:r>
        <w:rPr>
          <w:rFonts w:ascii="Arial MT" w:hAnsi="Arial MT"/>
          <w:sz w:val="20"/>
        </w:rPr>
        <w:t>aprobado</w:t>
      </w:r>
      <w:r>
        <w:rPr>
          <w:rFonts w:ascii="Arial MT" w:hAnsi="Arial MT"/>
          <w:spacing w:val="6"/>
          <w:sz w:val="20"/>
        </w:rPr>
        <w:t> </w:t>
      </w:r>
      <w:r>
        <w:rPr>
          <w:rFonts w:ascii="Arial MT" w:hAnsi="Arial MT"/>
          <w:sz w:val="20"/>
        </w:rPr>
        <w:t>según</w:t>
      </w:r>
      <w:r>
        <w:rPr>
          <w:rFonts w:ascii="Arial MT" w:hAnsi="Arial MT"/>
          <w:spacing w:val="6"/>
          <w:sz w:val="20"/>
        </w:rPr>
        <w:t> </w:t>
      </w:r>
      <w:r>
        <w:rPr>
          <w:rFonts w:ascii="Arial MT" w:hAnsi="Arial MT"/>
          <w:sz w:val="20"/>
        </w:rPr>
        <w:t>el</w:t>
      </w:r>
      <w:r>
        <w:rPr>
          <w:rFonts w:ascii="Arial MT" w:hAnsi="Arial MT"/>
          <w:spacing w:val="7"/>
          <w:sz w:val="20"/>
        </w:rPr>
        <w:t> </w:t>
      </w:r>
      <w:r>
        <w:rPr>
          <w:rFonts w:ascii="Arial MT" w:hAnsi="Arial MT"/>
          <w:sz w:val="20"/>
        </w:rPr>
        <w:t>área</w:t>
      </w:r>
    </w:p>
    <w:p>
      <w:pPr>
        <w:pStyle w:val="BodyText"/>
        <w:spacing w:before="4"/>
        <w:rPr>
          <w:rFonts w:ascii="Arial MT"/>
          <w:sz w:val="12"/>
        </w:rPr>
      </w:pP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1350644</wp:posOffset>
            </wp:positionH>
            <wp:positionV relativeFrom="paragraph">
              <wp:posOffset>115288</wp:posOffset>
            </wp:positionV>
            <wp:extent cx="8472957" cy="4815840"/>
            <wp:effectExtent l="0" t="0" r="0" b="0"/>
            <wp:wrapTopAndBottom/>
            <wp:docPr id="13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2957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526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2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Guatemala.</w:t>
      </w:r>
      <w:r>
        <w:rPr>
          <w:spacing w:val="-1"/>
          <w:sz w:val="16"/>
        </w:rPr>
        <w:t> </w:t>
      </w:r>
      <w:r>
        <w:rPr>
          <w:sz w:val="16"/>
        </w:rPr>
        <w:t>Procesado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Redatam</w:t>
      </w:r>
      <w:r>
        <w:rPr>
          <w:spacing w:val="-1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rect style="position:absolute;margin-left:729.700012pt;margin-top:8.913281pt;width:25.464pt;height:1.44pt;mso-position-horizontal-relative:page;mso-position-vertical-relative:paragraph;z-index:-1564569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573"/>
      </w:pPr>
      <w:r>
        <w:rPr/>
        <w:t>47</w:t>
      </w:r>
    </w:p>
    <w:p>
      <w:pPr>
        <w:pStyle w:val="BodyText"/>
        <w:spacing w:line="91" w:lineRule="exact"/>
        <w:ind w:left="12994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5pt;height:4.6pt;mso-position-horizontal-relative:char;mso-position-vertical-relative:line" coordorigin="0,0" coordsize="510,92">
            <v:rect style="position:absolute;left:0;top:0;width:510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5840" w:h="12240" w:orient="landscape"/>
          <w:pgMar w:top="460" w:bottom="0" w:left="1600" w:right="26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97184">
            <wp:simplePos x="0" y="0"/>
            <wp:positionH relativeFrom="page">
              <wp:posOffset>4297602</wp:posOffset>
            </wp:positionH>
            <wp:positionV relativeFrom="page">
              <wp:posOffset>295736</wp:posOffset>
            </wp:positionV>
            <wp:extent cx="5760797" cy="7476659"/>
            <wp:effectExtent l="0" t="0" r="0" b="0"/>
            <wp:wrapNone/>
            <wp:docPr id="13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7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spacing w:before="59"/>
        <w:ind w:left="3887" w:right="2198" w:hanging="3013"/>
        <w:jc w:val="left"/>
        <w:rPr>
          <w:sz w:val="20"/>
        </w:rPr>
      </w:pPr>
      <w:bookmarkStart w:name="_bookmark53" w:id="68"/>
      <w:bookmarkEnd w:id="68"/>
      <w:r>
        <w:rPr/>
      </w:r>
      <w:r>
        <w:rPr>
          <w:sz w:val="20"/>
        </w:rPr>
        <w:t>Gráfico</w:t>
      </w:r>
      <w:r>
        <w:rPr>
          <w:spacing w:val="-2"/>
          <w:sz w:val="20"/>
        </w:rPr>
        <w:t> </w:t>
      </w:r>
      <w:r>
        <w:rPr>
          <w:sz w:val="20"/>
        </w:rPr>
        <w:t>37</w:t>
      </w:r>
      <w:r>
        <w:rPr>
          <w:spacing w:val="-2"/>
          <w:sz w:val="20"/>
        </w:rPr>
        <w:t> </w:t>
      </w:r>
      <w:r>
        <w:rPr>
          <w:sz w:val="20"/>
        </w:rPr>
        <w:t>Departamentos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menores</w:t>
      </w:r>
      <w:r>
        <w:rPr>
          <w:spacing w:val="-4"/>
          <w:sz w:val="20"/>
        </w:rPr>
        <w:t> </w:t>
      </w:r>
      <w:r>
        <w:rPr>
          <w:sz w:val="20"/>
        </w:rPr>
        <w:t>porcentajes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población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pueblo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educación</w:t>
      </w:r>
      <w:r>
        <w:rPr>
          <w:spacing w:val="-1"/>
          <w:sz w:val="20"/>
        </w:rPr>
        <w:t> </w:t>
      </w:r>
      <w:r>
        <w:rPr>
          <w:sz w:val="20"/>
        </w:rPr>
        <w:t>media,</w:t>
      </w:r>
      <w:r>
        <w:rPr>
          <w:spacing w:val="-2"/>
          <w:sz w:val="20"/>
        </w:rPr>
        <w:t> </w:t>
      </w:r>
      <w:r>
        <w:rPr>
          <w:sz w:val="20"/>
        </w:rPr>
        <w:t>ciclo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educación</w:t>
      </w:r>
      <w:r>
        <w:rPr>
          <w:spacing w:val="-1"/>
          <w:sz w:val="20"/>
        </w:rPr>
        <w:t> </w:t>
      </w:r>
      <w:r>
        <w:rPr>
          <w:sz w:val="20"/>
        </w:rPr>
        <w:t>básica</w:t>
      </w:r>
      <w:r>
        <w:rPr>
          <w:spacing w:val="-4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ciclo de</w:t>
      </w:r>
      <w:r>
        <w:rPr>
          <w:spacing w:val="-1"/>
          <w:sz w:val="20"/>
        </w:rPr>
        <w:t> </w:t>
      </w:r>
      <w:r>
        <w:rPr>
          <w:sz w:val="20"/>
        </w:rPr>
        <w:t>educación</w:t>
      </w:r>
      <w:r>
        <w:rPr>
          <w:spacing w:val="1"/>
          <w:sz w:val="20"/>
        </w:rPr>
        <w:t> </w:t>
      </w:r>
      <w:r>
        <w:rPr>
          <w:sz w:val="20"/>
        </w:rPr>
        <w:t>diversificada</w:t>
      </w:r>
      <w:r>
        <w:rPr>
          <w:spacing w:val="-1"/>
          <w:sz w:val="20"/>
        </w:rPr>
        <w:t> </w:t>
      </w:r>
      <w:r>
        <w:rPr>
          <w:sz w:val="20"/>
        </w:rPr>
        <w:t>aprobado</w:t>
      </w:r>
      <w:r>
        <w:rPr>
          <w:spacing w:val="-3"/>
          <w:sz w:val="20"/>
        </w:rPr>
        <w:t> </w:t>
      </w:r>
      <w:r>
        <w:rPr>
          <w:sz w:val="20"/>
        </w:rPr>
        <w:t>según el</w:t>
      </w:r>
      <w:r>
        <w:rPr>
          <w:spacing w:val="-1"/>
          <w:sz w:val="20"/>
        </w:rPr>
        <w:t> </w:t>
      </w:r>
      <w:r>
        <w:rPr>
          <w:sz w:val="20"/>
        </w:rPr>
        <w:t>área</w:t>
      </w:r>
      <w:r>
        <w:rPr>
          <w:spacing w:val="-1"/>
          <w:sz w:val="20"/>
        </w:rPr>
        <w:t> </w:t>
      </w:r>
      <w:r>
        <w:rPr>
          <w:sz w:val="20"/>
        </w:rPr>
        <w:t>urbana</w:t>
      </w:r>
    </w:p>
    <w:p>
      <w:pPr>
        <w:pStyle w:val="BodyText"/>
        <w:ind w:left="527"/>
        <w:rPr>
          <w:sz w:val="20"/>
        </w:rPr>
      </w:pPr>
      <w:r>
        <w:rPr>
          <w:sz w:val="20"/>
        </w:rPr>
        <w:drawing>
          <wp:inline distT="0" distB="0" distL="0" distR="0">
            <wp:extent cx="8377156" cy="4956048"/>
            <wp:effectExtent l="0" t="0" r="0" b="0"/>
            <wp:docPr id="14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7156" cy="495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526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Población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2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Guatemala.</w:t>
      </w:r>
      <w:r>
        <w:rPr>
          <w:spacing w:val="-2"/>
          <w:sz w:val="16"/>
        </w:rPr>
        <w:t> </w:t>
      </w:r>
      <w:r>
        <w:rPr>
          <w:sz w:val="16"/>
        </w:rPr>
        <w:t>Procesado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Redatam</w:t>
      </w:r>
      <w:r>
        <w:rPr>
          <w:spacing w:val="-2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729.700012pt;margin-top:11.519313pt;width:25.464pt;height:1.44pt;mso-position-horizontal-relative:page;mso-position-vertical-relative:paragraph;z-index:-1564416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573"/>
      </w:pPr>
      <w:r>
        <w:rPr/>
        <w:t>48</w:t>
      </w:r>
    </w:p>
    <w:p>
      <w:pPr>
        <w:pStyle w:val="BodyText"/>
        <w:spacing w:line="91" w:lineRule="exact"/>
        <w:ind w:left="12994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5pt;height:4.6pt;mso-position-horizontal-relative:char;mso-position-vertical-relative:line" coordorigin="0,0" coordsize="510,92">
            <v:rect style="position:absolute;left:0;top:0;width:510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5840" w:h="12240" w:orient="landscape"/>
          <w:pgMar w:top="460" w:bottom="0" w:left="1600" w:right="260"/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group style="position:absolute;margin-left:106.349998pt;margin-top:23.286348pt;width:685.65pt;height:588.75pt;mso-position-horizontal-relative:page;mso-position-vertical-relative:page;z-index:-28918784" coordorigin="2127,466" coordsize="13713,11775">
            <v:shape style="position:absolute;left:6767;top:465;width:9073;height:11775" type="#_x0000_t75" stroked="false">
              <v:imagedata r:id="rId26" o:title=""/>
            </v:shape>
            <v:shape style="position:absolute;left:14594;top:11294;width:510;height:480" coordorigin="14594,11294" coordsize="510,480" path="m15103,11683l14594,11683,14594,11774,15103,11774,15103,11683xm15103,11294l14594,11294,14594,11323,15103,11323,15103,11294xe" filled="true" fillcolor="#a4a4a4" stroked="false">
              <v:path arrowok="t"/>
              <v:fill type="solid"/>
            </v:shape>
            <v:shape style="position:absolute;left:2127;top:2331;width:13345;height:7834" type="#_x0000_t75" stroked="false">
              <v:imagedata r:id="rId47" o:title=""/>
            </v:shape>
            <w10:wrap type="none"/>
          </v:group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6"/>
        </w:rPr>
      </w:pPr>
    </w:p>
    <w:p>
      <w:pPr>
        <w:spacing w:before="59"/>
        <w:ind w:left="3877" w:right="2198" w:hanging="3003"/>
        <w:jc w:val="left"/>
        <w:rPr>
          <w:sz w:val="20"/>
        </w:rPr>
      </w:pPr>
      <w:bookmarkStart w:name="_bookmark54" w:id="69"/>
      <w:bookmarkEnd w:id="69"/>
      <w:r>
        <w:rPr/>
      </w:r>
      <w:r>
        <w:rPr>
          <w:sz w:val="20"/>
        </w:rPr>
        <w:t>Gráfico</w:t>
      </w:r>
      <w:r>
        <w:rPr>
          <w:spacing w:val="-2"/>
          <w:sz w:val="20"/>
        </w:rPr>
        <w:t> </w:t>
      </w:r>
      <w:r>
        <w:rPr>
          <w:sz w:val="20"/>
        </w:rPr>
        <w:t>38</w:t>
      </w:r>
      <w:r>
        <w:rPr>
          <w:spacing w:val="-2"/>
          <w:sz w:val="20"/>
        </w:rPr>
        <w:t> </w:t>
      </w:r>
      <w:r>
        <w:rPr>
          <w:sz w:val="20"/>
        </w:rPr>
        <w:t>Departamentos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menores</w:t>
      </w:r>
      <w:r>
        <w:rPr>
          <w:spacing w:val="-4"/>
          <w:sz w:val="20"/>
        </w:rPr>
        <w:t> </w:t>
      </w:r>
      <w:r>
        <w:rPr>
          <w:sz w:val="20"/>
        </w:rPr>
        <w:t>porcentajes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población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pueblo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educación</w:t>
      </w:r>
      <w:r>
        <w:rPr>
          <w:spacing w:val="-1"/>
          <w:sz w:val="20"/>
        </w:rPr>
        <w:t> </w:t>
      </w:r>
      <w:r>
        <w:rPr>
          <w:sz w:val="20"/>
        </w:rPr>
        <w:t>media,</w:t>
      </w:r>
      <w:r>
        <w:rPr>
          <w:spacing w:val="-2"/>
          <w:sz w:val="20"/>
        </w:rPr>
        <w:t> </w:t>
      </w:r>
      <w:r>
        <w:rPr>
          <w:sz w:val="20"/>
        </w:rPr>
        <w:t>ciclo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educación</w:t>
      </w:r>
      <w:r>
        <w:rPr>
          <w:spacing w:val="-1"/>
          <w:sz w:val="20"/>
        </w:rPr>
        <w:t> </w:t>
      </w:r>
      <w:r>
        <w:rPr>
          <w:sz w:val="20"/>
        </w:rPr>
        <w:t>básica</w:t>
      </w:r>
      <w:r>
        <w:rPr>
          <w:spacing w:val="-4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ciclo de</w:t>
      </w:r>
      <w:r>
        <w:rPr>
          <w:spacing w:val="-1"/>
          <w:sz w:val="20"/>
        </w:rPr>
        <w:t> </w:t>
      </w:r>
      <w:r>
        <w:rPr>
          <w:sz w:val="20"/>
        </w:rPr>
        <w:t>educación</w:t>
      </w:r>
      <w:r>
        <w:rPr>
          <w:spacing w:val="1"/>
          <w:sz w:val="20"/>
        </w:rPr>
        <w:t> </w:t>
      </w:r>
      <w:r>
        <w:rPr>
          <w:sz w:val="20"/>
        </w:rPr>
        <w:t>diversificada</w:t>
      </w:r>
      <w:r>
        <w:rPr>
          <w:spacing w:val="-1"/>
          <w:sz w:val="20"/>
        </w:rPr>
        <w:t> </w:t>
      </w:r>
      <w:r>
        <w:rPr>
          <w:sz w:val="20"/>
        </w:rPr>
        <w:t>aprobado</w:t>
      </w:r>
      <w:r>
        <w:rPr>
          <w:spacing w:val="-3"/>
          <w:sz w:val="20"/>
        </w:rPr>
        <w:t> </w:t>
      </w:r>
      <w:r>
        <w:rPr>
          <w:sz w:val="20"/>
        </w:rPr>
        <w:t>ubicada en área</w:t>
      </w:r>
      <w:r>
        <w:rPr>
          <w:spacing w:val="-1"/>
          <w:sz w:val="20"/>
        </w:rPr>
        <w:t> </w:t>
      </w:r>
      <w:r>
        <w:rPr>
          <w:sz w:val="20"/>
        </w:rPr>
        <w:t>rural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526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2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Guatemala.</w:t>
      </w:r>
      <w:r>
        <w:rPr>
          <w:spacing w:val="-1"/>
          <w:sz w:val="16"/>
        </w:rPr>
        <w:t> </w:t>
      </w:r>
      <w:r>
        <w:rPr>
          <w:sz w:val="16"/>
        </w:rPr>
        <w:t>Procesado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Redatam</w:t>
      </w:r>
      <w:r>
        <w:rPr>
          <w:spacing w:val="-1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40" w:lineRule="auto" w:before="246" w:after="0"/>
        <w:ind w:right="573"/>
      </w:pPr>
      <w:r>
        <w:rPr/>
        <w:t>49</w:t>
      </w:r>
    </w:p>
    <w:p>
      <w:pPr>
        <w:spacing w:after="0" w:line="240" w:lineRule="auto"/>
        <w:sectPr>
          <w:pgSz w:w="15840" w:h="12240" w:orient="landscape"/>
          <w:pgMar w:top="1140" w:bottom="280" w:left="1600" w:right="26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399744">
            <wp:simplePos x="0" y="0"/>
            <wp:positionH relativeFrom="page">
              <wp:posOffset>0</wp:posOffset>
            </wp:positionH>
            <wp:positionV relativeFrom="page">
              <wp:posOffset>302887</wp:posOffset>
            </wp:positionV>
            <wp:extent cx="7772399" cy="9501333"/>
            <wp:effectExtent l="0" t="0" r="0" b="0"/>
            <wp:wrapNone/>
            <wp:docPr id="14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8"/>
        </w:rPr>
      </w:pPr>
    </w:p>
    <w:p>
      <w:pPr>
        <w:pStyle w:val="Heading3"/>
        <w:numPr>
          <w:ilvl w:val="0"/>
          <w:numId w:val="4"/>
        </w:numPr>
        <w:tabs>
          <w:tab w:pos="732" w:val="left" w:leader="none"/>
          <w:tab w:pos="733" w:val="left" w:leader="none"/>
        </w:tabs>
        <w:spacing w:line="240" w:lineRule="auto" w:before="51" w:after="0"/>
        <w:ind w:left="732" w:right="0" w:hanging="433"/>
        <w:jc w:val="left"/>
      </w:pPr>
      <w:bookmarkStart w:name="_bookmark55" w:id="70"/>
      <w:bookmarkEnd w:id="70"/>
      <w:r>
        <w:rPr>
          <w:b w:val="0"/>
        </w:rPr>
      </w:r>
      <w:bookmarkStart w:name="_bookmark55" w:id="71"/>
      <w:bookmarkEnd w:id="71"/>
      <w:r>
        <w:rPr>
          <w:color w:val="1F4E79"/>
        </w:rPr>
        <w:t>Uso</w:t>
      </w:r>
      <w:r>
        <w:rPr>
          <w:color w:val="1F4E79"/>
          <w:spacing w:val="-3"/>
        </w:rPr>
        <w:t> </w:t>
      </w:r>
      <w:r>
        <w:rPr>
          <w:color w:val="1F4E79"/>
        </w:rPr>
        <w:t>de</w:t>
      </w:r>
      <w:r>
        <w:rPr>
          <w:color w:val="1F4E79"/>
          <w:spacing w:val="-4"/>
        </w:rPr>
        <w:t> </w:t>
      </w:r>
      <w:r>
        <w:rPr>
          <w:color w:val="1F4E79"/>
        </w:rPr>
        <w:t>computadoras</w:t>
      </w:r>
      <w:r>
        <w:rPr>
          <w:color w:val="1F4E79"/>
          <w:spacing w:val="-2"/>
        </w:rPr>
        <w:t> </w:t>
      </w:r>
      <w:r>
        <w:rPr>
          <w:color w:val="1F4E79"/>
        </w:rPr>
        <w:t>e</w:t>
      </w:r>
      <w:r>
        <w:rPr>
          <w:color w:val="1F4E79"/>
          <w:spacing w:val="-6"/>
        </w:rPr>
        <w:t> </w:t>
      </w:r>
      <w:r>
        <w:rPr>
          <w:color w:val="1F4E79"/>
        </w:rPr>
        <w:t>internet</w:t>
      </w:r>
      <w:r>
        <w:rPr>
          <w:color w:val="1F4E79"/>
          <w:spacing w:val="-1"/>
        </w:rPr>
        <w:t> </w:t>
      </w:r>
      <w:r>
        <w:rPr>
          <w:color w:val="1F4E79"/>
        </w:rPr>
        <w:t>en</w:t>
      </w:r>
      <w:r>
        <w:rPr>
          <w:color w:val="1F4E79"/>
          <w:spacing w:val="-4"/>
        </w:rPr>
        <w:t> </w:t>
      </w:r>
      <w:r>
        <w:rPr>
          <w:color w:val="1F4E79"/>
        </w:rPr>
        <w:t>los</w:t>
      </w:r>
      <w:r>
        <w:rPr>
          <w:color w:val="1F4E79"/>
          <w:spacing w:val="-4"/>
        </w:rPr>
        <w:t> </w:t>
      </w:r>
      <w:r>
        <w:rPr>
          <w:color w:val="1F4E79"/>
        </w:rPr>
        <w:t>departamentos</w:t>
      </w:r>
      <w:r>
        <w:rPr>
          <w:color w:val="1F4E79"/>
          <w:spacing w:val="4"/>
        </w:rPr>
        <w:t> </w:t>
      </w:r>
      <w:r>
        <w:rPr>
          <w:color w:val="1F4E79"/>
        </w:rPr>
        <w:t>afectados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ListParagraph"/>
        <w:numPr>
          <w:ilvl w:val="1"/>
          <w:numId w:val="4"/>
        </w:numPr>
        <w:tabs>
          <w:tab w:pos="876" w:val="left" w:leader="none"/>
          <w:tab w:pos="877" w:val="left" w:leader="none"/>
        </w:tabs>
        <w:spacing w:line="240" w:lineRule="auto" w:before="0" w:after="0"/>
        <w:ind w:left="876" w:right="0" w:hanging="577"/>
        <w:jc w:val="left"/>
        <w:rPr>
          <w:b/>
          <w:sz w:val="24"/>
        </w:rPr>
      </w:pPr>
      <w:bookmarkStart w:name="_bookmark56" w:id="72"/>
      <w:bookmarkEnd w:id="72"/>
      <w:r>
        <w:rPr/>
      </w:r>
      <w:bookmarkStart w:name="_bookmark56" w:id="73"/>
      <w:bookmarkEnd w:id="73"/>
      <w:r>
        <w:rPr>
          <w:b/>
          <w:color w:val="1F4E79"/>
          <w:sz w:val="24"/>
        </w:rPr>
        <w:t>A</w:t>
      </w:r>
      <w:r>
        <w:rPr>
          <w:b/>
          <w:color w:val="1F4E79"/>
          <w:sz w:val="24"/>
        </w:rPr>
        <w:t>cceso</w:t>
      </w:r>
      <w:r>
        <w:rPr>
          <w:b/>
          <w:color w:val="1F4E79"/>
          <w:spacing w:val="-2"/>
          <w:sz w:val="24"/>
        </w:rPr>
        <w:t> </w:t>
      </w:r>
      <w:r>
        <w:rPr>
          <w:b/>
          <w:color w:val="1F4E79"/>
          <w:sz w:val="24"/>
        </w:rPr>
        <w:t>y</w:t>
      </w:r>
      <w:r>
        <w:rPr>
          <w:b/>
          <w:color w:val="1F4E79"/>
          <w:spacing w:val="-4"/>
          <w:sz w:val="24"/>
        </w:rPr>
        <w:t> </w:t>
      </w:r>
      <w:r>
        <w:rPr>
          <w:b/>
          <w:color w:val="1F4E79"/>
          <w:sz w:val="24"/>
        </w:rPr>
        <w:t>uso</w:t>
      </w:r>
      <w:r>
        <w:rPr>
          <w:b/>
          <w:color w:val="1F4E79"/>
          <w:spacing w:val="-4"/>
          <w:sz w:val="24"/>
        </w:rPr>
        <w:t> </w:t>
      </w:r>
      <w:r>
        <w:rPr>
          <w:b/>
          <w:color w:val="1F4E79"/>
          <w:sz w:val="24"/>
        </w:rPr>
        <w:t>de</w:t>
      </w:r>
      <w:r>
        <w:rPr>
          <w:b/>
          <w:color w:val="1F4E79"/>
          <w:spacing w:val="-3"/>
          <w:sz w:val="24"/>
        </w:rPr>
        <w:t> </w:t>
      </w:r>
      <w:r>
        <w:rPr>
          <w:b/>
          <w:color w:val="1F4E79"/>
          <w:sz w:val="24"/>
        </w:rPr>
        <w:t>computadoras</w:t>
      </w:r>
    </w:p>
    <w:p>
      <w:pPr>
        <w:pStyle w:val="BodyText"/>
        <w:rPr>
          <w:b/>
          <w:sz w:val="24"/>
        </w:rPr>
      </w:pPr>
    </w:p>
    <w:p>
      <w:pPr>
        <w:spacing w:before="187"/>
        <w:ind w:left="300" w:right="1098" w:firstLine="0"/>
        <w:jc w:val="both"/>
        <w:rPr>
          <w:sz w:val="24"/>
        </w:rPr>
      </w:pPr>
      <w:r>
        <w:rPr>
          <w:sz w:val="24"/>
        </w:rPr>
        <w:t>En cuanto al uso de tecnología digital y conexión a internet, con excepción al departamento de</w:t>
      </w:r>
      <w:r>
        <w:rPr>
          <w:spacing w:val="1"/>
          <w:sz w:val="24"/>
        </w:rPr>
        <w:t> </w:t>
      </w:r>
      <w:r>
        <w:rPr>
          <w:sz w:val="24"/>
        </w:rPr>
        <w:t>Guatemala,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departamentos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país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convierte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población</w:t>
      </w:r>
      <w:r>
        <w:rPr>
          <w:spacing w:val="1"/>
          <w:sz w:val="24"/>
        </w:rPr>
        <w:t> </w:t>
      </w:r>
      <w:r>
        <w:rPr>
          <w:sz w:val="24"/>
        </w:rPr>
        <w:t>afectada.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continuación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presenta</w:t>
      </w:r>
      <w:r>
        <w:rPr>
          <w:spacing w:val="1"/>
          <w:sz w:val="24"/>
        </w:rPr>
        <w:t> </w:t>
      </w:r>
      <w:r>
        <w:rPr>
          <w:sz w:val="24"/>
        </w:rPr>
        <w:t>información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cantidad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población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hace</w:t>
      </w:r>
      <w:r>
        <w:rPr>
          <w:spacing w:val="1"/>
          <w:sz w:val="24"/>
        </w:rPr>
        <w:t> </w:t>
      </w:r>
      <w:r>
        <w:rPr>
          <w:sz w:val="24"/>
        </w:rPr>
        <w:t>uso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tecnología</w:t>
      </w:r>
      <w:r>
        <w:rPr>
          <w:spacing w:val="-1"/>
          <w:sz w:val="24"/>
        </w:rPr>
        <w:t> </w:t>
      </w:r>
      <w:r>
        <w:rPr>
          <w:sz w:val="24"/>
        </w:rPr>
        <w:t>informática y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2"/>
          <w:sz w:val="24"/>
        </w:rPr>
        <w:t> </w:t>
      </w:r>
      <w:r>
        <w:rPr>
          <w:sz w:val="24"/>
        </w:rPr>
        <w:t>acceso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internet.</w:t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1428" w:right="0" w:firstLine="0"/>
        <w:jc w:val="left"/>
        <w:rPr>
          <w:sz w:val="20"/>
        </w:rPr>
      </w:pPr>
      <w:bookmarkStart w:name="_bookmark57" w:id="74"/>
      <w:bookmarkEnd w:id="74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39</w:t>
      </w:r>
      <w:r>
        <w:rPr>
          <w:spacing w:val="-2"/>
          <w:sz w:val="20"/>
        </w:rPr>
        <w:t> </w:t>
      </w:r>
      <w:r>
        <w:rPr>
          <w:sz w:val="20"/>
        </w:rPr>
        <w:t>Población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departamentos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acceso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uso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computadora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3"/>
          <w:sz w:val="20"/>
        </w:rPr>
        <w:t> </w:t>
      </w:r>
      <w:r>
        <w:rPr>
          <w:sz w:val="20"/>
        </w:rPr>
        <w:t>internet</w:t>
      </w:r>
    </w:p>
    <w:p>
      <w:pPr>
        <w:pStyle w:val="BodyText"/>
        <w:ind w:left="278"/>
        <w:rPr>
          <w:sz w:val="20"/>
        </w:rPr>
      </w:pPr>
      <w:r>
        <w:rPr>
          <w:sz w:val="20"/>
        </w:rPr>
        <w:pict>
          <v:group style="width:470.2pt;height:224.6pt;mso-position-horizontal-relative:char;mso-position-vertical-relative:line" coordorigin="0,0" coordsize="9404,4492">
            <v:rect style="position:absolute;left:0;top:0;width:9404;height:4492" filled="true" fillcolor="#ffffff" stroked="false">
              <v:fill type="solid"/>
            </v:rect>
            <v:shape style="position:absolute;left:919;top:509;width:8064;height:2585" coordorigin="920,509" coordsize="8064,2585" path="m1006,509l920,509,920,3094,1006,3094,1006,509xm1385,3017l1299,3017,1299,3094,1385,3094,1385,3017xm1764,2895l1680,2895,1680,3094,1764,3094,1764,2895xm2144,2854l2060,2854,2060,3094,2144,3094,2144,2854xm2525,2797l2439,2797,2439,3094,2525,3094,2525,2797xm2904,2919l2820,2919,2820,3094,2904,3094,2904,2919xm3284,2960l3200,2960,3200,3094,3284,3094,3284,2960xm3665,2977l3579,2977,3579,3094,3665,3094,3665,2977xm4044,2701l3958,2701,3958,3094,4044,3094,4044,2701xm4424,2881l4340,2881,4340,3094,4424,3094,4424,2881xm4803,2955l4719,2955,4719,3094,4803,3094,4803,2955xm5184,2801l5098,2801,5098,3094,5184,3094,5184,2801xm5564,2780l5480,2780,5480,3094,5564,3094,5564,2780xm5943,2912l5859,2912,5859,3094,5943,3094,5943,2912xm6324,3003l6238,3003,6238,3094,6324,3094,6324,3003xm6704,2861l6617,2861,6617,3094,6704,3094,6704,2861xm7083,2907l6999,2907,6999,3094,7083,3094,7083,2907xm7462,2941l7378,2941,7378,3094,7462,3094,7462,2941xm7844,2993l7757,2993,7757,3094,7844,3094,7844,2993xm8223,2943l8139,2943,8139,3094,8223,3094,8223,2943xm8602,2981l8518,2981,8518,3094,8602,3094,8602,2981xm8984,2883l8897,2883,8897,3094,8984,3094,8984,2883xe" filled="true" fillcolor="#4f81bc" stroked="false">
              <v:path arrowok="t"/>
              <v:fill type="solid"/>
            </v:shape>
            <v:shape style="position:absolute;left:1027;top:1015;width:8064;height:2079" coordorigin="1028,1016" coordsize="8064,2079" path="m1114,1016l1028,1016,1028,3094,1114,3094,1114,1016xm1493,2902l1407,2902,1407,3094,1493,3094,1493,2902xm1872,2789l1788,2789,1788,3094,1872,3094,1872,2789xm2254,2417l2168,2417,2168,3094,2254,3094,2254,2417xm2633,2295l2547,2295,2547,3094,2633,3094,2633,2295xm3012,2669l2928,2669,2928,3094,3012,3094,3012,2669xm3392,2593l3308,2593,3308,3094,3392,3094,3392,2593xm3773,2602l3687,2602,3687,3094,3773,3094,3773,2602xm4152,2288l4066,2288,4066,3094,4152,3094,4152,2288xm4532,2485l4448,2485,4448,3094,4532,3094,4532,2485xm4913,2746l4827,2746,4827,3094,4913,3094,4913,2746xm5292,1892l5206,1892,5206,3094,5292,3094,5292,1892xm5672,1733l5588,1733,5588,3094,5672,3094,5672,1733xm6051,1916l5967,1916,5967,3094,6051,3094,6051,1916xm6432,2744l6346,2744,6346,3094,6432,3094,6432,2744xm6812,1575l6725,1575,6725,3094,6812,3094,6812,1575xm7191,2487l7107,2487,7107,3094,7191,3094,7191,2487xm7572,2643l7486,2643,7486,3094,7572,3094,7572,2643xm7952,2825l7865,2825,7865,3094,7952,3094,7952,2825xm8331,2633l8247,2633,8247,3094,8331,3094,8331,2633xm8710,2701l8626,2701,8626,3094,8710,3094,8710,2701xm9092,2566l9005,2566,9005,3094,9092,3094,9092,2566xe" filled="true" fillcolor="#9bba58" stroked="false">
              <v:path arrowok="t"/>
              <v:fill type="solid"/>
            </v:shape>
            <v:line style="position:absolute" from="827,3094" to="9184,3094" stroked="true" strokeweight=".75pt" strokecolor="#d9d9d9">
              <v:stroke dashstyle="solid"/>
            </v:line>
            <v:shape style="position:absolute;left:1450;top:1714;width:6838;height:1280" coordorigin="1451,1714" coordsize="6838,1280" path="m2102,2854l2102,1714m5521,2779l5521,2499m7041,2906l7041,2206m7800,2993l7800,2413m1451,2902l1451,2562m1830,2789l1850,2009m3350,2592l3350,2172m3730,2601l3730,2441m7909,2825l7909,2125m8288,2634l8288,2294e" filled="false" stroked="true" strokeweight=".75pt" strokecolor="#a6a6a6">
              <v:path arrowok="t"/>
              <v:stroke dashstyle="solid"/>
            </v:shape>
            <v:shape style="position:absolute;left:568;top:3224;width:6553;height:694" type="#_x0000_t75" stroked="false">
              <v:imagedata r:id="rId48" o:title=""/>
            </v:shape>
            <v:shape style="position:absolute;left:7222;top:3220;width:1799;height:494" type="#_x0000_t75" stroked="false">
              <v:imagedata r:id="rId49" o:title=""/>
            </v:shape>
            <v:rect style="position:absolute;left:3740;top:4188;width:77;height:77" filled="true" fillcolor="#4f81bc" stroked="false">
              <v:fill type="solid"/>
            </v:rect>
            <v:rect style="position:absolute;left:4729;top:4188;width:77;height:77" filled="true" fillcolor="#9bba58" stroked="false">
              <v:fill type="solid"/>
            </v:rect>
            <v:shape style="position:absolute;left:130;top:157;width:1239;height:1217" type="#_x0000_t202" filled="false" stroked="false">
              <v:textbox inset="0,0,0,0">
                <w:txbxContent>
                  <w:p>
                    <w:pPr>
                      <w:spacing w:line="117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1,600,000</w:t>
                    </w:r>
                  </w:p>
                  <w:p>
                    <w:pPr>
                      <w:spacing w:line="146" w:lineRule="exact" w:before="0"/>
                      <w:ind w:left="554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1,439,440</w:t>
                    </w:r>
                  </w:p>
                  <w:p>
                    <w:pPr>
                      <w:spacing w:before="67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1,400,000</w:t>
                    </w:r>
                  </w:p>
                  <w:p>
                    <w:pPr>
                      <w:spacing w:before="99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position w:val="-8"/>
                        <w:sz w:val="14"/>
                      </w:rPr>
                      <w:t>1,200,000</w:t>
                    </w:r>
                    <w:r>
                      <w:rPr>
                        <w:color w:val="585858"/>
                        <w:spacing w:val="51"/>
                        <w:position w:val="-8"/>
                        <w:sz w:val="14"/>
                      </w:rPr>
                      <w:t> </w:t>
                    </w:r>
                    <w:r>
                      <w:rPr>
                        <w:color w:val="404040"/>
                        <w:sz w:val="14"/>
                      </w:rPr>
                      <w:t>1,156,406</w:t>
                    </w:r>
                  </w:p>
                  <w:p>
                    <w:pPr>
                      <w:spacing w:line="168" w:lineRule="exact" w:before="188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1,000,000</w:t>
                    </w:r>
                  </w:p>
                </w:txbxContent>
              </v:textbox>
              <w10:wrap type="none"/>
            </v:shape>
            <v:shape style="position:absolute;left:6545;top:1344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845,854</w:t>
                    </w:r>
                  </w:p>
                </w:txbxContent>
              </v:textbox>
              <w10:wrap type="none"/>
            </v:shape>
            <v:shape style="position:absolute;left:236;top:1595;width:47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800,000</w:t>
                    </w:r>
                  </w:p>
                </w:txbxContent>
              </v:textbox>
              <w10:wrap type="none"/>
            </v:shape>
            <v:shape style="position:absolute;left:1877;top:1544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133,432</w:t>
                    </w:r>
                  </w:p>
                </w:txbxContent>
              </v:textbox>
              <w10:wrap type="none"/>
            </v:shape>
            <v:shape style="position:absolute;left:5025;top:1502;width:1232;height:322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17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757,884</w:t>
                    </w:r>
                  </w:p>
                  <w:p>
                    <w:pPr>
                      <w:tabs>
                        <w:tab w:pos="759" w:val="left" w:leader="none"/>
                      </w:tabs>
                      <w:spacing w:line="185" w:lineRule="exact" w:before="0"/>
                      <w:ind w:left="0" w:right="18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668,792</w:t>
                      <w:tab/>
                    </w:r>
                    <w:r>
                      <w:rPr>
                        <w:color w:val="404040"/>
                        <w:spacing w:val="-2"/>
                        <w:position w:val="-1"/>
                        <w:sz w:val="14"/>
                      </w:rPr>
                      <w:t>655,995</w:t>
                    </w:r>
                  </w:p>
                </w:txbxContent>
              </v:textbox>
              <w10:wrap type="none"/>
            </v:shape>
            <v:shape style="position:absolute;left:1626;top:1838;width:472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169,859</w:t>
                    </w:r>
                  </w:p>
                </w:txbxContent>
              </v:textbox>
              <w10:wrap type="none"/>
            </v:shape>
            <v:shape style="position:absolute;left:236;top:1954;width:47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600,000</w:t>
                    </w:r>
                  </w:p>
                </w:txbxContent>
              </v:textbox>
              <w10:wrap type="none"/>
            </v:shape>
            <v:shape style="position:absolute;left:1985;top:2065;width:853;height:262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38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444,449</w:t>
                    </w:r>
                  </w:p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376,572</w:t>
                    </w:r>
                  </w:p>
                </w:txbxContent>
              </v:textbox>
              <w10:wrap type="none"/>
            </v:shape>
            <v:shape style="position:absolute;left:3125;top:2002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279,194</w:t>
                    </w:r>
                  </w:p>
                </w:txbxContent>
              </v:textbox>
              <w10:wrap type="none"/>
            </v:shape>
            <v:shape style="position:absolute;left:3885;top:2058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448,449</w:t>
                    </w:r>
                  </w:p>
                </w:txbxContent>
              </v:textbox>
              <w10:wrap type="none"/>
            </v:shape>
            <v:shape style="position:absolute;left:6816;top:2036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104,425</w:t>
                    </w:r>
                  </w:p>
                </w:txbxContent>
              </v:textbox>
              <w10:wrap type="none"/>
            </v:shape>
            <v:shape style="position:absolute;left:236;top:2313;width:47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400,000</w:t>
                    </w:r>
                  </w:p>
                </w:txbxContent>
              </v:textbox>
              <w10:wrap type="none"/>
            </v:shape>
            <v:shape style="position:absolute;left:7610;top:1955;width:927;height:428" type="#_x0000_t202" filled="false" stroked="false">
              <v:textbox inset="0,0,0,0">
                <w:txbxContent>
                  <w:p>
                    <w:pPr>
                      <w:spacing w:line="141" w:lineRule="exact" w:before="0"/>
                      <w:ind w:left="74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149,653</w:t>
                    </w:r>
                  </w:p>
                  <w:p>
                    <w:pPr>
                      <w:spacing w:line="144" w:lineRule="exact" w:before="0"/>
                      <w:ind w:left="454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256,128</w:t>
                    </w:r>
                  </w:p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55,984</w:t>
                    </w:r>
                  </w:p>
                </w:txbxContent>
              </v:textbox>
              <w10:wrap type="none"/>
            </v:shape>
            <v:shape style="position:absolute;left:1225;top:2392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106,786</w:t>
                    </w:r>
                  </w:p>
                </w:txbxContent>
              </v:textbox>
              <w10:wrap type="none"/>
            </v:shape>
            <v:shape style="position:absolute;left:2746;top:2439;width:472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235,927</w:t>
                    </w:r>
                  </w:p>
                </w:txbxContent>
              </v:textbox>
              <w10:wrap type="none"/>
            </v:shape>
            <v:shape style="position:absolute;left:2257;top:2567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165,234</w:t>
                    </w:r>
                  </w:p>
                </w:txbxContent>
              </v:textbox>
              <w10:wrap type="none"/>
            </v:shape>
            <v:shape style="position:absolute;left:3505;top:2271;width:744;height:338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274,151</w:t>
                    </w:r>
                  </w:p>
                  <w:p>
                    <w:pPr>
                      <w:spacing w:line="168" w:lineRule="exact" w:before="27"/>
                      <w:ind w:left="27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219,112</w:t>
                    </w:r>
                  </w:p>
                </w:txbxContent>
              </v:textbox>
              <w10:wrap type="none"/>
            </v:shape>
            <v:shape style="position:absolute;left:4265;top:2255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338,925</w:t>
                    </w:r>
                  </w:p>
                </w:txbxContent>
              </v:textbox>
              <w10:wrap type="none"/>
            </v:shape>
            <v:shape style="position:absolute;left:5297;top:2329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175,290</w:t>
                    </w:r>
                  </w:p>
                </w:txbxContent>
              </v:textbox>
              <w10:wrap type="none"/>
            </v:shape>
            <v:shape style="position:absolute;left:6925;top:2257;width:852;height:294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337,697</w:t>
                    </w:r>
                  </w:p>
                  <w:p>
                    <w:pPr>
                      <w:spacing w:line="160" w:lineRule="exact" w:before="0"/>
                      <w:ind w:left="379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251,674</w:t>
                    </w:r>
                  </w:p>
                </w:txbxContent>
              </v:textbox>
              <w10:wrap type="none"/>
            </v:shape>
            <v:shape style="position:absolute;left:8825;top:2336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293,698</w:t>
                    </w:r>
                  </w:p>
                </w:txbxContent>
              </v:textbox>
              <w10:wrap type="none"/>
            </v:shape>
            <v:shape style="position:absolute;left:236;top:2672;width:47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200,000</w:t>
                    </w:r>
                  </w:p>
                </w:txbxContent>
              </v:textbox>
              <w10:wrap type="none"/>
            </v:shape>
            <v:shape style="position:absolute;left:1151;top:2666;width:819;height:261" type="#_x0000_t202" filled="false" stroked="false">
              <v:textbox inset="0,0,0,0">
                <w:txbxContent>
                  <w:p>
                    <w:pPr>
                      <w:spacing w:line="117" w:lineRule="exact" w:before="0"/>
                      <w:ind w:left="34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110,223</w:t>
                    </w:r>
                  </w:p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42,613</w:t>
                    </w:r>
                  </w:p>
                </w:txbxContent>
              </v:textbox>
              <w10:wrap type="none"/>
            </v:shape>
            <v:shape style="position:absolute;left:2671;top:2689;width:1163;height:197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pacing w:val="-1"/>
                        <w:position w:val="6"/>
                        <w:sz w:val="14"/>
                      </w:rPr>
                      <w:t>97,279</w:t>
                    </w:r>
                    <w:r>
                      <w:rPr>
                        <w:color w:val="404040"/>
                        <w:spacing w:val="-1"/>
                        <w:position w:val="2"/>
                        <w:sz w:val="14"/>
                      </w:rPr>
                      <w:t>74,137</w:t>
                    </w:r>
                    <w:r>
                      <w:rPr>
                        <w:color w:val="404040"/>
                        <w:spacing w:val="-1"/>
                        <w:sz w:val="14"/>
                      </w:rPr>
                      <w:t>65,502</w:t>
                    </w:r>
                  </w:p>
                </w:txbxContent>
              </v:textbox>
              <w10:wrap type="none"/>
            </v:shape>
            <v:shape style="position:absolute;left:4157;top:2650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119,290</w:t>
                    </w:r>
                  </w:p>
                </w:txbxContent>
              </v:textbox>
              <w10:wrap type="none"/>
            </v:shape>
            <v:shape style="position:absolute;left:4645;top:2517;width:745;height:193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pacing w:val="-14"/>
                        <w:sz w:val="14"/>
                      </w:rPr>
                      <w:t>193,2</w:t>
                    </w:r>
                    <w:r>
                      <w:rPr>
                        <w:color w:val="404040"/>
                        <w:spacing w:val="-14"/>
                        <w:position w:val="-4"/>
                        <w:sz w:val="14"/>
                      </w:rPr>
                      <w:t>1</w:t>
                    </w:r>
                    <w:r>
                      <w:rPr>
                        <w:color w:val="404040"/>
                        <w:spacing w:val="-14"/>
                        <w:sz w:val="14"/>
                      </w:rPr>
                      <w:t>3</w:t>
                    </w:r>
                    <w:r>
                      <w:rPr>
                        <w:color w:val="404040"/>
                        <w:spacing w:val="-14"/>
                        <w:position w:val="-4"/>
                        <w:sz w:val="14"/>
                      </w:rPr>
                      <w:t>6</w:t>
                    </w:r>
                    <w:r>
                      <w:rPr>
                        <w:color w:val="404040"/>
                        <w:spacing w:val="-14"/>
                        <w:sz w:val="14"/>
                      </w:rPr>
                      <w:t>7</w:t>
                    </w:r>
                    <w:r>
                      <w:rPr>
                        <w:color w:val="404040"/>
                        <w:spacing w:val="-14"/>
                        <w:position w:val="-4"/>
                        <w:sz w:val="14"/>
                      </w:rPr>
                      <w:t>3,458</w:t>
                    </w:r>
                  </w:p>
                </w:txbxContent>
              </v:textbox>
              <w10:wrap type="none"/>
            </v:shape>
            <v:shape style="position:absolute;left:6165;top:2513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195,420</w:t>
                    </w:r>
                  </w:p>
                </w:txbxContent>
              </v:textbox>
              <w10:wrap type="none"/>
            </v:shape>
            <v:shape style="position:absolute;left:8445;top:2470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219,347</w:t>
                    </w:r>
                  </w:p>
                </w:txbxContent>
              </v:textbox>
              <w10:wrap type="none"/>
            </v:shape>
            <v:shape style="position:absolute;left:4571;top:2724;width:40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77,934</w:t>
                    </w:r>
                  </w:p>
                </w:txbxContent>
              </v:textbox>
              <w10:wrap type="none"/>
            </v:shape>
            <v:shape style="position:absolute;left:5677;top:2682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101,337</w:t>
                    </w:r>
                  </w:p>
                </w:txbxContent>
              </v:textbox>
              <w10:wrap type="none"/>
            </v:shape>
            <v:shape style="position:absolute;left:6437;top:2632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129,070</w:t>
                    </w:r>
                  </w:p>
                </w:txbxContent>
              </v:textbox>
              <w10:wrap type="none"/>
            </v:shape>
            <v:shape style="position:absolute;left:6090;top:2773;width:402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50,488</w:t>
                    </w:r>
                  </w:p>
                </w:txbxContent>
              </v:textbox>
              <w10:wrap type="none"/>
            </v:shape>
            <v:shape style="position:absolute;left:7230;top:2711;width:40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85,096</w:t>
                    </w:r>
                  </w:p>
                </w:txbxContent>
              </v:textbox>
              <w10:wrap type="none"/>
            </v:shape>
            <v:shape style="position:absolute;left:7990;top:2652;width:1199;height:239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pacing w:val="-1"/>
                        <w:position w:val="-5"/>
                        <w:sz w:val="14"/>
                      </w:rPr>
                      <w:t>84,267</w:t>
                    </w:r>
                    <w:r>
                      <w:rPr>
                        <w:color w:val="404040"/>
                        <w:spacing w:val="-1"/>
                        <w:position w:val="-9"/>
                        <w:sz w:val="14"/>
                      </w:rPr>
                      <w:t>62,35</w:t>
                    </w:r>
                    <w:r>
                      <w:rPr>
                        <w:color w:val="404040"/>
                        <w:spacing w:val="-5"/>
                        <w:position w:val="-9"/>
                        <w:sz w:val="14"/>
                      </w:rPr>
                      <w:t> </w:t>
                    </w:r>
                    <w:r>
                      <w:rPr>
                        <w:color w:val="404040"/>
                        <w:spacing w:val="-1"/>
                        <w:sz w:val="14"/>
                      </w:rPr>
                      <w:t>118,015</w:t>
                    </w:r>
                  </w:p>
                </w:txbxContent>
              </v:textbox>
              <w10:wrap type="none"/>
            </v:shape>
            <v:shape style="position:absolute;left:8682;top:2752;width:91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w w:val="99"/>
                        <w:sz w:val="1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26;top:3032;width:91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w w:val="99"/>
                        <w:sz w:val="1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849;top:4165;width:1895;height:140" type="#_x0000_t202" filled="false" stroked="false">
              <v:textbox inset="0,0,0,0">
                <w:txbxContent>
                  <w:p>
                    <w:pPr>
                      <w:tabs>
                        <w:tab w:pos="988" w:val="left" w:leader="none"/>
                      </w:tabs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Usa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Internet</w:t>
                      <w:tab/>
                      <w:t>No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usa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Internet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18"/>
        </w:rPr>
      </w:pPr>
    </w:p>
    <w:p>
      <w:pPr>
        <w:spacing w:before="0"/>
        <w:ind w:left="300" w:right="0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partir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2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Guatemala.</w:t>
      </w:r>
      <w:r>
        <w:rPr>
          <w:spacing w:val="-2"/>
          <w:sz w:val="16"/>
        </w:rPr>
        <w:t> </w:t>
      </w:r>
      <w:r>
        <w:rPr>
          <w:sz w:val="16"/>
        </w:rPr>
        <w:t>Procesado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Redatam</w:t>
      </w:r>
      <w:r>
        <w:rPr>
          <w:spacing w:val="-2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300" w:right="1096" w:firstLine="0"/>
        <w:jc w:val="both"/>
        <w:rPr>
          <w:sz w:val="24"/>
        </w:rPr>
      </w:pPr>
      <w:r>
        <w:rPr>
          <w:sz w:val="24"/>
        </w:rPr>
        <w:t>En cuanto al acceso y uso de computadoras, según el pueblo de pertenencia y De acuerdo con</w:t>
      </w:r>
      <w:r>
        <w:rPr>
          <w:spacing w:val="1"/>
          <w:sz w:val="24"/>
        </w:rPr>
        <w:t> </w:t>
      </w:r>
      <w:r>
        <w:rPr>
          <w:sz w:val="24"/>
        </w:rPr>
        <w:t>área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ubica,</w:t>
      </w:r>
      <w:r>
        <w:rPr>
          <w:spacing w:val="-1"/>
          <w:sz w:val="24"/>
        </w:rPr>
        <w:t> </w:t>
      </w:r>
      <w:r>
        <w:rPr>
          <w:sz w:val="24"/>
        </w:rPr>
        <w:t>sea</w:t>
      </w:r>
      <w:r>
        <w:rPr>
          <w:spacing w:val="-2"/>
          <w:sz w:val="24"/>
        </w:rPr>
        <w:t> </w:t>
      </w:r>
      <w:r>
        <w:rPr>
          <w:sz w:val="24"/>
        </w:rPr>
        <w:t>urbana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rural, los</w:t>
      </w:r>
      <w:r>
        <w:rPr>
          <w:spacing w:val="1"/>
          <w:sz w:val="24"/>
        </w:rPr>
        <w:t> </w:t>
      </w:r>
      <w:r>
        <w:rPr>
          <w:sz w:val="24"/>
        </w:rPr>
        <w:t>datos</w:t>
      </w:r>
      <w:r>
        <w:rPr>
          <w:spacing w:val="-3"/>
          <w:sz w:val="24"/>
        </w:rPr>
        <w:t> </w:t>
      </w:r>
      <w:r>
        <w:rPr>
          <w:sz w:val="24"/>
        </w:rPr>
        <w:t>son</w:t>
      </w:r>
      <w:r>
        <w:rPr>
          <w:spacing w:val="2"/>
          <w:sz w:val="24"/>
        </w:rPr>
        <w:t> </w:t>
      </w:r>
      <w:r>
        <w:rPr>
          <w:sz w:val="24"/>
        </w:rPr>
        <w:t>los siguientes.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  <w:r>
        <w:rPr/>
        <w:pict>
          <v:rect style="position:absolute;margin-left:563.280029pt;margin-top:17.638247pt;width:25.44pt;height:1.464pt;mso-position-horizontal-relative:page;mso-position-vertical-relative:paragraph;z-index:-1564160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223"/>
      </w:pPr>
      <w:r>
        <w:rPr/>
        <w:t>50</w:t>
      </w:r>
    </w:p>
    <w:p>
      <w:pPr>
        <w:pStyle w:val="BodyText"/>
        <w:spacing w:line="91" w:lineRule="exact"/>
        <w:ind w:left="10125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45pt;height:4.6pt;mso-position-horizontal-relative:char;mso-position-vertical-relative:line" coordorigin="0,0" coordsize="509,92">
            <v:rect style="position:absolute;left:0;top:0;width:509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401280">
            <wp:simplePos x="0" y="0"/>
            <wp:positionH relativeFrom="page">
              <wp:posOffset>0</wp:posOffset>
            </wp:positionH>
            <wp:positionV relativeFrom="page">
              <wp:posOffset>302887</wp:posOffset>
            </wp:positionV>
            <wp:extent cx="7772399" cy="9501333"/>
            <wp:effectExtent l="0" t="0" r="0" b="0"/>
            <wp:wrapNone/>
            <wp:docPr id="14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spacing w:before="59"/>
        <w:ind w:left="595" w:right="0" w:firstLine="0"/>
        <w:jc w:val="left"/>
        <w:rPr>
          <w:sz w:val="20"/>
        </w:rPr>
      </w:pPr>
      <w:r>
        <w:rPr/>
        <w:pict>
          <v:group style="position:absolute;margin-left:111.544998pt;margin-top:21.161499pt;width:421.8pt;height:238.1pt;mso-position-horizontal-relative:page;mso-position-vertical-relative:paragraph;z-index:-28914688" coordorigin="2231,423" coordsize="8436,4762">
            <v:rect style="position:absolute;left:2515;top:3731;width:255;height:756" filled="true" fillcolor="#c0504d" stroked="false">
              <v:fill type="solid"/>
            </v:rect>
            <v:rect style="position:absolute;left:2836;top:3085;width:255;height:1402" filled="true" fillcolor="#8063a1" stroked="false">
              <v:fill type="solid"/>
            </v:rect>
            <v:rect style="position:absolute;left:3160;top:4163;width:252;height:324" filled="true" fillcolor="#f79546" stroked="false">
              <v:fill type="solid"/>
            </v:rect>
            <v:rect style="position:absolute;left:3482;top:2884;width:252;height:1603" filled="true" fillcolor="#772c2a" stroked="false">
              <v:fill type="solid"/>
            </v:rect>
            <v:rect style="position:absolute;left:3804;top:2973;width:255;height:1514" filled="true" fillcolor="#4d3a61" stroked="false">
              <v:fill type="solid"/>
            </v:rect>
            <v:rect style="position:absolute;left:4612;top:1326;width:252;height:3161" filled="true" fillcolor="#c0504d" stroked="false">
              <v:fill type="solid"/>
            </v:rect>
            <v:rect style="position:absolute;left:4934;top:1991;width:255;height:2496" filled="true" fillcolor="#8063a1" stroked="false">
              <v:fill type="solid"/>
            </v:rect>
            <v:rect style="position:absolute;left:5256;top:868;width:255;height:3619" filled="true" fillcolor="#f79546" stroked="false">
              <v:fill type="solid"/>
            </v:rect>
            <v:rect style="position:absolute;left:5577;top:2176;width:255;height:2311" filled="true" fillcolor="#772c2a" stroked="false">
              <v:fill type="solid"/>
            </v:rect>
            <v:rect style="position:absolute;left:5899;top:2089;width:255;height:2398" filled="true" fillcolor="#4d3a61" stroked="false">
              <v:fill type="solid"/>
            </v:rect>
            <v:rect style="position:absolute;left:6708;top:4278;width:255;height:209" filled="true" fillcolor="#c0504d" stroked="false">
              <v:fill type="solid"/>
            </v:rect>
            <v:rect style="position:absolute;left:7029;top:4156;width:255;height:331" filled="true" fillcolor="#8063a1" stroked="false">
              <v:fill type="solid"/>
            </v:rect>
            <v:rect style="position:absolute;left:7353;top:4187;width:252;height:300" filled="true" fillcolor="#f79546" stroked="false">
              <v:fill type="solid"/>
            </v:rect>
            <v:rect style="position:absolute;left:7675;top:3969;width:252;height:518" filled="true" fillcolor="#772c2a" stroked="false">
              <v:fill type="solid"/>
            </v:rect>
            <v:rect style="position:absolute;left:7996;top:4093;width:255;height:394" filled="true" fillcolor="#4d3a61" stroked="false">
              <v:fill type="solid"/>
            </v:rect>
            <v:rect style="position:absolute;left:8805;top:762;width:252;height:3725" filled="true" fillcolor="#c0504d" stroked="false">
              <v:fill type="solid"/>
            </v:rect>
            <v:rect style="position:absolute;left:9127;top:892;width:255;height:3595" filled="true" fillcolor="#8063a1" stroked="false">
              <v:fill type="solid"/>
            </v:rect>
            <v:rect style="position:absolute;left:9448;top:837;width:255;height:3650" filled="true" fillcolor="#f79546" stroked="false">
              <v:fill type="solid"/>
            </v:rect>
            <v:rect style="position:absolute;left:9770;top:1069;width:255;height:3418" filled="true" fillcolor="#772c2a" stroked="false">
              <v:fill type="solid"/>
            </v:rect>
            <v:rect style="position:absolute;left:10092;top:949;width:255;height:3538" filled="true" fillcolor="#4d3a61" stroked="false">
              <v:fill type="solid"/>
            </v:rect>
            <v:shape style="position:absolute;left:2238;top:4487;width:8386;height:698" coordorigin="2238,4487" coordsize="8386,698" path="m2238,4487l10624,4487m2238,4487l2238,4836m10624,4487l10624,4836m2238,4836l2238,5185m10624,4836l10624,5185e" filled="false" stroked="true" strokeweight=".75pt" strokecolor="#d9d9d9">
              <v:path arrowok="t"/>
              <v:stroke dashstyle="solid"/>
            </v:shape>
            <v:shape style="position:absolute;left:6026;top:637;width:3669;height:1453" coordorigin="6027,637" coordsize="3669,1453" path="m9576,837l9696,637m6027,2089l6247,1989e" filled="false" stroked="true" strokeweight=".75pt" strokecolor="#a6a6a6">
              <v:path arrowok="t"/>
              <v:stroke dashstyle="solid"/>
            </v:shape>
            <v:shape style="position:absolute;left:5178;top:593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91.27</w:t>
                    </w:r>
                  </w:p>
                </w:txbxContent>
              </v:textbox>
              <w10:wrap type="none"/>
            </v:shape>
            <v:shape style="position:absolute;left:8427;top:507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93.94</w:t>
                    </w:r>
                  </w:p>
                </w:txbxContent>
              </v:textbox>
              <w10:wrap type="none"/>
            </v:shape>
            <v:shape style="position:absolute;left:9491;top:423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92.04</w:t>
                    </w:r>
                  </w:p>
                </w:txbxContent>
              </v:textbox>
              <w10:wrap type="none"/>
            </v:shape>
            <v:shape style="position:absolute;left:9049;top:618;width:43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90.66</w:t>
                    </w:r>
                  </w:p>
                </w:txbxContent>
              </v:textbox>
              <w10:wrap type="none"/>
            </v:shape>
            <v:shape style="position:absolute;left:10235;top:656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89.20</w:t>
                    </w:r>
                  </w:p>
                </w:txbxContent>
              </v:textbox>
              <w10:wrap type="none"/>
            </v:shape>
            <v:shape style="position:absolute;left:9693;top:796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86.17</w:t>
                    </w:r>
                  </w:p>
                </w:txbxContent>
              </v:textbox>
              <w10:wrap type="none"/>
            </v:shape>
            <v:shape style="position:absolute;left:4534;top:1052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79.70</w:t>
                    </w:r>
                  </w:p>
                </w:txbxContent>
              </v:textbox>
              <w10:wrap type="none"/>
            </v:shape>
            <v:shape style="position:absolute;left:4856;top:1717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62.94</w:t>
                    </w:r>
                  </w:p>
                </w:txbxContent>
              </v:textbox>
              <w10:wrap type="none"/>
            </v:shape>
            <v:shape style="position:absolute;left:5499;top:1902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58.27</w:t>
                    </w:r>
                  </w:p>
                </w:txbxContent>
              </v:textbox>
              <w10:wrap type="none"/>
            </v:shape>
            <v:shape style="position:absolute;left:6042;top:1775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60.46</w:t>
                    </w:r>
                  </w:p>
                </w:txbxContent>
              </v:textbox>
              <w10:wrap type="none"/>
            </v:shape>
            <v:shape style="position:absolute;left:3965;top:2678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38.20</w:t>
                    </w:r>
                  </w:p>
                </w:txbxContent>
              </v:textbox>
              <w10:wrap type="none"/>
            </v:shape>
            <v:shape style="position:absolute;left:2397;top:3458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19.03</w:t>
                    </w:r>
                  </w:p>
                </w:txbxContent>
              </v:textbox>
              <w10:wrap type="none"/>
            </v:shape>
            <v:shape style="position:absolute;left:3126;top:3889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8.16</w:t>
                    </w:r>
                  </w:p>
                </w:txbxContent>
              </v:textbox>
              <w10:wrap type="none"/>
            </v:shape>
            <v:shape style="position:absolute;left:6476;top:3984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5.27</w:t>
                    </w:r>
                  </w:p>
                </w:txbxContent>
              </v:textbox>
              <w10:wrap type="none"/>
            </v:shape>
            <v:shape style="position:absolute;left:6998;top:3696;width:1030;height:397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59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13.04</w:t>
                    </w:r>
                  </w:p>
                  <w:p>
                    <w:pPr>
                      <w:spacing w:line="23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8.32</w:t>
                    </w:r>
                    <w:r>
                      <w:rPr>
                        <w:color w:val="404040"/>
                        <w:position w:val="-2"/>
                        <w:sz w:val="18"/>
                      </w:rPr>
                      <w:t>7.57</w:t>
                    </w:r>
                  </w:p>
                </w:txbxContent>
              </v:textbox>
              <w10:wrap type="none"/>
            </v:shape>
            <v:shape style="position:absolute;left:8204;top:3821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9.90</w:t>
                    </w:r>
                  </w:p>
                </w:txbxContent>
              </v:textbox>
              <w10:wrap type="none"/>
            </v:shape>
            <v:shape style="position:absolute;left:3245;top:4637;width:14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Sí</w:t>
                    </w:r>
                  </w:p>
                </w:txbxContent>
              </v:textbox>
              <w10:wrap type="none"/>
            </v:shape>
            <v:shape style="position:absolute;left:5298;top:4637;width:2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7439;top:4637;width:14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Sí</w:t>
                    </w:r>
                  </w:p>
                </w:txbxContent>
              </v:textbox>
              <w10:wrap type="none"/>
            </v:shape>
            <v:shape style="position:absolute;left:9492;top:4637;width:2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6158;top:4986;width:56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Urbano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58" w:id="75"/>
      <w:bookmarkEnd w:id="75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40</w:t>
      </w:r>
      <w:r>
        <w:rPr>
          <w:spacing w:val="-2"/>
          <w:sz w:val="20"/>
        </w:rPr>
        <w:t> </w:t>
      </w:r>
      <w:r>
        <w:rPr>
          <w:sz w:val="20"/>
        </w:rPr>
        <w:t>Población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pueblo,</w:t>
      </w:r>
      <w:r>
        <w:rPr>
          <w:spacing w:val="-2"/>
          <w:sz w:val="20"/>
        </w:rPr>
        <w:t> </w:t>
      </w:r>
      <w:r>
        <w:rPr>
          <w:sz w:val="20"/>
        </w:rPr>
        <w:t>según</w:t>
      </w:r>
      <w:r>
        <w:rPr>
          <w:spacing w:val="-3"/>
          <w:sz w:val="20"/>
        </w:rPr>
        <w:t> </w:t>
      </w:r>
      <w:r>
        <w:rPr>
          <w:sz w:val="20"/>
        </w:rPr>
        <w:t>su</w:t>
      </w:r>
      <w:r>
        <w:rPr>
          <w:spacing w:val="-2"/>
          <w:sz w:val="20"/>
        </w:rPr>
        <w:t> </w:t>
      </w:r>
      <w:r>
        <w:rPr>
          <w:sz w:val="20"/>
        </w:rPr>
        <w:t>ubicación</w:t>
      </w:r>
      <w:r>
        <w:rPr>
          <w:spacing w:val="-2"/>
          <w:sz w:val="20"/>
        </w:rPr>
        <w:t> </w:t>
      </w:r>
      <w:r>
        <w:rPr>
          <w:sz w:val="20"/>
        </w:rPr>
        <w:t>urbana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rural,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acceso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uso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computadoras.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5"/>
        <w:gridCol w:w="870"/>
        <w:gridCol w:w="577"/>
      </w:tblGrid>
      <w:tr>
        <w:trPr>
          <w:trHeight w:val="288" w:hRule="atLeast"/>
        </w:trPr>
        <w:tc>
          <w:tcPr>
            <w:tcW w:w="895" w:type="dxa"/>
          </w:tcPr>
          <w:p>
            <w:pPr>
              <w:pStyle w:val="TableParagraph"/>
              <w:spacing w:line="183" w:lineRule="exact"/>
              <w:ind w:right="341"/>
              <w:jc w:val="right"/>
              <w:rPr>
                <w:sz w:val="18"/>
              </w:rPr>
            </w:pPr>
            <w:r>
              <w:rPr>
                <w:color w:val="585858"/>
                <w:sz w:val="18"/>
              </w:rPr>
              <w:t>100.00</w:t>
            </w:r>
          </w:p>
        </w:tc>
        <w:tc>
          <w:tcPr>
            <w:tcW w:w="1447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6" w:hRule="atLeast"/>
        </w:trPr>
        <w:tc>
          <w:tcPr>
            <w:tcW w:w="895" w:type="dxa"/>
          </w:tcPr>
          <w:p>
            <w:pPr>
              <w:pStyle w:val="TableParagraph"/>
              <w:spacing w:before="72"/>
              <w:ind w:right="341"/>
              <w:jc w:val="right"/>
              <w:rPr>
                <w:sz w:val="18"/>
              </w:rPr>
            </w:pPr>
            <w:r>
              <w:rPr>
                <w:color w:val="585858"/>
                <w:sz w:val="18"/>
              </w:rPr>
              <w:t>90.00</w:t>
            </w:r>
          </w:p>
        </w:tc>
        <w:tc>
          <w:tcPr>
            <w:tcW w:w="14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6" w:hRule="atLeast"/>
        </w:trPr>
        <w:tc>
          <w:tcPr>
            <w:tcW w:w="895" w:type="dxa"/>
          </w:tcPr>
          <w:p>
            <w:pPr>
              <w:pStyle w:val="TableParagraph"/>
              <w:spacing w:before="72"/>
              <w:ind w:right="341"/>
              <w:jc w:val="right"/>
              <w:rPr>
                <w:sz w:val="18"/>
              </w:rPr>
            </w:pPr>
            <w:r>
              <w:rPr>
                <w:color w:val="585858"/>
                <w:sz w:val="18"/>
              </w:rPr>
              <w:t>80.00</w:t>
            </w:r>
          </w:p>
        </w:tc>
        <w:tc>
          <w:tcPr>
            <w:tcW w:w="14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7" w:hRule="atLeast"/>
        </w:trPr>
        <w:tc>
          <w:tcPr>
            <w:tcW w:w="895" w:type="dxa"/>
          </w:tcPr>
          <w:p>
            <w:pPr>
              <w:pStyle w:val="TableParagraph"/>
              <w:spacing w:before="72"/>
              <w:ind w:right="341"/>
              <w:jc w:val="right"/>
              <w:rPr>
                <w:sz w:val="18"/>
              </w:rPr>
            </w:pPr>
            <w:r>
              <w:rPr>
                <w:color w:val="585858"/>
                <w:sz w:val="18"/>
              </w:rPr>
              <w:t>70.00</w:t>
            </w:r>
          </w:p>
        </w:tc>
        <w:tc>
          <w:tcPr>
            <w:tcW w:w="14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6" w:hRule="atLeast"/>
        </w:trPr>
        <w:tc>
          <w:tcPr>
            <w:tcW w:w="895" w:type="dxa"/>
          </w:tcPr>
          <w:p>
            <w:pPr>
              <w:pStyle w:val="TableParagraph"/>
              <w:spacing w:before="72"/>
              <w:ind w:right="341"/>
              <w:jc w:val="right"/>
              <w:rPr>
                <w:sz w:val="18"/>
              </w:rPr>
            </w:pPr>
            <w:r>
              <w:rPr>
                <w:color w:val="585858"/>
                <w:sz w:val="18"/>
              </w:rPr>
              <w:t>60.00</w:t>
            </w:r>
          </w:p>
        </w:tc>
        <w:tc>
          <w:tcPr>
            <w:tcW w:w="14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8" w:hRule="atLeast"/>
        </w:trPr>
        <w:tc>
          <w:tcPr>
            <w:tcW w:w="895" w:type="dxa"/>
          </w:tcPr>
          <w:p>
            <w:pPr>
              <w:pStyle w:val="TableParagraph"/>
              <w:spacing w:before="72"/>
              <w:ind w:right="341"/>
              <w:jc w:val="right"/>
              <w:rPr>
                <w:sz w:val="18"/>
              </w:rPr>
            </w:pPr>
            <w:r>
              <w:rPr>
                <w:color w:val="585858"/>
                <w:sz w:val="18"/>
              </w:rPr>
              <w:t>50.00</w:t>
            </w:r>
          </w:p>
        </w:tc>
        <w:tc>
          <w:tcPr>
            <w:tcW w:w="8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line="207" w:lineRule="exact"/>
              <w:ind w:left="117"/>
              <w:rPr>
                <w:sz w:val="18"/>
              </w:rPr>
            </w:pPr>
            <w:r>
              <w:rPr>
                <w:color w:val="404040"/>
                <w:sz w:val="18"/>
              </w:rPr>
              <w:t>40.42</w:t>
            </w:r>
          </w:p>
        </w:tc>
      </w:tr>
      <w:tr>
        <w:trPr>
          <w:trHeight w:val="304" w:hRule="atLeast"/>
        </w:trPr>
        <w:tc>
          <w:tcPr>
            <w:tcW w:w="895" w:type="dxa"/>
          </w:tcPr>
          <w:p>
            <w:pPr>
              <w:pStyle w:val="TableParagraph"/>
              <w:spacing w:line="199" w:lineRule="exact"/>
              <w:ind w:right="341"/>
              <w:jc w:val="right"/>
              <w:rPr>
                <w:sz w:val="18"/>
              </w:rPr>
            </w:pPr>
            <w:r>
              <w:rPr>
                <w:color w:val="585858"/>
                <w:sz w:val="18"/>
              </w:rPr>
              <w:t>40.00</w:t>
            </w:r>
          </w:p>
        </w:tc>
        <w:tc>
          <w:tcPr>
            <w:tcW w:w="870" w:type="dxa"/>
          </w:tcPr>
          <w:p>
            <w:pPr>
              <w:pStyle w:val="TableParagraph"/>
              <w:spacing w:line="194" w:lineRule="exact"/>
              <w:ind w:left="343"/>
              <w:rPr>
                <w:sz w:val="18"/>
              </w:rPr>
            </w:pPr>
            <w:r>
              <w:rPr>
                <w:color w:val="404040"/>
                <w:sz w:val="18"/>
              </w:rPr>
              <w:t>35.34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895" w:type="dxa"/>
          </w:tcPr>
          <w:p>
            <w:pPr>
              <w:pStyle w:val="TableParagraph"/>
              <w:spacing w:line="196" w:lineRule="exact" w:before="72"/>
              <w:ind w:right="341"/>
              <w:jc w:val="right"/>
              <w:rPr>
                <w:sz w:val="18"/>
              </w:rPr>
            </w:pPr>
            <w:r>
              <w:rPr>
                <w:color w:val="585858"/>
                <w:sz w:val="18"/>
              </w:rPr>
              <w:t>30.00</w:t>
            </w:r>
          </w:p>
        </w:tc>
        <w:tc>
          <w:tcPr>
            <w:tcW w:w="8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9"/>
        <w:rPr>
          <w:sz w:val="14"/>
        </w:rPr>
      </w:pPr>
    </w:p>
    <w:p>
      <w:pPr>
        <w:spacing w:before="0"/>
        <w:ind w:left="521" w:right="0" w:firstLine="0"/>
        <w:jc w:val="left"/>
        <w:rPr>
          <w:sz w:val="18"/>
        </w:rPr>
      </w:pPr>
      <w:r>
        <w:rPr>
          <w:color w:val="585858"/>
          <w:sz w:val="18"/>
        </w:rPr>
        <w:t>20.00</w:t>
      </w:r>
    </w:p>
    <w:p>
      <w:pPr>
        <w:pStyle w:val="BodyText"/>
        <w:spacing w:before="6"/>
        <w:rPr>
          <w:sz w:val="14"/>
        </w:rPr>
      </w:pPr>
    </w:p>
    <w:p>
      <w:pPr>
        <w:spacing w:before="0"/>
        <w:ind w:left="521" w:right="0" w:firstLine="0"/>
        <w:jc w:val="left"/>
        <w:rPr>
          <w:sz w:val="18"/>
        </w:rPr>
      </w:pPr>
      <w:r>
        <w:rPr>
          <w:color w:val="585858"/>
          <w:sz w:val="18"/>
        </w:rPr>
        <w:t>10.00</w:t>
      </w:r>
    </w:p>
    <w:p>
      <w:pPr>
        <w:pStyle w:val="BodyText"/>
        <w:spacing w:before="2"/>
        <w:rPr>
          <w:sz w:val="9"/>
        </w:rPr>
      </w:pPr>
    </w:p>
    <w:p>
      <w:pPr>
        <w:spacing w:before="65"/>
        <w:ind w:left="612" w:right="0" w:firstLine="0"/>
        <w:jc w:val="left"/>
        <w:rPr>
          <w:sz w:val="18"/>
        </w:rPr>
      </w:pPr>
      <w:r>
        <w:rPr>
          <w:color w:val="585858"/>
          <w:sz w:val="18"/>
        </w:rPr>
        <w:t>0.00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tabs>
          <w:tab w:pos="3309" w:val="left" w:leader="none"/>
          <w:tab w:pos="4448" w:val="left" w:leader="none"/>
          <w:tab w:pos="5359" w:val="left" w:leader="none"/>
          <w:tab w:pos="7195" w:val="left" w:leader="none"/>
        </w:tabs>
        <w:spacing w:before="63"/>
        <w:ind w:left="2366" w:right="0" w:firstLine="0"/>
        <w:jc w:val="left"/>
        <w:rPr>
          <w:sz w:val="18"/>
        </w:rPr>
      </w:pPr>
      <w:r>
        <w:rPr/>
        <w:pict>
          <v:rect style="position:absolute;margin-left:168.259995pt;margin-top:6.656032pt;width:4.9433pt;height:4.9433pt;mso-position-horizontal-relative:page;mso-position-vertical-relative:paragraph;z-index:15819264" filled="true" fillcolor="#c0504d" stroked="false">
            <v:fill type="solid"/>
            <w10:wrap type="none"/>
          </v:rect>
        </w:pict>
      </w:r>
      <w:r>
        <w:rPr/>
        <w:pict>
          <v:rect style="position:absolute;margin-left:215.360001pt;margin-top:6.656032pt;width:4.9433pt;height:4.9433pt;mso-position-horizontal-relative:page;mso-position-vertical-relative:paragraph;z-index:-28913664" filled="true" fillcolor="#8063a1" stroked="false">
            <v:fill type="solid"/>
            <w10:wrap type="none"/>
          </v:rect>
        </w:pict>
      </w:r>
      <w:r>
        <w:rPr/>
        <w:pict>
          <v:rect style="position:absolute;margin-left:272.339996pt;margin-top:6.656032pt;width:4.9433pt;height:4.9433pt;mso-position-horizontal-relative:page;mso-position-vertical-relative:paragraph;z-index:-28913152" filled="true" fillcolor="#f79546" stroked="false">
            <v:fill type="solid"/>
            <w10:wrap type="none"/>
          </v:rect>
        </w:pict>
      </w:r>
      <w:r>
        <w:rPr/>
        <w:pict>
          <v:rect style="position:absolute;margin-left:317.859985pt;margin-top:6.656032pt;width:4.9433pt;height:4.9433pt;mso-position-horizontal-relative:page;mso-position-vertical-relative:paragraph;z-index:-28912640" filled="true" fillcolor="#772c2a" stroked="false">
            <v:fill type="solid"/>
            <w10:wrap type="none"/>
          </v:rect>
        </w:pict>
      </w:r>
      <w:r>
        <w:rPr/>
        <w:pict>
          <v:rect style="position:absolute;margin-left:409.660004pt;margin-top:6.656032pt;width:4.9433pt;height:4.9433pt;mso-position-horizontal-relative:page;mso-position-vertical-relative:paragraph;z-index:-28912128" filled="true" fillcolor="#4d3a61" stroked="false">
            <v:fill type="solid"/>
            <w10:wrap type="none"/>
          </v:rect>
        </w:pict>
      </w:r>
      <w:r>
        <w:rPr>
          <w:color w:val="585858"/>
          <w:sz w:val="18"/>
        </w:rPr>
        <w:t>% Maya</w:t>
        <w:tab/>
        <w:t>%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garífuna</w:t>
        <w:tab/>
        <w:t>%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xinca</w:t>
        <w:tab/>
        <w:t>%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Afrodescendiente</w:t>
        <w:tab/>
        <w:t>%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Ladino</w:t>
      </w:r>
    </w:p>
    <w:p>
      <w:pPr>
        <w:pStyle w:val="BodyText"/>
        <w:spacing w:before="11"/>
        <w:rPr>
          <w:sz w:val="9"/>
        </w:rPr>
      </w:pPr>
    </w:p>
    <w:p>
      <w:pPr>
        <w:spacing w:before="68"/>
        <w:ind w:left="300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Guatemala.</w:t>
      </w:r>
      <w:r>
        <w:rPr>
          <w:spacing w:val="-2"/>
          <w:sz w:val="16"/>
        </w:rPr>
        <w:t> </w:t>
      </w:r>
      <w:r>
        <w:rPr>
          <w:sz w:val="16"/>
        </w:rPr>
        <w:t>Procesado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Redatam</w:t>
      </w:r>
      <w:r>
        <w:rPr>
          <w:spacing w:val="4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  <w:r>
        <w:rPr/>
        <w:pict>
          <v:rect style="position:absolute;margin-left:563.280029pt;margin-top:19.906391pt;width:25.44pt;height:1.464pt;mso-position-horizontal-relative:page;mso-position-vertical-relative:paragraph;z-index:-1564006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223"/>
      </w:pPr>
      <w:r>
        <w:rPr/>
        <w:t>51</w:t>
      </w:r>
    </w:p>
    <w:p>
      <w:pPr>
        <w:pStyle w:val="BodyText"/>
        <w:spacing w:line="91" w:lineRule="exact"/>
        <w:ind w:left="10125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45pt;height:4.6pt;mso-position-horizontal-relative:char;mso-position-vertical-relative:line" coordorigin="0,0" coordsize="509,92">
            <v:rect style="position:absolute;left:0;top:0;width:509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406400">
            <wp:simplePos x="0" y="0"/>
            <wp:positionH relativeFrom="page">
              <wp:posOffset>0</wp:posOffset>
            </wp:positionH>
            <wp:positionV relativeFrom="page">
              <wp:posOffset>302887</wp:posOffset>
            </wp:positionV>
            <wp:extent cx="7772399" cy="9501333"/>
            <wp:effectExtent l="0" t="0" r="0" b="0"/>
            <wp:wrapNone/>
            <wp:docPr id="14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1"/>
          <w:numId w:val="4"/>
        </w:numPr>
        <w:tabs>
          <w:tab w:pos="876" w:val="left" w:leader="none"/>
          <w:tab w:pos="877" w:val="left" w:leader="none"/>
        </w:tabs>
        <w:spacing w:line="240" w:lineRule="auto" w:before="52" w:after="0"/>
        <w:ind w:left="876" w:right="0" w:hanging="577"/>
        <w:jc w:val="left"/>
      </w:pPr>
      <w:bookmarkStart w:name="_bookmark59" w:id="76"/>
      <w:bookmarkEnd w:id="76"/>
      <w:r>
        <w:rPr>
          <w:b w:val="0"/>
        </w:rPr>
      </w:r>
      <w:bookmarkStart w:name="_bookmark59" w:id="77"/>
      <w:bookmarkEnd w:id="77"/>
      <w:r>
        <w:rPr>
          <w:color w:val="1F4E79"/>
        </w:rPr>
        <w:t>A</w:t>
      </w:r>
      <w:r>
        <w:rPr>
          <w:color w:val="1F4E79"/>
        </w:rPr>
        <w:t>cceso</w:t>
      </w:r>
      <w:r>
        <w:rPr>
          <w:color w:val="1F4E79"/>
          <w:spacing w:val="-1"/>
        </w:rPr>
        <w:t> </w:t>
      </w:r>
      <w:r>
        <w:rPr>
          <w:color w:val="1F4E79"/>
        </w:rPr>
        <w:t>y</w:t>
      </w:r>
      <w:r>
        <w:rPr>
          <w:color w:val="1F4E79"/>
          <w:spacing w:val="-3"/>
        </w:rPr>
        <w:t> </w:t>
      </w:r>
      <w:r>
        <w:rPr>
          <w:color w:val="1F4E79"/>
        </w:rPr>
        <w:t>uso</w:t>
      </w:r>
      <w:r>
        <w:rPr>
          <w:color w:val="1F4E79"/>
          <w:spacing w:val="-2"/>
        </w:rPr>
        <w:t> </w:t>
      </w:r>
      <w:r>
        <w:rPr>
          <w:color w:val="1F4E79"/>
        </w:rPr>
        <w:t>de</w:t>
      </w:r>
      <w:r>
        <w:rPr>
          <w:color w:val="1F4E79"/>
          <w:spacing w:val="-2"/>
        </w:rPr>
        <w:t> </w:t>
      </w:r>
      <w:r>
        <w:rPr>
          <w:color w:val="1F4E79"/>
        </w:rPr>
        <w:t>internet</w:t>
      </w:r>
    </w:p>
    <w:p>
      <w:pPr>
        <w:pStyle w:val="BodyText"/>
        <w:rPr>
          <w:b/>
          <w:sz w:val="24"/>
        </w:rPr>
      </w:pPr>
    </w:p>
    <w:p>
      <w:pPr>
        <w:spacing w:before="189"/>
        <w:ind w:left="300" w:right="1061" w:firstLine="0"/>
        <w:jc w:val="left"/>
        <w:rPr>
          <w:sz w:val="20"/>
        </w:rPr>
      </w:pPr>
      <w:r>
        <w:rPr>
          <w:sz w:val="20"/>
        </w:rPr>
        <w:t>Al</w:t>
      </w:r>
      <w:r>
        <w:rPr>
          <w:spacing w:val="5"/>
          <w:sz w:val="20"/>
        </w:rPr>
        <w:t> </w:t>
      </w:r>
      <w:r>
        <w:rPr>
          <w:sz w:val="20"/>
        </w:rPr>
        <w:t>igual</w:t>
      </w:r>
      <w:r>
        <w:rPr>
          <w:spacing w:val="5"/>
          <w:sz w:val="20"/>
        </w:rPr>
        <w:t> </w:t>
      </w:r>
      <w:r>
        <w:rPr>
          <w:sz w:val="20"/>
        </w:rPr>
        <w:t>que</w:t>
      </w:r>
      <w:r>
        <w:rPr>
          <w:spacing w:val="4"/>
          <w:sz w:val="20"/>
        </w:rPr>
        <w:t> </w:t>
      </w:r>
      <w:r>
        <w:rPr>
          <w:sz w:val="20"/>
        </w:rPr>
        <w:t>el</w:t>
      </w:r>
      <w:r>
        <w:rPr>
          <w:spacing w:val="7"/>
          <w:sz w:val="20"/>
        </w:rPr>
        <w:t> </w:t>
      </w:r>
      <w:r>
        <w:rPr>
          <w:sz w:val="20"/>
        </w:rPr>
        <w:t>acceso</w:t>
      </w:r>
      <w:r>
        <w:rPr>
          <w:spacing w:val="5"/>
          <w:sz w:val="20"/>
        </w:rPr>
        <w:t> </w:t>
      </w:r>
      <w:r>
        <w:rPr>
          <w:sz w:val="20"/>
        </w:rPr>
        <w:t>y</w:t>
      </w:r>
      <w:r>
        <w:rPr>
          <w:spacing w:val="6"/>
          <w:sz w:val="20"/>
        </w:rPr>
        <w:t> </w:t>
      </w:r>
      <w:r>
        <w:rPr>
          <w:sz w:val="20"/>
        </w:rPr>
        <w:t>uso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computadoras,</w:t>
      </w:r>
      <w:r>
        <w:rPr>
          <w:spacing w:val="5"/>
          <w:sz w:val="20"/>
        </w:rPr>
        <w:t> </w:t>
      </w:r>
      <w:r>
        <w:rPr>
          <w:sz w:val="20"/>
        </w:rPr>
        <w:t>el</w:t>
      </w:r>
      <w:r>
        <w:rPr>
          <w:spacing w:val="5"/>
          <w:sz w:val="20"/>
        </w:rPr>
        <w:t> </w:t>
      </w:r>
      <w:r>
        <w:rPr>
          <w:sz w:val="20"/>
        </w:rPr>
        <w:t>acceso</w:t>
      </w:r>
      <w:r>
        <w:rPr>
          <w:spacing w:val="5"/>
          <w:sz w:val="20"/>
        </w:rPr>
        <w:t> </w:t>
      </w:r>
      <w:r>
        <w:rPr>
          <w:sz w:val="20"/>
        </w:rPr>
        <w:t>y</w:t>
      </w:r>
      <w:r>
        <w:rPr>
          <w:spacing w:val="8"/>
          <w:sz w:val="20"/>
        </w:rPr>
        <w:t> </w:t>
      </w:r>
      <w:r>
        <w:rPr>
          <w:sz w:val="20"/>
        </w:rPr>
        <w:t>uso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internet</w:t>
      </w:r>
      <w:r>
        <w:rPr>
          <w:spacing w:val="8"/>
          <w:sz w:val="20"/>
        </w:rPr>
        <w:t> </w:t>
      </w:r>
      <w:r>
        <w:rPr>
          <w:sz w:val="20"/>
        </w:rPr>
        <w:t>en</w:t>
      </w:r>
      <w:r>
        <w:rPr>
          <w:spacing w:val="6"/>
          <w:sz w:val="20"/>
        </w:rPr>
        <w:t> </w:t>
      </w:r>
      <w:r>
        <w:rPr>
          <w:sz w:val="20"/>
        </w:rPr>
        <w:t>la</w:t>
      </w:r>
      <w:r>
        <w:rPr>
          <w:spacing w:val="8"/>
          <w:sz w:val="20"/>
        </w:rPr>
        <w:t> </w:t>
      </w:r>
      <w:r>
        <w:rPr>
          <w:sz w:val="20"/>
        </w:rPr>
        <w:t>mayoría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5"/>
          <w:sz w:val="20"/>
        </w:rPr>
        <w:t> </w:t>
      </w:r>
      <w:r>
        <w:rPr>
          <w:sz w:val="20"/>
        </w:rPr>
        <w:t>los</w:t>
      </w:r>
      <w:r>
        <w:rPr>
          <w:spacing w:val="4"/>
          <w:sz w:val="20"/>
        </w:rPr>
        <w:t> </w:t>
      </w:r>
      <w:r>
        <w:rPr>
          <w:sz w:val="20"/>
        </w:rPr>
        <w:t>departamentos</w:t>
      </w:r>
      <w:r>
        <w:rPr>
          <w:spacing w:val="6"/>
          <w:sz w:val="20"/>
        </w:rPr>
        <w:t> </w:t>
      </w:r>
      <w:r>
        <w:rPr>
          <w:sz w:val="20"/>
        </w:rPr>
        <w:t>del</w:t>
      </w:r>
      <w:r>
        <w:rPr>
          <w:spacing w:val="-42"/>
          <w:sz w:val="20"/>
        </w:rPr>
        <w:t> </w:t>
      </w:r>
      <w:r>
        <w:rPr>
          <w:sz w:val="20"/>
        </w:rPr>
        <w:t>país</w:t>
      </w:r>
      <w:r>
        <w:rPr>
          <w:spacing w:val="-3"/>
          <w:sz w:val="20"/>
        </w:rPr>
        <w:t> </w:t>
      </w:r>
      <w:r>
        <w:rPr>
          <w:sz w:val="20"/>
        </w:rPr>
        <w:t>es muy</w:t>
      </w:r>
      <w:r>
        <w:rPr>
          <w:spacing w:val="-1"/>
          <w:sz w:val="20"/>
        </w:rPr>
        <w:t> </w:t>
      </w:r>
      <w:r>
        <w:rPr>
          <w:sz w:val="20"/>
        </w:rPr>
        <w:t>limitado,</w:t>
      </w:r>
      <w:r>
        <w:rPr>
          <w:spacing w:val="-1"/>
          <w:sz w:val="20"/>
        </w:rPr>
        <w:t> </w:t>
      </w:r>
      <w:r>
        <w:rPr>
          <w:sz w:val="20"/>
        </w:rPr>
        <w:t>especialmente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las mujeres.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continuación,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presentan</w:t>
      </w:r>
      <w:r>
        <w:rPr>
          <w:spacing w:val="-1"/>
          <w:sz w:val="20"/>
        </w:rPr>
        <w:t> </w:t>
      </w:r>
      <w:r>
        <w:rPr>
          <w:sz w:val="20"/>
        </w:rPr>
        <w:t>los siguientes</w:t>
      </w:r>
      <w:r>
        <w:rPr>
          <w:spacing w:val="-3"/>
          <w:sz w:val="20"/>
        </w:rPr>
        <w:t> </w:t>
      </w:r>
      <w:r>
        <w:rPr>
          <w:sz w:val="20"/>
        </w:rPr>
        <w:t>datos.</w:t>
      </w:r>
    </w:p>
    <w:p>
      <w:pPr>
        <w:pStyle w:val="BodyText"/>
        <w:spacing w:before="11"/>
        <w:rPr>
          <w:sz w:val="19"/>
        </w:rPr>
      </w:pPr>
    </w:p>
    <w:p>
      <w:pPr>
        <w:spacing w:before="1"/>
        <w:ind w:left="595" w:right="0" w:firstLine="0"/>
        <w:jc w:val="left"/>
        <w:rPr>
          <w:sz w:val="20"/>
        </w:rPr>
      </w:pPr>
      <w:bookmarkStart w:name="_bookmark60" w:id="78"/>
      <w:bookmarkEnd w:id="78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41</w:t>
      </w:r>
      <w:r>
        <w:rPr>
          <w:spacing w:val="-3"/>
          <w:sz w:val="20"/>
        </w:rPr>
        <w:t> </w:t>
      </w:r>
      <w:r>
        <w:rPr>
          <w:sz w:val="20"/>
        </w:rPr>
        <w:t>Uso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internet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departamentos</w:t>
      </w:r>
    </w:p>
    <w:p>
      <w:pPr>
        <w:pStyle w:val="BodyText"/>
        <w:ind w:left="300"/>
        <w:rPr>
          <w:sz w:val="20"/>
        </w:rPr>
      </w:pPr>
      <w:r>
        <w:rPr>
          <w:sz w:val="20"/>
        </w:rPr>
        <w:pict>
          <v:group style="width:470.2pt;height:224.6pt;mso-position-horizontal-relative:char;mso-position-vertical-relative:line" coordorigin="0,0" coordsize="9404,4492">
            <v:rect style="position:absolute;left:0;top:0;width:9404;height:4492" filled="true" fillcolor="#ffffff" stroked="false">
              <v:fill type="solid"/>
            </v:rect>
            <v:shape style="position:absolute;left:919;top:868;width:8064;height:2226" coordorigin="919,869" coordsize="8064,2226" path="m1006,869l919,869,919,3094,1006,3094,1006,869xm1385,3029l1301,3029,1301,3094,1385,3094,1385,3029xm1764,2923l1680,2923,1680,3094,1764,3094,1764,2923xm2146,2887l2059,2887,2059,3094,2146,3094,2146,2887xm2525,2839l2438,2839,2438,3094,2525,3094,2525,2839xm2904,2945l2820,2945,2820,3094,2904,3094,2904,2945xm3283,2978l3199,2978,3199,3094,3283,3094,3283,2978xm3665,2993l3578,2993,3578,3094,3665,3094,3665,2993xm4044,2755l3960,2755,3960,3094,4044,3094,4044,2755xm4423,2909l4339,2909,4339,3094,4423,3094,4423,2909xm4805,2973l4718,2973,4718,3094,4805,3094,4805,2973xm5184,2841l5098,2841,5098,3094,5184,3094,5184,2841xm5563,2822l5479,2822,5479,3094,5563,3094,5563,2822xm5942,2937l5858,2937,5858,3094,5942,3094,5942,2937xm6324,3017l6238,3017,6238,3094,6324,3094,6324,3017xm6703,2894l6619,2894,6619,3094,6703,3094,6703,2894xm7082,2933l6998,2933,6998,3094,7082,3094,7082,2933xm7464,2961l7378,2961,7378,3094,7464,3094,7464,2961xm7843,3007l7757,3007,7757,3094,7843,3094,7843,3007xm8222,2964l8138,2964,8138,3094,8222,3094,8222,2964xm8602,2997l8518,2997,8518,3094,8602,3094,8602,2997xm8983,2911l8897,2911,8897,3094,8983,3094,8983,2911xe" filled="true" fillcolor="#4f81bc" stroked="false">
              <v:path arrowok="t"/>
              <v:fill type="solid"/>
            </v:shape>
            <v:shape style="position:absolute;left:1027;top:1305;width:8064;height:1789" coordorigin="1027,1305" coordsize="8064,1789" path="m1114,1305l1027,1305,1027,3094,1114,3094,1114,1305xm1493,2928l1409,2928,1409,3094,1493,3094,1493,2928xm1872,2832l1788,2832,1788,3094,1872,3094,1872,2832xm2254,2513l2167,2513,2167,3094,2254,3094,2254,2513xm2633,2407l2549,2407,2549,3094,2633,3094,2633,2407xm3012,2729l2928,2729,2928,3094,3012,3094,3012,2729xm3394,2661l3307,2661,3307,3094,3394,3094,3394,2661xm3773,2671l3686,2671,3686,3094,3773,3094,3773,2671xm4152,2400l4068,2400,4068,3094,4152,3094,4152,2400xm4531,2570l4447,2570,4447,3094,4531,3094,4531,2570xm4913,2796l4826,2796,4826,3094,4913,3094,4913,2796xm5292,2059l5206,2059,5206,3094,5292,3094,5292,2059xm5671,1922l5587,1922,5587,3094,5671,3094,5671,1922xm6053,2081l5966,2081,5966,3094,6053,3094,6053,2081xm6432,2791l6346,2791,6346,3094,6432,3094,6432,2791xm6811,1785l6727,1785,6727,3094,6811,3094,6811,1785xm7190,2573l7106,2573,7106,3094,7190,3094,7190,2573xm7572,2705l7486,2705,7486,3094,7572,3094,7572,2705xm7951,2863l7865,2863,7865,3094,7951,3094,7951,2863xm8330,2697l8246,2697,8246,3094,8330,3094,8330,2697xm8712,2755l8626,2755,8626,3094,8712,3094,8712,2755xm9091,2640l9005,2640,9005,3094,9091,3094,9091,2640xe" filled="true" fillcolor="#9bba58" stroked="false">
              <v:path arrowok="t"/>
              <v:fill type="solid"/>
            </v:shape>
            <v:line style="position:absolute" from="827,3094" to="9184,3094" stroked="true" strokeweight=".75pt" strokecolor="#d9d9d9">
              <v:stroke dashstyle="solid"/>
            </v:line>
            <v:shape style="position:absolute;left:1450;top:2047;width:6730;height:916" coordorigin="1451,2048" coordsize="6730,916" path="m2102,2888l2102,2048m5521,2823l5521,2503m7420,2962l7420,2342m8180,2964l8180,2364m1451,2929l1451,2309m1830,2831l1830,2651m3350,2662l3350,2522m3730,2670l3730,2310m4110,2400l4110,2060m4869,2795l4869,2275e" filled="false" stroked="true" strokeweight=".75pt" strokecolor="#a6a6a6">
              <v:path arrowok="t"/>
              <v:stroke dashstyle="solid"/>
            </v:shape>
            <v:shape style="position:absolute;left:568;top:3224;width:6553;height:694" type="#_x0000_t75" stroked="false">
              <v:imagedata r:id="rId50" o:title=""/>
            </v:shape>
            <v:shape style="position:absolute;left:7222;top:3220;width:1799;height:494" type="#_x0000_t75" stroked="false">
              <v:imagedata r:id="rId51" o:title=""/>
            </v:shape>
            <v:rect style="position:absolute;left:3740;top:4188;width:77;height:77" filled="true" fillcolor="#4f81bc" stroked="false">
              <v:fill type="solid"/>
            </v:rect>
            <v:rect style="position:absolute;left:4729;top:4188;width:77;height:77" filled="true" fillcolor="#9bba58" stroked="false">
              <v:fill type="solid"/>
            </v:rect>
            <v:shape style="position:absolute;left:3403;top:186;width:261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Uso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de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internet por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departamentos</w:t>
                    </w:r>
                  </w:p>
                </w:txbxContent>
              </v:textbox>
              <w10:wrap type="none"/>
            </v:shape>
            <v:shape style="position:absolute;left:130;top:557;width:587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1,600,000</w:t>
                    </w:r>
                  </w:p>
                </w:txbxContent>
              </v:textbox>
              <w10:wrap type="none"/>
            </v:shape>
            <v:shape style="position:absolute;left:685;top:637;width:575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1,439,440</w:t>
                    </w:r>
                  </w:p>
                </w:txbxContent>
              </v:textbox>
              <w10:wrap type="none"/>
            </v:shape>
            <v:shape style="position:absolute;left:130;top:866;width:587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1,400,000</w:t>
                    </w:r>
                  </w:p>
                </w:txbxContent>
              </v:textbox>
              <w10:wrap type="none"/>
            </v:shape>
            <v:shape style="position:absolute;left:793;top:1075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1,156,406</w:t>
                    </w:r>
                  </w:p>
                </w:txbxContent>
              </v:textbox>
              <w10:wrap type="none"/>
            </v:shape>
            <v:shape style="position:absolute;left:130;top:1175;width:587;height:450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1,200,000</w:t>
                    </w:r>
                  </w:p>
                  <w:p>
                    <w:pPr>
                      <w:spacing w:line="240" w:lineRule="auto" w:before="4"/>
                      <w:rPr>
                        <w:sz w:val="11"/>
                      </w:rPr>
                    </w:pPr>
                  </w:p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1,000,000</w:t>
                    </w:r>
                  </w:p>
                </w:txbxContent>
              </v:textbox>
              <w10:wrap type="none"/>
            </v:shape>
            <v:shape style="position:absolute;left:6545;top:1555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845,854</w:t>
                    </w:r>
                  </w:p>
                </w:txbxContent>
              </v:textbox>
              <w10:wrap type="none"/>
            </v:shape>
            <v:shape style="position:absolute;left:5405;top:1692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757,884</w:t>
                    </w:r>
                  </w:p>
                </w:txbxContent>
              </v:textbox>
              <w10:wrap type="none"/>
            </v:shape>
            <v:shape style="position:absolute;left:236;top:1794;width:47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800,000</w:t>
                    </w:r>
                  </w:p>
                </w:txbxContent>
              </v:textbox>
              <w10:wrap type="none"/>
            </v:shape>
            <v:shape style="position:absolute;left:1877;top:1877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133,432</w:t>
                    </w:r>
                  </w:p>
                </w:txbxContent>
              </v:textbox>
              <w10:wrap type="none"/>
            </v:shape>
            <v:shape style="position:absolute;left:3885;top:1890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448,449</w:t>
                    </w:r>
                  </w:p>
                </w:txbxContent>
              </v:textbox>
              <w10:wrap type="none"/>
            </v:shape>
            <v:shape style="position:absolute;left:5025;top:1829;width:1232;height:159" type="#_x0000_t202" filled="false" stroked="false">
              <v:textbox inset="0,0,0,0">
                <w:txbxContent>
                  <w:p>
                    <w:pPr>
                      <w:tabs>
                        <w:tab w:pos="759" w:val="left" w:leader="none"/>
                      </w:tabs>
                      <w:spacing w:line="15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position w:val="2"/>
                        <w:sz w:val="14"/>
                      </w:rPr>
                      <w:t>668,792</w:t>
                      <w:tab/>
                    </w:r>
                    <w:r>
                      <w:rPr>
                        <w:color w:val="404040"/>
                        <w:sz w:val="14"/>
                      </w:rPr>
                      <w:t>655,995</w:t>
                    </w:r>
                  </w:p>
                </w:txbxContent>
              </v:textbox>
              <w10:wrap type="none"/>
            </v:shape>
            <v:shape style="position:absolute;left:236;top:2103;width:47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600,000</w:t>
                    </w:r>
                  </w:p>
                </w:txbxContent>
              </v:textbox>
              <w10:wrap type="none"/>
            </v:shape>
            <v:shape style="position:absolute;left:1226;top:2139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106,786</w:t>
                    </w:r>
                  </w:p>
                </w:txbxContent>
              </v:textbox>
              <w10:wrap type="none"/>
            </v:shape>
            <v:shape style="position:absolute;left:1985;top:2176;width:852;height:245" type="#_x0000_t202" filled="false" stroked="false">
              <v:textbox inset="0,0,0,0">
                <w:txbxContent>
                  <w:p>
                    <w:pPr>
                      <w:spacing w:line="109" w:lineRule="exact" w:before="0"/>
                      <w:ind w:left="38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444,449</w:t>
                    </w:r>
                  </w:p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376,572</w:t>
                    </w:r>
                  </w:p>
                </w:txbxContent>
              </v:textbox>
              <w10:wrap type="none"/>
            </v:shape>
            <v:shape style="position:absolute;left:3125;top:2139;width:853;height:352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38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274,151</w:t>
                    </w:r>
                  </w:p>
                  <w:p>
                    <w:pPr>
                      <w:spacing w:line="168" w:lineRule="exact" w:before="4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279,194</w:t>
                    </w:r>
                  </w:p>
                </w:txbxContent>
              </v:textbox>
              <w10:wrap type="none"/>
            </v:shape>
            <v:shape style="position:absolute;left:4265;top:2104;width:851;height:375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379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193,237</w:t>
                    </w:r>
                  </w:p>
                  <w:p>
                    <w:pPr>
                      <w:spacing w:line="168" w:lineRule="exact" w:before="64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338,925</w:t>
                    </w:r>
                  </w:p>
                </w:txbxContent>
              </v:textbox>
              <w10:wrap type="none"/>
            </v:shape>
            <v:shape style="position:absolute;left:236;top:2722;width:47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200,000</w:t>
                    </w:r>
                  </w:p>
                </w:txbxContent>
              </v:textbox>
              <w10:wrap type="none"/>
            </v:shape>
            <v:shape style="position:absolute;left:1151;top:2481;width:927;height:456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454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169,859</w:t>
                    </w:r>
                  </w:p>
                  <w:p>
                    <w:pPr>
                      <w:spacing w:line="138" w:lineRule="exact" w:before="41"/>
                      <w:ind w:left="345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110,223</w:t>
                    </w:r>
                  </w:p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42,613</w:t>
                    </w:r>
                  </w:p>
                </w:txbxContent>
              </v:textbox>
              <w10:wrap type="none"/>
            </v:shape>
            <v:shape style="position:absolute;left:2745;top:2499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235,927</w:t>
                    </w:r>
                  </w:p>
                </w:txbxContent>
              </v:textbox>
              <w10:wrap type="none"/>
            </v:shape>
            <v:shape style="position:absolute;left:6925;top:2172;width:852;height:442" type="#_x0000_t202" filled="false" stroked="false">
              <v:textbox inset="0,0,0,0">
                <w:txbxContent>
                  <w:p>
                    <w:pPr>
                      <w:spacing w:line="141" w:lineRule="exact" w:before="0"/>
                      <w:ind w:left="305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85,096</w:t>
                    </w:r>
                  </w:p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337,697</w:t>
                    </w:r>
                  </w:p>
                  <w:p>
                    <w:pPr>
                      <w:spacing w:line="149" w:lineRule="exact" w:before="0"/>
                      <w:ind w:left="379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251,674</w:t>
                    </w:r>
                  </w:p>
                </w:txbxContent>
              </v:textbox>
              <w10:wrap type="none"/>
            </v:shape>
            <v:shape style="position:absolute;left:7990;top:2193;width:40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84,267</w:t>
                    </w:r>
                  </w:p>
                </w:txbxContent>
              </v:textbox>
              <w10:wrap type="none"/>
            </v:shape>
            <v:shape style="position:absolute;left:236;top:2413;width:47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400,000</w:t>
                    </w:r>
                  </w:p>
                </w:txbxContent>
              </v:textbox>
              <w10:wrap type="none"/>
            </v:shape>
            <v:shape style="position:absolute;left:5297;top:2332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175,290</w:t>
                    </w:r>
                  </w:p>
                </w:txbxContent>
              </v:textbox>
              <w10:wrap type="none"/>
            </v:shape>
            <v:shape style="position:absolute;left:8825;top:2409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293,698</w:t>
                    </w:r>
                  </w:p>
                </w:txbxContent>
              </v:textbox>
              <w10:wrap type="none"/>
            </v:shape>
            <v:shape style="position:absolute;left:2257;top:2608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165,234</w:t>
                    </w:r>
                  </w:p>
                </w:txbxContent>
              </v:textbox>
              <w10:wrap type="none"/>
            </v:shape>
            <v:shape style="position:absolute;left:3777;top:2525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219,112</w:t>
                    </w:r>
                  </w:p>
                </w:txbxContent>
              </v:textbox>
              <w10:wrap type="none"/>
            </v:shape>
            <v:shape style="position:absolute;left:4917;top:2611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163,458</w:t>
                    </w:r>
                  </w:p>
                </w:txbxContent>
              </v:textbox>
              <w10:wrap type="none"/>
            </v:shape>
            <v:shape style="position:absolute;left:6165;top:2561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195,420</w:t>
                    </w:r>
                  </w:p>
                </w:txbxContent>
              </v:textbox>
              <w10:wrap type="none"/>
            </v:shape>
            <v:shape style="position:absolute;left:8065;top:2467;width:853;height:197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pacing w:val="-1"/>
                        <w:w w:val="99"/>
                        <w:sz w:val="14"/>
                      </w:rPr>
                      <w:t>256</w:t>
                    </w:r>
                    <w:r>
                      <w:rPr>
                        <w:color w:val="404040"/>
                        <w:spacing w:val="-2"/>
                        <w:w w:val="99"/>
                        <w:sz w:val="14"/>
                      </w:rPr>
                      <w:t>,</w:t>
                    </w:r>
                    <w:r>
                      <w:rPr>
                        <w:color w:val="404040"/>
                        <w:spacing w:val="-1"/>
                        <w:w w:val="99"/>
                        <w:sz w:val="14"/>
                      </w:rPr>
                      <w:t>1</w:t>
                    </w:r>
                    <w:r>
                      <w:rPr>
                        <w:color w:val="404040"/>
                        <w:spacing w:val="-3"/>
                        <w:w w:val="99"/>
                        <w:sz w:val="14"/>
                      </w:rPr>
                      <w:t>2</w:t>
                    </w:r>
                    <w:r>
                      <w:rPr>
                        <w:color w:val="404040"/>
                        <w:spacing w:val="-70"/>
                        <w:w w:val="99"/>
                        <w:position w:val="-5"/>
                        <w:sz w:val="14"/>
                      </w:rPr>
                      <w:t>2</w:t>
                    </w:r>
                    <w:r>
                      <w:rPr>
                        <w:color w:val="404040"/>
                        <w:spacing w:val="-3"/>
                        <w:w w:val="99"/>
                        <w:sz w:val="14"/>
                      </w:rPr>
                      <w:t>8</w:t>
                    </w:r>
                    <w:r>
                      <w:rPr>
                        <w:color w:val="404040"/>
                        <w:spacing w:val="-1"/>
                        <w:w w:val="99"/>
                        <w:position w:val="-5"/>
                        <w:sz w:val="14"/>
                      </w:rPr>
                      <w:t>19</w:t>
                    </w:r>
                    <w:r>
                      <w:rPr>
                        <w:color w:val="404040"/>
                        <w:spacing w:val="-2"/>
                        <w:w w:val="99"/>
                        <w:position w:val="-5"/>
                        <w:sz w:val="14"/>
                      </w:rPr>
                      <w:t>,</w:t>
                    </w:r>
                    <w:r>
                      <w:rPr>
                        <w:color w:val="404040"/>
                        <w:spacing w:val="-1"/>
                        <w:w w:val="99"/>
                        <w:position w:val="-5"/>
                        <w:sz w:val="14"/>
                      </w:rPr>
                      <w:t>34</w:t>
                    </w:r>
                    <w:r>
                      <w:rPr>
                        <w:color w:val="404040"/>
                        <w:w w:val="99"/>
                        <w:position w:val="-5"/>
                        <w:sz w:val="14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671;top:2713;width:1163;height:189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pacing w:val="-1"/>
                        <w:position w:val="5"/>
                        <w:sz w:val="14"/>
                      </w:rPr>
                      <w:t>97,279</w:t>
                    </w:r>
                    <w:r>
                      <w:rPr>
                        <w:color w:val="404040"/>
                        <w:spacing w:val="-1"/>
                        <w:position w:val="1"/>
                        <w:sz w:val="14"/>
                      </w:rPr>
                      <w:t>74,137</w:t>
                    </w:r>
                    <w:r>
                      <w:rPr>
                        <w:color w:val="404040"/>
                        <w:spacing w:val="-1"/>
                        <w:sz w:val="14"/>
                      </w:rPr>
                      <w:t>65,502</w:t>
                    </w:r>
                  </w:p>
                </w:txbxContent>
              </v:textbox>
              <w10:wrap type="none"/>
            </v:shape>
            <v:shape style="position:absolute;left:4157;top:2679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119,290</w:t>
                    </w:r>
                  </w:p>
                </w:txbxContent>
              </v:textbox>
              <w10:wrap type="none"/>
            </v:shape>
            <v:shape style="position:absolute;left:4571;top:2742;width:402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77,934</w:t>
                    </w:r>
                  </w:p>
                </w:txbxContent>
              </v:textbox>
              <w10:wrap type="none"/>
            </v:shape>
            <v:shape style="position:absolute;left:5677;top:2707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101,337</w:t>
                    </w:r>
                  </w:p>
                </w:txbxContent>
              </v:textbox>
              <w10:wrap type="none"/>
            </v:shape>
            <v:shape style="position:absolute;left:6090;top:2786;width:40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50,488</w:t>
                    </w:r>
                  </w:p>
                </w:txbxContent>
              </v:textbox>
              <w10:wrap type="none"/>
            </v:shape>
            <v:shape style="position:absolute;left:6437;top:2664;width:852;height:177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pacing w:val="-1"/>
                        <w:w w:val="99"/>
                        <w:sz w:val="14"/>
                      </w:rPr>
                      <w:t>129</w:t>
                    </w:r>
                    <w:r>
                      <w:rPr>
                        <w:color w:val="404040"/>
                        <w:spacing w:val="-2"/>
                        <w:w w:val="99"/>
                        <w:sz w:val="14"/>
                      </w:rPr>
                      <w:t>,</w:t>
                    </w:r>
                    <w:r>
                      <w:rPr>
                        <w:color w:val="404040"/>
                        <w:spacing w:val="-1"/>
                        <w:w w:val="99"/>
                        <w:sz w:val="14"/>
                      </w:rPr>
                      <w:t>0</w:t>
                    </w:r>
                    <w:r>
                      <w:rPr>
                        <w:color w:val="404040"/>
                        <w:spacing w:val="-3"/>
                        <w:w w:val="99"/>
                        <w:sz w:val="14"/>
                      </w:rPr>
                      <w:t>7</w:t>
                    </w:r>
                    <w:r>
                      <w:rPr>
                        <w:color w:val="404040"/>
                        <w:spacing w:val="-69"/>
                        <w:w w:val="99"/>
                        <w:position w:val="-3"/>
                        <w:sz w:val="14"/>
                      </w:rPr>
                      <w:t>1</w:t>
                    </w:r>
                    <w:r>
                      <w:rPr>
                        <w:color w:val="404040"/>
                        <w:spacing w:val="-3"/>
                        <w:w w:val="99"/>
                        <w:sz w:val="14"/>
                      </w:rPr>
                      <w:t>0</w:t>
                    </w:r>
                    <w:r>
                      <w:rPr>
                        <w:color w:val="404040"/>
                        <w:spacing w:val="-1"/>
                        <w:w w:val="99"/>
                        <w:position w:val="-3"/>
                        <w:sz w:val="14"/>
                      </w:rPr>
                      <w:t>04</w:t>
                    </w:r>
                    <w:r>
                      <w:rPr>
                        <w:color w:val="404040"/>
                        <w:spacing w:val="-2"/>
                        <w:w w:val="99"/>
                        <w:position w:val="-3"/>
                        <w:sz w:val="14"/>
                      </w:rPr>
                      <w:t>,</w:t>
                    </w:r>
                    <w:r>
                      <w:rPr>
                        <w:color w:val="404040"/>
                        <w:spacing w:val="-1"/>
                        <w:w w:val="99"/>
                        <w:position w:val="-3"/>
                        <w:sz w:val="14"/>
                      </w:rPr>
                      <w:t>42</w:t>
                    </w:r>
                    <w:r>
                      <w:rPr>
                        <w:color w:val="404040"/>
                        <w:w w:val="99"/>
                        <w:position w:val="-3"/>
                        <w:sz w:val="1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610;top:2632;width:547;height:285" type="#_x0000_t202" filled="false" stroked="false">
              <v:textbox inset="0,0,0,0">
                <w:txbxContent>
                  <w:p>
                    <w:pPr>
                      <w:spacing w:line="129" w:lineRule="exact" w:before="0"/>
                      <w:ind w:left="74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149,653</w:t>
                    </w:r>
                  </w:p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55,984</w:t>
                    </w:r>
                  </w:p>
                </w:txbxContent>
              </v:textbox>
              <w10:wrap type="none"/>
            </v:shape>
            <v:shape style="position:absolute;left:8370;top:2767;width:40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62,353</w:t>
                    </w:r>
                  </w:p>
                </w:txbxContent>
              </v:textbox>
              <w10:wrap type="none"/>
            </v:shape>
            <v:shape style="position:absolute;left:8716;top:2681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118,015</w:t>
                    </w:r>
                  </w:p>
                </w:txbxContent>
              </v:textbox>
              <w10:wrap type="none"/>
            </v:shape>
            <v:shape style="position:absolute;left:626;top:3031;width:91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w w:val="99"/>
                        <w:sz w:val="1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849;top:4165;width:1895;height:140" type="#_x0000_t202" filled="false" stroked="false">
              <v:textbox inset="0,0,0,0">
                <w:txbxContent>
                  <w:p>
                    <w:pPr>
                      <w:tabs>
                        <w:tab w:pos="988" w:val="left" w:leader="none"/>
                      </w:tabs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Usa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Internet</w:t>
                      <w:tab/>
                      <w:t>No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usa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Internet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0"/>
        <w:ind w:left="300" w:right="0" w:firstLine="0"/>
        <w:jc w:val="left"/>
        <w:rPr>
          <w:sz w:val="16"/>
        </w:rPr>
      </w:pPr>
      <w:r>
        <w:rPr/>
        <w:pict>
          <v:group style="position:absolute;margin-left:107.360001pt;margin-top:68.027184pt;width:423.85pt;height:119.4pt;mso-position-horizontal-relative:page;mso-position-vertical-relative:paragraph;z-index:-28909568" coordorigin="2147,1361" coordsize="8477,2388">
            <v:rect style="position:absolute;left:2328;top:2474;width:243;height:1266" filled="true" fillcolor="#c0504d" stroked="false">
              <v:fill type="solid"/>
            </v:rect>
            <v:rect style="position:absolute;left:2570;top:2195;width:243;height:1545" filled="true" fillcolor="#8063a1" stroked="false">
              <v:fill type="solid"/>
            </v:rect>
            <v:rect style="position:absolute;left:3177;top:3287;width:240;height:453" filled="true" fillcolor="#c0504d" stroked="false">
              <v:fill type="solid"/>
            </v:rect>
            <v:rect style="position:absolute;left:3417;top:1360;width:243;height:2380" filled="true" fillcolor="#8063a1" stroked="false">
              <v:fill type="solid"/>
            </v:rect>
            <v:rect style="position:absolute;left:4024;top:2284;width:243;height:1456" filled="true" fillcolor="#c0504d" stroked="false">
              <v:fill type="solid"/>
            </v:rect>
            <v:rect style="position:absolute;left:4267;top:2198;width:243;height:1542" filled="true" fillcolor="#8063a1" stroked="false">
              <v:fill type="solid"/>
            </v:rect>
            <v:rect style="position:absolute;left:4872;top:2687;width:243;height:1053" filled="true" fillcolor="#c0504d" stroked="false">
              <v:fill type="solid"/>
            </v:rect>
            <v:rect style="position:absolute;left:5114;top:1972;width:243;height:1768" filled="true" fillcolor="#8063a1" stroked="false">
              <v:fill type="solid"/>
            </v:rect>
            <v:rect style="position:absolute;left:5719;top:2375;width:243;height:1365" filled="true" fillcolor="#c0504d" stroked="false">
              <v:fill type="solid"/>
            </v:rect>
            <v:rect style="position:absolute;left:5961;top:2243;width:243;height:1497" filled="true" fillcolor="#8063a1" stroked="false">
              <v:fill type="solid"/>
            </v:rect>
            <v:rect style="position:absolute;left:6566;top:3242;width:243;height:498" filled="true" fillcolor="#c0504d" stroked="false">
              <v:fill type="solid"/>
            </v:rect>
            <v:rect style="position:absolute;left:6808;top:1379;width:243;height:2361" filled="true" fillcolor="#8063a1" stroked="false">
              <v:fill type="solid"/>
            </v:rect>
            <v:rect style="position:absolute;left:7416;top:2382;width:240;height:1358" filled="true" fillcolor="#c0504d" stroked="false">
              <v:fill type="solid"/>
            </v:rect>
            <v:rect style="position:absolute;left:7656;top:2277;width:243;height:1463" filled="true" fillcolor="#8063a1" stroked="false">
              <v:fill type="solid"/>
            </v:rect>
            <v:rect style="position:absolute;left:8263;top:2632;width:243;height:1108" filled="true" fillcolor="#c0504d" stroked="false">
              <v:fill type="solid"/>
            </v:rect>
            <v:rect style="position:absolute;left:8505;top:2008;width:243;height:1732" filled="true" fillcolor="#8063a1" stroked="false">
              <v:fill type="solid"/>
            </v:rect>
            <v:rect style="position:absolute;left:9110;top:2294;width:243;height:1446" filled="true" fillcolor="#c0504d" stroked="false">
              <v:fill type="solid"/>
            </v:rect>
            <v:rect style="position:absolute;left:9352;top:2214;width:243;height:1526" filled="true" fillcolor="#8063a1" stroked="false">
              <v:fill type="solid"/>
            </v:rect>
            <v:rect style="position:absolute;left:9957;top:2608;width:243;height:1132" filled="true" fillcolor="#c0504d" stroked="false">
              <v:fill type="solid"/>
            </v:rect>
            <v:rect style="position:absolute;left:10200;top:2032;width:243;height:1708" filled="true" fillcolor="#8063a1" stroked="false">
              <v:fill type="solid"/>
            </v:rect>
            <v:line style="position:absolute" from="2147,3740" to="10624,3740" stroked="true" strokeweight=".75pt" strokecolor="#d9d9d9">
              <v:stroke dashstyle="solid"/>
            </v:line>
            <v:shape style="position:absolute;left:7331;top:2110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47.09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Población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2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Guatemala.</w:t>
      </w:r>
      <w:r>
        <w:rPr>
          <w:spacing w:val="-2"/>
          <w:sz w:val="16"/>
        </w:rPr>
        <w:t> </w:t>
      </w:r>
      <w:r>
        <w:rPr>
          <w:sz w:val="16"/>
        </w:rPr>
        <w:t>Procesado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Redatam</w:t>
      </w:r>
      <w:r>
        <w:rPr>
          <w:spacing w:val="-1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tbl>
      <w:tblPr>
        <w:tblW w:w="0" w:type="auto"/>
        <w:jc w:val="left"/>
        <w:tblInd w:w="3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"/>
        <w:gridCol w:w="848"/>
        <w:gridCol w:w="847"/>
        <w:gridCol w:w="847"/>
        <w:gridCol w:w="847"/>
        <w:gridCol w:w="847"/>
        <w:gridCol w:w="847"/>
        <w:gridCol w:w="847"/>
        <w:gridCol w:w="847"/>
        <w:gridCol w:w="847"/>
        <w:gridCol w:w="1066"/>
      </w:tblGrid>
      <w:tr>
        <w:trPr>
          <w:trHeight w:val="302" w:hRule="atLeast"/>
        </w:trPr>
        <w:tc>
          <w:tcPr>
            <w:tcW w:w="9403" w:type="dxa"/>
            <w:gridSpan w:val="11"/>
            <w:shd w:val="clear" w:color="auto" w:fill="FFFFFF"/>
          </w:tcPr>
          <w:p>
            <w:pPr>
              <w:pStyle w:val="TableParagraph"/>
              <w:ind w:left="284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Gráfico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42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Población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por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pueblo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autodeterminación y</w:t>
            </w:r>
            <w:r>
              <w:rPr>
                <w:rFonts w:ascii="Arial MT" w:hAnsi="Arial MT"/>
                <w:spacing w:val="-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sexo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con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acceso</w:t>
            </w:r>
            <w:r>
              <w:rPr>
                <w:rFonts w:ascii="Arial MT" w:hAnsi="Arial MT"/>
                <w:spacing w:val="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y</w:t>
            </w:r>
            <w:r>
              <w:rPr>
                <w:rFonts w:ascii="Arial MT" w:hAnsi="Arial MT"/>
                <w:spacing w:val="-6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uso</w:t>
            </w:r>
            <w:r>
              <w:rPr>
                <w:rFonts w:ascii="Arial MT" w:hAnsi="Arial MT"/>
                <w:spacing w:val="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internet</w:t>
            </w:r>
          </w:p>
        </w:tc>
      </w:tr>
      <w:tr>
        <w:trPr>
          <w:trHeight w:val="360" w:hRule="atLeast"/>
        </w:trPr>
        <w:tc>
          <w:tcPr>
            <w:tcW w:w="713" w:type="dxa"/>
            <w:shd w:val="clear" w:color="auto" w:fill="FFFFFF"/>
          </w:tcPr>
          <w:p>
            <w:pPr>
              <w:pStyle w:val="TableParagraph"/>
              <w:spacing w:before="36"/>
              <w:ind w:left="117" w:right="144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90.00</w:t>
            </w: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spacing w:before="60"/>
              <w:ind w:left="339"/>
              <w:rPr>
                <w:sz w:val="18"/>
              </w:rPr>
            </w:pPr>
            <w:r>
              <w:rPr>
                <w:color w:val="404040"/>
                <w:sz w:val="18"/>
              </w:rPr>
              <w:t>82.57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spacing w:before="78"/>
              <w:ind w:left="342"/>
              <w:rPr>
                <w:sz w:val="18"/>
              </w:rPr>
            </w:pPr>
            <w:r>
              <w:rPr>
                <w:color w:val="404040"/>
                <w:sz w:val="18"/>
              </w:rPr>
              <w:t>81.93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713" w:type="dxa"/>
            <w:shd w:val="clear" w:color="auto" w:fill="FFFFFF"/>
          </w:tcPr>
          <w:p>
            <w:pPr>
              <w:pStyle w:val="TableParagraph"/>
              <w:spacing w:line="183" w:lineRule="exact"/>
              <w:ind w:left="117" w:right="144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80.00</w:t>
            </w: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4" w:hRule="atLeast"/>
        </w:trPr>
        <w:tc>
          <w:tcPr>
            <w:tcW w:w="713" w:type="dxa"/>
            <w:shd w:val="clear" w:color="auto" w:fill="FFFFFF"/>
          </w:tcPr>
          <w:p>
            <w:pPr>
              <w:pStyle w:val="TableParagraph"/>
              <w:spacing w:before="17"/>
              <w:ind w:left="117" w:right="144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70.00</w:t>
            </w: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spacing w:before="77"/>
              <w:ind w:left="341"/>
              <w:rPr>
                <w:sz w:val="18"/>
              </w:rPr>
            </w:pPr>
            <w:r>
              <w:rPr>
                <w:color w:val="404040"/>
                <w:sz w:val="18"/>
              </w:rPr>
              <w:t>61.35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spacing w:line="211" w:lineRule="exact" w:before="113"/>
              <w:ind w:left="344"/>
              <w:rPr>
                <w:sz w:val="18"/>
              </w:rPr>
            </w:pPr>
            <w:r>
              <w:rPr>
                <w:color w:val="404040"/>
                <w:sz w:val="18"/>
              </w:rPr>
              <w:t>60.10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6" w:type="dxa"/>
            <w:shd w:val="clear" w:color="auto" w:fill="FFFFFF"/>
          </w:tcPr>
          <w:p>
            <w:pPr>
              <w:pStyle w:val="TableParagraph"/>
              <w:spacing w:line="187" w:lineRule="exact" w:before="137"/>
              <w:ind w:left="346"/>
              <w:rPr>
                <w:sz w:val="18"/>
              </w:rPr>
            </w:pPr>
            <w:r>
              <w:rPr>
                <w:color w:val="404040"/>
                <w:sz w:val="18"/>
              </w:rPr>
              <w:t>59.26</w:t>
            </w:r>
          </w:p>
        </w:tc>
      </w:tr>
      <w:tr>
        <w:trPr>
          <w:trHeight w:val="435" w:hRule="atLeast"/>
        </w:trPr>
        <w:tc>
          <w:tcPr>
            <w:tcW w:w="713" w:type="dxa"/>
            <w:shd w:val="clear" w:color="auto" w:fill="FFFFFF"/>
          </w:tcPr>
          <w:p>
            <w:pPr>
              <w:pStyle w:val="TableParagraph"/>
              <w:spacing w:line="181" w:lineRule="exact"/>
              <w:ind w:left="136"/>
              <w:rPr>
                <w:sz w:val="18"/>
              </w:rPr>
            </w:pPr>
            <w:r>
              <w:rPr>
                <w:color w:val="585858"/>
                <w:sz w:val="18"/>
              </w:rPr>
              <w:t>60.00</w:t>
            </w:r>
          </w:p>
          <w:p>
            <w:pPr>
              <w:pStyle w:val="TableParagraph"/>
              <w:spacing w:line="166" w:lineRule="exact" w:before="68"/>
              <w:ind w:left="136"/>
              <w:rPr>
                <w:sz w:val="18"/>
              </w:rPr>
            </w:pPr>
            <w:r>
              <w:rPr>
                <w:color w:val="585858"/>
                <w:sz w:val="18"/>
              </w:rPr>
              <w:t>50.00</w:t>
            </w: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spacing w:line="174" w:lineRule="exact"/>
              <w:ind w:left="339"/>
              <w:rPr>
                <w:sz w:val="18"/>
              </w:rPr>
            </w:pPr>
            <w:r>
              <w:rPr>
                <w:color w:val="404040"/>
                <w:sz w:val="18"/>
              </w:rPr>
              <w:t>53.64</w:t>
            </w:r>
          </w:p>
          <w:p>
            <w:pPr>
              <w:pStyle w:val="TableParagraph"/>
              <w:spacing w:line="181" w:lineRule="exact" w:before="60"/>
              <w:ind w:left="97"/>
              <w:rPr>
                <w:sz w:val="18"/>
              </w:rPr>
            </w:pPr>
            <w:r>
              <w:rPr>
                <w:color w:val="404040"/>
                <w:sz w:val="18"/>
              </w:rPr>
              <w:t>43.92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spacing w:line="180" w:lineRule="auto"/>
              <w:ind w:left="98"/>
              <w:rPr>
                <w:sz w:val="18"/>
              </w:rPr>
            </w:pPr>
            <w:r>
              <w:rPr>
                <w:color w:val="404040"/>
                <w:position w:val="-8"/>
                <w:sz w:val="18"/>
              </w:rPr>
              <w:t>50.</w:t>
            </w:r>
            <w:r>
              <w:rPr>
                <w:color w:val="404040"/>
                <w:sz w:val="18"/>
              </w:rPr>
              <w:t>53.50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spacing w:line="176" w:lineRule="exact" w:before="3"/>
              <w:ind w:left="341"/>
              <w:rPr>
                <w:sz w:val="18"/>
              </w:rPr>
            </w:pPr>
            <w:r>
              <w:rPr>
                <w:color w:val="404040"/>
                <w:sz w:val="18"/>
              </w:rPr>
              <w:t>51.94</w:t>
            </w:r>
          </w:p>
          <w:p>
            <w:pPr>
              <w:pStyle w:val="TableParagraph"/>
              <w:spacing w:line="176" w:lineRule="exact"/>
              <w:ind w:left="99"/>
              <w:rPr>
                <w:sz w:val="18"/>
              </w:rPr>
            </w:pPr>
            <w:r>
              <w:rPr>
                <w:color w:val="404040"/>
                <w:sz w:val="18"/>
              </w:rPr>
              <w:t>47.37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spacing w:before="37"/>
              <w:ind w:left="343"/>
              <w:rPr>
                <w:sz w:val="18"/>
              </w:rPr>
            </w:pPr>
            <w:r>
              <w:rPr>
                <w:color w:val="404040"/>
                <w:sz w:val="18"/>
              </w:rPr>
              <w:t>50.79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spacing w:line="204" w:lineRule="auto"/>
              <w:ind w:left="103"/>
              <w:rPr>
                <w:sz w:val="18"/>
              </w:rPr>
            </w:pPr>
            <w:r>
              <w:rPr>
                <w:color w:val="404040"/>
                <w:position w:val="-7"/>
                <w:sz w:val="18"/>
              </w:rPr>
              <w:t>50.</w:t>
            </w:r>
            <w:r>
              <w:rPr>
                <w:color w:val="404040"/>
                <w:spacing w:val="-78"/>
                <w:position w:val="-7"/>
                <w:sz w:val="18"/>
              </w:rPr>
              <w:t>1</w:t>
            </w:r>
            <w:r>
              <w:rPr>
                <w:color w:val="404040"/>
                <w:spacing w:val="-14"/>
                <w:sz w:val="18"/>
              </w:rPr>
              <w:t>5</w:t>
            </w:r>
            <w:r>
              <w:rPr>
                <w:color w:val="404040"/>
                <w:spacing w:val="-78"/>
                <w:position w:val="-7"/>
                <w:sz w:val="18"/>
              </w:rPr>
              <w:t>8</w:t>
            </w:r>
            <w:r>
              <w:rPr>
                <w:color w:val="404040"/>
                <w:sz w:val="18"/>
              </w:rPr>
              <w:t>2.95</w:t>
            </w:r>
          </w:p>
        </w:tc>
        <w:tc>
          <w:tcPr>
            <w:tcW w:w="106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20" w:hRule="atLeast"/>
        </w:trPr>
        <w:tc>
          <w:tcPr>
            <w:tcW w:w="713" w:type="dxa"/>
            <w:shd w:val="clear" w:color="auto" w:fill="FFFFFF"/>
          </w:tcPr>
          <w:p>
            <w:pPr>
              <w:pStyle w:val="TableParagraph"/>
              <w:spacing w:line="199" w:lineRule="exact" w:before="102"/>
              <w:ind w:left="117" w:right="144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40.00</w:t>
            </w: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spacing w:before="12"/>
              <w:ind w:left="98"/>
              <w:rPr>
                <w:sz w:val="18"/>
              </w:rPr>
            </w:pPr>
            <w:r>
              <w:rPr>
                <w:color w:val="404040"/>
                <w:sz w:val="18"/>
              </w:rPr>
              <w:t>36.50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spacing w:line="177" w:lineRule="exact"/>
              <w:ind w:left="102"/>
              <w:rPr>
                <w:sz w:val="18"/>
              </w:rPr>
            </w:pPr>
            <w:r>
              <w:rPr>
                <w:color w:val="404040"/>
                <w:sz w:val="18"/>
              </w:rPr>
              <w:t>38.44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6" w:type="dxa"/>
            <w:shd w:val="clear" w:color="auto" w:fill="FFFFFF"/>
          </w:tcPr>
          <w:p>
            <w:pPr>
              <w:pStyle w:val="TableParagraph"/>
              <w:spacing w:line="153" w:lineRule="exact"/>
              <w:ind w:left="103"/>
              <w:rPr>
                <w:sz w:val="18"/>
              </w:rPr>
            </w:pPr>
            <w:r>
              <w:rPr>
                <w:color w:val="404040"/>
                <w:sz w:val="18"/>
              </w:rPr>
              <w:t>39.24</w:t>
            </w:r>
          </w:p>
        </w:tc>
      </w:tr>
      <w:tr>
        <w:trPr>
          <w:trHeight w:val="283" w:hRule="atLeast"/>
        </w:trPr>
        <w:tc>
          <w:tcPr>
            <w:tcW w:w="713" w:type="dxa"/>
            <w:shd w:val="clear" w:color="auto" w:fill="FFFFFF"/>
          </w:tcPr>
          <w:p>
            <w:pPr>
              <w:pStyle w:val="TableParagraph"/>
              <w:spacing w:line="194" w:lineRule="exact" w:before="69"/>
              <w:ind w:left="117" w:right="144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30.00</w:t>
            </w: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6" w:hRule="atLeast"/>
        </w:trPr>
        <w:tc>
          <w:tcPr>
            <w:tcW w:w="713" w:type="dxa"/>
            <w:shd w:val="clear" w:color="auto" w:fill="FFFFFF"/>
          </w:tcPr>
          <w:p>
            <w:pPr>
              <w:pStyle w:val="TableParagraph"/>
              <w:spacing w:before="73"/>
              <w:ind w:left="117" w:right="144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20.00</w:t>
            </w: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spacing w:before="8"/>
              <w:ind w:left="97"/>
              <w:rPr>
                <w:sz w:val="18"/>
              </w:rPr>
            </w:pPr>
            <w:r>
              <w:rPr>
                <w:color w:val="404040"/>
                <w:sz w:val="18"/>
              </w:rPr>
              <w:t>15.68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spacing w:line="181" w:lineRule="exact"/>
              <w:ind w:left="100"/>
              <w:rPr>
                <w:sz w:val="18"/>
              </w:rPr>
            </w:pPr>
            <w:r>
              <w:rPr>
                <w:color w:val="404040"/>
                <w:sz w:val="18"/>
              </w:rPr>
              <w:t>17.31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6" w:hRule="atLeast"/>
        </w:trPr>
        <w:tc>
          <w:tcPr>
            <w:tcW w:w="713" w:type="dxa"/>
            <w:shd w:val="clear" w:color="auto" w:fill="FFFFFF"/>
          </w:tcPr>
          <w:p>
            <w:pPr>
              <w:pStyle w:val="TableParagraph"/>
              <w:spacing w:before="45"/>
              <w:ind w:left="117" w:right="144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10.00</w:t>
            </w: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713" w:type="dxa"/>
            <w:tcBorders>
              <w:right w:val="single" w:sz="6" w:space="0" w:color="D9D9D9"/>
            </w:tcBorders>
            <w:shd w:val="clear" w:color="auto" w:fill="FFFFFF"/>
          </w:tcPr>
          <w:p>
            <w:pPr>
              <w:pStyle w:val="TableParagraph"/>
              <w:spacing w:before="17"/>
              <w:ind w:left="207" w:right="139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0.00</w:t>
            </w:r>
          </w:p>
        </w:tc>
        <w:tc>
          <w:tcPr>
            <w:tcW w:w="848" w:type="dxa"/>
            <w:tcBorders>
              <w:left w:val="single" w:sz="6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130" w:hRule="atLeast"/>
        </w:trPr>
        <w:tc>
          <w:tcPr>
            <w:tcW w:w="713" w:type="dxa"/>
            <w:tcBorders>
              <w:right w:val="single" w:sz="6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90" w:type="dxa"/>
            <w:gridSpan w:val="10"/>
            <w:tcBorders>
              <w:left w:val="single" w:sz="6" w:space="0" w:color="D9D9D9"/>
            </w:tcBorders>
            <w:shd w:val="clear" w:color="auto" w:fill="FFFFFF"/>
          </w:tcPr>
          <w:p>
            <w:pPr>
              <w:pStyle w:val="TableParagraph"/>
              <w:tabs>
                <w:tab w:pos="1063" w:val="left" w:leader="none"/>
                <w:tab w:pos="1833" w:val="left" w:leader="none"/>
                <w:tab w:pos="2758" w:val="left" w:leader="none"/>
                <w:tab w:pos="3529" w:val="left" w:leader="none"/>
                <w:tab w:pos="4454" w:val="left" w:leader="none"/>
                <w:tab w:pos="5225" w:val="left" w:leader="none"/>
                <w:tab w:pos="6150" w:val="left" w:leader="none"/>
                <w:tab w:pos="6920" w:val="left" w:leader="none"/>
                <w:tab w:pos="7845" w:val="left" w:leader="none"/>
              </w:tabs>
              <w:spacing w:line="210" w:lineRule="exact"/>
              <w:ind w:left="138"/>
              <w:rPr>
                <w:sz w:val="18"/>
              </w:rPr>
            </w:pPr>
            <w:r>
              <w:rPr>
                <w:color w:val="585858"/>
                <w:sz w:val="18"/>
              </w:rPr>
              <w:t>Hombre</w:t>
              <w:tab/>
              <w:t>Mujer</w:t>
              <w:tab/>
              <w:t>Hombre</w:t>
              <w:tab/>
              <w:t>Mujer</w:t>
              <w:tab/>
              <w:t>Hombre</w:t>
              <w:tab/>
              <w:t>Mujer</w:t>
              <w:tab/>
              <w:t>Hombre</w:t>
              <w:tab/>
              <w:t>Mujer</w:t>
              <w:tab/>
              <w:t>Hombre</w:t>
              <w:tab/>
              <w:t>Mujer</w:t>
            </w:r>
          </w:p>
          <w:p>
            <w:pPr>
              <w:pStyle w:val="TableParagraph"/>
              <w:spacing w:before="129"/>
              <w:ind w:left="4431" w:right="3802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Maya</w:t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tabs>
                <w:tab w:pos="4159" w:val="left" w:leader="none"/>
              </w:tabs>
              <w:ind w:left="2723"/>
              <w:rPr>
                <w:sz w:val="18"/>
              </w:rPr>
            </w:pPr>
            <w:r>
              <w:rPr>
                <w:color w:val="585858"/>
                <w:sz w:val="18"/>
              </w:rPr>
              <w:t>%</w:t>
            </w:r>
            <w:r>
              <w:rPr>
                <w:color w:val="585858"/>
                <w:spacing w:val="-1"/>
                <w:sz w:val="18"/>
              </w:rPr>
              <w:t> </w:t>
            </w:r>
            <w:r>
              <w:rPr>
                <w:color w:val="585858"/>
                <w:sz w:val="18"/>
              </w:rPr>
              <w:t>usa</w:t>
            </w:r>
            <w:r>
              <w:rPr>
                <w:color w:val="585858"/>
                <w:spacing w:val="-2"/>
                <w:sz w:val="18"/>
              </w:rPr>
              <w:t> </w:t>
            </w:r>
            <w:r>
              <w:rPr>
                <w:color w:val="585858"/>
                <w:sz w:val="18"/>
              </w:rPr>
              <w:t>internet</w:t>
              <w:tab/>
              <w:t>%</w:t>
            </w:r>
            <w:r>
              <w:rPr>
                <w:color w:val="585858"/>
                <w:spacing w:val="-1"/>
                <w:sz w:val="18"/>
              </w:rPr>
              <w:t> </w:t>
            </w:r>
            <w:r>
              <w:rPr>
                <w:color w:val="585858"/>
                <w:sz w:val="18"/>
              </w:rPr>
              <w:t>No</w:t>
            </w:r>
            <w:r>
              <w:rPr>
                <w:color w:val="585858"/>
                <w:spacing w:val="-1"/>
                <w:sz w:val="18"/>
              </w:rPr>
              <w:t> </w:t>
            </w:r>
            <w:r>
              <w:rPr>
                <w:color w:val="585858"/>
                <w:sz w:val="18"/>
              </w:rPr>
              <w:t>usa</w:t>
            </w:r>
            <w:r>
              <w:rPr>
                <w:color w:val="585858"/>
                <w:spacing w:val="-3"/>
                <w:sz w:val="18"/>
              </w:rPr>
              <w:t> </w:t>
            </w:r>
            <w:r>
              <w:rPr>
                <w:color w:val="585858"/>
                <w:sz w:val="18"/>
              </w:rPr>
              <w:t>internet</w:t>
            </w:r>
          </w:p>
        </w:tc>
      </w:tr>
    </w:tbl>
    <w:p>
      <w:pPr>
        <w:spacing w:before="14"/>
        <w:ind w:left="300" w:right="0" w:firstLine="0"/>
        <w:jc w:val="left"/>
        <w:rPr>
          <w:sz w:val="16"/>
        </w:rPr>
      </w:pPr>
      <w:r>
        <w:rPr/>
        <w:pict>
          <v:rect style="position:absolute;margin-left:236.830002pt;margin-top:-16.896112pt;width:4.9433pt;height:4.9433pt;mso-position-horizontal-relative:page;mso-position-vertical-relative:paragraph;z-index:-28909056" filled="true" fillcolor="#c0504d" stroked="false">
            <v:fill type="solid"/>
            <w10:wrap type="none"/>
          </v:rect>
        </w:pict>
      </w:r>
      <w:r>
        <w:rPr/>
        <w:pict>
          <v:rect style="position:absolute;margin-left:308.619995pt;margin-top:-16.896112pt;width:4.9433pt;height:4.9433pt;mso-position-horizontal-relative:page;mso-position-vertical-relative:paragraph;z-index:-28908544" filled="true" fillcolor="#8063a1" stroked="false">
            <v:fill type="solid"/>
            <w10:wrap type="none"/>
          </v:rect>
        </w:pict>
      </w: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Población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2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Guatemala.</w:t>
      </w:r>
      <w:r>
        <w:rPr>
          <w:spacing w:val="-2"/>
          <w:sz w:val="16"/>
        </w:rPr>
        <w:t> </w:t>
      </w:r>
      <w:r>
        <w:rPr>
          <w:sz w:val="16"/>
        </w:rPr>
        <w:t>Procesado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Redatam</w:t>
      </w:r>
      <w:r>
        <w:rPr>
          <w:spacing w:val="-1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pict>
          <v:rect style="position:absolute;margin-left:563.280029pt;margin-top:9.73225pt;width:25.44pt;height:1.464pt;mso-position-horizontal-relative:page;mso-position-vertical-relative:paragraph;z-index:-1563494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223"/>
      </w:pPr>
      <w:r>
        <w:rPr/>
        <w:t>52</w:t>
      </w:r>
    </w:p>
    <w:p>
      <w:pPr>
        <w:pStyle w:val="BodyText"/>
        <w:spacing w:line="91" w:lineRule="exact"/>
        <w:ind w:left="10125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45pt;height:4.6pt;mso-position-horizontal-relative:char;mso-position-vertical-relative:line" coordorigin="0,0" coordsize="509,92">
            <v:rect style="position:absolute;left:0;top:0;width:509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7"/>
        </w:rPr>
      </w:pPr>
    </w:p>
    <w:p>
      <w:pPr>
        <w:spacing w:before="59"/>
        <w:ind w:left="1015" w:right="0" w:firstLine="0"/>
        <w:jc w:val="left"/>
        <w:rPr>
          <w:sz w:val="20"/>
        </w:rPr>
      </w:pPr>
      <w:r>
        <w:rPr/>
        <w:pict>
          <v:group style="position:absolute;margin-left:432.674988pt;margin-top:31.036499pt;width:20.6pt;height:184.15pt;mso-position-horizontal-relative:page;mso-position-vertical-relative:paragraph;z-index:15827456" coordorigin="8653,621" coordsize="412,3683">
            <v:shape style="position:absolute;left:8661;top:628;width:275;height:300" coordorigin="8661,628" coordsize="275,300" path="m8936,928l8750,628,8661,628e" filled="false" stroked="true" strokeweight=".75pt" strokecolor="#a6a6a6">
              <v:path arrowok="t"/>
              <v:stroke dashstyle="solid"/>
            </v:shape>
            <v:shape style="position:absolute;left:8808;top:928;width:257;height:3375" type="#_x0000_t202" filled="true" fillcolor="#c0504d" stroked="false">
              <v:textbox inset="0,0,0,0">
                <w:txbxContent>
                  <w:p>
                    <w:pPr>
                      <w:spacing w:line="103" w:lineRule="exact" w:before="0"/>
                      <w:ind w:left="0" w:right="-11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81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bookmarkStart w:name="_bookmark61" w:id="79"/>
      <w:bookmarkEnd w:id="79"/>
      <w:r>
        <w:rPr/>
      </w:r>
      <w:r>
        <w:rPr>
          <w:sz w:val="20"/>
        </w:rPr>
        <w:t>Gráfico</w:t>
      </w:r>
      <w:r>
        <w:rPr>
          <w:spacing w:val="-2"/>
          <w:sz w:val="20"/>
        </w:rPr>
        <w:t> </w:t>
      </w:r>
      <w:r>
        <w:rPr>
          <w:sz w:val="20"/>
        </w:rPr>
        <w:t>43</w:t>
      </w:r>
      <w:r>
        <w:rPr>
          <w:spacing w:val="-2"/>
          <w:sz w:val="20"/>
        </w:rPr>
        <w:t> </w:t>
      </w:r>
      <w:r>
        <w:rPr>
          <w:sz w:val="20"/>
        </w:rPr>
        <w:t>Población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pueblo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área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ubicación</w:t>
      </w:r>
      <w:r>
        <w:rPr>
          <w:spacing w:val="-2"/>
          <w:sz w:val="20"/>
        </w:rPr>
        <w:t> </w:t>
      </w:r>
      <w:r>
        <w:rPr>
          <w:sz w:val="20"/>
        </w:rPr>
        <w:t>urbana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rural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acceso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uso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internet</w:t>
      </w:r>
    </w:p>
    <w:p>
      <w:pPr>
        <w:spacing w:after="0"/>
        <w:jc w:val="left"/>
        <w:rPr>
          <w:sz w:val="20"/>
        </w:rPr>
        <w:sectPr>
          <w:pgSz w:w="12240" w:h="15840"/>
          <w:pgMar w:top="1500" w:bottom="280" w:left="1140" w:right="340"/>
        </w:sectPr>
      </w:pPr>
    </w:p>
    <w:p>
      <w:pPr>
        <w:spacing w:before="98"/>
        <w:ind w:left="430" w:right="0" w:firstLine="0"/>
        <w:jc w:val="left"/>
        <w:rPr>
          <w:sz w:val="18"/>
        </w:rPr>
      </w:pPr>
      <w:r>
        <w:rPr>
          <w:color w:val="585858"/>
          <w:sz w:val="18"/>
        </w:rPr>
        <w:t>100.00</w:t>
      </w:r>
    </w:p>
    <w:p>
      <w:pPr>
        <w:spacing w:before="159"/>
        <w:ind w:left="521" w:right="0" w:firstLine="0"/>
        <w:jc w:val="left"/>
        <w:rPr>
          <w:sz w:val="18"/>
        </w:rPr>
      </w:pPr>
      <w:r>
        <w:rPr>
          <w:color w:val="585858"/>
          <w:sz w:val="18"/>
        </w:rPr>
        <w:t>90.00</w:t>
      </w:r>
    </w:p>
    <w:p>
      <w:pPr>
        <w:spacing w:before="158"/>
        <w:ind w:left="521" w:right="0" w:firstLine="0"/>
        <w:jc w:val="left"/>
        <w:rPr>
          <w:sz w:val="18"/>
        </w:rPr>
      </w:pPr>
      <w:r>
        <w:rPr>
          <w:color w:val="585858"/>
          <w:sz w:val="18"/>
        </w:rPr>
        <w:t>80.00</w:t>
      </w:r>
    </w:p>
    <w:p>
      <w:pPr>
        <w:pStyle w:val="BodyText"/>
        <w:spacing w:before="7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430" w:right="0" w:firstLine="0"/>
        <w:jc w:val="left"/>
        <w:rPr>
          <w:sz w:val="18"/>
        </w:rPr>
      </w:pPr>
      <w:r>
        <w:rPr>
          <w:color w:val="404040"/>
          <w:sz w:val="18"/>
        </w:rPr>
        <w:t>89.24</w:t>
      </w:r>
    </w:p>
    <w:p>
      <w:pPr>
        <w:pStyle w:val="BodyText"/>
        <w:spacing w:before="7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430" w:right="0" w:firstLine="0"/>
        <w:jc w:val="left"/>
        <w:rPr>
          <w:sz w:val="18"/>
        </w:rPr>
      </w:pPr>
      <w:r>
        <w:rPr/>
        <w:pict>
          <v:group style="position:absolute;margin-left:111.544998pt;margin-top:12.509336pt;width:420.05pt;height:213.5pt;mso-position-horizontal-relative:page;mso-position-vertical-relative:paragraph;z-index:15826944" coordorigin="2231,250" coordsize="8401,4270">
            <v:rect style="position:absolute;left:2517;top:2861;width:257;height:961" filled="true" fillcolor="#c0504d" stroked="false">
              <v:fill type="solid"/>
            </v:rect>
            <v:rect style="position:absolute;left:2774;top:2069;width:257;height:1753" filled="true" fillcolor="#8063a1" stroked="false">
              <v:fill type="solid"/>
            </v:rect>
            <v:rect style="position:absolute;left:3031;top:3197;width:255;height:625" filled="true" fillcolor="#f79546" stroked="false">
              <v:fill type="solid"/>
            </v:rect>
            <v:rect style="position:absolute;left:4615;top:1076;width:257;height:2746" filled="true" fillcolor="#c0504d" stroked="false">
              <v:fill type="solid"/>
            </v:rect>
            <v:rect style="position:absolute;left:4872;top:1880;width:255;height:1942" filled="true" fillcolor="#8063a1" stroked="false">
              <v:fill type="solid"/>
            </v:rect>
            <v:rect style="position:absolute;left:5126;top:696;width:257;height:3126" filled="true" fillcolor="#f79546" stroked="false">
              <v:fill type="solid"/>
            </v:rect>
            <v:rect style="position:absolute;left:5383;top:1978;width:257;height:1844" filled="true" fillcolor="#772c2a" stroked="false">
              <v:fill type="solid"/>
            </v:rect>
            <v:rect style="position:absolute;left:5640;top:1959;width:255;height:1863" filled="true" fillcolor="#4d3a61" stroked="false">
              <v:fill type="solid"/>
            </v:rect>
            <v:rect style="position:absolute;left:5894;top:2830;width:257;height:992" filled="true" fillcolor="#b65608" stroked="false">
              <v:fill type="solid"/>
            </v:rect>
            <v:rect style="position:absolute;left:6710;top:3476;width:257;height:346" filled="true" fillcolor="#c0504d" stroked="false">
              <v:fill type="solid"/>
            </v:rect>
            <v:rect style="position:absolute;left:6967;top:3190;width:257;height:632" filled="true" fillcolor="#8063a1" stroked="false">
              <v:fill type="solid"/>
            </v:rect>
            <v:rect style="position:absolute;left:7224;top:3116;width:255;height:706" filled="true" fillcolor="#f79546" stroked="false">
              <v:fill type="solid"/>
            </v:rect>
            <v:rect style="position:absolute;left:7478;top:3022;width:257;height:800" filled="true" fillcolor="#772c2a" stroked="false">
              <v:fill type="solid"/>
            </v:rect>
            <v:rect style="position:absolute;left:7735;top:3044;width:257;height:778" filled="true" fillcolor="#4d3a61" stroked="false">
              <v:fill type="solid"/>
            </v:rect>
            <v:rect style="position:absolute;left:7992;top:2312;width:255;height:1510" filled="true" fillcolor="#b65608" stroked="false">
              <v:fill type="solid"/>
            </v:rect>
            <v:rect style="position:absolute;left:9064;top:740;width:255;height:3082" filled="true" fillcolor="#8063a1" stroked="false">
              <v:fill type="solid"/>
            </v:rect>
            <v:rect style="position:absolute;left:9319;top:768;width:257;height:3054" filled="true" fillcolor="#f79546" stroked="false">
              <v:fill type="solid"/>
            </v:rect>
            <v:rect style="position:absolute;left:9576;top:888;width:257;height:2934" filled="true" fillcolor="#772c2a" stroked="false">
              <v:fill type="solid"/>
            </v:rect>
            <v:rect style="position:absolute;left:9832;top:867;width:255;height:2955" filled="true" fillcolor="#4d3a61" stroked="false">
              <v:fill type="solid"/>
            </v:rect>
            <v:rect style="position:absolute;left:10087;top:1601;width:257;height:2221" filled="true" fillcolor="#b65608" stroked="false">
              <v:fill type="solid"/>
            </v:rect>
            <v:rect style="position:absolute;left:3542;top:1964;width:257;height:1858" filled="true" fillcolor="#4d3a61" stroked="false">
              <v:fill type="solid"/>
            </v:rect>
            <v:rect style="position:absolute;left:3799;top:1092;width:255;height:2730" filled="true" fillcolor="#b65608" stroked="false">
              <v:fill type="solid"/>
            </v:rect>
            <v:shape style="position:absolute;left:2238;top:3822;width:8386;height:698" coordorigin="2238,3822" coordsize="8386,698" path="m2238,3822l10624,3822m2238,3822l2238,4171m10624,3822l10624,4171m2238,4171l2238,4520m10624,4171l10624,4520e" filled="false" stroked="true" strokeweight=".75pt" strokecolor="#d9d9d9">
              <v:path arrowok="t"/>
              <v:stroke dashstyle="solid"/>
            </v:shape>
            <v:shape style="position:absolute;left:3294;top:250;width:7082;height:2942" coordorigin="3295,250" coordsize="7082,2942" path="m7095,3192l6855,2912m9192,740l9192,580m7351,3117l7151,2557m9448,770l9448,250m3415,1944l3295,1644m7607,3022l7607,2762m5767,1958l6047,1838m9960,868l10006,528,10095,528m8119,2312l8159,2152m10216,1603l10376,1483e" filled="false" stroked="true" strokeweight=".75pt" strokecolor="#a6a6a6">
              <v:path arrowok="t"/>
              <v:stroke dashstyle="solid"/>
            </v:shape>
            <v:shape style="position:absolute;left:5050;top:422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82.64</w:t>
                    </w:r>
                  </w:p>
                </w:txbxContent>
              </v:textbox>
              <w10:wrap type="none"/>
            </v:shape>
            <v:shape style="position:absolute;left:9170;top:366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.49</w:t>
                    </w:r>
                  </w:p>
                </w:txbxContent>
              </v:textbox>
              <w10:wrap type="none"/>
            </v:shape>
            <v:shape style="position:absolute;left:10155;top:453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78.13</w:t>
                    </w:r>
                  </w:p>
                </w:txbxContent>
              </v:textbox>
              <w10:wrap type="none"/>
            </v:shape>
            <v:shape style="position:absolute;left:9499;top:615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77.56</w:t>
                    </w:r>
                  </w:p>
                </w:txbxContent>
              </v:textbox>
              <w10:wrap type="none"/>
            </v:shape>
            <v:shape style="position:absolute;left:3721;top:819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72.16</w:t>
                    </w:r>
                  </w:p>
                </w:txbxContent>
              </v:textbox>
              <w10:wrap type="none"/>
            </v:shape>
            <v:shape style="position:absolute;left:4538;top:802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72.61</w:t>
                    </w:r>
                  </w:p>
                </w:txbxContent>
              </v:textbox>
              <w10:wrap type="none"/>
            </v:shape>
            <v:shape style="position:absolute;left:10171;top:1268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58.69</w:t>
                    </w:r>
                  </w:p>
                </w:txbxContent>
              </v:textbox>
              <w10:wrap type="none"/>
            </v:shape>
            <v:shape style="position:absolute;left:3089;top:1430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49.66</w:t>
                    </w:r>
                  </w:p>
                </w:txbxContent>
              </v:textbox>
              <w10:wrap type="none"/>
            </v:shape>
            <v:shape style="position:absolute;left:2697;top:1795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46.34</w:t>
                    </w:r>
                  </w:p>
                </w:txbxContent>
              </v:textbox>
              <w10:wrap type="none"/>
            </v:shape>
            <v:shape style="position:absolute;left:3465;top:1690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49.11</w:t>
                    </w:r>
                  </w:p>
                </w:txbxContent>
              </v:textbox>
              <w10:wrap type="none"/>
            </v:shape>
            <v:shape style="position:absolute;left:4793;top:1605;width:1479;height:279" type="#_x0000_t202" filled="false" stroked="false">
              <v:textbox inset="0,0,0,0">
                <w:txbxContent>
                  <w:p>
                    <w:pPr>
                      <w:spacing w:line="213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2"/>
                        <w:sz w:val="18"/>
                      </w:rPr>
                      <w:t>51.36</w:t>
                    </w:r>
                    <w:r>
                      <w:rPr>
                        <w:color w:val="404040"/>
                        <w:spacing w:val="58"/>
                        <w:position w:val="2"/>
                        <w:sz w:val="18"/>
                      </w:rPr>
                      <w:t> </w:t>
                    </w:r>
                    <w:r>
                      <w:rPr>
                        <w:color w:val="404040"/>
                        <w:position w:val="-7"/>
                        <w:sz w:val="18"/>
                      </w:rPr>
                      <w:t>48.76  </w:t>
                    </w:r>
                    <w:r>
                      <w:rPr>
                        <w:color w:val="404040"/>
                        <w:spacing w:val="3"/>
                        <w:position w:val="-7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49.29</w:t>
                    </w:r>
                  </w:p>
                </w:txbxContent>
              </v:textbox>
              <w10:wrap type="none"/>
            </v:shape>
            <v:shape style="position:absolute;left:7955;top:1938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39.93</w:t>
                    </w:r>
                  </w:p>
                </w:txbxContent>
              </v:textbox>
              <w10:wrap type="none"/>
            </v:shape>
            <v:shape style="position:absolute;left:6946;top:2343;width:43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18.65</w:t>
                    </w:r>
                  </w:p>
                </w:txbxContent>
              </v:textbox>
              <w10:wrap type="none"/>
            </v:shape>
            <v:shape style="position:absolute;left:2441;top:2587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25.41</w:t>
                    </w:r>
                  </w:p>
                </w:txbxContent>
              </v:textbox>
              <w10:wrap type="none"/>
            </v:shape>
            <v:shape style="position:absolute;left:6000;top:2556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.24</w:t>
                    </w:r>
                  </w:p>
                </w:txbxContent>
              </v:textbox>
              <w10:wrap type="none"/>
            </v:shape>
            <v:shape style="position:absolute;left:6650;top:2548;width:1439;height:403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75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21.17</w:t>
                    </w:r>
                  </w:p>
                  <w:p>
                    <w:pPr>
                      <w:tabs>
                        <w:tab w:pos="1007" w:val="left" w:leader="none"/>
                      </w:tabs>
                      <w:spacing w:line="189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16.67</w:t>
                      <w:tab/>
                    </w:r>
                    <w:r>
                      <w:rPr>
                        <w:color w:val="404040"/>
                        <w:position w:val="-6"/>
                        <w:sz w:val="18"/>
                      </w:rPr>
                      <w:t>20.56</w:t>
                    </w:r>
                  </w:p>
                </w:txbxContent>
              </v:textbox>
              <w10:wrap type="none"/>
            </v:shape>
            <v:shape style="position:absolute;left:2953;top:2923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16.</w:t>
                    </w:r>
                  </w:p>
                </w:txbxContent>
              </v:textbox>
              <w10:wrap type="none"/>
            </v:shape>
            <v:shape style="position:absolute;left:6420;top:3201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9.17</w:t>
                    </w:r>
                  </w:p>
                </w:txbxContent>
              </v:textbox>
              <w10:wrap type="none"/>
            </v:shape>
            <v:shape style="position:absolute;left:2834;top:3972;width:9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Usa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internet</w:t>
                    </w:r>
                  </w:p>
                </w:txbxContent>
              </v:textbox>
              <w10:wrap type="none"/>
            </v:shape>
            <v:shape style="position:absolute;left:4815;top:3972;width:11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No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usa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internet</w:t>
                    </w:r>
                  </w:p>
                </w:txbxContent>
              </v:textbox>
              <w10:wrap type="none"/>
            </v:shape>
            <v:shape style="position:absolute;left:7027;top:3972;width:9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Usa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internet</w:t>
                    </w:r>
                  </w:p>
                </w:txbxContent>
              </v:textbox>
              <w10:wrap type="none"/>
            </v:shape>
            <v:shape style="position:absolute;left:9009;top:3972;width:11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No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usa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internet</w:t>
                    </w:r>
                  </w:p>
                </w:txbxContent>
              </v:textbox>
              <w10:wrap type="none"/>
            </v:shape>
            <v:shape style="position:absolute;left:6158;top:4321;width:56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Urbano</w:t>
                    </w:r>
                  </w:p>
                </w:txbxContent>
              </v:textbox>
              <w10:wrap type="none"/>
            </v:shape>
            <v:shape style="position:absolute;left:5640;top:1961;width:255;height:18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8"/>
                      </w:rPr>
                    </w:pPr>
                  </w:p>
                  <w:p>
                    <w:pPr>
                      <w:spacing w:before="144"/>
                      <w:ind w:left="0" w:right="-11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26</w:t>
                    </w:r>
                  </w:p>
                </w:txbxContent>
              </v:textbox>
              <w10:wrap type="none"/>
            </v:shape>
            <v:shape style="position:absolute;left:3285;top:1961;width:257;height:1853" type="#_x0000_t202" filled="true" fillcolor="#772c2a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8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before="0"/>
                      <w:ind w:left="-10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53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404040"/>
          <w:sz w:val="18"/>
        </w:rPr>
        <w:t>80.71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340" w:bottom="280" w:left="1140" w:right="340"/>
          <w:cols w:num="3" w:equalWidth="0">
            <w:col w:w="973" w:space="5648"/>
            <w:col w:w="882" w:space="171"/>
            <w:col w:w="3086"/>
          </w:cols>
        </w:sectPr>
      </w:pPr>
    </w:p>
    <w:p>
      <w:pPr>
        <w:spacing w:before="158"/>
        <w:ind w:left="521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74409472">
            <wp:simplePos x="0" y="0"/>
            <wp:positionH relativeFrom="page">
              <wp:posOffset>0</wp:posOffset>
            </wp:positionH>
            <wp:positionV relativeFrom="page">
              <wp:posOffset>302887</wp:posOffset>
            </wp:positionV>
            <wp:extent cx="7772399" cy="9501333"/>
            <wp:effectExtent l="0" t="0" r="0" b="0"/>
            <wp:wrapNone/>
            <wp:docPr id="14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z w:val="18"/>
        </w:rPr>
        <w:t>70.00</w:t>
      </w:r>
    </w:p>
    <w:p>
      <w:pPr>
        <w:spacing w:before="159"/>
        <w:ind w:left="521" w:right="0" w:firstLine="0"/>
        <w:jc w:val="left"/>
        <w:rPr>
          <w:sz w:val="18"/>
        </w:rPr>
      </w:pPr>
      <w:r>
        <w:rPr>
          <w:color w:val="585858"/>
          <w:sz w:val="18"/>
        </w:rPr>
        <w:t>60.00</w:t>
      </w:r>
    </w:p>
    <w:p>
      <w:pPr>
        <w:spacing w:before="158"/>
        <w:ind w:left="521" w:right="0" w:firstLine="0"/>
        <w:jc w:val="left"/>
        <w:rPr>
          <w:sz w:val="18"/>
        </w:rPr>
      </w:pPr>
      <w:r>
        <w:rPr>
          <w:color w:val="585858"/>
          <w:sz w:val="18"/>
        </w:rPr>
        <w:t>50.00</w:t>
      </w:r>
    </w:p>
    <w:p>
      <w:pPr>
        <w:spacing w:before="159"/>
        <w:ind w:left="521" w:right="0" w:firstLine="0"/>
        <w:jc w:val="left"/>
        <w:rPr>
          <w:sz w:val="18"/>
        </w:rPr>
      </w:pPr>
      <w:r>
        <w:rPr>
          <w:color w:val="585858"/>
          <w:sz w:val="18"/>
        </w:rPr>
        <w:t>40.00</w:t>
      </w:r>
    </w:p>
    <w:p>
      <w:pPr>
        <w:spacing w:before="158"/>
        <w:ind w:left="521" w:right="0" w:firstLine="0"/>
        <w:jc w:val="left"/>
        <w:rPr>
          <w:sz w:val="18"/>
        </w:rPr>
      </w:pPr>
      <w:r>
        <w:rPr>
          <w:color w:val="585858"/>
          <w:sz w:val="18"/>
        </w:rPr>
        <w:t>30.00</w:t>
      </w:r>
    </w:p>
    <w:p>
      <w:pPr>
        <w:spacing w:before="159"/>
        <w:ind w:left="521" w:right="0" w:firstLine="0"/>
        <w:jc w:val="left"/>
        <w:rPr>
          <w:sz w:val="18"/>
        </w:rPr>
      </w:pPr>
      <w:r>
        <w:rPr>
          <w:color w:val="585858"/>
          <w:sz w:val="18"/>
        </w:rPr>
        <w:t>20.00</w:t>
      </w:r>
    </w:p>
    <w:p>
      <w:pPr>
        <w:spacing w:before="158"/>
        <w:ind w:left="521" w:right="0" w:firstLine="0"/>
        <w:jc w:val="left"/>
        <w:rPr>
          <w:sz w:val="18"/>
        </w:rPr>
      </w:pPr>
      <w:r>
        <w:rPr>
          <w:color w:val="585858"/>
          <w:sz w:val="18"/>
        </w:rPr>
        <w:t>10.00</w:t>
      </w:r>
    </w:p>
    <w:p>
      <w:pPr>
        <w:spacing w:before="159"/>
        <w:ind w:left="612" w:right="0" w:firstLine="0"/>
        <w:jc w:val="left"/>
        <w:rPr>
          <w:sz w:val="18"/>
        </w:rPr>
      </w:pPr>
      <w:r>
        <w:rPr>
          <w:color w:val="585858"/>
          <w:sz w:val="18"/>
        </w:rPr>
        <w:t>0.00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5"/>
        </w:rPr>
      </w:pPr>
    </w:p>
    <w:p>
      <w:pPr>
        <w:tabs>
          <w:tab w:pos="2629" w:val="left" w:leader="none"/>
          <w:tab w:pos="3807" w:val="left" w:leader="none"/>
          <w:tab w:pos="4743" w:val="left" w:leader="none"/>
          <w:tab w:pos="6588" w:val="left" w:leader="none"/>
          <w:tab w:pos="7611" w:val="left" w:leader="none"/>
        </w:tabs>
        <w:spacing w:before="63"/>
        <w:ind w:left="1678" w:right="0" w:firstLine="0"/>
        <w:jc w:val="left"/>
        <w:rPr>
          <w:sz w:val="18"/>
        </w:rPr>
      </w:pPr>
      <w:r>
        <w:rPr/>
        <w:pict>
          <v:rect style="position:absolute;margin-left:133.839996pt;margin-top:6.666024pt;width:4.9433pt;height:4.9433pt;mso-position-horizontal-relative:page;mso-position-vertical-relative:paragraph;z-index:15827968" filled="true" fillcolor="#c0504d" stroked="false">
            <v:fill type="solid"/>
            <w10:wrap type="none"/>
          </v:rect>
        </w:pict>
      </w:r>
      <w:r>
        <w:rPr/>
        <w:pict>
          <v:rect style="position:absolute;margin-left:181.410004pt;margin-top:6.666024pt;width:4.9433pt;height:4.9433pt;mso-position-horizontal-relative:page;mso-position-vertical-relative:paragraph;z-index:-28904960" filled="true" fillcolor="#8063a1" stroked="false">
            <v:fill type="solid"/>
            <w10:wrap type="none"/>
          </v:rect>
        </w:pict>
      </w:r>
      <w:r>
        <w:rPr/>
        <w:pict>
          <v:rect style="position:absolute;margin-left:240.300003pt;margin-top:6.666024pt;width:4.9433pt;height:4.9433pt;mso-position-horizontal-relative:page;mso-position-vertical-relative:paragraph;z-index:-28904448" filled="true" fillcolor="#f79546" stroked="false">
            <v:fill type="solid"/>
            <w10:wrap type="none"/>
          </v:rect>
        </w:pict>
      </w:r>
      <w:r>
        <w:rPr/>
        <w:pict>
          <v:rect style="position:absolute;margin-left:287.059998pt;margin-top:6.666024pt;width:4.9433pt;height:4.9433pt;mso-position-horizontal-relative:page;mso-position-vertical-relative:paragraph;z-index:-28903936" filled="true" fillcolor="#772c2a" stroked="false">
            <v:fill type="solid"/>
            <w10:wrap type="none"/>
          </v:rect>
        </w:pict>
      </w:r>
      <w:r>
        <w:rPr/>
        <w:pict>
          <v:rect style="position:absolute;margin-left:379.329987pt;margin-top:6.666024pt;width:4.9433pt;height:4.9433pt;mso-position-horizontal-relative:page;mso-position-vertical-relative:paragraph;z-index:-28903424" filled="true" fillcolor="#4d3a61" stroked="false">
            <v:fill type="solid"/>
            <w10:wrap type="none"/>
          </v:rect>
        </w:pict>
      </w:r>
      <w:r>
        <w:rPr/>
        <w:pict>
          <v:rect style="position:absolute;margin-left:430.440002pt;margin-top:6.666024pt;width:4.9433pt;height:4.9433pt;mso-position-horizontal-relative:page;mso-position-vertical-relative:paragraph;z-index:-28902912" filled="true" fillcolor="#b65608" stroked="false">
            <v:fill type="solid"/>
            <w10:wrap type="none"/>
          </v:rect>
        </w:pict>
      </w:r>
      <w:r>
        <w:rPr>
          <w:color w:val="585858"/>
          <w:sz w:val="18"/>
        </w:rPr>
        <w:t>% Maya</w:t>
        <w:tab/>
        <w:t>%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Garífuna</w:t>
        <w:tab/>
        <w:t>%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Xinca</w:t>
        <w:tab/>
        <w:t>%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Afrodescendiente</w:t>
        <w:tab/>
        <w:t>%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Ladina</w:t>
        <w:tab/>
        <w:t>%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Extranjero</w:t>
      </w:r>
    </w:p>
    <w:p>
      <w:pPr>
        <w:pStyle w:val="BodyText"/>
        <w:spacing w:before="11"/>
        <w:rPr>
          <w:sz w:val="29"/>
        </w:rPr>
      </w:pPr>
    </w:p>
    <w:p>
      <w:pPr>
        <w:spacing w:before="68"/>
        <w:ind w:left="300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 Guatemala.</w:t>
      </w:r>
      <w:r>
        <w:rPr>
          <w:spacing w:val="-2"/>
          <w:sz w:val="16"/>
        </w:rPr>
        <w:t> </w:t>
      </w:r>
      <w:r>
        <w:rPr>
          <w:sz w:val="16"/>
        </w:rPr>
        <w:t>Procesado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Redatam</w:t>
      </w:r>
      <w:r>
        <w:rPr>
          <w:spacing w:val="-2"/>
          <w:sz w:val="16"/>
        </w:rPr>
        <w:t> </w:t>
      </w:r>
      <w:r>
        <w:rPr>
          <w:sz w:val="16"/>
        </w:rPr>
        <w:t>WebServer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  <w:r>
        <w:rPr/>
        <w:pict>
          <v:rect style="position:absolute;margin-left:563.280029pt;margin-top:16.901869pt;width:25.44pt;height:1.464pt;mso-position-horizontal-relative:page;mso-position-vertical-relative:paragraph;z-index:-1563187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223"/>
      </w:pPr>
      <w:r>
        <w:rPr/>
        <w:t>53</w:t>
      </w:r>
    </w:p>
    <w:p>
      <w:pPr>
        <w:pStyle w:val="BodyText"/>
        <w:spacing w:line="91" w:lineRule="exact"/>
        <w:ind w:left="10125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45pt;height:4.6pt;mso-position-horizontal-relative:char;mso-position-vertical-relative:line" coordorigin="0,0" coordsize="509,92">
            <v:rect style="position:absolute;left:0;top:0;width:509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type w:val="continuous"/>
          <w:pgSz w:w="12240" w:h="15840"/>
          <w:pgMar w:top="34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415616">
            <wp:simplePos x="0" y="0"/>
            <wp:positionH relativeFrom="page">
              <wp:posOffset>0</wp:posOffset>
            </wp:positionH>
            <wp:positionV relativeFrom="page">
              <wp:posOffset>302887</wp:posOffset>
            </wp:positionV>
            <wp:extent cx="7772399" cy="9501333"/>
            <wp:effectExtent l="0" t="0" r="0" b="0"/>
            <wp:wrapNone/>
            <wp:docPr id="15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0"/>
          <w:numId w:val="4"/>
        </w:numPr>
        <w:tabs>
          <w:tab w:pos="732" w:val="left" w:leader="none"/>
          <w:tab w:pos="733" w:val="left" w:leader="none"/>
        </w:tabs>
        <w:spacing w:line="240" w:lineRule="auto" w:before="52" w:after="0"/>
        <w:ind w:left="732" w:right="0" w:hanging="433"/>
        <w:jc w:val="left"/>
      </w:pPr>
      <w:bookmarkStart w:name="_bookmark62" w:id="80"/>
      <w:bookmarkEnd w:id="80"/>
      <w:r>
        <w:rPr>
          <w:b w:val="0"/>
        </w:rPr>
      </w:r>
      <w:bookmarkStart w:name="_bookmark62" w:id="81"/>
      <w:bookmarkEnd w:id="81"/>
      <w:r>
        <w:rPr>
          <w:color w:val="1F4E79"/>
        </w:rPr>
        <w:t>C</w:t>
      </w:r>
      <w:r>
        <w:rPr>
          <w:color w:val="1F4E79"/>
        </w:rPr>
        <w:t>uantificación</w:t>
      </w:r>
      <w:r>
        <w:rPr>
          <w:color w:val="1F4E79"/>
          <w:spacing w:val="-5"/>
        </w:rPr>
        <w:t> </w:t>
      </w:r>
      <w:r>
        <w:rPr>
          <w:color w:val="1F4E79"/>
        </w:rPr>
        <w:t>de</w:t>
      </w:r>
      <w:r>
        <w:rPr>
          <w:color w:val="1F4E79"/>
          <w:spacing w:val="-5"/>
        </w:rPr>
        <w:t> </w:t>
      </w:r>
      <w:r>
        <w:rPr>
          <w:color w:val="1F4E79"/>
        </w:rPr>
        <w:t>la</w:t>
      </w:r>
      <w:r>
        <w:rPr>
          <w:color w:val="1F4E79"/>
          <w:spacing w:val="-5"/>
        </w:rPr>
        <w:t> </w:t>
      </w:r>
      <w:r>
        <w:rPr>
          <w:color w:val="1F4E79"/>
        </w:rPr>
        <w:t>población</w:t>
      </w:r>
      <w:r>
        <w:rPr>
          <w:color w:val="1F4E79"/>
          <w:spacing w:val="2"/>
        </w:rPr>
        <w:t> </w:t>
      </w:r>
      <w:r>
        <w:rPr>
          <w:color w:val="1F4E79"/>
        </w:rPr>
        <w:t>afectada</w:t>
      </w:r>
    </w:p>
    <w:p>
      <w:pPr>
        <w:pStyle w:val="BodyText"/>
        <w:spacing w:before="6"/>
        <w:rPr>
          <w:b/>
          <w:sz w:val="29"/>
        </w:rPr>
      </w:pPr>
    </w:p>
    <w:p>
      <w:pPr>
        <w:spacing w:before="0"/>
        <w:ind w:left="300" w:right="1097" w:firstLine="0"/>
        <w:jc w:val="both"/>
        <w:rPr>
          <w:sz w:val="24"/>
        </w:rPr>
      </w:pPr>
      <w:r>
        <w:rPr>
          <w:sz w:val="24"/>
        </w:rPr>
        <w:t>A continuación, se establece la cantidad de población proyectada al 2021 con base al Censo de</w:t>
      </w:r>
      <w:r>
        <w:rPr>
          <w:spacing w:val="1"/>
          <w:sz w:val="24"/>
        </w:rPr>
        <w:t> </w:t>
      </w:r>
      <w:r>
        <w:rPr>
          <w:sz w:val="24"/>
        </w:rPr>
        <w:t>Población y Vivienda de 2018, posteriormente, se identifica a la cantidad de inscritos por cada</w:t>
      </w:r>
      <w:r>
        <w:rPr>
          <w:spacing w:val="1"/>
          <w:sz w:val="24"/>
        </w:rPr>
        <w:t> </w:t>
      </w:r>
      <w:r>
        <w:rPr>
          <w:sz w:val="24"/>
        </w:rPr>
        <w:t>nivel o ciclo educativo con base a las estadísticas oficiales del Mineduc al 2021, se aplica la resta</w:t>
      </w:r>
      <w:r>
        <w:rPr>
          <w:spacing w:val="-52"/>
          <w:sz w:val="24"/>
        </w:rPr>
        <w:t> </w:t>
      </w:r>
      <w:r>
        <w:rPr>
          <w:sz w:val="24"/>
        </w:rPr>
        <w:t>entre</w:t>
      </w:r>
      <w:r>
        <w:rPr>
          <w:spacing w:val="1"/>
          <w:sz w:val="24"/>
        </w:rPr>
        <w:t> </w:t>
      </w:r>
      <w:r>
        <w:rPr>
          <w:sz w:val="24"/>
        </w:rPr>
        <w:t>ambas cantidades y se obtiene la cantidad de población afectada por cada nivel de</w:t>
      </w:r>
      <w:r>
        <w:rPr>
          <w:spacing w:val="1"/>
          <w:sz w:val="24"/>
        </w:rPr>
        <w:t> </w:t>
      </w:r>
      <w:r>
        <w:rPr>
          <w:sz w:val="24"/>
        </w:rPr>
        <w:t>educación.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300" w:right="0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continuación,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muestran los</w:t>
      </w:r>
      <w:r>
        <w:rPr>
          <w:spacing w:val="-4"/>
          <w:sz w:val="24"/>
        </w:rPr>
        <w:t> </w:t>
      </w:r>
      <w:r>
        <w:rPr>
          <w:sz w:val="24"/>
        </w:rPr>
        <w:t>resultados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operación.</w:t>
      </w:r>
    </w:p>
    <w:p>
      <w:pPr>
        <w:pStyle w:val="BodyText"/>
        <w:spacing w:before="6"/>
        <w:rPr>
          <w:sz w:val="29"/>
        </w:rPr>
      </w:pPr>
    </w:p>
    <w:p>
      <w:pPr>
        <w:pStyle w:val="Heading3"/>
        <w:numPr>
          <w:ilvl w:val="1"/>
          <w:numId w:val="4"/>
        </w:numPr>
        <w:tabs>
          <w:tab w:pos="876" w:val="left" w:leader="none"/>
          <w:tab w:pos="877" w:val="left" w:leader="none"/>
        </w:tabs>
        <w:spacing w:line="240" w:lineRule="auto" w:before="1" w:after="0"/>
        <w:ind w:left="876" w:right="0" w:hanging="577"/>
        <w:jc w:val="left"/>
      </w:pPr>
      <w:bookmarkStart w:name="_bookmark63" w:id="82"/>
      <w:bookmarkEnd w:id="82"/>
      <w:r>
        <w:rPr>
          <w:b w:val="0"/>
        </w:rPr>
      </w:r>
      <w:bookmarkStart w:name="_bookmark63" w:id="83"/>
      <w:bookmarkEnd w:id="83"/>
      <w:r>
        <w:rPr>
          <w:color w:val="1F4E79"/>
        </w:rPr>
        <w:t>Po</w:t>
      </w:r>
      <w:r>
        <w:rPr>
          <w:color w:val="1F4E79"/>
        </w:rPr>
        <w:t>blación</w:t>
      </w:r>
      <w:r>
        <w:rPr>
          <w:color w:val="1F4E79"/>
          <w:spacing w:val="-1"/>
        </w:rPr>
        <w:t> </w:t>
      </w:r>
      <w:r>
        <w:rPr>
          <w:color w:val="1F4E79"/>
        </w:rPr>
        <w:t>afectada</w:t>
      </w:r>
      <w:r>
        <w:rPr>
          <w:color w:val="1F4E79"/>
          <w:spacing w:val="-3"/>
        </w:rPr>
        <w:t> </w:t>
      </w:r>
      <w:r>
        <w:rPr>
          <w:color w:val="1F4E79"/>
        </w:rPr>
        <w:t>en</w:t>
      </w:r>
      <w:r>
        <w:rPr>
          <w:color w:val="1F4E79"/>
          <w:spacing w:val="-1"/>
        </w:rPr>
        <w:t> </w:t>
      </w:r>
      <w:r>
        <w:rPr>
          <w:color w:val="1F4E79"/>
        </w:rPr>
        <w:t>el</w:t>
      </w:r>
      <w:r>
        <w:rPr>
          <w:color w:val="1F4E79"/>
          <w:spacing w:val="-3"/>
        </w:rPr>
        <w:t> </w:t>
      </w:r>
      <w:r>
        <w:rPr>
          <w:color w:val="1F4E79"/>
        </w:rPr>
        <w:t>Nivel</w:t>
      </w:r>
      <w:r>
        <w:rPr>
          <w:color w:val="1F4E79"/>
          <w:spacing w:val="-1"/>
        </w:rPr>
        <w:t> </w:t>
      </w:r>
      <w:r>
        <w:rPr>
          <w:color w:val="1F4E79"/>
        </w:rPr>
        <w:t>de</w:t>
      </w:r>
      <w:r>
        <w:rPr>
          <w:color w:val="1F4E79"/>
          <w:spacing w:val="-4"/>
        </w:rPr>
        <w:t> </w:t>
      </w:r>
      <w:r>
        <w:rPr>
          <w:color w:val="1F4E79"/>
        </w:rPr>
        <w:t>Educación</w:t>
      </w:r>
      <w:r>
        <w:rPr>
          <w:color w:val="1F4E79"/>
          <w:spacing w:val="-3"/>
        </w:rPr>
        <w:t> </w:t>
      </w:r>
      <w:r>
        <w:rPr>
          <w:color w:val="1F4E79"/>
        </w:rPr>
        <w:t>Inicial</w:t>
      </w:r>
      <w:r>
        <w:rPr>
          <w:color w:val="1F4E79"/>
          <w:spacing w:val="-1"/>
        </w:rPr>
        <w:t> </w:t>
      </w:r>
      <w:r>
        <w:rPr>
          <w:color w:val="1F4E79"/>
        </w:rPr>
        <w:t>en</w:t>
      </w:r>
      <w:r>
        <w:rPr>
          <w:color w:val="1F4E79"/>
          <w:spacing w:val="-1"/>
        </w:rPr>
        <w:t> </w:t>
      </w:r>
      <w:r>
        <w:rPr>
          <w:color w:val="1F4E79"/>
        </w:rPr>
        <w:t>edades</w:t>
      </w:r>
      <w:r>
        <w:rPr>
          <w:color w:val="1F4E79"/>
          <w:spacing w:val="-2"/>
        </w:rPr>
        <w:t> </w:t>
      </w:r>
      <w:r>
        <w:rPr>
          <w:color w:val="1F4E79"/>
        </w:rPr>
        <w:t>entre</w:t>
      </w:r>
      <w:r>
        <w:rPr>
          <w:color w:val="1F4E79"/>
          <w:spacing w:val="-2"/>
        </w:rPr>
        <w:t> </w:t>
      </w:r>
      <w:r>
        <w:rPr>
          <w:color w:val="1F4E79"/>
        </w:rPr>
        <w:t>0</w:t>
      </w:r>
      <w:r>
        <w:rPr>
          <w:color w:val="1F4E79"/>
          <w:spacing w:val="-1"/>
        </w:rPr>
        <w:t> </w:t>
      </w:r>
      <w:r>
        <w:rPr>
          <w:color w:val="1F4E79"/>
        </w:rPr>
        <w:t>a</w:t>
      </w:r>
      <w:r>
        <w:rPr>
          <w:color w:val="1F4E79"/>
          <w:spacing w:val="-5"/>
        </w:rPr>
        <w:t> </w:t>
      </w:r>
      <w:r>
        <w:rPr>
          <w:color w:val="1F4E79"/>
        </w:rPr>
        <w:t>3</w:t>
      </w:r>
      <w:r>
        <w:rPr>
          <w:color w:val="1F4E79"/>
          <w:spacing w:val="-3"/>
        </w:rPr>
        <w:t> </w:t>
      </w:r>
      <w:r>
        <w:rPr>
          <w:color w:val="1F4E79"/>
        </w:rPr>
        <w:t>años</w:t>
      </w:r>
      <w:r>
        <w:rPr>
          <w:color w:val="1F4E79"/>
          <w:spacing w:val="-1"/>
        </w:rPr>
        <w:t> </w:t>
      </w:r>
      <w:r>
        <w:rPr>
          <w:color w:val="1F4E79"/>
        </w:rPr>
        <w:t>en 2021</w:t>
      </w:r>
    </w:p>
    <w:p>
      <w:pPr>
        <w:pStyle w:val="BodyText"/>
        <w:rPr>
          <w:b/>
          <w:sz w:val="24"/>
        </w:rPr>
      </w:pPr>
    </w:p>
    <w:p>
      <w:pPr>
        <w:spacing w:before="186"/>
        <w:ind w:left="32" w:right="989" w:firstLine="0"/>
        <w:jc w:val="center"/>
        <w:rPr>
          <w:sz w:val="20"/>
        </w:rPr>
      </w:pPr>
      <w:bookmarkStart w:name="_bookmark64" w:id="84"/>
      <w:bookmarkEnd w:id="84"/>
      <w:r>
        <w:rPr/>
      </w:r>
      <w:r>
        <w:rPr>
          <w:sz w:val="20"/>
        </w:rPr>
        <w:t>Gráfico</w:t>
      </w:r>
      <w:r>
        <w:rPr>
          <w:spacing w:val="-2"/>
          <w:sz w:val="20"/>
        </w:rPr>
        <w:t> </w:t>
      </w:r>
      <w:r>
        <w:rPr>
          <w:sz w:val="20"/>
        </w:rPr>
        <w:t>44</w:t>
      </w:r>
      <w:r>
        <w:rPr>
          <w:spacing w:val="-1"/>
          <w:sz w:val="20"/>
        </w:rPr>
        <w:t> </w:t>
      </w:r>
      <w:r>
        <w:rPr>
          <w:sz w:val="20"/>
        </w:rPr>
        <w:t>Población en</w:t>
      </w:r>
      <w:r>
        <w:rPr>
          <w:spacing w:val="-2"/>
          <w:sz w:val="20"/>
        </w:rPr>
        <w:t> </w:t>
      </w:r>
      <w:r>
        <w:rPr>
          <w:sz w:val="20"/>
        </w:rPr>
        <w:t>edades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0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3</w:t>
      </w:r>
      <w:r>
        <w:rPr>
          <w:spacing w:val="-2"/>
          <w:sz w:val="20"/>
        </w:rPr>
        <w:t> </w:t>
      </w:r>
      <w:r>
        <w:rPr>
          <w:sz w:val="20"/>
        </w:rPr>
        <w:t>años</w:t>
      </w:r>
      <w:r>
        <w:rPr>
          <w:spacing w:val="-3"/>
          <w:sz w:val="20"/>
        </w:rPr>
        <w:t> </w:t>
      </w:r>
      <w:r>
        <w:rPr>
          <w:sz w:val="20"/>
        </w:rPr>
        <w:t>2021,</w:t>
      </w:r>
      <w:r>
        <w:rPr>
          <w:spacing w:val="-2"/>
          <w:sz w:val="20"/>
        </w:rPr>
        <w:t> </w:t>
      </w:r>
      <w:r>
        <w:rPr>
          <w:sz w:val="20"/>
        </w:rPr>
        <w:t>inscritos</w:t>
      </w:r>
      <w:r>
        <w:rPr>
          <w:spacing w:val="-3"/>
          <w:sz w:val="20"/>
        </w:rPr>
        <w:t> </w:t>
      </w:r>
      <w:r>
        <w:rPr>
          <w:sz w:val="20"/>
        </w:rPr>
        <w:t>2021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educación</w:t>
      </w:r>
      <w:r>
        <w:rPr>
          <w:spacing w:val="-2"/>
          <w:sz w:val="20"/>
        </w:rPr>
        <w:t> </w:t>
      </w:r>
      <w:r>
        <w:rPr>
          <w:sz w:val="20"/>
        </w:rPr>
        <w:t>inicial</w:t>
      </w:r>
      <w:r>
        <w:rPr>
          <w:spacing w:val="-1"/>
          <w:sz w:val="20"/>
        </w:rPr>
        <w:t> </w:t>
      </w:r>
      <w:r>
        <w:rPr>
          <w:sz w:val="20"/>
        </w:rPr>
        <w:t>y</w:t>
      </w:r>
    </w:p>
    <w:p>
      <w:pPr>
        <w:spacing w:before="1"/>
        <w:ind w:left="32" w:right="558" w:firstLine="0"/>
        <w:jc w:val="center"/>
        <w:rPr>
          <w:sz w:val="20"/>
        </w:rPr>
      </w:pPr>
      <w:r>
        <w:rPr>
          <w:sz w:val="20"/>
        </w:rPr>
        <w:t>población</w:t>
      </w:r>
      <w:r>
        <w:rPr>
          <w:spacing w:val="-2"/>
          <w:sz w:val="20"/>
        </w:rPr>
        <w:t> </w:t>
      </w:r>
      <w:r>
        <w:rPr>
          <w:sz w:val="20"/>
        </w:rPr>
        <w:t>afectada</w:t>
      </w:r>
      <w:r>
        <w:rPr>
          <w:spacing w:val="-2"/>
          <w:sz w:val="20"/>
        </w:rPr>
        <w:t> </w:t>
      </w:r>
      <w:r>
        <w:rPr>
          <w:sz w:val="20"/>
        </w:rPr>
        <w:t>ciclo</w:t>
      </w:r>
      <w:r>
        <w:rPr>
          <w:spacing w:val="-2"/>
          <w:sz w:val="20"/>
        </w:rPr>
        <w:t> </w:t>
      </w:r>
      <w:r>
        <w:rPr>
          <w:sz w:val="20"/>
        </w:rPr>
        <w:t>2021.</w:t>
      </w:r>
    </w:p>
    <w:p>
      <w:pPr>
        <w:pStyle w:val="BodyText"/>
        <w:spacing w:before="10"/>
        <w:rPr>
          <w:sz w:val="10"/>
        </w:rPr>
      </w:pPr>
      <w:r>
        <w:rPr/>
        <w:pict>
          <v:group style="position:absolute;margin-left:72pt;margin-top:8.577978pt;width:472.15pt;height:254.5pt;mso-position-horizontal-relative:page;mso-position-vertical-relative:paragraph;z-index:-15626240;mso-wrap-distance-left:0;mso-wrap-distance-right:0" coordorigin="1440,172" coordsize="9443,5090">
            <v:rect style="position:absolute;left:1440;top:171;width:9443;height:5090" filled="true" fillcolor="#ffffff" stroked="false">
              <v:fill type="solid"/>
            </v:rect>
            <v:rect style="position:absolute;left:6135;top:4272;width:857;height:68" filled="true" fillcolor="#92d050" stroked="false">
              <v:fill type="solid"/>
            </v:rect>
            <v:rect style="position:absolute;left:8868;top:695;width:857;height:3645" filled="true" fillcolor="#ff0000" stroked="false">
              <v:fill type="solid"/>
            </v:rect>
            <v:rect style="position:absolute;left:3403;top:626;width:857;height:3714" filled="true" fillcolor="#5b9bd4" stroked="false">
              <v:fill type="solid"/>
            </v:rect>
            <v:line style="position:absolute" from="2465,4340" to="10663,4340" stroked="true" strokeweight=".75pt" strokecolor="#d9d9d9">
              <v:stroke dashstyle="solid"/>
            </v:line>
            <v:rect style="position:absolute;left:3891;top:4923;width:99;height:99" filled="true" fillcolor="#5b9bd4" stroked="false">
              <v:fill type="solid"/>
            </v:rect>
            <v:rect style="position:absolute;left:5423;top:4923;width:99;height:99" filled="true" fillcolor="#92d050" stroked="false">
              <v:fill type="solid"/>
            </v:rect>
            <v:rect style="position:absolute;left:7226;top:4923;width:99;height:99" filled="true" fillcolor="#ff0000" stroked="false">
              <v:fill type="solid"/>
            </v:rect>
            <v:shape style="position:absolute;left:1570;top:308;width:7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1,600,000</w:t>
                    </w:r>
                  </w:p>
                </w:txbxContent>
              </v:textbox>
              <w10:wrap type="none"/>
            </v:shape>
            <v:shape style="position:absolute;left:3466;top:353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1,504,537</w:t>
                    </w:r>
                  </w:p>
                </w:txbxContent>
              </v:textbox>
              <w10:wrap type="none"/>
            </v:shape>
            <v:shape style="position:absolute;left:8932;top:421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1,477,042</w:t>
                    </w:r>
                  </w:p>
                </w:txbxContent>
              </v:textbox>
              <w10:wrap type="none"/>
            </v:shape>
            <v:shape style="position:absolute;left:1570;top:801;width:749;height:314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1,400,000</w:t>
                    </w:r>
                  </w:p>
                  <w:p>
                    <w:pPr>
                      <w:spacing w:line="240" w:lineRule="auto" w:before="5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1,200,000</w:t>
                    </w:r>
                  </w:p>
                  <w:p>
                    <w:pPr>
                      <w:spacing w:line="240" w:lineRule="auto" w:before="5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1,000,000</w:t>
                    </w:r>
                  </w:p>
                  <w:p>
                    <w:pPr>
                      <w:spacing w:line="240" w:lineRule="auto" w:before="5"/>
                      <w:rPr>
                        <w:sz w:val="22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800,000</w:t>
                    </w:r>
                  </w:p>
                  <w:p>
                    <w:pPr>
                      <w:spacing w:line="240" w:lineRule="auto" w:before="5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600,000</w:t>
                    </w:r>
                  </w:p>
                  <w:p>
                    <w:pPr>
                      <w:spacing w:line="240" w:lineRule="auto" w:before="5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400,000</w:t>
                    </w:r>
                  </w:p>
                  <w:p>
                    <w:pPr>
                      <w:spacing w:line="240" w:lineRule="auto" w:before="5"/>
                      <w:rPr>
                        <w:sz w:val="22"/>
                      </w:rPr>
                    </w:pPr>
                  </w:p>
                  <w:p>
                    <w:pPr>
                      <w:spacing w:line="216" w:lineRule="exact" w:before="1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200,000</w:t>
                    </w:r>
                  </w:p>
                </w:txbxContent>
              </v:textbox>
              <w10:wrap type="none"/>
            </v:shape>
            <v:shape style="position:absolute;left:6314;top:3999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27,495</w:t>
                    </w:r>
                  </w:p>
                </w:txbxContent>
              </v:textbox>
              <w10:wrap type="none"/>
            </v:shape>
            <v:shape style="position:absolute;left:2207;top:4256;width:11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w w:val="10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70;top:4491;width:114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Población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5869;top:4491;width:14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Inscritos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ciclo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8730;top:4491;width:11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Afectados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4033;top:4890;width:114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Población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5565;top:4890;width:14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Inscritos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ciclo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7368;top:4890;width:11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Afectados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300" w:right="1100" w:firstLine="0"/>
        <w:jc w:val="both"/>
        <w:rPr>
          <w:sz w:val="16"/>
        </w:rPr>
      </w:pPr>
      <w:r>
        <w:rPr>
          <w:sz w:val="16"/>
        </w:rPr>
        <w:t>Fuente: Elaboración propia a partir de los datos del Censo de Población y Vivienda 2018, Guatemala; e información del Sistema de Indicadores</w:t>
      </w:r>
      <w:r>
        <w:rPr>
          <w:spacing w:val="1"/>
          <w:sz w:val="16"/>
        </w:rPr>
        <w:t> </w:t>
      </w:r>
      <w:r>
        <w:rPr>
          <w:sz w:val="16"/>
        </w:rPr>
        <w:t>Educativos,</w:t>
      </w:r>
      <w:r>
        <w:rPr>
          <w:spacing w:val="-1"/>
          <w:sz w:val="16"/>
        </w:rPr>
        <w:t> </w:t>
      </w:r>
      <w:r>
        <w:rPr>
          <w:sz w:val="16"/>
        </w:rPr>
        <w:t>DIPLAN</w:t>
      </w:r>
      <w:r>
        <w:rPr>
          <w:spacing w:val="-1"/>
          <w:sz w:val="16"/>
        </w:rPr>
        <w:t> </w:t>
      </w:r>
      <w:r>
        <w:rPr>
          <w:sz w:val="16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rect style="position:absolute;margin-left:563.280029pt;margin-top:8.834437pt;width:25.44pt;height:1.464pt;mso-position-horizontal-relative:page;mso-position-vertical-relative:paragraph;z-index:-1562572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223"/>
      </w:pPr>
      <w:r>
        <w:rPr/>
        <w:t>54</w:t>
      </w:r>
    </w:p>
    <w:p>
      <w:pPr>
        <w:pStyle w:val="BodyText"/>
        <w:spacing w:line="91" w:lineRule="exact"/>
        <w:ind w:left="10125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45pt;height:4.6pt;mso-position-horizontal-relative:char;mso-position-vertical-relative:line" coordorigin="0,0" coordsize="509,92">
            <v:rect style="position:absolute;left:0;top:0;width:509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1"/>
          <w:numId w:val="4"/>
        </w:numPr>
        <w:tabs>
          <w:tab w:pos="876" w:val="left" w:leader="none"/>
          <w:tab w:pos="877" w:val="left" w:leader="none"/>
        </w:tabs>
        <w:spacing w:line="240" w:lineRule="auto" w:before="52" w:after="0"/>
        <w:ind w:left="876" w:right="1109" w:hanging="576"/>
        <w:jc w:val="left"/>
      </w:pPr>
      <w:bookmarkStart w:name="_bookmark65" w:id="85"/>
      <w:bookmarkEnd w:id="85"/>
      <w:r>
        <w:rPr>
          <w:b w:val="0"/>
        </w:rPr>
      </w:r>
      <w:bookmarkStart w:name="_bookmark65" w:id="86"/>
      <w:bookmarkEnd w:id="86"/>
      <w:r>
        <w:rPr>
          <w:color w:val="1F4E79"/>
        </w:rPr>
        <w:t>Po</w:t>
      </w:r>
      <w:r>
        <w:rPr>
          <w:color w:val="1F4E79"/>
        </w:rPr>
        <w:t>blación</w:t>
      </w:r>
      <w:r>
        <w:rPr>
          <w:color w:val="1F4E79"/>
          <w:spacing w:val="7"/>
        </w:rPr>
        <w:t> </w:t>
      </w:r>
      <w:r>
        <w:rPr>
          <w:color w:val="1F4E79"/>
        </w:rPr>
        <w:t>afectada</w:t>
      </w:r>
      <w:r>
        <w:rPr>
          <w:color w:val="1F4E79"/>
          <w:spacing w:val="7"/>
        </w:rPr>
        <w:t> </w:t>
      </w:r>
      <w:r>
        <w:rPr>
          <w:color w:val="1F4E79"/>
        </w:rPr>
        <w:t>en</w:t>
      </w:r>
      <w:r>
        <w:rPr>
          <w:color w:val="1F4E79"/>
          <w:spacing w:val="7"/>
        </w:rPr>
        <w:t> </w:t>
      </w:r>
      <w:r>
        <w:rPr>
          <w:color w:val="1F4E79"/>
        </w:rPr>
        <w:t>el</w:t>
      </w:r>
      <w:r>
        <w:rPr>
          <w:color w:val="1F4E79"/>
          <w:spacing w:val="9"/>
        </w:rPr>
        <w:t> </w:t>
      </w:r>
      <w:r>
        <w:rPr>
          <w:color w:val="1F4E79"/>
        </w:rPr>
        <w:t>Nivel</w:t>
      </w:r>
      <w:r>
        <w:rPr>
          <w:color w:val="1F4E79"/>
          <w:spacing w:val="8"/>
        </w:rPr>
        <w:t> </w:t>
      </w:r>
      <w:r>
        <w:rPr>
          <w:color w:val="1F4E79"/>
        </w:rPr>
        <w:t>de</w:t>
      </w:r>
      <w:r>
        <w:rPr>
          <w:color w:val="1F4E79"/>
          <w:spacing w:val="7"/>
        </w:rPr>
        <w:t> </w:t>
      </w:r>
      <w:r>
        <w:rPr>
          <w:color w:val="1F4E79"/>
        </w:rPr>
        <w:t>Educación</w:t>
      </w:r>
      <w:r>
        <w:rPr>
          <w:color w:val="1F4E79"/>
          <w:spacing w:val="7"/>
        </w:rPr>
        <w:t> </w:t>
      </w:r>
      <w:r>
        <w:rPr>
          <w:color w:val="1F4E79"/>
        </w:rPr>
        <w:t>Preprimaria</w:t>
      </w:r>
      <w:r>
        <w:rPr>
          <w:color w:val="1F4E79"/>
          <w:spacing w:val="7"/>
        </w:rPr>
        <w:t> </w:t>
      </w:r>
      <w:r>
        <w:rPr>
          <w:color w:val="1F4E79"/>
        </w:rPr>
        <w:t>en</w:t>
      </w:r>
      <w:r>
        <w:rPr>
          <w:color w:val="1F4E79"/>
          <w:spacing w:val="8"/>
        </w:rPr>
        <w:t> </w:t>
      </w:r>
      <w:r>
        <w:rPr>
          <w:color w:val="1F4E79"/>
        </w:rPr>
        <w:t>edades</w:t>
      </w:r>
      <w:r>
        <w:rPr>
          <w:color w:val="1F4E79"/>
          <w:spacing w:val="7"/>
        </w:rPr>
        <w:t> </w:t>
      </w:r>
      <w:r>
        <w:rPr>
          <w:color w:val="1F4E79"/>
        </w:rPr>
        <w:t>entre</w:t>
      </w:r>
      <w:r>
        <w:rPr>
          <w:color w:val="1F4E79"/>
          <w:spacing w:val="7"/>
        </w:rPr>
        <w:t> </w:t>
      </w:r>
      <w:r>
        <w:rPr>
          <w:color w:val="1F4E79"/>
        </w:rPr>
        <w:t>4</w:t>
      </w:r>
      <w:r>
        <w:rPr>
          <w:color w:val="1F4E79"/>
          <w:spacing w:val="8"/>
        </w:rPr>
        <w:t> </w:t>
      </w:r>
      <w:r>
        <w:rPr>
          <w:color w:val="1F4E79"/>
        </w:rPr>
        <w:t>a</w:t>
      </w:r>
      <w:r>
        <w:rPr>
          <w:color w:val="1F4E79"/>
          <w:spacing w:val="7"/>
        </w:rPr>
        <w:t> </w:t>
      </w:r>
      <w:r>
        <w:rPr>
          <w:color w:val="1F4E79"/>
        </w:rPr>
        <w:t>6</w:t>
      </w:r>
      <w:r>
        <w:rPr>
          <w:color w:val="1F4E79"/>
          <w:spacing w:val="8"/>
        </w:rPr>
        <w:t> </w:t>
      </w:r>
      <w:r>
        <w:rPr>
          <w:color w:val="1F4E79"/>
        </w:rPr>
        <w:t>años</w:t>
      </w:r>
      <w:r>
        <w:rPr>
          <w:color w:val="1F4E79"/>
          <w:spacing w:val="8"/>
        </w:rPr>
        <w:t> </w:t>
      </w:r>
      <w:r>
        <w:rPr>
          <w:color w:val="1F4E79"/>
        </w:rPr>
        <w:t>en</w:t>
      </w:r>
      <w:r>
        <w:rPr>
          <w:color w:val="1F4E79"/>
          <w:spacing w:val="-51"/>
        </w:rPr>
        <w:t> </w:t>
      </w:r>
      <w:r>
        <w:rPr>
          <w:color w:val="1F4E79"/>
        </w:rPr>
        <w:t>2021.</w:t>
      </w:r>
    </w:p>
    <w:p>
      <w:pPr>
        <w:pStyle w:val="BodyText"/>
        <w:rPr>
          <w:b/>
          <w:sz w:val="24"/>
        </w:rPr>
      </w:pPr>
    </w:p>
    <w:p>
      <w:pPr>
        <w:spacing w:before="189"/>
        <w:ind w:left="32" w:right="987" w:firstLine="0"/>
        <w:jc w:val="center"/>
        <w:rPr>
          <w:sz w:val="20"/>
        </w:rPr>
      </w:pPr>
      <w:bookmarkStart w:name="_bookmark66" w:id="87"/>
      <w:bookmarkEnd w:id="87"/>
      <w:r>
        <w:rPr/>
      </w:r>
      <w:r>
        <w:rPr>
          <w:sz w:val="20"/>
        </w:rPr>
        <w:t>Gráfico</w:t>
      </w:r>
      <w:r>
        <w:rPr>
          <w:spacing w:val="-2"/>
          <w:sz w:val="20"/>
        </w:rPr>
        <w:t> </w:t>
      </w:r>
      <w:r>
        <w:rPr>
          <w:sz w:val="20"/>
        </w:rPr>
        <w:t>45</w:t>
      </w:r>
      <w:r>
        <w:rPr>
          <w:spacing w:val="-1"/>
          <w:sz w:val="20"/>
        </w:rPr>
        <w:t> </w:t>
      </w:r>
      <w:r>
        <w:rPr>
          <w:sz w:val="20"/>
        </w:rPr>
        <w:t>Población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edades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4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6</w:t>
      </w:r>
      <w:r>
        <w:rPr>
          <w:spacing w:val="-3"/>
          <w:sz w:val="20"/>
        </w:rPr>
        <w:t> </w:t>
      </w:r>
      <w:r>
        <w:rPr>
          <w:sz w:val="20"/>
        </w:rPr>
        <w:t>años</w:t>
      </w:r>
      <w:r>
        <w:rPr>
          <w:spacing w:val="-3"/>
          <w:sz w:val="20"/>
        </w:rPr>
        <w:t> </w:t>
      </w:r>
      <w:r>
        <w:rPr>
          <w:sz w:val="20"/>
        </w:rPr>
        <w:t>2021,</w:t>
      </w:r>
      <w:r>
        <w:rPr>
          <w:spacing w:val="-1"/>
          <w:sz w:val="20"/>
        </w:rPr>
        <w:t> </w:t>
      </w:r>
      <w:r>
        <w:rPr>
          <w:sz w:val="20"/>
        </w:rPr>
        <w:t>inscritos</w:t>
      </w:r>
      <w:r>
        <w:rPr>
          <w:spacing w:val="-4"/>
          <w:sz w:val="20"/>
        </w:rPr>
        <w:t> </w:t>
      </w:r>
      <w:r>
        <w:rPr>
          <w:sz w:val="20"/>
        </w:rPr>
        <w:t>2021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educación</w:t>
      </w:r>
      <w:r>
        <w:rPr>
          <w:spacing w:val="-2"/>
          <w:sz w:val="20"/>
        </w:rPr>
        <w:t> </w:t>
      </w:r>
      <w:r>
        <w:rPr>
          <w:sz w:val="20"/>
        </w:rPr>
        <w:t>preprimaria</w:t>
      </w:r>
      <w:r>
        <w:rPr>
          <w:spacing w:val="-1"/>
          <w:sz w:val="20"/>
        </w:rPr>
        <w:t> </w:t>
      </w:r>
      <w:r>
        <w:rPr>
          <w:sz w:val="20"/>
        </w:rPr>
        <w:t>y</w:t>
      </w:r>
    </w:p>
    <w:p>
      <w:pPr>
        <w:spacing w:before="0"/>
        <w:ind w:left="32" w:right="558" w:firstLine="0"/>
        <w:jc w:val="center"/>
        <w:rPr>
          <w:sz w:val="20"/>
        </w:rPr>
      </w:pPr>
      <w:r>
        <w:rPr>
          <w:sz w:val="20"/>
        </w:rPr>
        <w:t>población</w:t>
      </w:r>
      <w:r>
        <w:rPr>
          <w:spacing w:val="-2"/>
          <w:sz w:val="20"/>
        </w:rPr>
        <w:t> </w:t>
      </w:r>
      <w:r>
        <w:rPr>
          <w:sz w:val="20"/>
        </w:rPr>
        <w:t>afectada</w:t>
      </w:r>
      <w:r>
        <w:rPr>
          <w:spacing w:val="-2"/>
          <w:sz w:val="20"/>
        </w:rPr>
        <w:t> </w:t>
      </w:r>
      <w:r>
        <w:rPr>
          <w:sz w:val="20"/>
        </w:rPr>
        <w:t>ciclo</w:t>
      </w:r>
      <w:r>
        <w:rPr>
          <w:spacing w:val="-2"/>
          <w:sz w:val="20"/>
        </w:rPr>
        <w:t> </w:t>
      </w:r>
      <w:r>
        <w:rPr>
          <w:sz w:val="20"/>
        </w:rPr>
        <w:t>2021.</w:t>
      </w:r>
    </w:p>
    <w:p>
      <w:pPr>
        <w:spacing w:after="0"/>
        <w:jc w:val="center"/>
        <w:rPr>
          <w:sz w:val="20"/>
        </w:rPr>
        <w:sectPr>
          <w:pgSz w:w="12240" w:h="15840"/>
          <w:pgMar w:top="1500" w:bottom="280" w:left="1140" w:right="340"/>
        </w:sectPr>
      </w:pPr>
    </w:p>
    <w:p>
      <w:pPr>
        <w:spacing w:before="105"/>
        <w:ind w:left="408" w:right="0" w:firstLine="0"/>
        <w:jc w:val="left"/>
        <w:rPr>
          <w:sz w:val="21"/>
        </w:rPr>
      </w:pPr>
      <w:r>
        <w:rPr>
          <w:color w:val="585858"/>
          <w:sz w:val="21"/>
        </w:rPr>
        <w:t>1,200,000</w:t>
      </w:r>
    </w:p>
    <w:p>
      <w:pPr>
        <w:spacing w:before="67"/>
        <w:ind w:left="408" w:right="0" w:firstLine="0"/>
        <w:jc w:val="left"/>
        <w:rPr>
          <w:sz w:val="21"/>
        </w:rPr>
      </w:pPr>
      <w:r>
        <w:rPr/>
        <w:br w:type="column"/>
      </w:r>
      <w:r>
        <w:rPr>
          <w:color w:val="404040"/>
          <w:sz w:val="21"/>
        </w:rPr>
        <w:t>1,125,930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340" w:bottom="280" w:left="1140" w:right="340"/>
          <w:cols w:num="2" w:equalWidth="0">
            <w:col w:w="1300" w:space="651"/>
            <w:col w:w="8809"/>
          </w:cols>
        </w:sectPr>
      </w:pP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74417152">
            <wp:simplePos x="0" y="0"/>
            <wp:positionH relativeFrom="page">
              <wp:posOffset>0</wp:posOffset>
            </wp:positionH>
            <wp:positionV relativeFrom="page">
              <wp:posOffset>302887</wp:posOffset>
            </wp:positionV>
            <wp:extent cx="7772399" cy="9501333"/>
            <wp:effectExtent l="0" t="0" r="0" b="0"/>
            <wp:wrapNone/>
            <wp:docPr id="15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408" w:right="0" w:firstLine="0"/>
        <w:jc w:val="left"/>
        <w:rPr>
          <w:sz w:val="21"/>
        </w:rPr>
      </w:pPr>
      <w:r>
        <w:rPr/>
        <w:pict>
          <v:group style="position:absolute;margin-left:129.619995pt;margin-top:-4.352439pt;width:400.5pt;height:128.4500pt;mso-position-horizontal-relative:page;mso-position-vertical-relative:paragraph;z-index:15834624" coordorigin="2592,-87" coordsize="8010,2569">
            <v:rect style="position:absolute;left:6178;top:1042;width:837;height:1432" filled="true" fillcolor="#6fac46" stroked="false">
              <v:fill type="solid"/>
            </v:rect>
            <v:rect style="position:absolute;left:8848;top:1344;width:837;height:1130" filled="true" fillcolor="#ff0000" stroked="false">
              <v:fill type="solid"/>
            </v:rect>
            <v:rect style="position:absolute;left:3508;top:-88;width:838;height:2562" filled="true" fillcolor="#5b9bd4" stroked="false">
              <v:fill type="solid"/>
            </v:rect>
            <v:line style="position:absolute" from="2592,2474" to="10602,2474" stroked="true" strokeweight=".75pt" strokecolor="#d9d9d9">
              <v:stroke dashstyle="solid"/>
            </v:line>
            <v:shape style="position:absolute;left:6248;top:737;width:717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629,285</w:t>
                    </w:r>
                  </w:p>
                </w:txbxContent>
              </v:textbox>
              <w10:wrap type="none"/>
            </v:shape>
            <v:shape style="position:absolute;left:8918;top:1039;width:717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496,645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21"/>
        </w:rPr>
        <w:t>1,000,000</w:t>
      </w:r>
    </w:p>
    <w:p>
      <w:pPr>
        <w:pStyle w:val="BodyText"/>
        <w:spacing w:before="5"/>
        <w:rPr>
          <w:sz w:val="11"/>
        </w:rPr>
      </w:pPr>
    </w:p>
    <w:p>
      <w:pPr>
        <w:spacing w:before="59"/>
        <w:ind w:left="567" w:right="0" w:firstLine="0"/>
        <w:jc w:val="left"/>
        <w:rPr>
          <w:sz w:val="21"/>
        </w:rPr>
      </w:pPr>
      <w:r>
        <w:rPr>
          <w:color w:val="585858"/>
          <w:sz w:val="21"/>
        </w:rPr>
        <w:t>800,000</w:t>
      </w:r>
    </w:p>
    <w:p>
      <w:pPr>
        <w:pStyle w:val="BodyText"/>
        <w:spacing w:before="6"/>
        <w:rPr>
          <w:sz w:val="11"/>
        </w:rPr>
      </w:pPr>
    </w:p>
    <w:p>
      <w:pPr>
        <w:spacing w:before="59"/>
        <w:ind w:left="567" w:right="0" w:firstLine="0"/>
        <w:jc w:val="left"/>
        <w:rPr>
          <w:sz w:val="21"/>
        </w:rPr>
      </w:pPr>
      <w:r>
        <w:rPr>
          <w:color w:val="585858"/>
          <w:sz w:val="21"/>
        </w:rPr>
        <w:t>600,000</w:t>
      </w:r>
    </w:p>
    <w:p>
      <w:pPr>
        <w:pStyle w:val="BodyText"/>
        <w:spacing w:before="6"/>
        <w:rPr>
          <w:sz w:val="11"/>
        </w:rPr>
      </w:pPr>
    </w:p>
    <w:p>
      <w:pPr>
        <w:spacing w:before="58"/>
        <w:ind w:left="567" w:right="0" w:firstLine="0"/>
        <w:jc w:val="left"/>
        <w:rPr>
          <w:sz w:val="21"/>
        </w:rPr>
      </w:pPr>
      <w:r>
        <w:rPr>
          <w:color w:val="585858"/>
          <w:sz w:val="21"/>
        </w:rPr>
        <w:t>400,000</w:t>
      </w:r>
    </w:p>
    <w:p>
      <w:pPr>
        <w:pStyle w:val="BodyText"/>
        <w:spacing w:before="6"/>
        <w:rPr>
          <w:sz w:val="11"/>
        </w:rPr>
      </w:pPr>
    </w:p>
    <w:p>
      <w:pPr>
        <w:spacing w:before="59"/>
        <w:ind w:left="567" w:right="0" w:firstLine="0"/>
        <w:jc w:val="left"/>
        <w:rPr>
          <w:sz w:val="21"/>
        </w:rPr>
      </w:pPr>
      <w:r>
        <w:rPr>
          <w:color w:val="585858"/>
          <w:sz w:val="21"/>
        </w:rPr>
        <w:t>200,000</w:t>
      </w:r>
    </w:p>
    <w:p>
      <w:pPr>
        <w:pStyle w:val="BodyText"/>
        <w:spacing w:before="6"/>
        <w:rPr>
          <w:sz w:val="11"/>
        </w:rPr>
      </w:pPr>
    </w:p>
    <w:p>
      <w:pPr>
        <w:spacing w:before="58"/>
        <w:ind w:left="1151" w:right="0" w:firstLine="0"/>
        <w:jc w:val="left"/>
        <w:rPr>
          <w:sz w:val="21"/>
        </w:rPr>
      </w:pPr>
      <w:r>
        <w:rPr>
          <w:color w:val="585858"/>
          <w:w w:val="100"/>
          <w:sz w:val="21"/>
        </w:rPr>
        <w:t>0</w:t>
      </w:r>
    </w:p>
    <w:p>
      <w:pPr>
        <w:tabs>
          <w:tab w:pos="4684" w:val="left" w:leader="none"/>
          <w:tab w:pos="7497" w:val="left" w:leader="none"/>
        </w:tabs>
        <w:spacing w:before="10"/>
        <w:ind w:left="2164" w:right="0" w:firstLine="0"/>
        <w:jc w:val="left"/>
        <w:rPr>
          <w:sz w:val="20"/>
        </w:rPr>
      </w:pPr>
      <w:r>
        <w:rPr>
          <w:color w:val="585858"/>
          <w:sz w:val="20"/>
        </w:rPr>
        <w:t>Población 2021</w:t>
        <w:tab/>
        <w:t>Inscritos</w:t>
      </w:r>
      <w:r>
        <w:rPr>
          <w:color w:val="585858"/>
          <w:spacing w:val="-3"/>
          <w:sz w:val="20"/>
        </w:rPr>
        <w:t> </w:t>
      </w:r>
      <w:r>
        <w:rPr>
          <w:color w:val="585858"/>
          <w:sz w:val="20"/>
        </w:rPr>
        <w:t>ciclo 2021</w:t>
        <w:tab/>
        <w:t>Afectados</w:t>
      </w:r>
      <w:r>
        <w:rPr>
          <w:color w:val="585858"/>
          <w:spacing w:val="-3"/>
          <w:sz w:val="20"/>
        </w:rPr>
        <w:t> </w:t>
      </w:r>
      <w:r>
        <w:rPr>
          <w:color w:val="585858"/>
          <w:sz w:val="20"/>
        </w:rPr>
        <w:t>2021</w:t>
      </w:r>
    </w:p>
    <w:p>
      <w:pPr>
        <w:pStyle w:val="BodyText"/>
        <w:spacing w:before="9"/>
        <w:rPr>
          <w:sz w:val="9"/>
        </w:rPr>
      </w:pPr>
    </w:p>
    <w:p>
      <w:pPr>
        <w:tabs>
          <w:tab w:pos="4283" w:val="left" w:leader="none"/>
          <w:tab w:pos="6386" w:val="left" w:leader="none"/>
        </w:tabs>
        <w:spacing w:before="59"/>
        <w:ind w:left="2495" w:right="0" w:firstLine="0"/>
        <w:jc w:val="left"/>
        <w:rPr>
          <w:sz w:val="21"/>
        </w:rPr>
      </w:pPr>
      <w:r>
        <w:rPr/>
        <w:pict>
          <v:rect style="position:absolute;margin-left:173.470001pt;margin-top:7.038568pt;width:5.769pt;height:5.769pt;mso-position-horizontal-relative:page;mso-position-vertical-relative:paragraph;z-index:15835136" filled="true" fillcolor="#5b9bd4" stroked="false">
            <v:fill type="solid"/>
            <w10:wrap type="none"/>
          </v:rect>
        </w:pict>
      </w:r>
      <w:r>
        <w:rPr/>
        <w:pict>
          <v:rect style="position:absolute;margin-left:262.850006pt;margin-top:7.038568pt;width:5.769pt;height:5.769pt;mso-position-horizontal-relative:page;mso-position-vertical-relative:paragraph;z-index:-28897792" filled="true" fillcolor="#6fac46" stroked="false">
            <v:fill type="solid"/>
            <w10:wrap type="none"/>
          </v:rect>
        </w:pict>
      </w:r>
      <w:r>
        <w:rPr/>
        <w:pict>
          <v:rect style="position:absolute;margin-left:367.959991pt;margin-top:7.038568pt;width:5.769pt;height:5.769pt;mso-position-horizontal-relative:page;mso-position-vertical-relative:paragraph;z-index:-28897280" filled="true" fillcolor="#ff0000" stroked="false">
            <v:fill type="solid"/>
            <w10:wrap type="none"/>
          </v:rect>
        </w:pict>
      </w:r>
      <w:r>
        <w:rPr>
          <w:color w:val="585858"/>
          <w:sz w:val="21"/>
        </w:rPr>
        <w:t>Población</w:t>
      </w:r>
      <w:r>
        <w:rPr>
          <w:color w:val="585858"/>
          <w:spacing w:val="-4"/>
          <w:sz w:val="21"/>
        </w:rPr>
        <w:t> </w:t>
      </w:r>
      <w:r>
        <w:rPr>
          <w:color w:val="585858"/>
          <w:sz w:val="21"/>
        </w:rPr>
        <w:t>2021</w:t>
        <w:tab/>
        <w:t>Inscritos</w:t>
      </w:r>
      <w:r>
        <w:rPr>
          <w:color w:val="585858"/>
          <w:spacing w:val="-2"/>
          <w:sz w:val="21"/>
        </w:rPr>
        <w:t> </w:t>
      </w:r>
      <w:r>
        <w:rPr>
          <w:color w:val="585858"/>
          <w:sz w:val="21"/>
        </w:rPr>
        <w:t>ciclo</w:t>
      </w:r>
      <w:r>
        <w:rPr>
          <w:color w:val="585858"/>
          <w:spacing w:val="-2"/>
          <w:sz w:val="21"/>
        </w:rPr>
        <w:t> </w:t>
      </w:r>
      <w:r>
        <w:rPr>
          <w:color w:val="585858"/>
          <w:sz w:val="21"/>
        </w:rPr>
        <w:t>2021</w:t>
        <w:tab/>
        <w:t>Afectados</w:t>
      </w:r>
      <w:r>
        <w:rPr>
          <w:color w:val="585858"/>
          <w:spacing w:val="-2"/>
          <w:sz w:val="21"/>
        </w:rPr>
        <w:t> </w:t>
      </w:r>
      <w:r>
        <w:rPr>
          <w:color w:val="585858"/>
          <w:sz w:val="21"/>
        </w:rPr>
        <w:t>2021</w:t>
      </w:r>
    </w:p>
    <w:p>
      <w:pPr>
        <w:pStyle w:val="BodyText"/>
        <w:spacing w:before="7"/>
        <w:rPr>
          <w:sz w:val="10"/>
        </w:rPr>
      </w:pPr>
    </w:p>
    <w:p>
      <w:pPr>
        <w:spacing w:before="69"/>
        <w:ind w:left="300" w:right="1061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3"/>
          <w:sz w:val="16"/>
        </w:rPr>
        <w:t> </w:t>
      </w:r>
      <w:r>
        <w:rPr>
          <w:sz w:val="16"/>
        </w:rPr>
        <w:t>Elaboración</w:t>
      </w:r>
      <w:r>
        <w:rPr>
          <w:spacing w:val="2"/>
          <w:sz w:val="16"/>
        </w:rPr>
        <w:t> </w:t>
      </w:r>
      <w:r>
        <w:rPr>
          <w:sz w:val="16"/>
        </w:rPr>
        <w:t>propia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5"/>
          <w:sz w:val="16"/>
        </w:rPr>
        <w:t> </w:t>
      </w:r>
      <w:r>
        <w:rPr>
          <w:sz w:val="16"/>
        </w:rPr>
        <w:t>partir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datos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Censo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Población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Vivienda</w:t>
      </w:r>
      <w:r>
        <w:rPr>
          <w:spacing w:val="3"/>
          <w:sz w:val="16"/>
        </w:rPr>
        <w:t> </w:t>
      </w:r>
      <w:r>
        <w:rPr>
          <w:sz w:val="16"/>
        </w:rPr>
        <w:t>2018,</w:t>
      </w:r>
      <w:r>
        <w:rPr>
          <w:spacing w:val="4"/>
          <w:sz w:val="16"/>
        </w:rPr>
        <w:t> </w:t>
      </w:r>
      <w:r>
        <w:rPr>
          <w:sz w:val="16"/>
        </w:rPr>
        <w:t>Guatemala;</w:t>
      </w:r>
      <w:r>
        <w:rPr>
          <w:spacing w:val="3"/>
          <w:sz w:val="16"/>
        </w:rPr>
        <w:t> </w:t>
      </w:r>
      <w:r>
        <w:rPr>
          <w:sz w:val="16"/>
        </w:rPr>
        <w:t>e</w:t>
      </w:r>
      <w:r>
        <w:rPr>
          <w:spacing w:val="5"/>
          <w:sz w:val="16"/>
        </w:rPr>
        <w:t> </w:t>
      </w:r>
      <w:r>
        <w:rPr>
          <w:sz w:val="16"/>
        </w:rPr>
        <w:t>información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2"/>
          <w:sz w:val="16"/>
        </w:rPr>
        <w:t> </w:t>
      </w:r>
      <w:r>
        <w:rPr>
          <w:sz w:val="16"/>
        </w:rPr>
        <w:t>Sistema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Indicadores</w:t>
      </w:r>
      <w:r>
        <w:rPr>
          <w:spacing w:val="1"/>
          <w:sz w:val="16"/>
        </w:rPr>
        <w:t> </w:t>
      </w:r>
      <w:r>
        <w:rPr>
          <w:sz w:val="16"/>
        </w:rPr>
        <w:t>Educativos,</w:t>
      </w:r>
      <w:r>
        <w:rPr>
          <w:spacing w:val="-1"/>
          <w:sz w:val="16"/>
        </w:rPr>
        <w:t> </w:t>
      </w:r>
      <w:r>
        <w:rPr>
          <w:sz w:val="16"/>
        </w:rPr>
        <w:t>DIPLAN</w:t>
      </w:r>
      <w:r>
        <w:rPr>
          <w:spacing w:val="-1"/>
          <w:sz w:val="16"/>
        </w:rPr>
        <w:t> </w:t>
      </w:r>
      <w:r>
        <w:rPr>
          <w:sz w:val="16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  <w:r>
        <w:rPr/>
        <w:pict>
          <v:rect style="position:absolute;margin-left:563.280029pt;margin-top:17.663393pt;width:25.44pt;height:1.464pt;mso-position-horizontal-relative:page;mso-position-vertical-relative:paragraph;z-index:-1562419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223"/>
      </w:pPr>
      <w:r>
        <w:rPr/>
        <w:t>55</w:t>
      </w:r>
    </w:p>
    <w:p>
      <w:pPr>
        <w:pStyle w:val="BodyText"/>
        <w:spacing w:line="91" w:lineRule="exact"/>
        <w:ind w:left="10125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45pt;height:4.6pt;mso-position-horizontal-relative:char;mso-position-vertical-relative:line" coordorigin="0,0" coordsize="509,92">
            <v:rect style="position:absolute;left:0;top:0;width:509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type w:val="continuous"/>
          <w:pgSz w:w="12240" w:h="15840"/>
          <w:pgMar w:top="340" w:bottom="280" w:left="1140" w:right="34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1"/>
          <w:numId w:val="4"/>
        </w:numPr>
        <w:tabs>
          <w:tab w:pos="876" w:val="left" w:leader="none"/>
          <w:tab w:pos="877" w:val="left" w:leader="none"/>
        </w:tabs>
        <w:spacing w:line="240" w:lineRule="auto" w:before="52" w:after="0"/>
        <w:ind w:left="876" w:right="1106" w:hanging="576"/>
        <w:jc w:val="left"/>
      </w:pPr>
      <w:bookmarkStart w:name="_bookmark67" w:id="88"/>
      <w:bookmarkEnd w:id="88"/>
      <w:r>
        <w:rPr>
          <w:b w:val="0"/>
        </w:rPr>
      </w:r>
      <w:bookmarkStart w:name="_bookmark67" w:id="89"/>
      <w:bookmarkEnd w:id="89"/>
      <w:r>
        <w:rPr>
          <w:color w:val="1F4E79"/>
        </w:rPr>
        <w:t>Po</w:t>
      </w:r>
      <w:r>
        <w:rPr>
          <w:color w:val="1F4E79"/>
        </w:rPr>
        <w:t>blación</w:t>
      </w:r>
      <w:r>
        <w:rPr>
          <w:color w:val="1F4E79"/>
          <w:spacing w:val="22"/>
        </w:rPr>
        <w:t> </w:t>
      </w:r>
      <w:r>
        <w:rPr>
          <w:color w:val="1F4E79"/>
        </w:rPr>
        <w:t>afectada</w:t>
      </w:r>
      <w:r>
        <w:rPr>
          <w:color w:val="1F4E79"/>
          <w:spacing w:val="22"/>
        </w:rPr>
        <w:t> </w:t>
      </w:r>
      <w:r>
        <w:rPr>
          <w:color w:val="1F4E79"/>
        </w:rPr>
        <w:t>en</w:t>
      </w:r>
      <w:r>
        <w:rPr>
          <w:color w:val="1F4E79"/>
          <w:spacing w:val="22"/>
        </w:rPr>
        <w:t> </w:t>
      </w:r>
      <w:r>
        <w:rPr>
          <w:color w:val="1F4E79"/>
        </w:rPr>
        <w:t>el</w:t>
      </w:r>
      <w:r>
        <w:rPr>
          <w:color w:val="1F4E79"/>
          <w:spacing w:val="23"/>
        </w:rPr>
        <w:t> </w:t>
      </w:r>
      <w:r>
        <w:rPr>
          <w:color w:val="1F4E79"/>
        </w:rPr>
        <w:t>Nivel</w:t>
      </w:r>
      <w:r>
        <w:rPr>
          <w:color w:val="1F4E79"/>
          <w:spacing w:val="23"/>
        </w:rPr>
        <w:t> </w:t>
      </w:r>
      <w:r>
        <w:rPr>
          <w:color w:val="1F4E79"/>
        </w:rPr>
        <w:t>de</w:t>
      </w:r>
      <w:r>
        <w:rPr>
          <w:color w:val="1F4E79"/>
          <w:spacing w:val="21"/>
        </w:rPr>
        <w:t> </w:t>
      </w:r>
      <w:r>
        <w:rPr>
          <w:color w:val="1F4E79"/>
        </w:rPr>
        <w:t>Educación</w:t>
      </w:r>
      <w:r>
        <w:rPr>
          <w:color w:val="1F4E79"/>
          <w:spacing w:val="23"/>
        </w:rPr>
        <w:t> </w:t>
      </w:r>
      <w:r>
        <w:rPr>
          <w:color w:val="1F4E79"/>
        </w:rPr>
        <w:t>Primaria</w:t>
      </w:r>
      <w:r>
        <w:rPr>
          <w:color w:val="1F4E79"/>
          <w:spacing w:val="21"/>
        </w:rPr>
        <w:t> </w:t>
      </w:r>
      <w:r>
        <w:rPr>
          <w:color w:val="1F4E79"/>
        </w:rPr>
        <w:t>en</w:t>
      </w:r>
      <w:r>
        <w:rPr>
          <w:color w:val="1F4E79"/>
          <w:spacing w:val="23"/>
        </w:rPr>
        <w:t> </w:t>
      </w:r>
      <w:r>
        <w:rPr>
          <w:color w:val="1F4E79"/>
        </w:rPr>
        <w:t>edades</w:t>
      </w:r>
      <w:r>
        <w:rPr>
          <w:color w:val="1F4E79"/>
          <w:spacing w:val="22"/>
        </w:rPr>
        <w:t> </w:t>
      </w:r>
      <w:r>
        <w:rPr>
          <w:color w:val="1F4E79"/>
        </w:rPr>
        <w:t>entre</w:t>
      </w:r>
      <w:r>
        <w:rPr>
          <w:color w:val="1F4E79"/>
          <w:spacing w:val="21"/>
        </w:rPr>
        <w:t> </w:t>
      </w:r>
      <w:r>
        <w:rPr>
          <w:color w:val="1F4E79"/>
        </w:rPr>
        <w:t>7</w:t>
      </w:r>
      <w:r>
        <w:rPr>
          <w:color w:val="1F4E79"/>
          <w:spacing w:val="23"/>
        </w:rPr>
        <w:t> </w:t>
      </w:r>
      <w:r>
        <w:rPr>
          <w:color w:val="1F4E79"/>
        </w:rPr>
        <w:t>y</w:t>
      </w:r>
      <w:r>
        <w:rPr>
          <w:color w:val="1F4E79"/>
          <w:spacing w:val="21"/>
        </w:rPr>
        <w:t> </w:t>
      </w:r>
      <w:r>
        <w:rPr>
          <w:color w:val="1F4E79"/>
        </w:rPr>
        <w:t>12</w:t>
      </w:r>
      <w:r>
        <w:rPr>
          <w:color w:val="1F4E79"/>
          <w:spacing w:val="23"/>
        </w:rPr>
        <w:t> </w:t>
      </w:r>
      <w:r>
        <w:rPr>
          <w:color w:val="1F4E79"/>
        </w:rPr>
        <w:t>años</w:t>
      </w:r>
      <w:r>
        <w:rPr>
          <w:color w:val="1F4E79"/>
          <w:spacing w:val="23"/>
        </w:rPr>
        <w:t> </w:t>
      </w:r>
      <w:r>
        <w:rPr>
          <w:color w:val="1F4E79"/>
        </w:rPr>
        <w:t>en</w:t>
      </w:r>
      <w:r>
        <w:rPr>
          <w:color w:val="1F4E79"/>
          <w:spacing w:val="-51"/>
        </w:rPr>
        <w:t> </w:t>
      </w:r>
      <w:r>
        <w:rPr>
          <w:color w:val="1F4E79"/>
        </w:rPr>
        <w:t>2021.</w:t>
      </w:r>
    </w:p>
    <w:p>
      <w:pPr>
        <w:pStyle w:val="BodyText"/>
        <w:rPr>
          <w:b/>
          <w:sz w:val="24"/>
        </w:rPr>
      </w:pPr>
    </w:p>
    <w:p>
      <w:pPr>
        <w:spacing w:before="189"/>
        <w:ind w:left="32" w:right="987" w:firstLine="0"/>
        <w:jc w:val="center"/>
        <w:rPr>
          <w:sz w:val="20"/>
        </w:rPr>
      </w:pPr>
      <w:bookmarkStart w:name="_bookmark68" w:id="90"/>
      <w:bookmarkEnd w:id="90"/>
      <w:r>
        <w:rPr/>
      </w:r>
      <w:r>
        <w:rPr>
          <w:sz w:val="20"/>
        </w:rPr>
        <w:t>Gráfico</w:t>
      </w:r>
      <w:r>
        <w:rPr>
          <w:spacing w:val="-2"/>
          <w:sz w:val="20"/>
        </w:rPr>
        <w:t> </w:t>
      </w:r>
      <w:r>
        <w:rPr>
          <w:sz w:val="20"/>
        </w:rPr>
        <w:t>46</w:t>
      </w:r>
      <w:r>
        <w:rPr>
          <w:spacing w:val="-1"/>
          <w:sz w:val="20"/>
        </w:rPr>
        <w:t> </w:t>
      </w:r>
      <w:r>
        <w:rPr>
          <w:sz w:val="20"/>
        </w:rPr>
        <w:t>Población en</w:t>
      </w:r>
      <w:r>
        <w:rPr>
          <w:spacing w:val="-1"/>
          <w:sz w:val="20"/>
        </w:rPr>
        <w:t> </w:t>
      </w:r>
      <w:r>
        <w:rPr>
          <w:sz w:val="20"/>
        </w:rPr>
        <w:t>edades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7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12</w:t>
      </w:r>
      <w:r>
        <w:rPr>
          <w:spacing w:val="-2"/>
          <w:sz w:val="20"/>
        </w:rPr>
        <w:t> </w:t>
      </w:r>
      <w:r>
        <w:rPr>
          <w:sz w:val="20"/>
        </w:rPr>
        <w:t>años</w:t>
      </w:r>
      <w:r>
        <w:rPr>
          <w:spacing w:val="-3"/>
          <w:sz w:val="20"/>
        </w:rPr>
        <w:t> </w:t>
      </w:r>
      <w:r>
        <w:rPr>
          <w:sz w:val="20"/>
        </w:rPr>
        <w:t>2021,</w:t>
      </w:r>
      <w:r>
        <w:rPr>
          <w:spacing w:val="-2"/>
          <w:sz w:val="20"/>
        </w:rPr>
        <w:t> </w:t>
      </w:r>
      <w:r>
        <w:rPr>
          <w:sz w:val="20"/>
        </w:rPr>
        <w:t>inscritos</w:t>
      </w:r>
      <w:r>
        <w:rPr>
          <w:spacing w:val="1"/>
          <w:sz w:val="20"/>
        </w:rPr>
        <w:t> </w:t>
      </w:r>
      <w:r>
        <w:rPr>
          <w:sz w:val="20"/>
        </w:rPr>
        <w:t>2021 en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educación</w:t>
      </w:r>
      <w:r>
        <w:rPr>
          <w:spacing w:val="-1"/>
          <w:sz w:val="20"/>
        </w:rPr>
        <w:t> </w:t>
      </w:r>
      <w:r>
        <w:rPr>
          <w:sz w:val="20"/>
        </w:rPr>
        <w:t>primaria</w:t>
      </w:r>
      <w:r>
        <w:rPr>
          <w:spacing w:val="-1"/>
          <w:sz w:val="20"/>
        </w:rPr>
        <w:t> </w:t>
      </w:r>
      <w:r>
        <w:rPr>
          <w:sz w:val="20"/>
        </w:rPr>
        <w:t>y</w:t>
      </w:r>
    </w:p>
    <w:p>
      <w:pPr>
        <w:spacing w:before="0"/>
        <w:ind w:left="32" w:right="558" w:firstLine="0"/>
        <w:jc w:val="center"/>
        <w:rPr>
          <w:sz w:val="20"/>
        </w:rPr>
      </w:pPr>
      <w:r>
        <w:rPr>
          <w:sz w:val="20"/>
        </w:rPr>
        <w:t>población</w:t>
      </w:r>
      <w:r>
        <w:rPr>
          <w:spacing w:val="-2"/>
          <w:sz w:val="20"/>
        </w:rPr>
        <w:t> </w:t>
      </w:r>
      <w:r>
        <w:rPr>
          <w:sz w:val="20"/>
        </w:rPr>
        <w:t>afectada</w:t>
      </w:r>
      <w:r>
        <w:rPr>
          <w:spacing w:val="-2"/>
          <w:sz w:val="20"/>
        </w:rPr>
        <w:t> </w:t>
      </w:r>
      <w:r>
        <w:rPr>
          <w:sz w:val="20"/>
        </w:rPr>
        <w:t>ciclo</w:t>
      </w:r>
      <w:r>
        <w:rPr>
          <w:spacing w:val="-2"/>
          <w:sz w:val="20"/>
        </w:rPr>
        <w:t> </w:t>
      </w:r>
      <w:r>
        <w:rPr>
          <w:sz w:val="20"/>
        </w:rPr>
        <w:t>2021.</w:t>
      </w:r>
    </w:p>
    <w:p>
      <w:pPr>
        <w:pStyle w:val="BodyText"/>
        <w:spacing w:before="5"/>
        <w:rPr>
          <w:sz w:val="27"/>
        </w:rPr>
      </w:pPr>
    </w:p>
    <w:p>
      <w:pPr>
        <w:spacing w:after="0"/>
        <w:rPr>
          <w:sz w:val="27"/>
        </w:rPr>
        <w:sectPr>
          <w:pgSz w:w="12240" w:h="15840"/>
          <w:pgMar w:top="1500" w:bottom="280" w:left="1140" w:right="340"/>
        </w:sectPr>
      </w:pPr>
    </w:p>
    <w:p>
      <w:pPr>
        <w:spacing w:before="60"/>
        <w:ind w:left="0" w:right="39" w:firstLine="0"/>
        <w:jc w:val="right"/>
        <w:rPr>
          <w:sz w:val="20"/>
        </w:rPr>
      </w:pPr>
      <w:r>
        <w:rPr>
          <w:color w:val="585858"/>
          <w:sz w:val="20"/>
        </w:rPr>
        <w:t>3,000,000</w:t>
      </w:r>
    </w:p>
    <w:p>
      <w:pPr>
        <w:spacing w:before="130"/>
        <w:ind w:left="0" w:right="39" w:firstLine="0"/>
        <w:jc w:val="right"/>
        <w:rPr>
          <w:sz w:val="20"/>
        </w:rPr>
      </w:pPr>
      <w:r>
        <w:rPr>
          <w:color w:val="585858"/>
          <w:sz w:val="20"/>
        </w:rPr>
        <w:t>2,500,000</w:t>
      </w:r>
    </w:p>
    <w:p>
      <w:pPr>
        <w:spacing w:before="131"/>
        <w:ind w:left="0" w:right="39" w:firstLine="0"/>
        <w:jc w:val="right"/>
        <w:rPr>
          <w:sz w:val="20"/>
        </w:rPr>
      </w:pPr>
      <w:r>
        <w:rPr>
          <w:color w:val="585858"/>
          <w:sz w:val="20"/>
        </w:rPr>
        <w:t>2,000,000</w:t>
      </w:r>
    </w:p>
    <w:p>
      <w:pPr>
        <w:spacing w:before="130"/>
        <w:ind w:left="0" w:right="39" w:firstLine="0"/>
        <w:jc w:val="right"/>
        <w:rPr>
          <w:sz w:val="20"/>
        </w:rPr>
      </w:pPr>
      <w:r>
        <w:rPr>
          <w:color w:val="585858"/>
          <w:sz w:val="20"/>
        </w:rPr>
        <w:t>1,500,000</w:t>
      </w:r>
    </w:p>
    <w:p>
      <w:pPr>
        <w:spacing w:before="130"/>
        <w:ind w:left="0" w:right="39" w:firstLine="0"/>
        <w:jc w:val="right"/>
        <w:rPr>
          <w:sz w:val="20"/>
        </w:rPr>
      </w:pPr>
      <w:r>
        <w:rPr>
          <w:color w:val="585858"/>
          <w:sz w:val="20"/>
        </w:rPr>
        <w:t>1,000,000</w:t>
      </w:r>
    </w:p>
    <w:p>
      <w:pPr>
        <w:spacing w:before="131"/>
        <w:ind w:left="0" w:right="39" w:firstLine="0"/>
        <w:jc w:val="right"/>
        <w:rPr>
          <w:sz w:val="20"/>
        </w:rPr>
      </w:pPr>
      <w:r>
        <w:rPr>
          <w:color w:val="585858"/>
          <w:sz w:val="20"/>
        </w:rPr>
        <w:t>500,000</w:t>
      </w:r>
    </w:p>
    <w:p>
      <w:pPr>
        <w:spacing w:before="130"/>
        <w:ind w:left="0" w:right="38" w:firstLine="0"/>
        <w:jc w:val="right"/>
        <w:rPr>
          <w:sz w:val="20"/>
        </w:rPr>
      </w:pPr>
      <w:r>
        <w:rPr>
          <w:color w:val="585858"/>
          <w:w w:val="99"/>
          <w:sz w:val="20"/>
        </w:rPr>
        <w:t>0</w:t>
      </w:r>
    </w:p>
    <w:p>
      <w:pPr>
        <w:spacing w:before="130"/>
        <w:ind w:left="0" w:right="38" w:firstLine="0"/>
        <w:jc w:val="right"/>
        <w:rPr>
          <w:sz w:val="20"/>
        </w:rPr>
      </w:pPr>
      <w:r>
        <w:rPr>
          <w:color w:val="585858"/>
          <w:sz w:val="20"/>
        </w:rPr>
        <w:t>-500,000</w:t>
      </w:r>
    </w:p>
    <w:p>
      <w:pPr>
        <w:pStyle w:val="BodyText"/>
        <w:spacing w:before="9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05" w:lineRule="exact" w:before="0"/>
        <w:ind w:left="3073" w:right="0" w:firstLine="0"/>
        <w:jc w:val="left"/>
        <w:rPr>
          <w:b/>
          <w:sz w:val="21"/>
        </w:rPr>
      </w:pPr>
      <w:r>
        <w:rPr>
          <w:b/>
          <w:color w:val="404040"/>
          <w:sz w:val="21"/>
        </w:rPr>
        <w:t>2,391,761</w:t>
      </w:r>
    </w:p>
    <w:p>
      <w:pPr>
        <w:spacing w:line="205" w:lineRule="exact" w:before="0"/>
        <w:ind w:left="386" w:right="0" w:firstLine="0"/>
        <w:jc w:val="left"/>
        <w:rPr>
          <w:b/>
          <w:sz w:val="21"/>
        </w:rPr>
      </w:pPr>
      <w:r>
        <w:rPr/>
        <w:pict>
          <v:rect style="position:absolute;margin-left:306.480011pt;margin-top:7.055856pt;width:42.105pt;height:89.573pt;mso-position-horizontal-relative:page;mso-position-vertical-relative:paragraph;z-index:15839744" filled="true" fillcolor="#6fac46" stroked="false">
            <v:fill type="solid"/>
            <w10:wrap type="none"/>
          </v:rect>
        </w:pict>
      </w:r>
      <w:r>
        <w:rPr>
          <w:b/>
          <w:color w:val="404040"/>
          <w:sz w:val="21"/>
        </w:rPr>
        <w:t>2,186,135</w:t>
      </w:r>
    </w:p>
    <w:p>
      <w:pPr>
        <w:pStyle w:val="BodyText"/>
        <w:spacing w:before="4"/>
        <w:rPr>
          <w:b/>
          <w:sz w:val="7"/>
        </w:rPr>
      </w:pPr>
    </w:p>
    <w:p>
      <w:pPr>
        <w:pStyle w:val="BodyText"/>
        <w:ind w:left="393"/>
        <w:rPr>
          <w:sz w:val="20"/>
        </w:rPr>
      </w:pPr>
      <w:r>
        <w:rPr>
          <w:sz w:val="20"/>
        </w:rPr>
        <w:pict>
          <v:group style="width:42.15pt;height:81.9pt;mso-position-horizontal-relative:char;mso-position-vertical-relative:line" coordorigin="0,0" coordsize="843,1638">
            <v:rect style="position:absolute;left:0;top:0;width:843;height:1638" filled="true" fillcolor="#5b9bd4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spacing w:before="0"/>
        <w:ind w:left="386" w:right="0" w:firstLine="0"/>
        <w:jc w:val="left"/>
        <w:rPr>
          <w:b/>
          <w:sz w:val="21"/>
        </w:rPr>
      </w:pPr>
      <w:r>
        <w:rPr>
          <w:b/>
          <w:color w:val="404040"/>
          <w:sz w:val="21"/>
        </w:rPr>
        <w:t>-205,626</w:t>
      </w:r>
    </w:p>
    <w:p>
      <w:pPr>
        <w:pStyle w:val="BodyText"/>
        <w:spacing w:line="154" w:lineRule="exact"/>
        <w:ind w:left="367"/>
        <w:rPr>
          <w:sz w:val="15"/>
        </w:rPr>
      </w:pPr>
      <w:r>
        <w:rPr>
          <w:position w:val="-2"/>
          <w:sz w:val="15"/>
        </w:rPr>
        <w:pict>
          <v:group style="width:42.15pt;height:7.75pt;mso-position-horizontal-relative:char;mso-position-vertical-relative:line" coordorigin="0,0" coordsize="843,155">
            <v:rect style="position:absolute;left:0;top:0;width:843;height:155" filled="true" fillcolor="#ff0000" stroked="false">
              <v:fill type="solid"/>
            </v:rect>
          </v:group>
        </w:pict>
      </w:r>
      <w:r>
        <w:rPr>
          <w:position w:val="-2"/>
          <w:sz w:val="15"/>
        </w:rPr>
      </w:r>
    </w:p>
    <w:p>
      <w:pPr>
        <w:spacing w:after="0" w:line="154" w:lineRule="exact"/>
        <w:rPr>
          <w:sz w:val="15"/>
        </w:rPr>
        <w:sectPr>
          <w:type w:val="continuous"/>
          <w:pgSz w:w="12240" w:h="15840"/>
          <w:pgMar w:top="340" w:bottom="280" w:left="1140" w:right="340"/>
          <w:cols w:num="3" w:equalWidth="0">
            <w:col w:w="1237" w:space="673"/>
            <w:col w:w="3972" w:space="1426"/>
            <w:col w:w="3452"/>
          </w:cols>
        </w:sectPr>
      </w:pPr>
    </w:p>
    <w:p>
      <w:pPr>
        <w:pStyle w:val="BodyText"/>
        <w:spacing w:before="3"/>
        <w:rPr>
          <w:b/>
          <w:sz w:val="13"/>
        </w:rPr>
      </w:pPr>
      <w:r>
        <w:rPr/>
        <w:drawing>
          <wp:anchor distT="0" distB="0" distL="0" distR="0" allowOverlap="1" layoutInCell="1" locked="0" behindDoc="1" simplePos="0" relativeHeight="474422272">
            <wp:simplePos x="0" y="0"/>
            <wp:positionH relativeFrom="page">
              <wp:posOffset>0</wp:posOffset>
            </wp:positionH>
            <wp:positionV relativeFrom="page">
              <wp:posOffset>302887</wp:posOffset>
            </wp:positionV>
            <wp:extent cx="7772399" cy="9501333"/>
            <wp:effectExtent l="0" t="0" r="0" b="0"/>
            <wp:wrapNone/>
            <wp:docPr id="15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429" w:val="left" w:leader="none"/>
          <w:tab w:pos="6031" w:val="left" w:leader="none"/>
        </w:tabs>
        <w:spacing w:before="0"/>
        <w:ind w:left="3066" w:right="0" w:firstLine="0"/>
        <w:jc w:val="left"/>
        <w:rPr>
          <w:sz w:val="16"/>
        </w:rPr>
      </w:pPr>
      <w:r>
        <w:rPr/>
        <w:pict>
          <v:rect style="position:absolute;margin-left:204.070007pt;margin-top:3.122876pt;width:4.3943pt;height:4.3943pt;mso-position-horizontal-relative:page;mso-position-vertical-relative:paragraph;z-index:15840256" filled="true" fillcolor="#5b9bd4" stroked="false">
            <v:fill type="solid"/>
            <w10:wrap type="none"/>
          </v:rect>
        </w:pict>
      </w:r>
      <w:r>
        <w:rPr/>
        <w:pict>
          <v:rect style="position:absolute;margin-left:272.190002pt;margin-top:3.122876pt;width:4.3943pt;height:4.3943pt;mso-position-horizontal-relative:page;mso-position-vertical-relative:paragraph;z-index:-28892672" filled="true" fillcolor="#6fac46" stroked="false">
            <v:fill type="solid"/>
            <w10:wrap type="none"/>
          </v:rect>
        </w:pict>
      </w:r>
      <w:r>
        <w:rPr/>
        <w:pict>
          <v:rect style="position:absolute;margin-left:352.309998pt;margin-top:3.122876pt;width:4.3943pt;height:4.3943pt;mso-position-horizontal-relative:page;mso-position-vertical-relative:paragraph;z-index:-28892160" filled="true" fillcolor="#ff0000" stroked="false">
            <v:fill type="solid"/>
            <w10:wrap type="none"/>
          </v:rect>
        </w:pict>
      </w:r>
      <w:r>
        <w:rPr>
          <w:color w:val="585858"/>
          <w:sz w:val="16"/>
        </w:rPr>
        <w:t>Población</w:t>
      </w:r>
      <w:r>
        <w:rPr>
          <w:color w:val="585858"/>
          <w:spacing w:val="-2"/>
          <w:sz w:val="16"/>
        </w:rPr>
        <w:t> </w:t>
      </w:r>
      <w:r>
        <w:rPr>
          <w:color w:val="585858"/>
          <w:sz w:val="16"/>
        </w:rPr>
        <w:t>2021</w:t>
        <w:tab/>
        <w:t>Inscritos</w:t>
      </w:r>
      <w:r>
        <w:rPr>
          <w:color w:val="585858"/>
          <w:spacing w:val="-2"/>
          <w:sz w:val="16"/>
        </w:rPr>
        <w:t> </w:t>
      </w:r>
      <w:r>
        <w:rPr>
          <w:color w:val="585858"/>
          <w:sz w:val="16"/>
        </w:rPr>
        <w:t>ciclo 2021</w:t>
        <w:tab/>
        <w:t>Afectados</w:t>
      </w:r>
      <w:r>
        <w:rPr>
          <w:color w:val="585858"/>
          <w:spacing w:val="-2"/>
          <w:sz w:val="16"/>
        </w:rPr>
        <w:t> </w:t>
      </w:r>
      <w:r>
        <w:rPr>
          <w:color w:val="585858"/>
          <w:sz w:val="16"/>
        </w:rPr>
        <w:t>2021</w:t>
      </w:r>
    </w:p>
    <w:p>
      <w:pPr>
        <w:pStyle w:val="BodyText"/>
        <w:spacing w:before="8"/>
        <w:rPr>
          <w:sz w:val="10"/>
        </w:rPr>
      </w:pPr>
    </w:p>
    <w:p>
      <w:pPr>
        <w:spacing w:before="68"/>
        <w:ind w:left="300" w:right="1061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partir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Población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2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Guatemala;</w:t>
      </w:r>
      <w:r>
        <w:rPr>
          <w:spacing w:val="2"/>
          <w:sz w:val="16"/>
        </w:rPr>
        <w:t> </w:t>
      </w:r>
      <w:r>
        <w:rPr>
          <w:sz w:val="16"/>
        </w:rPr>
        <w:t>e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Indicadores</w:t>
      </w:r>
      <w:r>
        <w:rPr>
          <w:spacing w:val="1"/>
          <w:sz w:val="16"/>
        </w:rPr>
        <w:t> </w:t>
      </w:r>
      <w:r>
        <w:rPr>
          <w:sz w:val="16"/>
        </w:rPr>
        <w:t>Educativos,</w:t>
      </w:r>
      <w:r>
        <w:rPr>
          <w:spacing w:val="-1"/>
          <w:sz w:val="16"/>
        </w:rPr>
        <w:t> </w:t>
      </w:r>
      <w:r>
        <w:rPr>
          <w:sz w:val="16"/>
        </w:rPr>
        <w:t>DIPLAN</w:t>
      </w:r>
      <w:r>
        <w:rPr>
          <w:spacing w:val="-1"/>
          <w:sz w:val="16"/>
        </w:rPr>
        <w:t> </w:t>
      </w:r>
      <w:r>
        <w:rPr>
          <w:sz w:val="16"/>
        </w:rPr>
        <w:t>2021.</w:t>
      </w: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13"/>
        </w:rPr>
      </w:pPr>
    </w:p>
    <w:p>
      <w:pPr>
        <w:pStyle w:val="Heading3"/>
        <w:numPr>
          <w:ilvl w:val="1"/>
          <w:numId w:val="4"/>
        </w:numPr>
        <w:tabs>
          <w:tab w:pos="876" w:val="left" w:leader="none"/>
          <w:tab w:pos="877" w:val="left" w:leader="none"/>
        </w:tabs>
        <w:spacing w:line="240" w:lineRule="auto" w:before="0" w:after="0"/>
        <w:ind w:left="876" w:right="1102" w:hanging="576"/>
        <w:jc w:val="left"/>
      </w:pPr>
      <w:bookmarkStart w:name="_bookmark69" w:id="91"/>
      <w:bookmarkEnd w:id="91"/>
      <w:r>
        <w:rPr>
          <w:b w:val="0"/>
        </w:rPr>
      </w:r>
      <w:bookmarkStart w:name="_bookmark69" w:id="92"/>
      <w:bookmarkEnd w:id="92"/>
      <w:r>
        <w:rPr>
          <w:color w:val="1F4E79"/>
        </w:rPr>
        <w:t>Po</w:t>
      </w:r>
      <w:r>
        <w:rPr>
          <w:color w:val="1F4E79"/>
        </w:rPr>
        <w:t>blación</w:t>
      </w:r>
      <w:r>
        <w:rPr>
          <w:color w:val="1F4E79"/>
          <w:spacing w:val="-6"/>
        </w:rPr>
        <w:t> </w:t>
      </w:r>
      <w:r>
        <w:rPr>
          <w:color w:val="1F4E79"/>
        </w:rPr>
        <w:t>afectada</w:t>
      </w:r>
      <w:r>
        <w:rPr>
          <w:color w:val="1F4E79"/>
          <w:spacing w:val="-7"/>
        </w:rPr>
        <w:t> </w:t>
      </w:r>
      <w:r>
        <w:rPr>
          <w:color w:val="1F4E79"/>
        </w:rPr>
        <w:t>en</w:t>
      </w:r>
      <w:r>
        <w:rPr>
          <w:color w:val="1F4E79"/>
          <w:spacing w:val="-7"/>
        </w:rPr>
        <w:t> </w:t>
      </w:r>
      <w:r>
        <w:rPr>
          <w:color w:val="1F4E79"/>
        </w:rPr>
        <w:t>el</w:t>
      </w:r>
      <w:r>
        <w:rPr>
          <w:color w:val="1F4E79"/>
          <w:spacing w:val="-7"/>
        </w:rPr>
        <w:t> </w:t>
      </w:r>
      <w:r>
        <w:rPr>
          <w:color w:val="1F4E79"/>
        </w:rPr>
        <w:t>Nivel</w:t>
      </w:r>
      <w:r>
        <w:rPr>
          <w:color w:val="1F4E79"/>
          <w:spacing w:val="-7"/>
        </w:rPr>
        <w:t> </w:t>
      </w:r>
      <w:r>
        <w:rPr>
          <w:color w:val="1F4E79"/>
        </w:rPr>
        <w:t>de</w:t>
      </w:r>
      <w:r>
        <w:rPr>
          <w:color w:val="1F4E79"/>
          <w:spacing w:val="-8"/>
        </w:rPr>
        <w:t> </w:t>
      </w:r>
      <w:r>
        <w:rPr>
          <w:color w:val="1F4E79"/>
        </w:rPr>
        <w:t>Educación</w:t>
      </w:r>
      <w:r>
        <w:rPr>
          <w:color w:val="1F4E79"/>
          <w:spacing w:val="-6"/>
        </w:rPr>
        <w:t> </w:t>
      </w:r>
      <w:r>
        <w:rPr>
          <w:color w:val="1F4E79"/>
        </w:rPr>
        <w:t>Media,</w:t>
      </w:r>
      <w:r>
        <w:rPr>
          <w:color w:val="1F4E79"/>
          <w:spacing w:val="-7"/>
        </w:rPr>
        <w:t> </w:t>
      </w:r>
      <w:r>
        <w:rPr>
          <w:color w:val="1F4E79"/>
        </w:rPr>
        <w:t>Ciclo</w:t>
      </w:r>
      <w:r>
        <w:rPr>
          <w:color w:val="1F4E79"/>
          <w:spacing w:val="-7"/>
        </w:rPr>
        <w:t> </w:t>
      </w:r>
      <w:r>
        <w:rPr>
          <w:color w:val="1F4E79"/>
        </w:rPr>
        <w:t>de</w:t>
      </w:r>
      <w:r>
        <w:rPr>
          <w:color w:val="1F4E79"/>
          <w:spacing w:val="-8"/>
        </w:rPr>
        <w:t> </w:t>
      </w:r>
      <w:r>
        <w:rPr>
          <w:color w:val="1F4E79"/>
        </w:rPr>
        <w:t>Educación</w:t>
      </w:r>
      <w:r>
        <w:rPr>
          <w:color w:val="1F4E79"/>
          <w:spacing w:val="-7"/>
        </w:rPr>
        <w:t> </w:t>
      </w:r>
      <w:r>
        <w:rPr>
          <w:color w:val="1F4E79"/>
        </w:rPr>
        <w:t>Básica,</w:t>
      </w:r>
      <w:r>
        <w:rPr>
          <w:color w:val="1F4E79"/>
          <w:spacing w:val="-8"/>
        </w:rPr>
        <w:t> </w:t>
      </w:r>
      <w:r>
        <w:rPr>
          <w:color w:val="1F4E79"/>
        </w:rPr>
        <w:t>en</w:t>
      </w:r>
      <w:r>
        <w:rPr>
          <w:color w:val="1F4E79"/>
          <w:spacing w:val="-7"/>
        </w:rPr>
        <w:t> </w:t>
      </w:r>
      <w:r>
        <w:rPr>
          <w:color w:val="1F4E79"/>
        </w:rPr>
        <w:t>edades</w:t>
      </w:r>
      <w:r>
        <w:rPr>
          <w:color w:val="1F4E79"/>
          <w:spacing w:val="-51"/>
        </w:rPr>
        <w:t> </w:t>
      </w:r>
      <w:r>
        <w:rPr>
          <w:color w:val="1F4E79"/>
        </w:rPr>
        <w:t>entre</w:t>
      </w:r>
      <w:r>
        <w:rPr>
          <w:color w:val="1F4E79"/>
          <w:spacing w:val="-2"/>
        </w:rPr>
        <w:t> </w:t>
      </w:r>
      <w:r>
        <w:rPr>
          <w:color w:val="1F4E79"/>
        </w:rPr>
        <w:t>13</w:t>
      </w:r>
      <w:r>
        <w:rPr>
          <w:color w:val="1F4E79"/>
          <w:spacing w:val="-1"/>
        </w:rPr>
        <w:t> </w:t>
      </w:r>
      <w:r>
        <w:rPr>
          <w:color w:val="1F4E79"/>
        </w:rPr>
        <w:t>y</w:t>
      </w:r>
      <w:r>
        <w:rPr>
          <w:color w:val="1F4E79"/>
          <w:spacing w:val="-1"/>
        </w:rPr>
        <w:t> </w:t>
      </w:r>
      <w:r>
        <w:rPr>
          <w:color w:val="1F4E79"/>
        </w:rPr>
        <w:t>15</w:t>
      </w:r>
      <w:r>
        <w:rPr>
          <w:color w:val="1F4E79"/>
          <w:spacing w:val="-1"/>
        </w:rPr>
        <w:t> </w:t>
      </w:r>
      <w:r>
        <w:rPr>
          <w:color w:val="1F4E79"/>
        </w:rPr>
        <w:t>años</w:t>
      </w:r>
      <w:r>
        <w:rPr>
          <w:color w:val="1F4E79"/>
          <w:spacing w:val="-1"/>
        </w:rPr>
        <w:t> </w:t>
      </w:r>
      <w:r>
        <w:rPr>
          <w:color w:val="1F4E79"/>
        </w:rPr>
        <w:t>en</w:t>
      </w:r>
      <w:r>
        <w:rPr>
          <w:color w:val="1F4E79"/>
          <w:spacing w:val="1"/>
        </w:rPr>
        <w:t> </w:t>
      </w:r>
      <w:r>
        <w:rPr>
          <w:color w:val="1F4E79"/>
        </w:rPr>
        <w:t>2021</w:t>
      </w:r>
    </w:p>
    <w:p>
      <w:pPr>
        <w:pStyle w:val="BodyText"/>
        <w:rPr>
          <w:b/>
          <w:sz w:val="24"/>
        </w:rPr>
      </w:pPr>
    </w:p>
    <w:p>
      <w:pPr>
        <w:spacing w:before="188" w:after="5"/>
        <w:ind w:left="2979" w:right="1421" w:hanging="2355"/>
        <w:jc w:val="left"/>
        <w:rPr>
          <w:sz w:val="20"/>
        </w:rPr>
      </w:pPr>
      <w:bookmarkStart w:name="_bookmark70" w:id="93"/>
      <w:bookmarkEnd w:id="93"/>
      <w:r>
        <w:rPr/>
      </w:r>
      <w:r>
        <w:rPr>
          <w:sz w:val="20"/>
        </w:rPr>
        <w:t>Gráfico</w:t>
      </w:r>
      <w:r>
        <w:rPr>
          <w:spacing w:val="-2"/>
          <w:sz w:val="20"/>
        </w:rPr>
        <w:t> </w:t>
      </w:r>
      <w:r>
        <w:rPr>
          <w:sz w:val="20"/>
        </w:rPr>
        <w:t>47</w:t>
      </w:r>
      <w:r>
        <w:rPr>
          <w:spacing w:val="-1"/>
          <w:sz w:val="20"/>
        </w:rPr>
        <w:t> </w:t>
      </w:r>
      <w:r>
        <w:rPr>
          <w:sz w:val="20"/>
        </w:rPr>
        <w:t>Población en</w:t>
      </w:r>
      <w:r>
        <w:rPr>
          <w:spacing w:val="-2"/>
          <w:sz w:val="20"/>
        </w:rPr>
        <w:t> </w:t>
      </w:r>
      <w:r>
        <w:rPr>
          <w:sz w:val="20"/>
        </w:rPr>
        <w:t>edades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13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15</w:t>
      </w:r>
      <w:r>
        <w:rPr>
          <w:spacing w:val="-2"/>
          <w:sz w:val="20"/>
        </w:rPr>
        <w:t> </w:t>
      </w:r>
      <w:r>
        <w:rPr>
          <w:sz w:val="20"/>
        </w:rPr>
        <w:t>años</w:t>
      </w:r>
      <w:r>
        <w:rPr>
          <w:spacing w:val="-3"/>
          <w:sz w:val="20"/>
        </w:rPr>
        <w:t> </w:t>
      </w:r>
      <w:r>
        <w:rPr>
          <w:sz w:val="20"/>
        </w:rPr>
        <w:t>2021,</w:t>
      </w:r>
      <w:r>
        <w:rPr>
          <w:spacing w:val="-1"/>
          <w:sz w:val="20"/>
        </w:rPr>
        <w:t> </w:t>
      </w:r>
      <w:r>
        <w:rPr>
          <w:sz w:val="20"/>
        </w:rPr>
        <w:t>inscritos</w:t>
      </w:r>
      <w:r>
        <w:rPr>
          <w:spacing w:val="-4"/>
          <w:sz w:val="20"/>
        </w:rPr>
        <w:t> </w:t>
      </w:r>
      <w:r>
        <w:rPr>
          <w:sz w:val="20"/>
        </w:rPr>
        <w:t>2021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educación</w:t>
      </w:r>
      <w:r>
        <w:rPr>
          <w:spacing w:val="-1"/>
          <w:sz w:val="20"/>
        </w:rPr>
        <w:t> </w:t>
      </w:r>
      <w:r>
        <w:rPr>
          <w:sz w:val="20"/>
        </w:rPr>
        <w:t>media,</w:t>
      </w:r>
      <w:r>
        <w:rPr>
          <w:spacing w:val="-1"/>
          <w:sz w:val="20"/>
        </w:rPr>
        <w:t> </w:t>
      </w:r>
      <w:r>
        <w:rPr>
          <w:sz w:val="20"/>
        </w:rPr>
        <w:t>ciclo</w:t>
      </w:r>
      <w:r>
        <w:rPr>
          <w:spacing w:val="-4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educación</w:t>
      </w:r>
      <w:r>
        <w:rPr>
          <w:spacing w:val="1"/>
          <w:sz w:val="20"/>
        </w:rPr>
        <w:t> </w:t>
      </w:r>
      <w:r>
        <w:rPr>
          <w:sz w:val="20"/>
        </w:rPr>
        <w:t>básica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población</w:t>
      </w:r>
      <w:r>
        <w:rPr>
          <w:spacing w:val="1"/>
          <w:sz w:val="20"/>
        </w:rPr>
        <w:t> </w:t>
      </w:r>
      <w:r>
        <w:rPr>
          <w:sz w:val="20"/>
        </w:rPr>
        <w:t>afectada ciclo</w:t>
      </w:r>
      <w:r>
        <w:rPr>
          <w:spacing w:val="-1"/>
          <w:sz w:val="20"/>
        </w:rPr>
        <w:t> </w:t>
      </w:r>
      <w:r>
        <w:rPr>
          <w:sz w:val="20"/>
        </w:rPr>
        <w:t>2021.</w:t>
      </w:r>
    </w:p>
    <w:p>
      <w:pPr>
        <w:pStyle w:val="BodyText"/>
        <w:ind w:left="300"/>
        <w:rPr>
          <w:sz w:val="20"/>
        </w:rPr>
      </w:pPr>
      <w:r>
        <w:rPr>
          <w:sz w:val="20"/>
        </w:rPr>
        <w:pict>
          <v:group style="width:470.2pt;height:182.5pt;mso-position-horizontal-relative:char;mso-position-vertical-relative:line" coordorigin="0,0" coordsize="9404,3650">
            <v:rect style="position:absolute;left:0;top:0;width:9404;height:3650" filled="true" fillcolor="#ffffff" stroked="false">
              <v:fill type="solid"/>
            </v:rect>
            <v:rect style="position:absolute;left:1958;top:506;width:853;height:2223" filled="true" fillcolor="#5b9bd4" stroked="false">
              <v:fill type="solid"/>
            </v:rect>
            <v:rect style="position:absolute;left:4678;top:1253;width:853;height:1476" filled="true" fillcolor="#6fac46" stroked="false">
              <v:fill type="solid"/>
            </v:rect>
            <v:rect style="position:absolute;left:7398;top:1981;width:853;height:748" filled="true" fillcolor="#ff0000" stroked="false">
              <v:fill type="solid"/>
            </v:rect>
            <v:line style="position:absolute" from="1025,2729" to="9184,2729" stroked="true" strokeweight=".75pt" strokecolor="#d9d9d9">
              <v:stroke dashstyle="solid"/>
            </v:line>
            <v:rect style="position:absolute;left:2432;top:3311;width:99;height:99" filled="true" fillcolor="#5b9bd4" stroked="false">
              <v:fill type="solid"/>
            </v:rect>
            <v:rect style="position:absolute;left:3964;top:3311;width:99;height:99" filled="true" fillcolor="#6fac46" stroked="false">
              <v:fill type="solid"/>
            </v:rect>
            <v:rect style="position:absolute;left:5766;top:3311;width:99;height:99" filled="true" fillcolor="#ff0000" stroked="false">
              <v:fill type="solid"/>
            </v:rect>
            <v:shape style="position:absolute;left:130;top:137;width:7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1,200,000</w:t>
                    </w:r>
                  </w:p>
                </w:txbxContent>
              </v:textbox>
              <w10:wrap type="none"/>
            </v:shape>
            <v:shape style="position:absolute;left:1956;top:202;width:877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1,063,228</w:t>
                    </w:r>
                  </w:p>
                </w:txbxContent>
              </v:textbox>
              <w10:wrap type="none"/>
            </v:shape>
            <v:shape style="position:absolute;left:130;top:555;width:5342;height:143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4612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1,000,000</w:t>
                    </w:r>
                  </w:p>
                  <w:p>
                    <w:pPr>
                      <w:spacing w:line="240" w:lineRule="auto" w:before="11"/>
                      <w:rPr>
                        <w:sz w:val="13"/>
                      </w:rPr>
                    </w:pPr>
                  </w:p>
                  <w:p>
                    <w:pPr>
                      <w:tabs>
                        <w:tab w:pos="4625" w:val="left" w:leader="none"/>
                      </w:tabs>
                      <w:spacing w:before="0"/>
                      <w:ind w:left="135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85858"/>
                        <w:sz w:val="18"/>
                      </w:rPr>
                      <w:t>800,000</w:t>
                      <w:tab/>
                    </w:r>
                    <w:r>
                      <w:rPr>
                        <w:color w:val="404040"/>
                        <w:sz w:val="21"/>
                      </w:rPr>
                      <w:t>705,763</w:t>
                    </w:r>
                  </w:p>
                  <w:p>
                    <w:pPr>
                      <w:spacing w:line="240" w:lineRule="auto" w:before="7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13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600,000</w:t>
                    </w:r>
                  </w:p>
                  <w:p>
                    <w:pPr>
                      <w:spacing w:line="240" w:lineRule="auto" w:before="3"/>
                      <w:rPr>
                        <w:sz w:val="16"/>
                      </w:rPr>
                    </w:pPr>
                  </w:p>
                  <w:p>
                    <w:pPr>
                      <w:spacing w:line="216" w:lineRule="exact" w:before="1"/>
                      <w:ind w:left="0" w:right="4611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400,000</w:t>
                    </w:r>
                  </w:p>
                </w:txbxContent>
              </v:textbox>
              <w10:wrap type="none"/>
            </v:shape>
            <v:shape style="position:absolute;left:7476;top:1677;width:717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357,465</w:t>
                    </w:r>
                  </w:p>
                </w:txbxContent>
              </v:textbox>
              <w10:wrap type="none"/>
            </v:shape>
            <v:shape style="position:absolute;left:266;top:2228;width:613;height:59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200,000</w:t>
                    </w:r>
                  </w:p>
                  <w:p>
                    <w:pPr>
                      <w:spacing w:line="240" w:lineRule="auto" w:before="2"/>
                      <w:rPr>
                        <w:sz w:val="16"/>
                      </w:rPr>
                    </w:pPr>
                  </w:p>
                  <w:p>
                    <w:pPr>
                      <w:spacing w:line="216" w:lineRule="exact" w:before="1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824;top:2879;width:1144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Población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4409;top:2879;width:141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Inscritos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ciclo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7257;top:2879;width:1158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Afectados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2573;top:3278;width:114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Población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4106;top:3278;width:14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Inscritos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ciclo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5908;top:3278;width:11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Afectados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0"/>
        <w:ind w:left="300" w:right="1061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2"/>
          <w:sz w:val="16"/>
        </w:rPr>
        <w:t> </w:t>
      </w:r>
      <w:r>
        <w:rPr>
          <w:sz w:val="16"/>
        </w:rPr>
        <w:t>Elaboración</w:t>
      </w:r>
      <w:r>
        <w:rPr>
          <w:spacing w:val="2"/>
          <w:sz w:val="16"/>
        </w:rPr>
        <w:t> </w:t>
      </w:r>
      <w:r>
        <w:rPr>
          <w:sz w:val="16"/>
        </w:rPr>
        <w:t>propia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partir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datos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Censo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Población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Vivienda</w:t>
      </w:r>
      <w:r>
        <w:rPr>
          <w:spacing w:val="3"/>
          <w:sz w:val="16"/>
        </w:rPr>
        <w:t> </w:t>
      </w:r>
      <w:r>
        <w:rPr>
          <w:sz w:val="16"/>
        </w:rPr>
        <w:t>2018,</w:t>
      </w:r>
      <w:r>
        <w:rPr>
          <w:spacing w:val="3"/>
          <w:sz w:val="16"/>
        </w:rPr>
        <w:t> </w:t>
      </w:r>
      <w:r>
        <w:rPr>
          <w:sz w:val="16"/>
        </w:rPr>
        <w:t>Guatemala;</w:t>
      </w:r>
      <w:r>
        <w:rPr>
          <w:spacing w:val="10"/>
          <w:sz w:val="16"/>
        </w:rPr>
        <w:t> </w:t>
      </w:r>
      <w:r>
        <w:rPr>
          <w:sz w:val="16"/>
        </w:rPr>
        <w:t>e</w:t>
      </w:r>
      <w:r>
        <w:rPr>
          <w:spacing w:val="4"/>
          <w:sz w:val="16"/>
        </w:rPr>
        <w:t> </w:t>
      </w:r>
      <w:r>
        <w:rPr>
          <w:sz w:val="16"/>
        </w:rPr>
        <w:t>información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2"/>
          <w:sz w:val="16"/>
        </w:rPr>
        <w:t> </w:t>
      </w:r>
      <w:r>
        <w:rPr>
          <w:sz w:val="16"/>
        </w:rPr>
        <w:t>Sistema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Indicadores</w:t>
      </w:r>
      <w:r>
        <w:rPr>
          <w:spacing w:val="1"/>
          <w:sz w:val="16"/>
        </w:rPr>
        <w:t> </w:t>
      </w:r>
      <w:r>
        <w:rPr>
          <w:sz w:val="16"/>
        </w:rPr>
        <w:t>Educativos,</w:t>
      </w:r>
      <w:r>
        <w:rPr>
          <w:spacing w:val="-1"/>
          <w:sz w:val="16"/>
        </w:rPr>
        <w:t> </w:t>
      </w:r>
      <w:r>
        <w:rPr>
          <w:sz w:val="16"/>
        </w:rPr>
        <w:t>DIPLAN</w:t>
      </w:r>
      <w:r>
        <w:rPr>
          <w:spacing w:val="-1"/>
          <w:sz w:val="16"/>
        </w:rPr>
        <w:t> </w:t>
      </w:r>
      <w:r>
        <w:rPr>
          <w:sz w:val="16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  <w:r>
        <w:rPr/>
        <w:pict>
          <v:rect style="position:absolute;margin-left:563.280029pt;margin-top:19.180687pt;width:25.44pt;height:1.464pt;mso-position-horizontal-relative:page;mso-position-vertical-relative:paragraph;z-index:-1561907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223"/>
      </w:pPr>
      <w:r>
        <w:rPr/>
        <w:t>56</w:t>
      </w:r>
    </w:p>
    <w:p>
      <w:pPr>
        <w:pStyle w:val="BodyText"/>
        <w:spacing w:line="91" w:lineRule="exact"/>
        <w:ind w:left="10125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45pt;height:4.6pt;mso-position-horizontal-relative:char;mso-position-vertical-relative:line" coordorigin="0,0" coordsize="509,92">
            <v:rect style="position:absolute;left:0;top:0;width:509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type w:val="continuous"/>
          <w:pgSz w:w="12240" w:h="15840"/>
          <w:pgMar w:top="34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426368">
            <wp:simplePos x="0" y="0"/>
            <wp:positionH relativeFrom="page">
              <wp:posOffset>0</wp:posOffset>
            </wp:positionH>
            <wp:positionV relativeFrom="page">
              <wp:posOffset>302887</wp:posOffset>
            </wp:positionV>
            <wp:extent cx="7772399" cy="9501333"/>
            <wp:effectExtent l="0" t="0" r="0" b="0"/>
            <wp:wrapNone/>
            <wp:docPr id="15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Heading3"/>
        <w:numPr>
          <w:ilvl w:val="1"/>
          <w:numId w:val="4"/>
        </w:numPr>
        <w:tabs>
          <w:tab w:pos="876" w:val="left" w:leader="none"/>
          <w:tab w:pos="877" w:val="left" w:leader="none"/>
        </w:tabs>
        <w:spacing w:line="240" w:lineRule="auto" w:before="169" w:after="0"/>
        <w:ind w:left="876" w:right="1100" w:hanging="576"/>
        <w:jc w:val="left"/>
      </w:pPr>
      <w:bookmarkStart w:name="_bookmark71" w:id="94"/>
      <w:bookmarkEnd w:id="94"/>
      <w:r>
        <w:rPr>
          <w:b w:val="0"/>
        </w:rPr>
      </w:r>
      <w:bookmarkStart w:name="_bookmark71" w:id="95"/>
      <w:bookmarkEnd w:id="95"/>
      <w:r>
        <w:rPr>
          <w:color w:val="1F4E79"/>
        </w:rPr>
        <w:t>Po</w:t>
      </w:r>
      <w:r>
        <w:rPr>
          <w:color w:val="1F4E79"/>
        </w:rPr>
        <w:t>blación</w:t>
      </w:r>
      <w:r>
        <w:rPr>
          <w:color w:val="1F4E79"/>
          <w:spacing w:val="2"/>
        </w:rPr>
        <w:t> </w:t>
      </w:r>
      <w:r>
        <w:rPr>
          <w:color w:val="1F4E79"/>
        </w:rPr>
        <w:t>afectada</w:t>
      </w:r>
      <w:r>
        <w:rPr>
          <w:color w:val="1F4E79"/>
          <w:spacing w:val="1"/>
        </w:rPr>
        <w:t> </w:t>
      </w:r>
      <w:r>
        <w:rPr>
          <w:color w:val="1F4E79"/>
        </w:rPr>
        <w:t>en</w:t>
      </w:r>
      <w:r>
        <w:rPr>
          <w:color w:val="1F4E79"/>
          <w:spacing w:val="2"/>
        </w:rPr>
        <w:t> </w:t>
      </w:r>
      <w:r>
        <w:rPr>
          <w:color w:val="1F4E79"/>
        </w:rPr>
        <w:t>el</w:t>
      </w:r>
      <w:r>
        <w:rPr>
          <w:color w:val="1F4E79"/>
          <w:spacing w:val="1"/>
        </w:rPr>
        <w:t> </w:t>
      </w:r>
      <w:r>
        <w:rPr>
          <w:color w:val="1F4E79"/>
        </w:rPr>
        <w:t>Nivel</w:t>
      </w:r>
      <w:r>
        <w:rPr>
          <w:color w:val="1F4E79"/>
          <w:spacing w:val="2"/>
        </w:rPr>
        <w:t> </w:t>
      </w:r>
      <w:r>
        <w:rPr>
          <w:color w:val="1F4E79"/>
        </w:rPr>
        <w:t>de</w:t>
      </w:r>
      <w:r>
        <w:rPr>
          <w:color w:val="1F4E79"/>
          <w:spacing w:val="-1"/>
        </w:rPr>
        <w:t> </w:t>
      </w:r>
      <w:r>
        <w:rPr>
          <w:color w:val="1F4E79"/>
        </w:rPr>
        <w:t>Educación Media,</w:t>
      </w:r>
      <w:r>
        <w:rPr>
          <w:color w:val="1F4E79"/>
          <w:spacing w:val="10"/>
        </w:rPr>
        <w:t> </w:t>
      </w:r>
      <w:r>
        <w:rPr>
          <w:color w:val="1F4E79"/>
        </w:rPr>
        <w:t>Ciclo</w:t>
      </w:r>
      <w:r>
        <w:rPr>
          <w:color w:val="1F4E79"/>
          <w:spacing w:val="-1"/>
        </w:rPr>
        <w:t> </w:t>
      </w:r>
      <w:r>
        <w:rPr>
          <w:color w:val="1F4E79"/>
        </w:rPr>
        <w:t>de</w:t>
      </w:r>
      <w:r>
        <w:rPr>
          <w:color w:val="1F4E79"/>
          <w:spacing w:val="1"/>
        </w:rPr>
        <w:t> </w:t>
      </w:r>
      <w:r>
        <w:rPr>
          <w:color w:val="1F4E79"/>
        </w:rPr>
        <w:t>Educación Diversificada,</w:t>
      </w:r>
      <w:r>
        <w:rPr>
          <w:color w:val="1F4E79"/>
          <w:spacing w:val="2"/>
        </w:rPr>
        <w:t> </w:t>
      </w:r>
      <w:r>
        <w:rPr>
          <w:color w:val="1F4E79"/>
        </w:rPr>
        <w:t>en</w:t>
      </w:r>
      <w:r>
        <w:rPr>
          <w:color w:val="1F4E79"/>
          <w:spacing w:val="-51"/>
        </w:rPr>
        <w:t> </w:t>
      </w:r>
      <w:r>
        <w:rPr>
          <w:color w:val="1F4E79"/>
        </w:rPr>
        <w:t>edades</w:t>
      </w:r>
      <w:r>
        <w:rPr>
          <w:color w:val="1F4E79"/>
          <w:spacing w:val="-1"/>
        </w:rPr>
        <w:t> </w:t>
      </w:r>
      <w:r>
        <w:rPr>
          <w:color w:val="1F4E79"/>
        </w:rPr>
        <w:t>entre</w:t>
      </w:r>
      <w:r>
        <w:rPr>
          <w:color w:val="1F4E79"/>
          <w:spacing w:val="-1"/>
        </w:rPr>
        <w:t> </w:t>
      </w:r>
      <w:r>
        <w:rPr>
          <w:color w:val="1F4E79"/>
        </w:rPr>
        <w:t>16</w:t>
      </w:r>
      <w:r>
        <w:rPr>
          <w:color w:val="1F4E79"/>
          <w:spacing w:val="1"/>
        </w:rPr>
        <w:t> </w:t>
      </w:r>
      <w:r>
        <w:rPr>
          <w:color w:val="1F4E79"/>
        </w:rPr>
        <w:t>y</w:t>
      </w:r>
      <w:r>
        <w:rPr>
          <w:color w:val="1F4E79"/>
          <w:spacing w:val="-1"/>
        </w:rPr>
        <w:t> </w:t>
      </w:r>
      <w:r>
        <w:rPr>
          <w:color w:val="1F4E79"/>
        </w:rPr>
        <w:t>18</w:t>
      </w:r>
      <w:r>
        <w:rPr>
          <w:color w:val="1F4E79"/>
          <w:spacing w:val="1"/>
        </w:rPr>
        <w:t> </w:t>
      </w:r>
      <w:r>
        <w:rPr>
          <w:color w:val="1F4E79"/>
        </w:rPr>
        <w:t>años</w:t>
      </w:r>
      <w:r>
        <w:rPr>
          <w:color w:val="1F4E79"/>
          <w:spacing w:val="1"/>
        </w:rPr>
        <w:t> </w:t>
      </w:r>
      <w:r>
        <w:rPr>
          <w:color w:val="1F4E79"/>
        </w:rPr>
        <w:t>en</w:t>
      </w:r>
      <w:r>
        <w:rPr>
          <w:color w:val="1F4E79"/>
          <w:spacing w:val="1"/>
        </w:rPr>
        <w:t> </w:t>
      </w:r>
      <w:r>
        <w:rPr>
          <w:color w:val="1F4E79"/>
        </w:rPr>
        <w:t>2021</w:t>
      </w:r>
    </w:p>
    <w:p>
      <w:pPr>
        <w:pStyle w:val="BodyText"/>
        <w:rPr>
          <w:b/>
          <w:sz w:val="24"/>
        </w:rPr>
      </w:pPr>
    </w:p>
    <w:p>
      <w:pPr>
        <w:spacing w:before="189"/>
        <w:ind w:left="2720" w:right="1421" w:hanging="2096"/>
        <w:jc w:val="left"/>
        <w:rPr>
          <w:sz w:val="20"/>
        </w:rPr>
      </w:pPr>
      <w:bookmarkStart w:name="_bookmark72" w:id="96"/>
      <w:bookmarkEnd w:id="96"/>
      <w:r>
        <w:rPr/>
      </w:r>
      <w:r>
        <w:rPr>
          <w:sz w:val="20"/>
        </w:rPr>
        <w:t>Gráfico</w:t>
      </w:r>
      <w:r>
        <w:rPr>
          <w:spacing w:val="-2"/>
          <w:sz w:val="20"/>
        </w:rPr>
        <w:t> </w:t>
      </w:r>
      <w:r>
        <w:rPr>
          <w:sz w:val="20"/>
        </w:rPr>
        <w:t>48</w:t>
      </w:r>
      <w:r>
        <w:rPr>
          <w:spacing w:val="-1"/>
          <w:sz w:val="20"/>
        </w:rPr>
        <w:t> </w:t>
      </w:r>
      <w:r>
        <w:rPr>
          <w:sz w:val="20"/>
        </w:rPr>
        <w:t>Población en</w:t>
      </w:r>
      <w:r>
        <w:rPr>
          <w:spacing w:val="-2"/>
          <w:sz w:val="20"/>
        </w:rPr>
        <w:t> </w:t>
      </w:r>
      <w:r>
        <w:rPr>
          <w:sz w:val="20"/>
        </w:rPr>
        <w:t>edades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16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18</w:t>
      </w:r>
      <w:r>
        <w:rPr>
          <w:spacing w:val="-2"/>
          <w:sz w:val="20"/>
        </w:rPr>
        <w:t> </w:t>
      </w:r>
      <w:r>
        <w:rPr>
          <w:sz w:val="20"/>
        </w:rPr>
        <w:t>años</w:t>
      </w:r>
      <w:r>
        <w:rPr>
          <w:spacing w:val="-3"/>
          <w:sz w:val="20"/>
        </w:rPr>
        <w:t> </w:t>
      </w:r>
      <w:r>
        <w:rPr>
          <w:sz w:val="20"/>
        </w:rPr>
        <w:t>2021,</w:t>
      </w:r>
      <w:r>
        <w:rPr>
          <w:spacing w:val="-1"/>
          <w:sz w:val="20"/>
        </w:rPr>
        <w:t> </w:t>
      </w:r>
      <w:r>
        <w:rPr>
          <w:sz w:val="20"/>
        </w:rPr>
        <w:t>inscritos</w:t>
      </w:r>
      <w:r>
        <w:rPr>
          <w:spacing w:val="-4"/>
          <w:sz w:val="20"/>
        </w:rPr>
        <w:t> </w:t>
      </w:r>
      <w:r>
        <w:rPr>
          <w:sz w:val="20"/>
        </w:rPr>
        <w:t>2021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educación</w:t>
      </w:r>
      <w:r>
        <w:rPr>
          <w:spacing w:val="-1"/>
          <w:sz w:val="20"/>
        </w:rPr>
        <w:t> </w:t>
      </w:r>
      <w:r>
        <w:rPr>
          <w:sz w:val="20"/>
        </w:rPr>
        <w:t>media,</w:t>
      </w:r>
      <w:r>
        <w:rPr>
          <w:spacing w:val="-1"/>
          <w:sz w:val="20"/>
        </w:rPr>
        <w:t> </w:t>
      </w:r>
      <w:r>
        <w:rPr>
          <w:sz w:val="20"/>
        </w:rPr>
        <w:t>ciclo</w:t>
      </w:r>
      <w:r>
        <w:rPr>
          <w:spacing w:val="-4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educación</w:t>
      </w:r>
      <w:r>
        <w:rPr>
          <w:spacing w:val="1"/>
          <w:sz w:val="20"/>
        </w:rPr>
        <w:t> </w:t>
      </w:r>
      <w:r>
        <w:rPr>
          <w:sz w:val="20"/>
        </w:rPr>
        <w:t>diversificada</w:t>
      </w:r>
      <w:r>
        <w:rPr>
          <w:spacing w:val="-1"/>
          <w:sz w:val="20"/>
        </w:rPr>
        <w:t> </w:t>
      </w:r>
      <w:r>
        <w:rPr>
          <w:sz w:val="20"/>
        </w:rPr>
        <w:t>y población afectada ciclo</w:t>
      </w:r>
      <w:r>
        <w:rPr>
          <w:spacing w:val="3"/>
          <w:sz w:val="20"/>
        </w:rPr>
        <w:t> </w:t>
      </w:r>
      <w:r>
        <w:rPr>
          <w:sz w:val="20"/>
        </w:rPr>
        <w:t>2021.</w:t>
      </w:r>
    </w:p>
    <w:p>
      <w:pPr>
        <w:pStyle w:val="BodyText"/>
        <w:ind w:left="305"/>
        <w:rPr>
          <w:sz w:val="20"/>
        </w:rPr>
      </w:pPr>
      <w:r>
        <w:rPr>
          <w:sz w:val="20"/>
        </w:rPr>
        <w:pict>
          <v:group style="width:470.2pt;height:195.4pt;mso-position-horizontal-relative:char;mso-position-vertical-relative:line" coordorigin="0,0" coordsize="9404,3908">
            <v:rect style="position:absolute;left:0;top:0;width:9404;height:3908" filled="true" fillcolor="#ffffff" stroked="false">
              <v:fill type="solid"/>
            </v:rect>
            <v:rect style="position:absolute;left:2091;top:565;width:837;height:2329" filled="true" fillcolor="#5b9bd4" stroked="false">
              <v:fill type="solid"/>
            </v:rect>
            <v:rect style="position:absolute;left:4760;top:2054;width:837;height:840" filled="true" fillcolor="#6fac46" stroked="false">
              <v:fill type="solid"/>
            </v:rect>
            <v:rect style="position:absolute;left:7430;top:1405;width:837;height:1489" filled="true" fillcolor="#ff0000" stroked="false">
              <v:fill type="solid"/>
            </v:rect>
            <v:line style="position:absolute" from="1174,2894" to="9184,2894" stroked="true" strokeweight=".75pt" strokecolor="#d9d9d9">
              <v:stroke dashstyle="solid"/>
            </v:line>
            <v:rect style="position:absolute;left:2051;top:3543;width:116;height:116" filled="true" fillcolor="#5b9bd4" stroked="false">
              <v:fill type="solid"/>
            </v:rect>
            <v:rect style="position:absolute;left:3839;top:3543;width:116;height:116" filled="true" fillcolor="#6fac46" stroked="false">
              <v:fill type="solid"/>
            </v:rect>
            <v:rect style="position:absolute;left:5941;top:3543;width:116;height:116" filled="true" fillcolor="#ff0000" stroked="false">
              <v:fill type="solid"/>
            </v:rect>
            <v:shape style="position:absolute;left:130;top:130;width:871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85858"/>
                        <w:sz w:val="21"/>
                      </w:rPr>
                      <w:t>1,200,000</w:t>
                    </w:r>
                  </w:p>
                </w:txbxContent>
              </v:textbox>
              <w10:wrap type="none"/>
            </v:shape>
            <v:shape style="position:absolute;left:2081;top:261;width:877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1,048,022</w:t>
                    </w:r>
                  </w:p>
                </w:txbxContent>
              </v:textbox>
              <w10:wrap type="none"/>
            </v:shape>
            <v:shape style="position:absolute;left:130;top:574;width:872;height:656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18" w:firstLine="0"/>
                      <w:jc w:val="right"/>
                      <w:rPr>
                        <w:sz w:val="21"/>
                      </w:rPr>
                    </w:pPr>
                    <w:r>
                      <w:rPr>
                        <w:color w:val="585858"/>
                        <w:sz w:val="21"/>
                      </w:rPr>
                      <w:t>1,000,000</w:t>
                    </w:r>
                  </w:p>
                  <w:p>
                    <w:pPr>
                      <w:spacing w:line="240" w:lineRule="auto" w:before="4"/>
                      <w:rPr>
                        <w:sz w:val="15"/>
                      </w:rPr>
                    </w:pPr>
                  </w:p>
                  <w:p>
                    <w:pPr>
                      <w:spacing w:line="253" w:lineRule="exact" w:before="0"/>
                      <w:ind w:left="0" w:right="18" w:firstLine="0"/>
                      <w:jc w:val="right"/>
                      <w:rPr>
                        <w:sz w:val="21"/>
                      </w:rPr>
                    </w:pPr>
                    <w:r>
                      <w:rPr>
                        <w:color w:val="585858"/>
                        <w:sz w:val="21"/>
                      </w:rPr>
                      <w:t>800,000</w:t>
                    </w:r>
                  </w:p>
                </w:txbxContent>
              </v:textbox>
              <w10:wrap type="none"/>
            </v:shape>
            <v:shape style="position:absolute;left:7500;top:1101;width:717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670,033</w:t>
                    </w:r>
                  </w:p>
                </w:txbxContent>
              </v:textbox>
              <w10:wrap type="none"/>
            </v:shape>
            <v:shape style="position:absolute;left:289;top:1463;width:8245;height:1818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85858"/>
                        <w:sz w:val="21"/>
                      </w:rPr>
                      <w:t>600,000</w:t>
                    </w:r>
                  </w:p>
                  <w:p>
                    <w:pPr>
                      <w:spacing w:line="207" w:lineRule="exact" w:before="30"/>
                      <w:ind w:left="4541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377,989</w:t>
                    </w:r>
                  </w:p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85858"/>
                        <w:sz w:val="21"/>
                      </w:rPr>
                      <w:t>400,000</w:t>
                    </w:r>
                  </w:p>
                  <w:p>
                    <w:pPr>
                      <w:spacing w:line="240" w:lineRule="auto" w:before="5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85858"/>
                        <w:sz w:val="21"/>
                      </w:rPr>
                      <w:t>200,000</w:t>
                    </w:r>
                  </w:p>
                  <w:p>
                    <w:pPr>
                      <w:spacing w:line="240" w:lineRule="auto" w:before="5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584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85858"/>
                        <w:w w:val="100"/>
                        <w:sz w:val="21"/>
                      </w:rPr>
                      <w:t>0</w:t>
                    </w:r>
                  </w:p>
                  <w:p>
                    <w:pPr>
                      <w:tabs>
                        <w:tab w:pos="4078" w:val="left" w:leader="none"/>
                        <w:tab w:pos="6898" w:val="left" w:leader="none"/>
                      </w:tabs>
                      <w:spacing w:line="253" w:lineRule="exact" w:before="17"/>
                      <w:ind w:left="1566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85858"/>
                        <w:sz w:val="21"/>
                      </w:rPr>
                      <w:t>Población</w:t>
                    </w:r>
                    <w:r>
                      <w:rPr>
                        <w:color w:val="585858"/>
                        <w:spacing w:val="-4"/>
                        <w:sz w:val="21"/>
                      </w:rPr>
                      <w:t> </w:t>
                    </w:r>
                    <w:r>
                      <w:rPr>
                        <w:color w:val="585858"/>
                        <w:sz w:val="21"/>
                      </w:rPr>
                      <w:t>2021</w:t>
                      <w:tab/>
                      <w:t>Inscritos</w:t>
                    </w:r>
                    <w:r>
                      <w:rPr>
                        <w:color w:val="585858"/>
                        <w:spacing w:val="-2"/>
                        <w:sz w:val="21"/>
                      </w:rPr>
                      <w:t> </w:t>
                    </w:r>
                    <w:r>
                      <w:rPr>
                        <w:color w:val="585858"/>
                        <w:sz w:val="21"/>
                      </w:rPr>
                      <w:t>ciclo</w:t>
                    </w:r>
                    <w:r>
                      <w:rPr>
                        <w:color w:val="585858"/>
                        <w:spacing w:val="-2"/>
                        <w:sz w:val="21"/>
                      </w:rPr>
                      <w:t> </w:t>
                    </w:r>
                    <w:r>
                      <w:rPr>
                        <w:color w:val="585858"/>
                        <w:sz w:val="21"/>
                      </w:rPr>
                      <w:t>2021</w:t>
                      <w:tab/>
                      <w:t>Afectados</w:t>
                    </w:r>
                    <w:r>
                      <w:rPr>
                        <w:color w:val="585858"/>
                        <w:spacing w:val="-2"/>
                        <w:sz w:val="21"/>
                      </w:rPr>
                      <w:t> </w:t>
                    </w:r>
                    <w:r>
                      <w:rPr>
                        <w:color w:val="585858"/>
                        <w:sz w:val="21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2217;top:3502;width:1334;height:212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85858"/>
                        <w:sz w:val="21"/>
                      </w:rPr>
                      <w:t>Población</w:t>
                    </w:r>
                    <w:r>
                      <w:rPr>
                        <w:color w:val="585858"/>
                        <w:spacing w:val="-2"/>
                        <w:sz w:val="21"/>
                      </w:rPr>
                      <w:t> </w:t>
                    </w:r>
                    <w:r>
                      <w:rPr>
                        <w:color w:val="585858"/>
                        <w:sz w:val="21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4005;top:3502;width:1644;height:212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85858"/>
                        <w:sz w:val="21"/>
                      </w:rPr>
                      <w:t>Inscritos</w:t>
                    </w:r>
                    <w:r>
                      <w:rPr>
                        <w:color w:val="585858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585858"/>
                        <w:sz w:val="21"/>
                      </w:rPr>
                      <w:t>ciclo</w:t>
                    </w:r>
                    <w:r>
                      <w:rPr>
                        <w:color w:val="585858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585858"/>
                        <w:sz w:val="21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6108;top:3502;width:1347;height:212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85858"/>
                        <w:sz w:val="21"/>
                      </w:rPr>
                      <w:t>Afectados</w:t>
                    </w:r>
                    <w:r>
                      <w:rPr>
                        <w:color w:val="585858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585858"/>
                        <w:sz w:val="21"/>
                      </w:rPr>
                      <w:t>2021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0"/>
        <w:ind w:left="300" w:right="1061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partir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Población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2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Guatemala;</w:t>
      </w:r>
      <w:r>
        <w:rPr>
          <w:spacing w:val="2"/>
          <w:sz w:val="16"/>
        </w:rPr>
        <w:t> </w:t>
      </w:r>
      <w:r>
        <w:rPr>
          <w:sz w:val="16"/>
        </w:rPr>
        <w:t>e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Indicadores</w:t>
      </w:r>
      <w:r>
        <w:rPr>
          <w:spacing w:val="1"/>
          <w:sz w:val="16"/>
        </w:rPr>
        <w:t> </w:t>
      </w:r>
      <w:r>
        <w:rPr>
          <w:sz w:val="16"/>
        </w:rPr>
        <w:t>Educativos,</w:t>
      </w:r>
      <w:r>
        <w:rPr>
          <w:spacing w:val="-1"/>
          <w:sz w:val="16"/>
        </w:rPr>
        <w:t> </w:t>
      </w:r>
      <w:r>
        <w:rPr>
          <w:sz w:val="16"/>
        </w:rPr>
        <w:t>DIPLAN</w:t>
      </w:r>
      <w:r>
        <w:rPr>
          <w:spacing w:val="-1"/>
          <w:sz w:val="16"/>
        </w:rPr>
        <w:t> </w:t>
      </w:r>
      <w:r>
        <w:rPr>
          <w:sz w:val="16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pict>
          <v:rect style="position:absolute;margin-left:563.280029pt;margin-top:14.030531pt;width:25.44pt;height:1.464pt;mso-position-horizontal-relative:page;mso-position-vertical-relative:paragraph;z-index:-1561497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223"/>
      </w:pPr>
      <w:r>
        <w:rPr/>
        <w:t>57</w:t>
      </w:r>
    </w:p>
    <w:p>
      <w:pPr>
        <w:pStyle w:val="BodyText"/>
        <w:spacing w:line="91" w:lineRule="exact"/>
        <w:ind w:left="10125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45pt;height:4.6pt;mso-position-horizontal-relative:char;mso-position-vertical-relative:line" coordorigin="0,0" coordsize="509,92">
            <v:rect style="position:absolute;left:0;top:0;width:509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427904">
            <wp:simplePos x="0" y="0"/>
            <wp:positionH relativeFrom="page">
              <wp:posOffset>0</wp:posOffset>
            </wp:positionH>
            <wp:positionV relativeFrom="page">
              <wp:posOffset>302887</wp:posOffset>
            </wp:positionV>
            <wp:extent cx="7772399" cy="9501333"/>
            <wp:effectExtent l="0" t="0" r="0" b="0"/>
            <wp:wrapNone/>
            <wp:docPr id="15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0"/>
          <w:numId w:val="4"/>
        </w:numPr>
        <w:tabs>
          <w:tab w:pos="732" w:val="left" w:leader="none"/>
          <w:tab w:pos="733" w:val="left" w:leader="none"/>
        </w:tabs>
        <w:spacing w:line="240" w:lineRule="auto" w:before="52" w:after="0"/>
        <w:ind w:left="732" w:right="0" w:hanging="433"/>
        <w:jc w:val="left"/>
      </w:pPr>
      <w:bookmarkStart w:name="_bookmark73" w:id="97"/>
      <w:bookmarkEnd w:id="97"/>
      <w:r>
        <w:rPr>
          <w:b w:val="0"/>
        </w:rPr>
      </w:r>
      <w:bookmarkStart w:name="_bookmark73" w:id="98"/>
      <w:bookmarkEnd w:id="98"/>
      <w:r>
        <w:rPr>
          <w:color w:val="1F4E79"/>
        </w:rPr>
        <w:t>Aten</w:t>
      </w:r>
      <w:r>
        <w:rPr>
          <w:color w:val="1F4E79"/>
        </w:rPr>
        <w:t>ción</w:t>
      </w:r>
      <w:r>
        <w:rPr>
          <w:color w:val="1F4E79"/>
          <w:spacing w:val="-10"/>
        </w:rPr>
        <w:t> </w:t>
      </w:r>
      <w:r>
        <w:rPr>
          <w:color w:val="1F4E79"/>
        </w:rPr>
        <w:t>Extraescolar</w:t>
      </w:r>
    </w:p>
    <w:p>
      <w:pPr>
        <w:pStyle w:val="BodyText"/>
        <w:spacing w:before="6"/>
        <w:rPr>
          <w:b/>
          <w:sz w:val="29"/>
        </w:rPr>
      </w:pPr>
    </w:p>
    <w:p>
      <w:pPr>
        <w:spacing w:line="240" w:lineRule="auto" w:before="0"/>
        <w:ind w:left="300" w:right="1095" w:firstLine="0"/>
        <w:jc w:val="both"/>
        <w:rPr>
          <w:sz w:val="24"/>
        </w:rPr>
      </w:pP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educación</w:t>
      </w:r>
      <w:r>
        <w:rPr>
          <w:spacing w:val="-5"/>
          <w:sz w:val="24"/>
        </w:rPr>
        <w:t> </w:t>
      </w:r>
      <w:r>
        <w:rPr>
          <w:sz w:val="24"/>
        </w:rPr>
        <w:t>extraescolar</w:t>
      </w:r>
      <w:r>
        <w:rPr>
          <w:spacing w:val="-3"/>
          <w:sz w:val="24"/>
        </w:rPr>
        <w:t> </w:t>
      </w:r>
      <w:r>
        <w:rPr>
          <w:sz w:val="24"/>
        </w:rPr>
        <w:t>tiene</w:t>
      </w:r>
      <w:r>
        <w:rPr>
          <w:spacing w:val="-6"/>
          <w:sz w:val="24"/>
        </w:rPr>
        <w:t> </w:t>
      </w:r>
      <w:r>
        <w:rPr>
          <w:sz w:val="24"/>
        </w:rPr>
        <w:t>su</w:t>
      </w:r>
      <w:r>
        <w:rPr>
          <w:spacing w:val="-8"/>
          <w:sz w:val="24"/>
        </w:rPr>
        <w:t> </w:t>
      </w:r>
      <w:r>
        <w:rPr>
          <w:sz w:val="24"/>
        </w:rPr>
        <w:t>origen</w:t>
      </w:r>
      <w:r>
        <w:rPr>
          <w:spacing w:val="-6"/>
          <w:sz w:val="24"/>
        </w:rPr>
        <w:t> </w:t>
      </w:r>
      <w:r>
        <w:rPr>
          <w:sz w:val="24"/>
        </w:rPr>
        <w:t>hacia</w:t>
      </w:r>
      <w:r>
        <w:rPr>
          <w:spacing w:val="-7"/>
          <w:sz w:val="24"/>
        </w:rPr>
        <w:t> </w:t>
      </w:r>
      <w:r>
        <w:rPr>
          <w:sz w:val="24"/>
        </w:rPr>
        <w:t>finales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década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1960</w:t>
      </w:r>
      <w:r>
        <w:rPr>
          <w:spacing w:val="-2"/>
          <w:sz w:val="24"/>
        </w:rPr>
        <w:t> </w:t>
      </w:r>
      <w:r>
        <w:rPr>
          <w:sz w:val="24"/>
        </w:rPr>
        <w:t>como</w:t>
      </w:r>
      <w:r>
        <w:rPr>
          <w:spacing w:val="-6"/>
          <w:sz w:val="24"/>
        </w:rPr>
        <w:t> </w:t>
      </w:r>
      <w:r>
        <w:rPr>
          <w:sz w:val="24"/>
        </w:rPr>
        <w:t>respuesta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primera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crisis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mundial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educación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se</w:t>
      </w:r>
      <w:r>
        <w:rPr>
          <w:spacing w:val="-13"/>
          <w:sz w:val="24"/>
        </w:rPr>
        <w:t> </w:t>
      </w:r>
      <w:r>
        <w:rPr>
          <w:sz w:val="24"/>
        </w:rPr>
        <w:t>produjo</w:t>
      </w:r>
      <w:r>
        <w:rPr>
          <w:spacing w:val="-13"/>
          <w:sz w:val="24"/>
        </w:rPr>
        <w:t> </w:t>
      </w:r>
      <w:r>
        <w:rPr>
          <w:sz w:val="24"/>
        </w:rPr>
        <w:t>en</w:t>
      </w:r>
      <w:r>
        <w:rPr>
          <w:spacing w:val="-12"/>
          <w:sz w:val="24"/>
        </w:rPr>
        <w:t> </w:t>
      </w: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contexto</w:t>
      </w:r>
      <w:r>
        <w:rPr>
          <w:spacing w:val="-13"/>
          <w:sz w:val="24"/>
        </w:rPr>
        <w:t> </w:t>
      </w:r>
      <w:r>
        <w:rPr>
          <w:sz w:val="24"/>
        </w:rPr>
        <w:t>del</w:t>
      </w:r>
      <w:r>
        <w:rPr>
          <w:spacing w:val="-13"/>
          <w:sz w:val="24"/>
        </w:rPr>
        <w:t> </w:t>
      </w:r>
      <w:r>
        <w:rPr>
          <w:sz w:val="24"/>
        </w:rPr>
        <w:t>nuevo</w:t>
      </w:r>
      <w:r>
        <w:rPr>
          <w:spacing w:val="-11"/>
          <w:sz w:val="24"/>
        </w:rPr>
        <w:t> </w:t>
      </w:r>
      <w:r>
        <w:rPr>
          <w:sz w:val="24"/>
        </w:rPr>
        <w:t>orden</w:t>
      </w:r>
      <w:r>
        <w:rPr>
          <w:spacing w:val="-12"/>
          <w:sz w:val="24"/>
        </w:rPr>
        <w:t> </w:t>
      </w:r>
      <w:r>
        <w:rPr>
          <w:sz w:val="24"/>
        </w:rPr>
        <w:t>económico,</w:t>
      </w:r>
      <w:r>
        <w:rPr>
          <w:spacing w:val="-51"/>
          <w:sz w:val="24"/>
        </w:rPr>
        <w:t> </w:t>
      </w:r>
      <w:r>
        <w:rPr>
          <w:sz w:val="24"/>
        </w:rPr>
        <w:t>social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político</w:t>
      </w:r>
      <w:r>
        <w:rPr>
          <w:spacing w:val="-8"/>
          <w:sz w:val="24"/>
        </w:rPr>
        <w:t> </w:t>
      </w:r>
      <w:r>
        <w:rPr>
          <w:sz w:val="24"/>
        </w:rPr>
        <w:t>establecido</w:t>
      </w:r>
      <w:r>
        <w:rPr>
          <w:spacing w:val="-8"/>
          <w:sz w:val="24"/>
        </w:rPr>
        <w:t> </w:t>
      </w:r>
      <w:r>
        <w:rPr>
          <w:sz w:val="24"/>
        </w:rPr>
        <w:t>tras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finalización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II</w:t>
      </w:r>
      <w:r>
        <w:rPr>
          <w:spacing w:val="-7"/>
          <w:sz w:val="24"/>
        </w:rPr>
        <w:t> </w:t>
      </w:r>
      <w:r>
        <w:rPr>
          <w:sz w:val="24"/>
        </w:rPr>
        <w:t>Guerra</w:t>
      </w:r>
      <w:r>
        <w:rPr>
          <w:spacing w:val="-8"/>
          <w:sz w:val="24"/>
        </w:rPr>
        <w:t> </w:t>
      </w:r>
      <w:r>
        <w:rPr>
          <w:sz w:val="24"/>
        </w:rPr>
        <w:t>Mundial.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estudio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causas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la crisis y la búsqueda de soluciones dio lugar a dos informes y diversas reuniones de trabajo y</w:t>
      </w:r>
      <w:r>
        <w:rPr>
          <w:spacing w:val="1"/>
          <w:sz w:val="24"/>
        </w:rPr>
        <w:t> </w:t>
      </w:r>
      <w:r>
        <w:rPr>
          <w:sz w:val="24"/>
        </w:rPr>
        <w:t>conferencias globales de la UNESCO. Los informes son los siguientes: La Crisis Mundial de la</w:t>
      </w:r>
      <w:r>
        <w:rPr>
          <w:spacing w:val="1"/>
          <w:sz w:val="24"/>
        </w:rPr>
        <w:t> </w:t>
      </w:r>
      <w:r>
        <w:rPr>
          <w:sz w:val="24"/>
        </w:rPr>
        <w:t>Educación. Informe de la comisión presidida por Phillip Coombs (1968); “Aprender a Ser. La</w:t>
      </w:r>
      <w:r>
        <w:rPr>
          <w:spacing w:val="1"/>
          <w:sz w:val="24"/>
        </w:rPr>
        <w:t> </w:t>
      </w:r>
      <w:r>
        <w:rPr>
          <w:sz w:val="24"/>
        </w:rPr>
        <w:t>educación del futuro”. Informe de la comisión presidida por Edgar Fraure (1973). (Ministerio de</w:t>
      </w:r>
      <w:r>
        <w:rPr>
          <w:spacing w:val="1"/>
          <w:sz w:val="24"/>
        </w:rPr>
        <w:t> </w:t>
      </w:r>
      <w:r>
        <w:rPr>
          <w:sz w:val="24"/>
        </w:rPr>
        <w:t>Educación,</w:t>
      </w:r>
      <w:r>
        <w:rPr>
          <w:spacing w:val="-2"/>
          <w:sz w:val="24"/>
        </w:rPr>
        <w:t> </w:t>
      </w:r>
      <w:r>
        <w:rPr>
          <w:sz w:val="24"/>
        </w:rPr>
        <w:t>2020)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300" w:right="1096" w:firstLine="0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informe</w:t>
      </w:r>
      <w:r>
        <w:rPr>
          <w:spacing w:val="1"/>
          <w:sz w:val="24"/>
        </w:rPr>
        <w:t> </w:t>
      </w:r>
      <w:r>
        <w:rPr>
          <w:sz w:val="24"/>
        </w:rPr>
        <w:t>preparado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Coombs</w:t>
      </w:r>
      <w:r>
        <w:rPr>
          <w:spacing w:val="1"/>
          <w:sz w:val="24"/>
        </w:rPr>
        <w:t> </w:t>
      </w:r>
      <w:r>
        <w:rPr>
          <w:sz w:val="24"/>
        </w:rPr>
        <w:t>identificó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causa</w:t>
      </w:r>
      <w:r>
        <w:rPr>
          <w:spacing w:val="1"/>
          <w:sz w:val="24"/>
        </w:rPr>
        <w:t> </w:t>
      </w:r>
      <w:r>
        <w:rPr>
          <w:sz w:val="24"/>
        </w:rPr>
        <w:t>principal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crisis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limitada</w:t>
      </w:r>
      <w:r>
        <w:rPr>
          <w:spacing w:val="1"/>
          <w:sz w:val="24"/>
        </w:rPr>
        <w:t> </w:t>
      </w:r>
      <w:r>
        <w:rPr>
          <w:sz w:val="24"/>
        </w:rPr>
        <w:t>adaptación de los sistemas escolares nacionales a los profundos cambios que trajo consigo el</w:t>
      </w:r>
      <w:r>
        <w:rPr>
          <w:spacing w:val="1"/>
          <w:sz w:val="24"/>
        </w:rPr>
        <w:t> </w:t>
      </w:r>
      <w:r>
        <w:rPr>
          <w:sz w:val="24"/>
        </w:rPr>
        <w:t>nuevo escenario de la postguerra. Los factores más influyentes identificados por el informe se</w:t>
      </w:r>
      <w:r>
        <w:rPr>
          <w:spacing w:val="1"/>
          <w:sz w:val="24"/>
        </w:rPr>
        <w:t> </w:t>
      </w:r>
      <w:r>
        <w:rPr>
          <w:sz w:val="24"/>
        </w:rPr>
        <w:t>pueden clasificar en cuatro grandes grupos, como se explica enseguida: Cobertura, métodos,</w:t>
      </w:r>
      <w:r>
        <w:rPr>
          <w:spacing w:val="1"/>
          <w:sz w:val="24"/>
        </w:rPr>
        <w:t> </w:t>
      </w:r>
      <w:r>
        <w:rPr>
          <w:sz w:val="24"/>
        </w:rPr>
        <w:t>contenidos</w:t>
      </w:r>
      <w:r>
        <w:rPr>
          <w:spacing w:val="-3"/>
          <w:sz w:val="24"/>
        </w:rPr>
        <w:t> </w:t>
      </w:r>
      <w:r>
        <w:rPr>
          <w:sz w:val="24"/>
        </w:rPr>
        <w:t>y tecnología.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300" w:right="1094" w:firstLine="0"/>
        <w:jc w:val="both"/>
        <w:rPr>
          <w:sz w:val="24"/>
        </w:rPr>
      </w:pPr>
      <w:r>
        <w:rPr>
          <w:sz w:val="24"/>
        </w:rPr>
        <w:t>Las</w:t>
      </w:r>
      <w:r>
        <w:rPr>
          <w:spacing w:val="-8"/>
          <w:sz w:val="24"/>
        </w:rPr>
        <w:t> </w:t>
      </w:r>
      <w:r>
        <w:rPr>
          <w:sz w:val="24"/>
        </w:rPr>
        <w:t>primeras</w:t>
      </w:r>
      <w:r>
        <w:rPr>
          <w:spacing w:val="-9"/>
          <w:sz w:val="24"/>
        </w:rPr>
        <w:t> </w:t>
      </w:r>
      <w:r>
        <w:rPr>
          <w:sz w:val="24"/>
        </w:rPr>
        <w:t>experiencia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educación</w:t>
      </w:r>
      <w:r>
        <w:rPr>
          <w:spacing w:val="-7"/>
          <w:sz w:val="24"/>
        </w:rPr>
        <w:t> </w:t>
      </w:r>
      <w:r>
        <w:rPr>
          <w:sz w:val="24"/>
        </w:rPr>
        <w:t>extraescolar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Guatemala</w:t>
      </w:r>
      <w:r>
        <w:rPr>
          <w:spacing w:val="-8"/>
          <w:sz w:val="24"/>
        </w:rPr>
        <w:t> </w:t>
      </w:r>
      <w:r>
        <w:rPr>
          <w:sz w:val="24"/>
        </w:rPr>
        <w:t>están</w:t>
      </w:r>
      <w:r>
        <w:rPr>
          <w:spacing w:val="-8"/>
          <w:sz w:val="24"/>
        </w:rPr>
        <w:t> </w:t>
      </w:r>
      <w:r>
        <w:rPr>
          <w:sz w:val="24"/>
        </w:rPr>
        <w:t>datadas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década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los setenta. En 1977, se creó la Dirección General de Educación Extraescolar (DIGEEX), vigente</w:t>
      </w:r>
      <w:r>
        <w:rPr>
          <w:spacing w:val="1"/>
          <w:sz w:val="24"/>
        </w:rPr>
        <w:t> </w:t>
      </w:r>
      <w:r>
        <w:rPr>
          <w:sz w:val="24"/>
        </w:rPr>
        <w:t>hasta la fecha. La Ley Nacional de Educación definió en 1991 la educación extraescolar en los</w:t>
      </w:r>
      <w:r>
        <w:rPr>
          <w:spacing w:val="1"/>
          <w:sz w:val="24"/>
        </w:rPr>
        <w:t> </w:t>
      </w:r>
      <w:r>
        <w:rPr>
          <w:sz w:val="24"/>
        </w:rPr>
        <w:t>siguientes</w:t>
      </w:r>
      <w:r>
        <w:rPr>
          <w:spacing w:val="-2"/>
          <w:sz w:val="24"/>
        </w:rPr>
        <w:t> </w:t>
      </w:r>
      <w:r>
        <w:rPr>
          <w:sz w:val="24"/>
        </w:rPr>
        <w:t>términos:</w:t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300" w:right="1094" w:firstLine="0"/>
        <w:jc w:val="both"/>
        <w:rPr>
          <w:sz w:val="24"/>
        </w:rPr>
      </w:pPr>
      <w:r>
        <w:rPr>
          <w:sz w:val="24"/>
        </w:rPr>
        <w:t>“La educación extraescolar o paralela es una forma de realización del proceso educativo, que el</w:t>
      </w:r>
      <w:r>
        <w:rPr>
          <w:spacing w:val="1"/>
          <w:sz w:val="24"/>
        </w:rPr>
        <w:t> </w:t>
      </w:r>
      <w:r>
        <w:rPr>
          <w:sz w:val="24"/>
        </w:rPr>
        <w:t>Estado y las instituciones proporcionan a la población que ha estado excluida o no ha tenido</w:t>
      </w:r>
      <w:r>
        <w:rPr>
          <w:spacing w:val="1"/>
          <w:sz w:val="24"/>
        </w:rPr>
        <w:t> </w:t>
      </w:r>
      <w:r>
        <w:rPr>
          <w:sz w:val="24"/>
        </w:rPr>
        <w:t>acceso a la educación escolar y a las que habiéndola tenido desea ampliarlas (…) Tiene las</w:t>
      </w:r>
      <w:r>
        <w:rPr>
          <w:spacing w:val="1"/>
          <w:sz w:val="24"/>
        </w:rPr>
        <w:t> </w:t>
      </w:r>
      <w:r>
        <w:rPr>
          <w:sz w:val="24"/>
        </w:rPr>
        <w:t>siguientes características: a) Es una modalidad de entrega educacional enmarcada en principios</w:t>
      </w:r>
      <w:r>
        <w:rPr>
          <w:spacing w:val="1"/>
          <w:sz w:val="24"/>
        </w:rPr>
        <w:t> </w:t>
      </w:r>
      <w:r>
        <w:rPr>
          <w:sz w:val="24"/>
        </w:rPr>
        <w:t>didáctico-pedagógicos; b) No está sujeta a un orden rígido de grados, edades ni a un sistema</w:t>
      </w:r>
      <w:r>
        <w:rPr>
          <w:spacing w:val="1"/>
          <w:sz w:val="24"/>
        </w:rPr>
        <w:t> </w:t>
      </w:r>
      <w:r>
        <w:rPr>
          <w:sz w:val="24"/>
        </w:rPr>
        <w:t>inflexible de conocimientos; c) Capacita al educando en el desarrollo de habilidades y destrezas,</w:t>
      </w:r>
      <w:r>
        <w:rPr>
          <w:spacing w:val="-52"/>
          <w:sz w:val="24"/>
        </w:rPr>
        <w:t> </w:t>
      </w:r>
      <w:r>
        <w:rPr>
          <w:sz w:val="24"/>
        </w:rPr>
        <w:t>hacia</w:t>
      </w:r>
      <w:r>
        <w:rPr>
          <w:spacing w:val="1"/>
          <w:sz w:val="24"/>
        </w:rPr>
        <w:t> </w:t>
      </w:r>
      <w:r>
        <w:rPr>
          <w:sz w:val="24"/>
        </w:rPr>
        <w:t>nuevos</w:t>
      </w:r>
      <w:r>
        <w:rPr>
          <w:spacing w:val="1"/>
          <w:sz w:val="24"/>
        </w:rPr>
        <w:t> </w:t>
      </w:r>
      <w:r>
        <w:rPr>
          <w:sz w:val="24"/>
        </w:rPr>
        <w:t>intereses</w:t>
      </w:r>
      <w:r>
        <w:rPr>
          <w:spacing w:val="1"/>
          <w:sz w:val="24"/>
        </w:rPr>
        <w:t> </w:t>
      </w:r>
      <w:r>
        <w:rPr>
          <w:sz w:val="24"/>
        </w:rPr>
        <w:t>personales,</w:t>
      </w:r>
      <w:r>
        <w:rPr>
          <w:spacing w:val="1"/>
          <w:sz w:val="24"/>
        </w:rPr>
        <w:t> </w:t>
      </w:r>
      <w:r>
        <w:rPr>
          <w:sz w:val="24"/>
        </w:rPr>
        <w:t>laborales,</w:t>
      </w:r>
      <w:r>
        <w:rPr>
          <w:spacing w:val="1"/>
          <w:sz w:val="24"/>
        </w:rPr>
        <w:t> </w:t>
      </w:r>
      <w:r>
        <w:rPr>
          <w:sz w:val="24"/>
        </w:rPr>
        <w:t>sociales,</w:t>
      </w:r>
      <w:r>
        <w:rPr>
          <w:spacing w:val="1"/>
          <w:sz w:val="24"/>
        </w:rPr>
        <w:t> </w:t>
      </w:r>
      <w:r>
        <w:rPr>
          <w:sz w:val="24"/>
        </w:rPr>
        <w:t>culturales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académicos”.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implementación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servicios</w:t>
      </w:r>
      <w:r>
        <w:rPr>
          <w:spacing w:val="-4"/>
          <w:sz w:val="24"/>
        </w:rPr>
        <w:t> </w:t>
      </w:r>
      <w:r>
        <w:rPr>
          <w:sz w:val="24"/>
        </w:rPr>
        <w:t>respectivos,</w:t>
      </w:r>
      <w:r>
        <w:rPr>
          <w:spacing w:val="-7"/>
          <w:sz w:val="24"/>
        </w:rPr>
        <w:t> </w:t>
      </w:r>
      <w:r>
        <w:rPr>
          <w:sz w:val="24"/>
        </w:rPr>
        <w:t>se</w:t>
      </w:r>
      <w:r>
        <w:rPr>
          <w:spacing w:val="-6"/>
          <w:sz w:val="24"/>
        </w:rPr>
        <w:t> </w:t>
      </w:r>
      <w:r>
        <w:rPr>
          <w:sz w:val="24"/>
        </w:rPr>
        <w:t>prevé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uso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“modalidades</w:t>
      </w:r>
      <w:r>
        <w:rPr>
          <w:spacing w:val="-6"/>
          <w:sz w:val="24"/>
        </w:rPr>
        <w:t> </w:t>
      </w:r>
      <w:r>
        <w:rPr>
          <w:sz w:val="24"/>
        </w:rPr>
        <w:t>desescolarizadas”,</w:t>
      </w:r>
      <w:r>
        <w:rPr>
          <w:spacing w:val="-52"/>
          <w:sz w:val="24"/>
        </w:rPr>
        <w:t> </w:t>
      </w:r>
      <w:r>
        <w:rPr>
          <w:sz w:val="24"/>
        </w:rPr>
        <w:t>como por ejemplo: “alternancia”,</w:t>
      </w:r>
      <w:r>
        <w:rPr>
          <w:spacing w:val="-2"/>
          <w:sz w:val="24"/>
        </w:rPr>
        <w:t> </w:t>
      </w:r>
      <w:r>
        <w:rPr>
          <w:sz w:val="24"/>
        </w:rPr>
        <w:t>“enseñanza</w:t>
      </w:r>
      <w:r>
        <w:rPr>
          <w:spacing w:val="-3"/>
          <w:sz w:val="24"/>
        </w:rPr>
        <w:t> </w:t>
      </w:r>
      <w:r>
        <w:rPr>
          <w:sz w:val="24"/>
        </w:rPr>
        <w:t>libre” y “educación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distancia”.</w:t>
      </w:r>
    </w:p>
    <w:p>
      <w:pPr>
        <w:pStyle w:val="BodyText"/>
        <w:spacing w:before="11"/>
        <w:rPr>
          <w:sz w:val="23"/>
        </w:rPr>
      </w:pPr>
    </w:p>
    <w:p>
      <w:pPr>
        <w:spacing w:line="240" w:lineRule="auto" w:before="0"/>
        <w:ind w:left="300" w:right="1094" w:firstLine="0"/>
        <w:jc w:val="both"/>
        <w:rPr>
          <w:sz w:val="24"/>
        </w:rPr>
      </w:pPr>
      <w:r>
        <w:rPr>
          <w:spacing w:val="-1"/>
          <w:sz w:val="24"/>
        </w:rPr>
        <w:t>La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Dirección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General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Educación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Extraescolar,</w:t>
      </w:r>
      <w:r>
        <w:rPr>
          <w:spacing w:val="-10"/>
          <w:sz w:val="24"/>
        </w:rPr>
        <w:t> </w:t>
      </w:r>
      <w:r>
        <w:rPr>
          <w:sz w:val="24"/>
        </w:rPr>
        <w:t>DIGEEX,</w:t>
      </w:r>
      <w:r>
        <w:rPr>
          <w:spacing w:val="-10"/>
          <w:sz w:val="24"/>
        </w:rPr>
        <w:t> </w:t>
      </w:r>
      <w:r>
        <w:rPr>
          <w:sz w:val="24"/>
        </w:rPr>
        <w:t>“es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responsable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proveer</w:t>
      </w:r>
      <w:r>
        <w:rPr>
          <w:spacing w:val="-12"/>
          <w:sz w:val="24"/>
        </w:rPr>
        <w:t> </w:t>
      </w:r>
      <w:r>
        <w:rPr>
          <w:sz w:val="24"/>
        </w:rPr>
        <w:t>el</w:t>
      </w:r>
      <w:r>
        <w:rPr>
          <w:spacing w:val="-12"/>
          <w:sz w:val="24"/>
        </w:rPr>
        <w:t> </w:t>
      </w:r>
      <w:r>
        <w:rPr>
          <w:sz w:val="24"/>
        </w:rPr>
        <w:t>proceso</w:t>
      </w:r>
      <w:r>
        <w:rPr>
          <w:spacing w:val="-52"/>
          <w:sz w:val="24"/>
        </w:rPr>
        <w:t> </w:t>
      </w:r>
      <w:r>
        <w:rPr>
          <w:sz w:val="24"/>
        </w:rPr>
        <w:t>educativo a los niños y jóvenes en sobre edad, con modalidades diferentes a las del subsistema</w:t>
      </w:r>
      <w:r>
        <w:rPr>
          <w:spacing w:val="1"/>
          <w:sz w:val="24"/>
        </w:rPr>
        <w:t> </w:t>
      </w:r>
      <w:r>
        <w:rPr>
          <w:sz w:val="24"/>
        </w:rPr>
        <w:t>escolar formal” (Art. 12, Acuerdo Gubernativo No. 225-2008). En este sentido, DIGEEX provee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educación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3"/>
          <w:sz w:val="24"/>
        </w:rPr>
        <w:t> </w:t>
      </w:r>
      <w:r>
        <w:rPr>
          <w:sz w:val="24"/>
        </w:rPr>
        <w:t>formación</w:t>
      </w:r>
      <w:r>
        <w:rPr>
          <w:spacing w:val="-11"/>
          <w:sz w:val="24"/>
        </w:rPr>
        <w:t> </w:t>
      </w:r>
      <w:r>
        <w:rPr>
          <w:sz w:val="24"/>
        </w:rPr>
        <w:t>técnica</w:t>
      </w:r>
      <w:r>
        <w:rPr>
          <w:spacing w:val="-10"/>
          <w:sz w:val="24"/>
        </w:rPr>
        <w:t> </w:t>
      </w:r>
      <w:r>
        <w:rPr>
          <w:sz w:val="24"/>
        </w:rPr>
        <w:t>laboral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quienes</w:t>
      </w:r>
      <w:r>
        <w:rPr>
          <w:spacing w:val="-12"/>
          <w:sz w:val="24"/>
        </w:rPr>
        <w:t> </w:t>
      </w:r>
      <w:r>
        <w:rPr>
          <w:sz w:val="24"/>
        </w:rPr>
        <w:t>por</w:t>
      </w:r>
      <w:r>
        <w:rPr>
          <w:spacing w:val="-12"/>
          <w:sz w:val="24"/>
        </w:rPr>
        <w:t> </w:t>
      </w:r>
      <w:r>
        <w:rPr>
          <w:sz w:val="24"/>
        </w:rPr>
        <w:t>diversos</w:t>
      </w:r>
      <w:r>
        <w:rPr>
          <w:spacing w:val="-13"/>
          <w:sz w:val="24"/>
        </w:rPr>
        <w:t> </w:t>
      </w:r>
      <w:r>
        <w:rPr>
          <w:sz w:val="24"/>
        </w:rPr>
        <w:t>motivos</w:t>
      </w:r>
      <w:r>
        <w:rPr>
          <w:spacing w:val="-12"/>
          <w:sz w:val="24"/>
        </w:rPr>
        <w:t> </w:t>
      </w:r>
      <w:r>
        <w:rPr>
          <w:sz w:val="24"/>
        </w:rPr>
        <w:t>no</w:t>
      </w:r>
      <w:r>
        <w:rPr>
          <w:spacing w:val="-12"/>
          <w:sz w:val="24"/>
        </w:rPr>
        <w:t> </w:t>
      </w:r>
      <w:r>
        <w:rPr>
          <w:sz w:val="24"/>
        </w:rPr>
        <w:t>tienen</w:t>
      </w:r>
      <w:r>
        <w:rPr>
          <w:spacing w:val="-11"/>
          <w:sz w:val="24"/>
        </w:rPr>
        <w:t> </w:t>
      </w:r>
      <w:r>
        <w:rPr>
          <w:sz w:val="24"/>
        </w:rPr>
        <w:t>acceso</w:t>
      </w:r>
      <w:r>
        <w:rPr>
          <w:spacing w:val="-11"/>
          <w:sz w:val="24"/>
        </w:rPr>
        <w:t> </w:t>
      </w:r>
      <w:r>
        <w:rPr>
          <w:sz w:val="24"/>
        </w:rPr>
        <w:t>al</w:t>
      </w:r>
      <w:r>
        <w:rPr>
          <w:spacing w:val="-11"/>
          <w:sz w:val="24"/>
        </w:rPr>
        <w:t> </w:t>
      </w:r>
      <w:r>
        <w:rPr>
          <w:sz w:val="24"/>
        </w:rPr>
        <w:t>sistema</w:t>
      </w:r>
      <w:r>
        <w:rPr>
          <w:spacing w:val="-51"/>
          <w:sz w:val="24"/>
        </w:rPr>
        <w:t> </w:t>
      </w:r>
      <w:r>
        <w:rPr>
          <w:sz w:val="24"/>
        </w:rPr>
        <w:t>educativo regular y a los que habiéndola tenido desean ampliar su formación con modalidades</w:t>
      </w:r>
      <w:r>
        <w:rPr>
          <w:spacing w:val="1"/>
          <w:sz w:val="24"/>
        </w:rPr>
        <w:t> </w:t>
      </w:r>
      <w:r>
        <w:rPr>
          <w:sz w:val="24"/>
        </w:rPr>
        <w:t>de entrega</w:t>
      </w:r>
      <w:r>
        <w:rPr>
          <w:spacing w:val="-1"/>
          <w:sz w:val="24"/>
        </w:rPr>
        <w:t> </w:t>
      </w:r>
      <w:r>
        <w:rPr>
          <w:sz w:val="24"/>
        </w:rPr>
        <w:t>flexibles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se adaptan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sus</w:t>
      </w:r>
      <w:r>
        <w:rPr>
          <w:spacing w:val="-2"/>
          <w:sz w:val="24"/>
        </w:rPr>
        <w:t> </w:t>
      </w:r>
      <w:r>
        <w:rPr>
          <w:sz w:val="24"/>
        </w:rPr>
        <w:t>necesidades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intereses.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pict>
          <v:rect style="position:absolute;margin-left:563.280029pt;margin-top:10.255971pt;width:25.44pt;height:1.464pt;mso-position-horizontal-relative:page;mso-position-vertical-relative:paragraph;z-index:-1561344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223"/>
      </w:pPr>
      <w:r>
        <w:rPr/>
        <w:t>58</w:t>
      </w:r>
    </w:p>
    <w:p>
      <w:pPr>
        <w:pStyle w:val="BodyText"/>
        <w:spacing w:line="91" w:lineRule="exact"/>
        <w:ind w:left="10125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45pt;height:4.6pt;mso-position-horizontal-relative:char;mso-position-vertical-relative:line" coordorigin="0,0" coordsize="509,92">
            <v:rect style="position:absolute;left:0;top:0;width:509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429440">
            <wp:simplePos x="0" y="0"/>
            <wp:positionH relativeFrom="page">
              <wp:posOffset>0</wp:posOffset>
            </wp:positionH>
            <wp:positionV relativeFrom="page">
              <wp:posOffset>302887</wp:posOffset>
            </wp:positionV>
            <wp:extent cx="7772399" cy="9501333"/>
            <wp:effectExtent l="0" t="0" r="0" b="0"/>
            <wp:wrapNone/>
            <wp:docPr id="16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spacing w:before="52"/>
        <w:ind w:left="300" w:right="1093" w:firstLine="0"/>
        <w:jc w:val="both"/>
        <w:rPr>
          <w:sz w:val="24"/>
        </w:rPr>
      </w:pPr>
      <w:r>
        <w:rPr>
          <w:sz w:val="24"/>
        </w:rPr>
        <w:t>En respuesta a esas necesidades, se ofrecen programas con modalidades flexibles de entrega</w:t>
      </w:r>
      <w:r>
        <w:rPr>
          <w:spacing w:val="1"/>
          <w:sz w:val="24"/>
        </w:rPr>
        <w:t> </w:t>
      </w:r>
      <w:r>
        <w:rPr>
          <w:sz w:val="24"/>
        </w:rPr>
        <w:t>educativa que no están sujetos a un orden rígido de grados, edades ni a un sistema inflexible de</w:t>
      </w:r>
      <w:r>
        <w:rPr>
          <w:spacing w:val="-52"/>
          <w:sz w:val="24"/>
        </w:rPr>
        <w:t> </w:t>
      </w:r>
      <w:r>
        <w:rPr>
          <w:sz w:val="24"/>
        </w:rPr>
        <w:t>conocimientos (Art. 31, Ley de Educación Nacional, Decreto 12-91) con el propósito de que las</w:t>
      </w:r>
      <w:r>
        <w:rPr>
          <w:spacing w:val="1"/>
          <w:sz w:val="24"/>
        </w:rPr>
        <w:t> </w:t>
      </w:r>
      <w:r>
        <w:rPr>
          <w:sz w:val="24"/>
        </w:rPr>
        <w:t>personas</w:t>
      </w:r>
      <w:r>
        <w:rPr>
          <w:spacing w:val="-1"/>
          <w:sz w:val="24"/>
        </w:rPr>
        <w:t> </w:t>
      </w:r>
      <w:r>
        <w:rPr>
          <w:sz w:val="24"/>
        </w:rPr>
        <w:t>puedan iniciar,</w:t>
      </w:r>
      <w:r>
        <w:rPr>
          <w:spacing w:val="-2"/>
          <w:sz w:val="24"/>
        </w:rPr>
        <w:t> </w:t>
      </w:r>
      <w:r>
        <w:rPr>
          <w:sz w:val="24"/>
        </w:rPr>
        <w:t>continuar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culminar su</w:t>
      </w:r>
      <w:r>
        <w:rPr>
          <w:spacing w:val="-2"/>
          <w:sz w:val="24"/>
        </w:rPr>
        <w:t> </w:t>
      </w:r>
      <w:r>
        <w:rPr>
          <w:sz w:val="24"/>
        </w:rPr>
        <w:t>formación</w:t>
      </w:r>
      <w:r>
        <w:rPr>
          <w:spacing w:val="-1"/>
          <w:sz w:val="24"/>
        </w:rPr>
        <w:t> </w:t>
      </w:r>
      <w:r>
        <w:rPr>
          <w:sz w:val="24"/>
        </w:rPr>
        <w:t>académica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técnica</w:t>
      </w:r>
      <w:r>
        <w:rPr>
          <w:spacing w:val="-1"/>
          <w:sz w:val="24"/>
        </w:rPr>
        <w:t> </w:t>
      </w:r>
      <w:r>
        <w:rPr>
          <w:sz w:val="24"/>
        </w:rPr>
        <w:t>laboral.</w:t>
      </w:r>
    </w:p>
    <w:p>
      <w:pPr>
        <w:pStyle w:val="BodyText"/>
        <w:spacing w:before="5"/>
        <w:rPr>
          <w:sz w:val="18"/>
        </w:rPr>
      </w:pPr>
    </w:p>
    <w:p>
      <w:pPr>
        <w:spacing w:before="0"/>
        <w:ind w:left="300" w:right="1095" w:firstLine="0"/>
        <w:jc w:val="both"/>
        <w:rPr>
          <w:sz w:val="24"/>
        </w:rPr>
      </w:pPr>
      <w:r>
        <w:rPr>
          <w:sz w:val="24"/>
        </w:rPr>
        <w:t>El Ministerio de Educación, reconoce el derecho que tienen las personas de recibir educación y</w:t>
      </w:r>
      <w:r>
        <w:rPr>
          <w:spacing w:val="1"/>
          <w:sz w:val="24"/>
        </w:rPr>
        <w:t> </w:t>
      </w:r>
      <w:r>
        <w:rPr>
          <w:sz w:val="24"/>
        </w:rPr>
        <w:t>formación técnica laboral a lo largo de la vida. Razón por la cual se proveen cuatro programas</w:t>
      </w:r>
      <w:r>
        <w:rPr>
          <w:spacing w:val="1"/>
          <w:sz w:val="24"/>
        </w:rPr>
        <w:t> </w:t>
      </w:r>
      <w:r>
        <w:rPr>
          <w:sz w:val="24"/>
        </w:rPr>
        <w:t>educativos</w:t>
      </w:r>
      <w:r>
        <w:rPr>
          <w:spacing w:val="-2"/>
          <w:sz w:val="24"/>
        </w:rPr>
        <w:t> </w:t>
      </w:r>
      <w:r>
        <w:rPr>
          <w:sz w:val="24"/>
        </w:rPr>
        <w:t>extraescolares</w:t>
      </w:r>
      <w:r>
        <w:rPr>
          <w:spacing w:val="-1"/>
          <w:sz w:val="24"/>
        </w:rPr>
        <w:t> </w:t>
      </w:r>
      <w:r>
        <w:rPr>
          <w:sz w:val="24"/>
        </w:rPr>
        <w:t>inclusivos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el Sistema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Certificación de Competencias,</w:t>
      </w:r>
      <w:r>
        <w:rPr>
          <w:spacing w:val="-4"/>
          <w:sz w:val="24"/>
        </w:rPr>
        <w:t> </w:t>
      </w:r>
      <w:r>
        <w:rPr>
          <w:sz w:val="24"/>
        </w:rPr>
        <w:t>SCC.</w:t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5"/>
        </w:numPr>
        <w:tabs>
          <w:tab w:pos="867" w:val="left" w:leader="none"/>
        </w:tabs>
        <w:spacing w:line="240" w:lineRule="auto" w:before="0" w:after="0"/>
        <w:ind w:left="866" w:right="1096" w:hanging="425"/>
        <w:jc w:val="both"/>
        <w:rPr>
          <w:rFonts w:ascii="Symbol" w:hAnsi="Symbol"/>
          <w:color w:val="111111"/>
          <w:sz w:val="20"/>
        </w:rPr>
      </w:pPr>
      <w:r>
        <w:rPr>
          <w:b/>
          <w:color w:val="111111"/>
          <w:sz w:val="24"/>
        </w:rPr>
        <w:t>Programa</w:t>
      </w:r>
      <w:r>
        <w:rPr>
          <w:b/>
          <w:color w:val="111111"/>
          <w:spacing w:val="1"/>
          <w:sz w:val="24"/>
        </w:rPr>
        <w:t> </w:t>
      </w:r>
      <w:r>
        <w:rPr>
          <w:b/>
          <w:color w:val="111111"/>
          <w:sz w:val="24"/>
        </w:rPr>
        <w:t>de</w:t>
      </w:r>
      <w:r>
        <w:rPr>
          <w:b/>
          <w:color w:val="111111"/>
          <w:spacing w:val="1"/>
          <w:sz w:val="24"/>
        </w:rPr>
        <w:t> </w:t>
      </w:r>
      <w:r>
        <w:rPr>
          <w:b/>
          <w:color w:val="111111"/>
          <w:sz w:val="24"/>
        </w:rPr>
        <w:t>Educación</w:t>
      </w:r>
      <w:r>
        <w:rPr>
          <w:b/>
          <w:color w:val="111111"/>
          <w:spacing w:val="1"/>
          <w:sz w:val="24"/>
        </w:rPr>
        <w:t> </w:t>
      </w:r>
      <w:r>
        <w:rPr>
          <w:b/>
          <w:color w:val="111111"/>
          <w:sz w:val="24"/>
        </w:rPr>
        <w:t>de</w:t>
      </w:r>
      <w:r>
        <w:rPr>
          <w:b/>
          <w:color w:val="111111"/>
          <w:spacing w:val="1"/>
          <w:sz w:val="24"/>
        </w:rPr>
        <w:t> </w:t>
      </w:r>
      <w:r>
        <w:rPr>
          <w:b/>
          <w:color w:val="111111"/>
          <w:sz w:val="24"/>
        </w:rPr>
        <w:t>Adultos</w:t>
      </w:r>
      <w:r>
        <w:rPr>
          <w:b/>
          <w:color w:val="111111"/>
          <w:spacing w:val="1"/>
          <w:sz w:val="24"/>
        </w:rPr>
        <w:t> </w:t>
      </w:r>
      <w:r>
        <w:rPr>
          <w:b/>
          <w:color w:val="111111"/>
          <w:sz w:val="24"/>
        </w:rPr>
        <w:t>por</w:t>
      </w:r>
      <w:r>
        <w:rPr>
          <w:b/>
          <w:color w:val="111111"/>
          <w:spacing w:val="1"/>
          <w:sz w:val="24"/>
        </w:rPr>
        <w:t> </w:t>
      </w:r>
      <w:r>
        <w:rPr>
          <w:b/>
          <w:color w:val="111111"/>
          <w:sz w:val="24"/>
        </w:rPr>
        <w:t>Correspondencia,</w:t>
      </w:r>
      <w:r>
        <w:rPr>
          <w:b/>
          <w:color w:val="111111"/>
          <w:spacing w:val="1"/>
          <w:sz w:val="24"/>
        </w:rPr>
        <w:t> </w:t>
      </w:r>
      <w:r>
        <w:rPr>
          <w:b/>
          <w:color w:val="111111"/>
          <w:sz w:val="24"/>
        </w:rPr>
        <w:t>PEAC</w:t>
      </w:r>
      <w:r>
        <w:rPr>
          <w:color w:val="111111"/>
          <w:sz w:val="24"/>
        </w:rPr>
        <w:t>,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provee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primaria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acelerada.</w:t>
      </w:r>
      <w:r>
        <w:rPr>
          <w:color w:val="111111"/>
          <w:spacing w:val="-4"/>
          <w:sz w:val="24"/>
        </w:rPr>
        <w:t> </w:t>
      </w:r>
      <w:r>
        <w:rPr>
          <w:sz w:val="24"/>
        </w:rPr>
        <w:t>Fue</w:t>
      </w:r>
      <w:r>
        <w:rPr>
          <w:spacing w:val="-5"/>
          <w:sz w:val="24"/>
        </w:rPr>
        <w:t> </w:t>
      </w:r>
      <w:r>
        <w:rPr>
          <w:sz w:val="24"/>
        </w:rPr>
        <w:t>creado</w:t>
      </w:r>
      <w:r>
        <w:rPr>
          <w:spacing w:val="-6"/>
          <w:sz w:val="24"/>
        </w:rPr>
        <w:t> </w:t>
      </w:r>
      <w:r>
        <w:rPr>
          <w:sz w:val="24"/>
        </w:rPr>
        <w:t>por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Acuerdo</w:t>
      </w:r>
      <w:r>
        <w:rPr>
          <w:spacing w:val="-3"/>
          <w:sz w:val="24"/>
        </w:rPr>
        <w:t> </w:t>
      </w:r>
      <w:r>
        <w:rPr>
          <w:sz w:val="24"/>
        </w:rPr>
        <w:t>Gubernativo</w:t>
      </w:r>
      <w:r>
        <w:rPr>
          <w:spacing w:val="-6"/>
          <w:sz w:val="24"/>
        </w:rPr>
        <w:t> </w:t>
      </w:r>
      <w:r>
        <w:rPr>
          <w:sz w:val="24"/>
        </w:rPr>
        <w:t>No.</w:t>
      </w:r>
      <w:r>
        <w:rPr>
          <w:spacing w:val="-6"/>
          <w:sz w:val="24"/>
        </w:rPr>
        <w:t> </w:t>
      </w:r>
      <w:r>
        <w:rPr>
          <w:sz w:val="24"/>
        </w:rPr>
        <w:t>75-1973,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fecha</w:t>
      </w:r>
      <w:r>
        <w:rPr>
          <w:spacing w:val="-6"/>
          <w:sz w:val="24"/>
        </w:rPr>
        <w:t> </w:t>
      </w:r>
      <w:r>
        <w:rPr>
          <w:sz w:val="24"/>
        </w:rPr>
        <w:t>15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noviembre</w:t>
      </w:r>
      <w:r>
        <w:rPr>
          <w:spacing w:val="-52"/>
          <w:sz w:val="24"/>
        </w:rPr>
        <w:t> </w:t>
      </w:r>
      <w:r>
        <w:rPr>
          <w:sz w:val="24"/>
        </w:rPr>
        <w:t>de 1973.</w:t>
      </w:r>
      <w:r>
        <w:rPr>
          <w:spacing w:val="1"/>
          <w:sz w:val="24"/>
        </w:rPr>
        <w:t> </w:t>
      </w:r>
      <w:r>
        <w:rPr>
          <w:sz w:val="24"/>
        </w:rPr>
        <w:t>La atención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partir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13</w:t>
      </w:r>
      <w:r>
        <w:rPr>
          <w:spacing w:val="1"/>
          <w:sz w:val="24"/>
        </w:rPr>
        <w:t> </w:t>
      </w:r>
      <w:r>
        <w:rPr>
          <w:sz w:val="24"/>
        </w:rPr>
        <w:t>años.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5"/>
        </w:numPr>
        <w:tabs>
          <w:tab w:pos="867" w:val="left" w:leader="none"/>
        </w:tabs>
        <w:spacing w:line="240" w:lineRule="auto" w:before="1" w:after="0"/>
        <w:ind w:left="866" w:right="1094" w:hanging="425"/>
        <w:jc w:val="both"/>
        <w:rPr>
          <w:rFonts w:ascii="Symbol" w:hAnsi="Symbol"/>
          <w:color w:val="111111"/>
          <w:sz w:val="20"/>
        </w:rPr>
      </w:pPr>
      <w:r>
        <w:rPr>
          <w:b/>
          <w:color w:val="111111"/>
          <w:sz w:val="24"/>
        </w:rPr>
        <w:t>Programa</w:t>
      </w:r>
      <w:r>
        <w:rPr>
          <w:b/>
          <w:color w:val="111111"/>
          <w:spacing w:val="1"/>
          <w:sz w:val="24"/>
        </w:rPr>
        <w:t> </w:t>
      </w:r>
      <w:r>
        <w:rPr>
          <w:b/>
          <w:color w:val="111111"/>
          <w:sz w:val="24"/>
        </w:rPr>
        <w:t>Modalidades</w:t>
      </w:r>
      <w:r>
        <w:rPr>
          <w:b/>
          <w:color w:val="111111"/>
          <w:spacing w:val="1"/>
          <w:sz w:val="24"/>
        </w:rPr>
        <w:t> </w:t>
      </w:r>
      <w:r>
        <w:rPr>
          <w:b/>
          <w:color w:val="111111"/>
          <w:sz w:val="24"/>
        </w:rPr>
        <w:t>Flexibles</w:t>
      </w:r>
      <w:r>
        <w:rPr>
          <w:b/>
          <w:color w:val="111111"/>
          <w:spacing w:val="1"/>
          <w:sz w:val="24"/>
        </w:rPr>
        <w:t> </w:t>
      </w:r>
      <w:r>
        <w:rPr>
          <w:b/>
          <w:color w:val="111111"/>
          <w:sz w:val="24"/>
        </w:rPr>
        <w:t>para</w:t>
      </w:r>
      <w:r>
        <w:rPr>
          <w:b/>
          <w:color w:val="111111"/>
          <w:spacing w:val="1"/>
          <w:sz w:val="24"/>
        </w:rPr>
        <w:t> </w:t>
      </w:r>
      <w:r>
        <w:rPr>
          <w:b/>
          <w:color w:val="111111"/>
          <w:sz w:val="24"/>
        </w:rPr>
        <w:t>la</w:t>
      </w:r>
      <w:r>
        <w:rPr>
          <w:b/>
          <w:color w:val="111111"/>
          <w:spacing w:val="1"/>
          <w:sz w:val="24"/>
        </w:rPr>
        <w:t> </w:t>
      </w:r>
      <w:r>
        <w:rPr>
          <w:b/>
          <w:color w:val="111111"/>
          <w:sz w:val="24"/>
        </w:rPr>
        <w:t>Educación</w:t>
      </w:r>
      <w:r>
        <w:rPr>
          <w:b/>
          <w:color w:val="111111"/>
          <w:spacing w:val="1"/>
          <w:sz w:val="24"/>
        </w:rPr>
        <w:t> </w:t>
      </w:r>
      <w:r>
        <w:rPr>
          <w:b/>
          <w:color w:val="111111"/>
          <w:sz w:val="24"/>
        </w:rPr>
        <w:t>Media</w:t>
      </w:r>
      <w:r>
        <w:rPr>
          <w:color w:val="111111"/>
          <w:sz w:val="24"/>
        </w:rPr>
        <w:t>;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atiende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el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ciclo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básico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y</w:t>
      </w:r>
      <w:r>
        <w:rPr>
          <w:color w:val="111111"/>
          <w:spacing w:val="-52"/>
          <w:sz w:val="24"/>
        </w:rPr>
        <w:t> </w:t>
      </w:r>
      <w:r>
        <w:rPr>
          <w:color w:val="111111"/>
          <w:sz w:val="24"/>
        </w:rPr>
        <w:t>diversificado.</w:t>
      </w:r>
      <w:r>
        <w:rPr>
          <w:color w:val="111111"/>
          <w:spacing w:val="-9"/>
          <w:sz w:val="24"/>
        </w:rPr>
        <w:t> </w:t>
      </w:r>
      <w:r>
        <w:rPr>
          <w:sz w:val="24"/>
        </w:rPr>
        <w:t>Fue</w:t>
      </w:r>
      <w:r>
        <w:rPr>
          <w:spacing w:val="-10"/>
          <w:sz w:val="24"/>
        </w:rPr>
        <w:t> </w:t>
      </w:r>
      <w:r>
        <w:rPr>
          <w:sz w:val="24"/>
        </w:rPr>
        <w:t>creado</w:t>
      </w:r>
      <w:r>
        <w:rPr>
          <w:spacing w:val="-10"/>
          <w:sz w:val="24"/>
        </w:rPr>
        <w:t> </w:t>
      </w:r>
      <w:r>
        <w:rPr>
          <w:sz w:val="24"/>
        </w:rPr>
        <w:t>por</w:t>
      </w:r>
      <w:r>
        <w:rPr>
          <w:spacing w:val="-10"/>
          <w:sz w:val="24"/>
        </w:rPr>
        <w:t> </w:t>
      </w:r>
      <w:r>
        <w:rPr>
          <w:sz w:val="24"/>
        </w:rPr>
        <w:t>medio</w:t>
      </w:r>
      <w:r>
        <w:rPr>
          <w:spacing w:val="-8"/>
          <w:sz w:val="24"/>
        </w:rPr>
        <w:t> </w:t>
      </w:r>
      <w:r>
        <w:rPr>
          <w:sz w:val="24"/>
        </w:rPr>
        <w:t>del</w:t>
      </w:r>
      <w:r>
        <w:rPr>
          <w:spacing w:val="-8"/>
          <w:sz w:val="24"/>
        </w:rPr>
        <w:t> </w:t>
      </w:r>
      <w:r>
        <w:rPr>
          <w:sz w:val="24"/>
        </w:rPr>
        <w:t>Acuerdo</w:t>
      </w:r>
      <w:r>
        <w:rPr>
          <w:spacing w:val="-10"/>
          <w:sz w:val="24"/>
        </w:rPr>
        <w:t> </w:t>
      </w:r>
      <w:r>
        <w:rPr>
          <w:sz w:val="24"/>
        </w:rPr>
        <w:t>Ministerial</w:t>
      </w:r>
      <w:r>
        <w:rPr>
          <w:spacing w:val="-10"/>
          <w:sz w:val="24"/>
        </w:rPr>
        <w:t> </w:t>
      </w:r>
      <w:r>
        <w:rPr>
          <w:sz w:val="24"/>
        </w:rPr>
        <w:t>No.</w:t>
      </w:r>
      <w:r>
        <w:rPr>
          <w:spacing w:val="-9"/>
          <w:sz w:val="24"/>
        </w:rPr>
        <w:t> </w:t>
      </w:r>
      <w:r>
        <w:rPr>
          <w:sz w:val="24"/>
        </w:rPr>
        <w:t>785-2011,</w:t>
      </w:r>
      <w:r>
        <w:rPr>
          <w:spacing w:val="-8"/>
          <w:sz w:val="24"/>
        </w:rPr>
        <w:t> </w:t>
      </w:r>
      <w:r>
        <w:rPr>
          <w:sz w:val="24"/>
        </w:rPr>
        <w:t>del</w:t>
      </w:r>
      <w:r>
        <w:rPr>
          <w:spacing w:val="-9"/>
          <w:sz w:val="24"/>
        </w:rPr>
        <w:t> </w:t>
      </w:r>
      <w:r>
        <w:rPr>
          <w:sz w:val="24"/>
        </w:rPr>
        <w:t>21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marzo</w:t>
      </w:r>
      <w:r>
        <w:rPr>
          <w:spacing w:val="-51"/>
          <w:sz w:val="24"/>
        </w:rPr>
        <w:t> </w:t>
      </w:r>
      <w:r>
        <w:rPr>
          <w:sz w:val="24"/>
        </w:rPr>
        <w:t>del 2011. En el ciclo básico la atención es a partir de 15 años y en el diversificado a partir</w:t>
      </w:r>
      <w:r>
        <w:rPr>
          <w:spacing w:val="1"/>
          <w:sz w:val="24"/>
        </w:rPr>
        <w:t> </w:t>
      </w:r>
      <w:r>
        <w:rPr>
          <w:sz w:val="24"/>
        </w:rPr>
        <w:t>de 17</w:t>
      </w:r>
      <w:r>
        <w:rPr>
          <w:spacing w:val="1"/>
          <w:sz w:val="24"/>
        </w:rPr>
        <w:t> </w:t>
      </w:r>
      <w:r>
        <w:rPr>
          <w:sz w:val="24"/>
        </w:rPr>
        <w:t>años.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5"/>
        </w:numPr>
        <w:tabs>
          <w:tab w:pos="867" w:val="left" w:leader="none"/>
        </w:tabs>
        <w:spacing w:line="240" w:lineRule="auto" w:before="0" w:after="0"/>
        <w:ind w:left="866" w:right="1094" w:hanging="425"/>
        <w:jc w:val="both"/>
        <w:rPr>
          <w:rFonts w:ascii="Symbol" w:hAnsi="Symbol"/>
          <w:color w:val="111111"/>
          <w:sz w:val="20"/>
        </w:rPr>
      </w:pPr>
      <w:r>
        <w:rPr>
          <w:b/>
          <w:color w:val="111111"/>
          <w:sz w:val="24"/>
        </w:rPr>
        <w:t>Programa</w:t>
      </w:r>
      <w:r>
        <w:rPr>
          <w:b/>
          <w:color w:val="111111"/>
          <w:spacing w:val="1"/>
          <w:sz w:val="24"/>
        </w:rPr>
        <w:t> </w:t>
      </w:r>
      <w:r>
        <w:rPr>
          <w:b/>
          <w:color w:val="111111"/>
          <w:sz w:val="24"/>
        </w:rPr>
        <w:t>Centros</w:t>
      </w:r>
      <w:r>
        <w:rPr>
          <w:b/>
          <w:color w:val="111111"/>
          <w:spacing w:val="1"/>
          <w:sz w:val="24"/>
        </w:rPr>
        <w:t> </w:t>
      </w:r>
      <w:r>
        <w:rPr>
          <w:b/>
          <w:color w:val="111111"/>
          <w:sz w:val="24"/>
        </w:rPr>
        <w:t>Municipales</w:t>
      </w:r>
      <w:r>
        <w:rPr>
          <w:b/>
          <w:color w:val="111111"/>
          <w:spacing w:val="1"/>
          <w:sz w:val="24"/>
        </w:rPr>
        <w:t> </w:t>
      </w:r>
      <w:r>
        <w:rPr>
          <w:b/>
          <w:color w:val="111111"/>
          <w:sz w:val="24"/>
        </w:rPr>
        <w:t>de</w:t>
      </w:r>
      <w:r>
        <w:rPr>
          <w:b/>
          <w:color w:val="111111"/>
          <w:spacing w:val="1"/>
          <w:sz w:val="24"/>
        </w:rPr>
        <w:t> </w:t>
      </w:r>
      <w:r>
        <w:rPr>
          <w:b/>
          <w:color w:val="111111"/>
          <w:sz w:val="24"/>
        </w:rPr>
        <w:t>Capacitación</w:t>
      </w:r>
      <w:r>
        <w:rPr>
          <w:b/>
          <w:color w:val="111111"/>
          <w:spacing w:val="1"/>
          <w:sz w:val="24"/>
        </w:rPr>
        <w:t> </w:t>
      </w:r>
      <w:r>
        <w:rPr>
          <w:b/>
          <w:color w:val="111111"/>
          <w:sz w:val="24"/>
        </w:rPr>
        <w:t>y</w:t>
      </w:r>
      <w:r>
        <w:rPr>
          <w:b/>
          <w:color w:val="111111"/>
          <w:spacing w:val="1"/>
          <w:sz w:val="24"/>
        </w:rPr>
        <w:t> </w:t>
      </w:r>
      <w:r>
        <w:rPr>
          <w:b/>
          <w:color w:val="111111"/>
          <w:sz w:val="24"/>
        </w:rPr>
        <w:t>Formación</w:t>
      </w:r>
      <w:r>
        <w:rPr>
          <w:b/>
          <w:color w:val="111111"/>
          <w:spacing w:val="1"/>
          <w:sz w:val="24"/>
        </w:rPr>
        <w:t> </w:t>
      </w:r>
      <w:r>
        <w:rPr>
          <w:b/>
          <w:color w:val="111111"/>
          <w:sz w:val="24"/>
        </w:rPr>
        <w:t>Humana,</w:t>
      </w:r>
      <w:r>
        <w:rPr>
          <w:b/>
          <w:color w:val="111111"/>
          <w:spacing w:val="1"/>
          <w:sz w:val="24"/>
        </w:rPr>
        <w:t> </w:t>
      </w:r>
      <w:r>
        <w:rPr>
          <w:b/>
          <w:color w:val="111111"/>
          <w:sz w:val="24"/>
        </w:rPr>
        <w:t>CEMUCAF</w:t>
      </w:r>
      <w:r>
        <w:rPr>
          <w:color w:val="111111"/>
          <w:sz w:val="24"/>
        </w:rPr>
        <w:t>;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proporciona cursos libres de formación técnica laboral, en el marco de emprendimiento y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formación</w:t>
      </w:r>
      <w:r>
        <w:rPr>
          <w:color w:val="111111"/>
          <w:spacing w:val="-11"/>
          <w:sz w:val="24"/>
        </w:rPr>
        <w:t> </w:t>
      </w:r>
      <w:r>
        <w:rPr>
          <w:color w:val="111111"/>
          <w:sz w:val="24"/>
        </w:rPr>
        <w:t>humana.</w:t>
      </w:r>
      <w:r>
        <w:rPr>
          <w:color w:val="111111"/>
          <w:spacing w:val="-7"/>
          <w:sz w:val="24"/>
        </w:rPr>
        <w:t> </w:t>
      </w:r>
      <w:r>
        <w:rPr>
          <w:sz w:val="24"/>
        </w:rPr>
        <w:t>Este</w:t>
      </w:r>
      <w:r>
        <w:rPr>
          <w:spacing w:val="-13"/>
          <w:sz w:val="24"/>
        </w:rPr>
        <w:t> </w:t>
      </w:r>
      <w:r>
        <w:rPr>
          <w:sz w:val="24"/>
        </w:rPr>
        <w:t>programa</w:t>
      </w:r>
      <w:r>
        <w:rPr>
          <w:spacing w:val="-10"/>
          <w:sz w:val="24"/>
        </w:rPr>
        <w:t> </w:t>
      </w:r>
      <w:r>
        <w:rPr>
          <w:sz w:val="24"/>
        </w:rPr>
        <w:t>se</w:t>
      </w:r>
      <w:r>
        <w:rPr>
          <w:spacing w:val="-11"/>
          <w:sz w:val="24"/>
        </w:rPr>
        <w:t> </w:t>
      </w:r>
      <w:r>
        <w:rPr>
          <w:sz w:val="24"/>
        </w:rPr>
        <w:t>implementa</w:t>
      </w:r>
      <w:r>
        <w:rPr>
          <w:spacing w:val="-10"/>
          <w:sz w:val="24"/>
        </w:rPr>
        <w:t> </w:t>
      </w:r>
      <w:r>
        <w:rPr>
          <w:sz w:val="24"/>
        </w:rPr>
        <w:t>con</w:t>
      </w:r>
      <w:r>
        <w:rPr>
          <w:spacing w:val="-9"/>
          <w:sz w:val="24"/>
        </w:rPr>
        <w:t> </w:t>
      </w:r>
      <w:r>
        <w:rPr>
          <w:sz w:val="24"/>
        </w:rPr>
        <w:t>fundamento</w:t>
      </w:r>
      <w:r>
        <w:rPr>
          <w:spacing w:val="-11"/>
          <w:sz w:val="24"/>
        </w:rPr>
        <w:t> </w:t>
      </w:r>
      <w:r>
        <w:rPr>
          <w:sz w:val="24"/>
        </w:rPr>
        <w:t>en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Departamento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Educación Rural Familiar, DERFAM, según Acuerdo Gubernativo 319-71, de fecha 02 de</w:t>
      </w:r>
      <w:r>
        <w:rPr>
          <w:spacing w:val="1"/>
          <w:sz w:val="24"/>
        </w:rPr>
        <w:t> </w:t>
      </w:r>
      <w:r>
        <w:rPr>
          <w:sz w:val="24"/>
        </w:rPr>
        <w:t>marzo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1971.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atención</w:t>
      </w:r>
      <w:r>
        <w:rPr>
          <w:spacing w:val="2"/>
          <w:sz w:val="24"/>
        </w:rPr>
        <w:t> </w:t>
      </w:r>
      <w:r>
        <w:rPr>
          <w:sz w:val="24"/>
        </w:rPr>
        <w:t>es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partir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15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años.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5"/>
        </w:numPr>
        <w:tabs>
          <w:tab w:pos="867" w:val="left" w:leader="none"/>
        </w:tabs>
        <w:spacing w:line="240" w:lineRule="auto" w:before="0" w:after="0"/>
        <w:ind w:left="866" w:right="1094" w:hanging="425"/>
        <w:jc w:val="both"/>
        <w:rPr>
          <w:rFonts w:ascii="Symbol" w:hAnsi="Symbol"/>
          <w:color w:val="111111"/>
          <w:sz w:val="20"/>
        </w:rPr>
      </w:pPr>
      <w:r>
        <w:rPr>
          <w:b/>
          <w:color w:val="111111"/>
          <w:sz w:val="24"/>
        </w:rPr>
        <w:t>Programa</w:t>
      </w:r>
      <w:r>
        <w:rPr>
          <w:b/>
          <w:color w:val="111111"/>
          <w:spacing w:val="1"/>
          <w:sz w:val="24"/>
        </w:rPr>
        <w:t> </w:t>
      </w:r>
      <w:r>
        <w:rPr>
          <w:b/>
          <w:color w:val="111111"/>
          <w:sz w:val="24"/>
        </w:rPr>
        <w:t>Nacional</w:t>
      </w:r>
      <w:r>
        <w:rPr>
          <w:b/>
          <w:color w:val="111111"/>
          <w:spacing w:val="1"/>
          <w:sz w:val="24"/>
        </w:rPr>
        <w:t> </w:t>
      </w:r>
      <w:r>
        <w:rPr>
          <w:b/>
          <w:color w:val="111111"/>
          <w:sz w:val="24"/>
        </w:rPr>
        <w:t>de</w:t>
      </w:r>
      <w:r>
        <w:rPr>
          <w:b/>
          <w:color w:val="111111"/>
          <w:spacing w:val="1"/>
          <w:sz w:val="24"/>
        </w:rPr>
        <w:t> </w:t>
      </w:r>
      <w:r>
        <w:rPr>
          <w:b/>
          <w:color w:val="111111"/>
          <w:sz w:val="24"/>
        </w:rPr>
        <w:t>Educación</w:t>
      </w:r>
      <w:r>
        <w:rPr>
          <w:b/>
          <w:color w:val="111111"/>
          <w:spacing w:val="1"/>
          <w:sz w:val="24"/>
        </w:rPr>
        <w:t> </w:t>
      </w:r>
      <w:r>
        <w:rPr>
          <w:b/>
          <w:color w:val="111111"/>
          <w:sz w:val="24"/>
        </w:rPr>
        <w:t>Alternativa,</w:t>
      </w:r>
      <w:r>
        <w:rPr>
          <w:b/>
          <w:color w:val="111111"/>
          <w:spacing w:val="1"/>
          <w:sz w:val="24"/>
        </w:rPr>
        <w:t> </w:t>
      </w:r>
      <w:r>
        <w:rPr>
          <w:b/>
          <w:color w:val="111111"/>
          <w:sz w:val="24"/>
        </w:rPr>
        <w:t>PRONEA</w:t>
      </w:r>
      <w:r>
        <w:rPr>
          <w:color w:val="111111"/>
          <w:sz w:val="24"/>
        </w:rPr>
        <w:t>,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facilita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servicios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educativos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extraescolares para desarrollar competencias para la vida, en los niveles de educación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primaria, nivel medio: ciclo básico y diversificado, formación continua y certificación de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competencias laborales. </w:t>
      </w:r>
      <w:r>
        <w:rPr>
          <w:sz w:val="24"/>
        </w:rPr>
        <w:t>Fue creado a través del Acuerdo Ministerial 3852-2017 de fecha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28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diciembre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2017.</w:t>
      </w:r>
      <w:r>
        <w:rPr>
          <w:spacing w:val="-13"/>
          <w:sz w:val="24"/>
        </w:rPr>
        <w:t> </w:t>
      </w:r>
      <w:r>
        <w:rPr>
          <w:sz w:val="24"/>
        </w:rPr>
        <w:t>Otros</w:t>
      </w:r>
      <w:r>
        <w:rPr>
          <w:spacing w:val="-10"/>
          <w:sz w:val="24"/>
        </w:rPr>
        <w:t> </w:t>
      </w:r>
      <w:r>
        <w:rPr>
          <w:sz w:val="24"/>
        </w:rPr>
        <w:t>acuerdos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9"/>
          <w:sz w:val="24"/>
        </w:rPr>
        <w:t> </w:t>
      </w:r>
      <w:r>
        <w:rPr>
          <w:sz w:val="24"/>
        </w:rPr>
        <w:t>regulan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12"/>
          <w:sz w:val="24"/>
        </w:rPr>
        <w:t> </w:t>
      </w:r>
      <w:r>
        <w:rPr>
          <w:sz w:val="24"/>
        </w:rPr>
        <w:t>programa</w:t>
      </w:r>
      <w:r>
        <w:rPr>
          <w:spacing w:val="-11"/>
          <w:sz w:val="24"/>
        </w:rPr>
        <w:t> </w:t>
      </w:r>
      <w:r>
        <w:rPr>
          <w:sz w:val="24"/>
        </w:rPr>
        <w:t>son:</w:t>
      </w:r>
      <w:r>
        <w:rPr>
          <w:spacing w:val="-5"/>
          <w:sz w:val="24"/>
        </w:rPr>
        <w:t> </w:t>
      </w:r>
      <w:r>
        <w:rPr>
          <w:color w:val="111111"/>
          <w:sz w:val="24"/>
        </w:rPr>
        <w:t>Acuerdo</w:t>
      </w:r>
      <w:r>
        <w:rPr>
          <w:color w:val="111111"/>
          <w:spacing w:val="-13"/>
          <w:sz w:val="24"/>
        </w:rPr>
        <w:t> </w:t>
      </w:r>
      <w:r>
        <w:rPr>
          <w:color w:val="111111"/>
          <w:sz w:val="24"/>
        </w:rPr>
        <w:t>Ministerial</w:t>
      </w:r>
      <w:r>
        <w:rPr>
          <w:color w:val="111111"/>
          <w:spacing w:val="-51"/>
          <w:sz w:val="24"/>
        </w:rPr>
        <w:t> </w:t>
      </w:r>
      <w:r>
        <w:rPr>
          <w:color w:val="111111"/>
          <w:sz w:val="24"/>
        </w:rPr>
        <w:t>3386-2019 (regula el ingreso de estudiantes) y el Acuerdo Ministerial 3387-2019 (autoriza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el</w:t>
      </w:r>
      <w:r>
        <w:rPr>
          <w:color w:val="111111"/>
          <w:spacing w:val="-5"/>
          <w:sz w:val="24"/>
        </w:rPr>
        <w:t> </w:t>
      </w:r>
      <w:r>
        <w:rPr>
          <w:color w:val="111111"/>
          <w:sz w:val="24"/>
        </w:rPr>
        <w:t>plan</w:t>
      </w:r>
      <w:r>
        <w:rPr>
          <w:color w:val="111111"/>
          <w:spacing w:val="-6"/>
          <w:sz w:val="24"/>
        </w:rPr>
        <w:t> </w:t>
      </w:r>
      <w:r>
        <w:rPr>
          <w:color w:val="111111"/>
          <w:sz w:val="24"/>
        </w:rPr>
        <w:t>de</w:t>
      </w:r>
      <w:r>
        <w:rPr>
          <w:color w:val="111111"/>
          <w:spacing w:val="-5"/>
          <w:sz w:val="24"/>
        </w:rPr>
        <w:t> </w:t>
      </w:r>
      <w:r>
        <w:rPr>
          <w:color w:val="111111"/>
          <w:sz w:val="24"/>
        </w:rPr>
        <w:t>estudios</w:t>
      </w:r>
      <w:r>
        <w:rPr>
          <w:color w:val="111111"/>
          <w:spacing w:val="-5"/>
          <w:sz w:val="24"/>
        </w:rPr>
        <w:t> </w:t>
      </w:r>
      <w:r>
        <w:rPr>
          <w:color w:val="111111"/>
          <w:sz w:val="24"/>
        </w:rPr>
        <w:t>del</w:t>
      </w:r>
      <w:r>
        <w:rPr>
          <w:color w:val="111111"/>
          <w:spacing w:val="-7"/>
          <w:sz w:val="24"/>
        </w:rPr>
        <w:t> </w:t>
      </w:r>
      <w:r>
        <w:rPr>
          <w:color w:val="111111"/>
          <w:sz w:val="24"/>
        </w:rPr>
        <w:t>programa).</w:t>
      </w:r>
      <w:r>
        <w:rPr>
          <w:color w:val="111111"/>
          <w:spacing w:val="-7"/>
          <w:sz w:val="24"/>
        </w:rPr>
        <w:t> </w:t>
      </w:r>
      <w:r>
        <w:rPr>
          <w:color w:val="111111"/>
          <w:sz w:val="24"/>
        </w:rPr>
        <w:t>La</w:t>
      </w:r>
      <w:r>
        <w:rPr>
          <w:color w:val="111111"/>
          <w:spacing w:val="-5"/>
          <w:sz w:val="24"/>
        </w:rPr>
        <w:t> </w:t>
      </w:r>
      <w:r>
        <w:rPr>
          <w:color w:val="111111"/>
          <w:sz w:val="24"/>
        </w:rPr>
        <w:t>atención</w:t>
      </w:r>
      <w:r>
        <w:rPr>
          <w:color w:val="111111"/>
          <w:spacing w:val="-4"/>
          <w:sz w:val="24"/>
        </w:rPr>
        <w:t> </w:t>
      </w:r>
      <w:r>
        <w:rPr>
          <w:color w:val="111111"/>
          <w:sz w:val="24"/>
        </w:rPr>
        <w:t>en</w:t>
      </w:r>
      <w:r>
        <w:rPr>
          <w:color w:val="111111"/>
          <w:spacing w:val="-6"/>
          <w:sz w:val="24"/>
        </w:rPr>
        <w:t> </w:t>
      </w:r>
      <w:r>
        <w:rPr>
          <w:color w:val="111111"/>
          <w:sz w:val="24"/>
        </w:rPr>
        <w:t>primaria</w:t>
      </w:r>
      <w:r>
        <w:rPr>
          <w:color w:val="111111"/>
          <w:spacing w:val="-5"/>
          <w:sz w:val="24"/>
        </w:rPr>
        <w:t> </w:t>
      </w:r>
      <w:r>
        <w:rPr>
          <w:color w:val="111111"/>
          <w:sz w:val="24"/>
        </w:rPr>
        <w:t>es</w:t>
      </w:r>
      <w:r>
        <w:rPr>
          <w:color w:val="111111"/>
          <w:spacing w:val="-4"/>
          <w:sz w:val="24"/>
        </w:rPr>
        <w:t> </w:t>
      </w:r>
      <w:r>
        <w:rPr>
          <w:color w:val="111111"/>
          <w:sz w:val="24"/>
        </w:rPr>
        <w:t>a</w:t>
      </w:r>
      <w:r>
        <w:rPr>
          <w:color w:val="111111"/>
          <w:spacing w:val="-8"/>
          <w:sz w:val="24"/>
        </w:rPr>
        <w:t> </w:t>
      </w:r>
      <w:r>
        <w:rPr>
          <w:color w:val="111111"/>
          <w:sz w:val="24"/>
        </w:rPr>
        <w:t>partir</w:t>
      </w:r>
      <w:r>
        <w:rPr>
          <w:color w:val="111111"/>
          <w:spacing w:val="-5"/>
          <w:sz w:val="24"/>
        </w:rPr>
        <w:t> </w:t>
      </w:r>
      <w:r>
        <w:rPr>
          <w:color w:val="111111"/>
          <w:sz w:val="24"/>
        </w:rPr>
        <w:t>de</w:t>
      </w:r>
      <w:r>
        <w:rPr>
          <w:color w:val="111111"/>
          <w:spacing w:val="-7"/>
          <w:sz w:val="24"/>
        </w:rPr>
        <w:t> </w:t>
      </w:r>
      <w:r>
        <w:rPr>
          <w:color w:val="111111"/>
          <w:sz w:val="24"/>
        </w:rPr>
        <w:t>13</w:t>
      </w:r>
      <w:r>
        <w:rPr>
          <w:color w:val="111111"/>
          <w:spacing w:val="-6"/>
          <w:sz w:val="24"/>
        </w:rPr>
        <w:t> </w:t>
      </w:r>
      <w:r>
        <w:rPr>
          <w:color w:val="111111"/>
          <w:sz w:val="24"/>
        </w:rPr>
        <w:t>años,</w:t>
      </w:r>
      <w:r>
        <w:rPr>
          <w:color w:val="111111"/>
          <w:spacing w:val="-5"/>
          <w:sz w:val="24"/>
        </w:rPr>
        <w:t> </w:t>
      </w:r>
      <w:r>
        <w:rPr>
          <w:color w:val="111111"/>
          <w:sz w:val="24"/>
        </w:rPr>
        <w:t>en</w:t>
      </w:r>
      <w:r>
        <w:rPr>
          <w:color w:val="111111"/>
          <w:spacing w:val="-6"/>
          <w:sz w:val="24"/>
        </w:rPr>
        <w:t> </w:t>
      </w:r>
      <w:r>
        <w:rPr>
          <w:color w:val="111111"/>
          <w:sz w:val="24"/>
        </w:rPr>
        <w:t>básico</w:t>
      </w:r>
      <w:r>
        <w:rPr>
          <w:color w:val="111111"/>
          <w:spacing w:val="-52"/>
          <w:sz w:val="24"/>
        </w:rPr>
        <w:t> </w:t>
      </w:r>
      <w:r>
        <w:rPr>
          <w:color w:val="111111"/>
          <w:sz w:val="24"/>
        </w:rPr>
        <w:t>a</w:t>
      </w:r>
      <w:r>
        <w:rPr>
          <w:color w:val="111111"/>
          <w:spacing w:val="-1"/>
          <w:sz w:val="24"/>
        </w:rPr>
        <w:t> </w:t>
      </w:r>
      <w:r>
        <w:rPr>
          <w:color w:val="111111"/>
          <w:sz w:val="24"/>
        </w:rPr>
        <w:t>partir</w:t>
      </w:r>
      <w:r>
        <w:rPr>
          <w:color w:val="111111"/>
          <w:spacing w:val="-1"/>
          <w:sz w:val="24"/>
        </w:rPr>
        <w:t> </w:t>
      </w:r>
      <w:r>
        <w:rPr>
          <w:color w:val="111111"/>
          <w:sz w:val="24"/>
        </w:rPr>
        <w:t>de</w:t>
      </w:r>
      <w:r>
        <w:rPr>
          <w:color w:val="111111"/>
          <w:spacing w:val="-1"/>
          <w:sz w:val="24"/>
        </w:rPr>
        <w:t> </w:t>
      </w:r>
      <w:r>
        <w:rPr>
          <w:color w:val="111111"/>
          <w:sz w:val="24"/>
        </w:rPr>
        <w:t>15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años y</w:t>
      </w:r>
      <w:r>
        <w:rPr>
          <w:color w:val="111111"/>
          <w:spacing w:val="-3"/>
          <w:sz w:val="24"/>
        </w:rPr>
        <w:t> </w:t>
      </w:r>
      <w:r>
        <w:rPr>
          <w:color w:val="111111"/>
          <w:sz w:val="24"/>
        </w:rPr>
        <w:t>en</w:t>
      </w:r>
      <w:r>
        <w:rPr>
          <w:color w:val="111111"/>
          <w:spacing w:val="-3"/>
          <w:sz w:val="24"/>
        </w:rPr>
        <w:t> </w:t>
      </w:r>
      <w:r>
        <w:rPr>
          <w:color w:val="111111"/>
          <w:sz w:val="24"/>
        </w:rPr>
        <w:t>diversificado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a</w:t>
      </w:r>
      <w:r>
        <w:rPr>
          <w:color w:val="111111"/>
          <w:spacing w:val="-2"/>
          <w:sz w:val="24"/>
        </w:rPr>
        <w:t> </w:t>
      </w:r>
      <w:r>
        <w:rPr>
          <w:color w:val="111111"/>
          <w:sz w:val="24"/>
        </w:rPr>
        <w:t>partir</w:t>
      </w:r>
      <w:r>
        <w:rPr>
          <w:color w:val="111111"/>
          <w:spacing w:val="-2"/>
          <w:sz w:val="24"/>
        </w:rPr>
        <w:t> </w:t>
      </w:r>
      <w:r>
        <w:rPr>
          <w:color w:val="111111"/>
          <w:sz w:val="24"/>
        </w:rPr>
        <w:t>de</w:t>
      </w:r>
      <w:r>
        <w:rPr>
          <w:color w:val="111111"/>
          <w:spacing w:val="-1"/>
          <w:sz w:val="24"/>
        </w:rPr>
        <w:t> </w:t>
      </w:r>
      <w:r>
        <w:rPr>
          <w:color w:val="111111"/>
          <w:sz w:val="24"/>
        </w:rPr>
        <w:t>17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años.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5"/>
        </w:numPr>
        <w:tabs>
          <w:tab w:pos="867" w:val="left" w:leader="none"/>
        </w:tabs>
        <w:spacing w:line="240" w:lineRule="auto" w:before="0" w:after="0"/>
        <w:ind w:left="866" w:right="1096" w:hanging="425"/>
        <w:jc w:val="both"/>
        <w:rPr>
          <w:rFonts w:ascii="Symbol" w:hAnsi="Symbol"/>
          <w:color w:val="111111"/>
          <w:sz w:val="20"/>
        </w:rPr>
      </w:pPr>
      <w:r>
        <w:rPr>
          <w:b/>
          <w:color w:val="111111"/>
          <w:sz w:val="24"/>
        </w:rPr>
        <w:t>Sistema de Certificación de Competencias, SCC, </w:t>
      </w:r>
      <w:r>
        <w:rPr>
          <w:sz w:val="24"/>
        </w:rPr>
        <w:t>se define como el conjunto de normas y</w:t>
      </w:r>
      <w:r>
        <w:rPr>
          <w:spacing w:val="1"/>
          <w:sz w:val="24"/>
        </w:rPr>
        <w:t> </w:t>
      </w:r>
      <w:r>
        <w:rPr>
          <w:sz w:val="24"/>
        </w:rPr>
        <w:t>procedimientos que MINEDUC instituye para valorar, reconocer y certificar los saberes,</w:t>
      </w:r>
      <w:r>
        <w:rPr>
          <w:spacing w:val="1"/>
          <w:sz w:val="24"/>
        </w:rPr>
        <w:t> </w:t>
      </w:r>
      <w:r>
        <w:rPr>
          <w:sz w:val="24"/>
        </w:rPr>
        <w:t>conocimientos, capacidades, habilidades y competencias de personas que desempeñan</w:t>
      </w:r>
      <w:r>
        <w:rPr>
          <w:spacing w:val="1"/>
          <w:sz w:val="24"/>
        </w:rPr>
        <w:t> </w:t>
      </w:r>
      <w:r>
        <w:rPr>
          <w:sz w:val="24"/>
        </w:rPr>
        <w:t>oficios y ocupaciones aprendidos a lo largo de la vida. El propósito es contribuir a generar</w:t>
      </w:r>
      <w:r>
        <w:rPr>
          <w:spacing w:val="1"/>
          <w:sz w:val="24"/>
        </w:rPr>
        <w:t> </w:t>
      </w:r>
      <w:r>
        <w:rPr>
          <w:sz w:val="24"/>
        </w:rPr>
        <w:t>oportunidades que propicien el desarrollo socio laboral, a mejorar las condiciones de vida,</w:t>
      </w:r>
      <w:r>
        <w:rPr>
          <w:spacing w:val="-53"/>
          <w:sz w:val="24"/>
        </w:rPr>
        <w:t> </w:t>
      </w:r>
      <w:r>
        <w:rPr>
          <w:sz w:val="24"/>
        </w:rPr>
        <w:t>dignificar el</w:t>
      </w:r>
      <w:r>
        <w:rPr>
          <w:spacing w:val="1"/>
          <w:sz w:val="24"/>
        </w:rPr>
        <w:t> </w:t>
      </w:r>
      <w:r>
        <w:rPr>
          <w:sz w:val="24"/>
        </w:rPr>
        <w:t>empleo</w:t>
      </w:r>
      <w:r>
        <w:rPr>
          <w:spacing w:val="1"/>
          <w:sz w:val="24"/>
        </w:rPr>
        <w:t> </w:t>
      </w:r>
      <w:r>
        <w:rPr>
          <w:sz w:val="24"/>
        </w:rPr>
        <w:t>y fortalecer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autoestima 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personas. Las</w:t>
      </w:r>
      <w:r>
        <w:rPr>
          <w:spacing w:val="1"/>
          <w:sz w:val="24"/>
        </w:rPr>
        <w:t> </w:t>
      </w:r>
      <w:r>
        <w:rPr>
          <w:sz w:val="24"/>
        </w:rPr>
        <w:t>personas</w:t>
      </w:r>
      <w:r>
        <w:rPr>
          <w:spacing w:val="1"/>
          <w:sz w:val="24"/>
        </w:rPr>
        <w:t> </w:t>
      </w:r>
      <w:r>
        <w:rPr>
          <w:sz w:val="24"/>
        </w:rPr>
        <w:t>pueden</w:t>
      </w:r>
      <w:r>
        <w:rPr>
          <w:spacing w:val="1"/>
          <w:sz w:val="24"/>
        </w:rPr>
        <w:t> </w:t>
      </w:r>
      <w:r>
        <w:rPr>
          <w:sz w:val="24"/>
        </w:rPr>
        <w:t>participar a</w:t>
      </w:r>
      <w:r>
        <w:rPr>
          <w:spacing w:val="-2"/>
          <w:sz w:val="24"/>
        </w:rPr>
        <w:t> </w:t>
      </w:r>
      <w:r>
        <w:rPr>
          <w:sz w:val="24"/>
        </w:rPr>
        <w:t>partir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15</w:t>
      </w:r>
      <w:r>
        <w:rPr>
          <w:spacing w:val="-1"/>
          <w:sz w:val="24"/>
        </w:rPr>
        <w:t> </w:t>
      </w:r>
      <w:r>
        <w:rPr>
          <w:sz w:val="24"/>
        </w:rPr>
        <w:t>años.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  <w:r>
        <w:rPr/>
        <w:pict>
          <v:rect style="position:absolute;margin-left:563.280029pt;margin-top:14.128431pt;width:25.44pt;height:1.464pt;mso-position-horizontal-relative:page;mso-position-vertical-relative:paragraph;z-index:-1561190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223"/>
      </w:pPr>
      <w:r>
        <w:rPr/>
        <w:t>59</w:t>
      </w:r>
    </w:p>
    <w:p>
      <w:pPr>
        <w:pStyle w:val="BodyText"/>
        <w:spacing w:line="91" w:lineRule="exact"/>
        <w:ind w:left="10125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45pt;height:4.6pt;mso-position-horizontal-relative:char;mso-position-vertical-relative:line" coordorigin="0,0" coordsize="509,92">
            <v:rect style="position:absolute;left:0;top:0;width:509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432000">
            <wp:simplePos x="0" y="0"/>
            <wp:positionH relativeFrom="page">
              <wp:posOffset>0</wp:posOffset>
            </wp:positionH>
            <wp:positionV relativeFrom="page">
              <wp:posOffset>302887</wp:posOffset>
            </wp:positionV>
            <wp:extent cx="7772399" cy="9501333"/>
            <wp:effectExtent l="0" t="0" r="0" b="0"/>
            <wp:wrapNone/>
            <wp:docPr id="16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 MT"/>
          <w:sz w:val="15"/>
        </w:rPr>
      </w:pPr>
    </w:p>
    <w:p>
      <w:pPr>
        <w:pStyle w:val="ListParagraph"/>
        <w:numPr>
          <w:ilvl w:val="0"/>
          <w:numId w:val="5"/>
        </w:numPr>
        <w:tabs>
          <w:tab w:pos="867" w:val="left" w:leader="none"/>
        </w:tabs>
        <w:spacing w:line="240" w:lineRule="auto" w:before="72" w:after="0"/>
        <w:ind w:left="866" w:right="1094" w:hanging="425"/>
        <w:jc w:val="both"/>
        <w:rPr>
          <w:rFonts w:ascii="Symbol" w:hAnsi="Symbol"/>
          <w:sz w:val="20"/>
        </w:rPr>
      </w:pPr>
      <w:r>
        <w:rPr>
          <w:b/>
          <w:color w:val="111111"/>
          <w:sz w:val="24"/>
        </w:rPr>
        <w:t>Academias</w:t>
      </w:r>
      <w:r>
        <w:rPr>
          <w:b/>
          <w:color w:val="111111"/>
          <w:spacing w:val="-8"/>
          <w:sz w:val="24"/>
        </w:rPr>
        <w:t> </w:t>
      </w:r>
      <w:r>
        <w:rPr>
          <w:b/>
          <w:color w:val="111111"/>
          <w:sz w:val="24"/>
        </w:rPr>
        <w:t>de</w:t>
      </w:r>
      <w:r>
        <w:rPr>
          <w:b/>
          <w:color w:val="111111"/>
          <w:spacing w:val="-10"/>
          <w:sz w:val="24"/>
        </w:rPr>
        <w:t> </w:t>
      </w:r>
      <w:r>
        <w:rPr>
          <w:b/>
          <w:color w:val="111111"/>
          <w:sz w:val="24"/>
        </w:rPr>
        <w:t>cursos</w:t>
      </w:r>
      <w:r>
        <w:rPr>
          <w:b/>
          <w:color w:val="111111"/>
          <w:spacing w:val="-10"/>
          <w:sz w:val="24"/>
        </w:rPr>
        <w:t> </w:t>
      </w:r>
      <w:r>
        <w:rPr>
          <w:b/>
          <w:color w:val="111111"/>
          <w:sz w:val="24"/>
        </w:rPr>
        <w:t>libres,</w:t>
      </w:r>
      <w:r>
        <w:rPr>
          <w:b/>
          <w:color w:val="111111"/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8"/>
          <w:sz w:val="24"/>
        </w:rPr>
        <w:t> </w:t>
      </w:r>
      <w:r>
        <w:rPr>
          <w:sz w:val="24"/>
        </w:rPr>
        <w:t>academias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cursos</w:t>
      </w:r>
      <w:r>
        <w:rPr>
          <w:spacing w:val="-8"/>
          <w:sz w:val="24"/>
        </w:rPr>
        <w:t> </w:t>
      </w:r>
      <w:r>
        <w:rPr>
          <w:sz w:val="24"/>
        </w:rPr>
        <w:t>libres</w:t>
      </w:r>
      <w:r>
        <w:rPr>
          <w:spacing w:val="-8"/>
          <w:sz w:val="24"/>
        </w:rPr>
        <w:t> </w:t>
      </w:r>
      <w:r>
        <w:rPr>
          <w:sz w:val="24"/>
        </w:rPr>
        <w:t>autorizadas</w:t>
      </w:r>
      <w:r>
        <w:rPr>
          <w:spacing w:val="-11"/>
          <w:sz w:val="24"/>
        </w:rPr>
        <w:t> </w:t>
      </w:r>
      <w:r>
        <w:rPr>
          <w:sz w:val="24"/>
        </w:rPr>
        <w:t>por</w:t>
      </w:r>
      <w:r>
        <w:rPr>
          <w:spacing w:val="-10"/>
          <w:sz w:val="24"/>
        </w:rPr>
        <w:t> </w:t>
      </w: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Ministerio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Educación son instituciones privadas que ofrecen servicios educativos de formación y de</w:t>
      </w:r>
      <w:r>
        <w:rPr>
          <w:spacing w:val="1"/>
          <w:sz w:val="24"/>
        </w:rPr>
        <w:t> </w:t>
      </w:r>
      <w:r>
        <w:rPr>
          <w:sz w:val="24"/>
        </w:rPr>
        <w:t>capacitación para la vida y el trabajo productivo a personas que no han tenido acceso al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Sistema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Educativo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Nacional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las</w:t>
      </w:r>
      <w:r>
        <w:rPr>
          <w:spacing w:val="-14"/>
          <w:sz w:val="24"/>
        </w:rPr>
        <w:t> </w:t>
      </w:r>
      <w:r>
        <w:rPr>
          <w:sz w:val="24"/>
        </w:rPr>
        <w:t>que,</w:t>
      </w:r>
      <w:r>
        <w:rPr>
          <w:spacing w:val="-11"/>
          <w:sz w:val="24"/>
        </w:rPr>
        <w:t> </w:t>
      </w:r>
      <w:r>
        <w:rPr>
          <w:sz w:val="24"/>
        </w:rPr>
        <w:t>habiéndola</w:t>
      </w:r>
      <w:r>
        <w:rPr>
          <w:spacing w:val="-11"/>
          <w:sz w:val="24"/>
        </w:rPr>
        <w:t> </w:t>
      </w:r>
      <w:r>
        <w:rPr>
          <w:sz w:val="24"/>
        </w:rPr>
        <w:t>tenido,</w:t>
      </w:r>
      <w:r>
        <w:rPr>
          <w:spacing w:val="-13"/>
          <w:sz w:val="24"/>
        </w:rPr>
        <w:t> </w:t>
      </w:r>
      <w:r>
        <w:rPr>
          <w:sz w:val="24"/>
        </w:rPr>
        <w:t>desean</w:t>
      </w:r>
      <w:r>
        <w:rPr>
          <w:spacing w:val="-13"/>
          <w:sz w:val="24"/>
        </w:rPr>
        <w:t> </w:t>
      </w:r>
      <w:r>
        <w:rPr>
          <w:sz w:val="24"/>
        </w:rPr>
        <w:t>ampliarla.</w:t>
      </w:r>
      <w:r>
        <w:rPr>
          <w:spacing w:val="-12"/>
          <w:sz w:val="24"/>
        </w:rPr>
        <w:t> </w:t>
      </w:r>
      <w:r>
        <w:rPr>
          <w:sz w:val="24"/>
        </w:rPr>
        <w:t>Las</w:t>
      </w:r>
      <w:r>
        <w:rPr>
          <w:spacing w:val="-12"/>
          <w:sz w:val="24"/>
        </w:rPr>
        <w:t> </w:t>
      </w:r>
      <w:r>
        <w:rPr>
          <w:sz w:val="24"/>
        </w:rPr>
        <w:t>academias</w:t>
      </w:r>
      <w:r>
        <w:rPr>
          <w:spacing w:val="-51"/>
          <w:sz w:val="24"/>
        </w:rPr>
        <w:t> </w:t>
      </w:r>
      <w:r>
        <w:rPr>
          <w:sz w:val="24"/>
        </w:rPr>
        <w:t>de cursos libres se rigen por el Acuerdo Ministerial No. 483 de fecha 19 de marzo de 2010.</w:t>
      </w:r>
      <w:r>
        <w:rPr>
          <w:spacing w:val="-52"/>
          <w:sz w:val="24"/>
        </w:rPr>
        <w:t> </w:t>
      </w:r>
      <w:r>
        <w:rPr>
          <w:sz w:val="24"/>
        </w:rPr>
        <w:t>El Ministerio de Educación a través de DIGEEX apoya en los procesos de autorización,</w:t>
      </w:r>
      <w:r>
        <w:rPr>
          <w:spacing w:val="1"/>
          <w:sz w:val="24"/>
        </w:rPr>
        <w:t> </w:t>
      </w:r>
      <w:r>
        <w:rPr>
          <w:sz w:val="24"/>
        </w:rPr>
        <w:t>revalidación</w:t>
      </w:r>
      <w:r>
        <w:rPr>
          <w:spacing w:val="-2"/>
          <w:sz w:val="24"/>
        </w:rPr>
        <w:t> </w:t>
      </w:r>
      <w:r>
        <w:rPr>
          <w:sz w:val="24"/>
        </w:rPr>
        <w:t>certificación</w:t>
      </w:r>
      <w:r>
        <w:rPr>
          <w:spacing w:val="-1"/>
          <w:sz w:val="24"/>
        </w:rPr>
        <w:t> </w:t>
      </w:r>
      <w:r>
        <w:rPr>
          <w:sz w:val="24"/>
        </w:rPr>
        <w:t>y acreditación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academias.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300" w:right="1093" w:firstLine="0"/>
        <w:jc w:val="both"/>
        <w:rPr>
          <w:sz w:val="24"/>
        </w:rPr>
      </w:pPr>
      <w:r>
        <w:rPr>
          <w:sz w:val="24"/>
        </w:rPr>
        <w:t>Con estos programas, el Subsistema de Educación Extraescolar del Ministerio de Educación</w:t>
      </w:r>
      <w:r>
        <w:rPr>
          <w:spacing w:val="1"/>
          <w:sz w:val="24"/>
        </w:rPr>
        <w:t> </w:t>
      </w:r>
      <w:r>
        <w:rPr>
          <w:sz w:val="24"/>
        </w:rPr>
        <w:t>atendió en el 2021 (información actualizada a diciembre de 2021) a una población total de</w:t>
      </w:r>
      <w:r>
        <w:rPr>
          <w:spacing w:val="1"/>
          <w:sz w:val="24"/>
        </w:rPr>
        <w:t> </w:t>
      </w:r>
      <w:r>
        <w:rPr>
          <w:sz w:val="24"/>
        </w:rPr>
        <w:t>50,178</w:t>
      </w:r>
      <w:r>
        <w:rPr>
          <w:rFonts w:ascii="Arial MT" w:hAnsi="Arial MT"/>
          <w:sz w:val="20"/>
        </w:rPr>
        <w:t>1 </w:t>
      </w:r>
      <w:r>
        <w:rPr>
          <w:sz w:val="24"/>
        </w:rPr>
        <w:t>personas, de las cuales, el 30% (15,261) son hombres y el 70%</w:t>
      </w:r>
      <w:r>
        <w:rPr>
          <w:spacing w:val="1"/>
          <w:sz w:val="24"/>
        </w:rPr>
        <w:t> </w:t>
      </w:r>
      <w:r>
        <w:rPr>
          <w:sz w:val="24"/>
        </w:rPr>
        <w:t>(34,917) son mujeres.</w:t>
      </w:r>
      <w:r>
        <w:rPr>
          <w:spacing w:val="1"/>
          <w:sz w:val="24"/>
        </w:rPr>
        <w:t> </w:t>
      </w:r>
      <w:r>
        <w:rPr>
          <w:sz w:val="24"/>
        </w:rPr>
        <w:t>Esta</w:t>
      </w:r>
      <w:r>
        <w:rPr>
          <w:spacing w:val="1"/>
          <w:sz w:val="24"/>
        </w:rPr>
        <w:t> </w:t>
      </w:r>
      <w:r>
        <w:rPr>
          <w:sz w:val="24"/>
        </w:rPr>
        <w:t>cantidad</w:t>
      </w:r>
      <w:r>
        <w:rPr>
          <w:spacing w:val="1"/>
          <w:sz w:val="24"/>
        </w:rPr>
        <w:t> </w:t>
      </w:r>
      <w:r>
        <w:rPr>
          <w:sz w:val="24"/>
        </w:rPr>
        <w:t>equivale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0.47%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respecto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54"/>
          <w:sz w:val="24"/>
        </w:rPr>
        <w:t> </w:t>
      </w:r>
      <w:r>
        <w:rPr>
          <w:sz w:val="24"/>
        </w:rPr>
        <w:t>población</w:t>
      </w:r>
      <w:r>
        <w:rPr>
          <w:spacing w:val="54"/>
          <w:sz w:val="24"/>
        </w:rPr>
        <w:t> </w:t>
      </w:r>
      <w:r>
        <w:rPr>
          <w:sz w:val="24"/>
        </w:rPr>
        <w:t>de</w:t>
      </w:r>
      <w:r>
        <w:rPr>
          <w:spacing w:val="54"/>
          <w:sz w:val="24"/>
        </w:rPr>
        <w:t> </w:t>
      </w:r>
      <w:r>
        <w:rPr>
          <w:sz w:val="24"/>
        </w:rPr>
        <w:t>13</w:t>
      </w:r>
      <w:r>
        <w:rPr>
          <w:spacing w:val="55"/>
          <w:sz w:val="24"/>
        </w:rPr>
        <w:t> </w:t>
      </w:r>
      <w:r>
        <w:rPr>
          <w:sz w:val="24"/>
        </w:rPr>
        <w:t>años</w:t>
      </w:r>
      <w:r>
        <w:rPr>
          <w:spacing w:val="54"/>
          <w:sz w:val="24"/>
        </w:rPr>
        <w:t> </w:t>
      </w:r>
      <w:r>
        <w:rPr>
          <w:sz w:val="24"/>
        </w:rPr>
        <w:t>y</w:t>
      </w:r>
      <w:r>
        <w:rPr>
          <w:spacing w:val="54"/>
          <w:sz w:val="24"/>
        </w:rPr>
        <w:t> </w:t>
      </w:r>
      <w:r>
        <w:rPr>
          <w:sz w:val="24"/>
        </w:rPr>
        <w:t>más</w:t>
      </w:r>
      <w:r>
        <w:rPr>
          <w:spacing w:val="1"/>
          <w:sz w:val="24"/>
        </w:rPr>
        <w:t> </w:t>
      </w:r>
      <w:r>
        <w:rPr>
          <w:sz w:val="24"/>
        </w:rPr>
        <w:t>(10,574,237).</w:t>
      </w:r>
      <w:r>
        <w:rPr>
          <w:spacing w:val="3"/>
          <w:sz w:val="24"/>
        </w:rPr>
        <w:t> </w:t>
      </w:r>
      <w:r>
        <w:rPr>
          <w:sz w:val="24"/>
        </w:rPr>
        <w:t>(INE, Censo</w:t>
      </w:r>
      <w:r>
        <w:rPr>
          <w:spacing w:val="1"/>
          <w:sz w:val="24"/>
        </w:rPr>
        <w:t> </w:t>
      </w:r>
      <w:r>
        <w:rPr>
          <w:sz w:val="24"/>
        </w:rPr>
        <w:t>2018).</w:t>
      </w:r>
    </w:p>
    <w:p>
      <w:pPr>
        <w:pStyle w:val="BodyText"/>
        <w:rPr>
          <w:sz w:val="24"/>
        </w:rPr>
      </w:pPr>
    </w:p>
    <w:p>
      <w:pPr>
        <w:spacing w:line="259" w:lineRule="auto" w:before="0"/>
        <w:ind w:left="300" w:right="1097" w:firstLine="0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siguiente</w:t>
      </w:r>
      <w:r>
        <w:rPr>
          <w:spacing w:val="1"/>
          <w:sz w:val="24"/>
        </w:rPr>
        <w:t> </w:t>
      </w:r>
      <w:r>
        <w:rPr>
          <w:sz w:val="24"/>
        </w:rPr>
        <w:t>gráfica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muestra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población</w:t>
      </w:r>
      <w:r>
        <w:rPr>
          <w:spacing w:val="1"/>
          <w:sz w:val="24"/>
        </w:rPr>
        <w:t> </w:t>
      </w:r>
      <w:r>
        <w:rPr>
          <w:sz w:val="24"/>
        </w:rPr>
        <w:t>inscrita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programas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1"/>
          <w:sz w:val="24"/>
        </w:rPr>
        <w:t> </w:t>
      </w:r>
      <w:r>
        <w:rPr>
          <w:sz w:val="24"/>
        </w:rPr>
        <w:t>extraescolar, la cual se autoidentifica mayoritariamente como perteneciente al pueblo Ladino</w:t>
      </w:r>
      <w:r>
        <w:rPr>
          <w:spacing w:val="1"/>
          <w:sz w:val="24"/>
        </w:rPr>
        <w:t> </w:t>
      </w:r>
      <w:r>
        <w:rPr>
          <w:sz w:val="24"/>
        </w:rPr>
        <w:t>65%; el 11% es Maya, un 0.16% se autoidentifica Garífuna y 0.13% Xinca. 24% de esta población</w:t>
      </w:r>
      <w:r>
        <w:rPr>
          <w:spacing w:val="-52"/>
          <w:sz w:val="24"/>
        </w:rPr>
        <w:t> </w:t>
      </w:r>
      <w:r>
        <w:rPr>
          <w:sz w:val="24"/>
        </w:rPr>
        <w:t>no indica</w:t>
      </w:r>
      <w:r>
        <w:rPr>
          <w:spacing w:val="-2"/>
          <w:sz w:val="24"/>
        </w:rPr>
        <w:t> </w:t>
      </w:r>
      <w:r>
        <w:rPr>
          <w:sz w:val="24"/>
        </w:rPr>
        <w:t>esta variable.</w:t>
      </w:r>
    </w:p>
    <w:p>
      <w:pPr>
        <w:spacing w:before="159"/>
        <w:ind w:left="1020" w:right="1061" w:hanging="425"/>
        <w:jc w:val="left"/>
        <w:rPr>
          <w:sz w:val="20"/>
        </w:rPr>
      </w:pPr>
      <w:bookmarkStart w:name="_bookmark74" w:id="99"/>
      <w:bookmarkEnd w:id="99"/>
      <w:r>
        <w:rPr/>
      </w:r>
      <w:r>
        <w:rPr>
          <w:sz w:val="20"/>
        </w:rPr>
        <w:t>Gráfico</w:t>
      </w:r>
      <w:r>
        <w:rPr>
          <w:spacing w:val="31"/>
          <w:sz w:val="20"/>
        </w:rPr>
        <w:t> </w:t>
      </w:r>
      <w:r>
        <w:rPr>
          <w:sz w:val="20"/>
        </w:rPr>
        <w:t>49</w:t>
      </w:r>
      <w:r>
        <w:rPr>
          <w:spacing w:val="29"/>
          <w:sz w:val="20"/>
        </w:rPr>
        <w:t> </w:t>
      </w:r>
      <w:r>
        <w:rPr>
          <w:sz w:val="20"/>
        </w:rPr>
        <w:t>Matrícula</w:t>
      </w:r>
      <w:r>
        <w:rPr>
          <w:spacing w:val="29"/>
          <w:sz w:val="20"/>
        </w:rPr>
        <w:t> </w:t>
      </w:r>
      <w:r>
        <w:rPr>
          <w:sz w:val="20"/>
        </w:rPr>
        <w:t>de</w:t>
      </w:r>
      <w:r>
        <w:rPr>
          <w:spacing w:val="30"/>
          <w:sz w:val="20"/>
        </w:rPr>
        <w:t> </w:t>
      </w:r>
      <w:r>
        <w:rPr>
          <w:sz w:val="20"/>
        </w:rPr>
        <w:t>estudiantes</w:t>
      </w:r>
      <w:r>
        <w:rPr>
          <w:spacing w:val="27"/>
          <w:sz w:val="20"/>
        </w:rPr>
        <w:t> </w:t>
      </w:r>
      <w:r>
        <w:rPr>
          <w:sz w:val="20"/>
        </w:rPr>
        <w:t>en</w:t>
      </w:r>
      <w:r>
        <w:rPr>
          <w:spacing w:val="29"/>
          <w:sz w:val="20"/>
        </w:rPr>
        <w:t> </w:t>
      </w:r>
      <w:r>
        <w:rPr>
          <w:sz w:val="20"/>
        </w:rPr>
        <w:t>los</w:t>
      </w:r>
      <w:r>
        <w:rPr>
          <w:spacing w:val="28"/>
          <w:sz w:val="20"/>
        </w:rPr>
        <w:t> </w:t>
      </w:r>
      <w:r>
        <w:rPr>
          <w:sz w:val="20"/>
        </w:rPr>
        <w:t>programas</w:t>
      </w:r>
      <w:r>
        <w:rPr>
          <w:spacing w:val="29"/>
          <w:sz w:val="20"/>
        </w:rPr>
        <w:t> </w:t>
      </w:r>
      <w:r>
        <w:rPr>
          <w:sz w:val="20"/>
        </w:rPr>
        <w:t>de</w:t>
      </w:r>
      <w:r>
        <w:rPr>
          <w:spacing w:val="30"/>
          <w:sz w:val="20"/>
        </w:rPr>
        <w:t> </w:t>
      </w:r>
      <w:r>
        <w:rPr>
          <w:sz w:val="20"/>
        </w:rPr>
        <w:t>educación</w:t>
      </w:r>
      <w:r>
        <w:rPr>
          <w:spacing w:val="30"/>
          <w:sz w:val="20"/>
        </w:rPr>
        <w:t> </w:t>
      </w:r>
      <w:r>
        <w:rPr>
          <w:sz w:val="20"/>
        </w:rPr>
        <w:t>extraescolar,</w:t>
      </w:r>
      <w:r>
        <w:rPr>
          <w:spacing w:val="29"/>
          <w:sz w:val="20"/>
        </w:rPr>
        <w:t> </w:t>
      </w:r>
      <w:r>
        <w:rPr>
          <w:sz w:val="20"/>
        </w:rPr>
        <w:t>según</w:t>
      </w:r>
      <w:r>
        <w:rPr>
          <w:spacing w:val="29"/>
          <w:sz w:val="20"/>
        </w:rPr>
        <w:t> </w:t>
      </w:r>
      <w:r>
        <w:rPr>
          <w:sz w:val="20"/>
        </w:rPr>
        <w:t>etnia,</w:t>
      </w:r>
      <w:r>
        <w:rPr>
          <w:spacing w:val="30"/>
          <w:sz w:val="20"/>
        </w:rPr>
        <w:t> </w:t>
      </w:r>
      <w:r>
        <w:rPr>
          <w:sz w:val="20"/>
        </w:rPr>
        <w:t>a</w:t>
      </w:r>
      <w:r>
        <w:rPr>
          <w:spacing w:val="29"/>
          <w:sz w:val="20"/>
        </w:rPr>
        <w:t> </w:t>
      </w:r>
      <w:r>
        <w:rPr>
          <w:sz w:val="20"/>
        </w:rPr>
        <w:t>nivel</w:t>
      </w:r>
      <w:r>
        <w:rPr>
          <w:spacing w:val="-42"/>
          <w:sz w:val="20"/>
        </w:rPr>
        <w:t> </w:t>
      </w:r>
      <w:r>
        <w:rPr>
          <w:sz w:val="20"/>
        </w:rPr>
        <w:t>nacional.</w:t>
      </w:r>
    </w:p>
    <w:p>
      <w:pPr>
        <w:pStyle w:val="BodyText"/>
        <w:ind w:left="300"/>
        <w:rPr>
          <w:sz w:val="20"/>
        </w:rPr>
      </w:pPr>
      <w:r>
        <w:rPr>
          <w:sz w:val="20"/>
        </w:rPr>
        <w:pict>
          <v:group style="width:470.25pt;height:163.5pt;mso-position-horizontal-relative:char;mso-position-vertical-relative:line" coordorigin="0,0" coordsize="9405,3270">
            <v:rect style="position:absolute;left:0;top:0;width:9405;height:3270" filled="true" fillcolor="#ffffff" stroked="false">
              <v:fill type="solid"/>
            </v:rect>
            <v:shape style="position:absolute;left:1372;top:379;width:7236;height:2427" coordorigin="1373,379" coordsize="7236,2427" path="m1898,2412l1373,2412,1373,2806,1898,2806,1898,2412xm3576,2801l3050,2801,3050,2806,3576,2806,3576,2801xm5254,2801l4728,2801,4728,2806,5254,2806,5254,2801xm6931,379l6406,379,6406,2806,6931,2806,6931,379xm8609,1929l8083,1929,8083,2806,8609,2806,8609,1929xe" filled="true" fillcolor="#5b9bd4" stroked="false">
              <v:path arrowok="t"/>
              <v:fill type="solid"/>
            </v:shape>
            <v:line style="position:absolute" from="798,2806" to="9185,2806" stroked="true" strokeweight=".75pt" strokecolor="#d9d9d9">
              <v:stroke dashstyle="solid"/>
            </v:line>
            <v:shape style="position:absolute;left:130;top:137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35,000</w:t>
                    </w:r>
                  </w:p>
                </w:txbxContent>
              </v:textbox>
              <w10:wrap type="none"/>
            </v:shape>
            <v:shape style="position:absolute;left:6418;top:107;width:52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32,831</w:t>
                    </w:r>
                  </w:p>
                </w:txbxContent>
              </v:textbox>
              <w10:wrap type="none"/>
            </v:shape>
            <v:shape style="position:absolute;left:130;top:506;width:522;height:1289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30,000</w:t>
                    </w:r>
                  </w:p>
                  <w:p>
                    <w:pPr>
                      <w:spacing w:before="15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25,000</w:t>
                    </w:r>
                  </w:p>
                  <w:p>
                    <w:pPr>
                      <w:spacing w:before="14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20,000</w:t>
                    </w:r>
                  </w:p>
                  <w:p>
                    <w:pPr>
                      <w:spacing w:line="216" w:lineRule="exact" w:before="15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15,000</w:t>
                    </w:r>
                  </w:p>
                </w:txbxContent>
              </v:textbox>
              <w10:wrap type="none"/>
            </v:shape>
            <v:shape style="position:absolute;left:8096;top:1656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11,862</w:t>
                    </w:r>
                  </w:p>
                </w:txbxContent>
              </v:textbox>
              <w10:wrap type="none"/>
            </v:shape>
            <v:shape style="position:absolute;left:130;top:1983;width:52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10,000</w:t>
                    </w:r>
                  </w:p>
                </w:txbxContent>
              </v:textbox>
              <w10:wrap type="none"/>
            </v:shape>
            <v:shape style="position:absolute;left:1431;top:2138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5,342</w:t>
                    </w:r>
                  </w:p>
                </w:txbxContent>
              </v:textbox>
              <w10:wrap type="none"/>
            </v:shape>
            <v:shape style="position:absolute;left:221;top:2353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5,000</w:t>
                    </w:r>
                  </w:p>
                </w:txbxContent>
              </v:textbox>
              <w10:wrap type="none"/>
            </v:shape>
            <v:shape style="position:absolute;left:3224;top:252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65</w:t>
                    </w:r>
                  </w:p>
                </w:txbxContent>
              </v:textbox>
              <w10:wrap type="none"/>
            </v:shape>
            <v:shape style="position:absolute;left:4901;top:252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78</w:t>
                    </w:r>
                  </w:p>
                </w:txbxContent>
              </v:textbox>
              <w10:wrap type="none"/>
            </v:shape>
            <v:shape style="position:absolute;left:540;top:272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412;top:2957;width:47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MAYA</w:t>
                    </w:r>
                  </w:p>
                </w:txbxContent>
              </v:textbox>
              <w10:wrap type="none"/>
            </v:shape>
            <v:shape style="position:absolute;left:3087;top:2957;width:47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XINCA</w:t>
                    </w:r>
                  </w:p>
                </w:txbxContent>
              </v:textbox>
              <w10:wrap type="none"/>
            </v:shape>
            <v:shape style="position:absolute;left:4602;top:2957;width:79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GARÍFUNA</w:t>
                    </w:r>
                  </w:p>
                </w:txbxContent>
              </v:textbox>
              <w10:wrap type="none"/>
            </v:shape>
            <v:shape style="position:absolute;left:6385;top:2957;width:5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LADINO</w:t>
                    </w:r>
                  </w:p>
                </w:txbxContent>
              </v:textbox>
              <w10:wrap type="none"/>
            </v:shape>
            <v:shape style="position:absolute;left:7951;top:2957;width:8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NO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INDICA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159"/>
        <w:ind w:left="4095" w:right="1061" w:hanging="3435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Sistema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Registro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Educación</w:t>
      </w:r>
      <w:r>
        <w:rPr>
          <w:spacing w:val="-2"/>
          <w:sz w:val="16"/>
        </w:rPr>
        <w:t> </w:t>
      </w:r>
      <w:r>
        <w:rPr>
          <w:sz w:val="16"/>
        </w:rPr>
        <w:t>Extraescolar,</w:t>
      </w:r>
      <w:r>
        <w:rPr>
          <w:spacing w:val="-2"/>
          <w:sz w:val="16"/>
        </w:rPr>
        <w:t> </w:t>
      </w:r>
      <w:r>
        <w:rPr>
          <w:sz w:val="16"/>
        </w:rPr>
        <w:t>SIREEX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30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diciembre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2021,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8:00</w:t>
      </w:r>
      <w:r>
        <w:rPr>
          <w:spacing w:val="-1"/>
          <w:sz w:val="16"/>
        </w:rPr>
        <w:t> </w:t>
      </w:r>
      <w:r>
        <w:rPr>
          <w:sz w:val="16"/>
        </w:rPr>
        <w:t>horas.</w:t>
      </w:r>
      <w:r>
        <w:rPr>
          <w:spacing w:val="-2"/>
          <w:sz w:val="16"/>
        </w:rPr>
        <w:t> </w:t>
      </w:r>
      <w:r>
        <w:rPr>
          <w:sz w:val="16"/>
        </w:rPr>
        <w:t>No</w:t>
      </w:r>
      <w:r>
        <w:rPr>
          <w:spacing w:val="2"/>
          <w:sz w:val="16"/>
        </w:rPr>
        <w:t> </w:t>
      </w:r>
      <w:r>
        <w:rPr>
          <w:sz w:val="16"/>
        </w:rPr>
        <w:t>incluye</w:t>
      </w:r>
      <w:r>
        <w:rPr>
          <w:spacing w:val="1"/>
          <w:sz w:val="16"/>
        </w:rPr>
        <w:t> </w:t>
      </w:r>
      <w:r>
        <w:rPr>
          <w:sz w:val="16"/>
        </w:rPr>
        <w:t>academias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cursos</w:t>
      </w:r>
      <w:r>
        <w:rPr>
          <w:spacing w:val="-1"/>
          <w:sz w:val="16"/>
        </w:rPr>
        <w:t> </w:t>
      </w:r>
      <w:r>
        <w:rPr>
          <w:sz w:val="16"/>
        </w:rPr>
        <w:t>libres.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pict>
          <v:rect style="position:absolute;margin-left:72.024002pt;margin-top:11.569794pt;width:144.020pt;height:.48004pt;mso-position-horizontal-relative:page;mso-position-vertical-relative:paragraph;z-index:-156098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6"/>
        </w:numPr>
        <w:tabs>
          <w:tab w:pos="433" w:val="left" w:leader="none"/>
        </w:tabs>
        <w:spacing w:line="240" w:lineRule="auto" w:before="56" w:after="0"/>
        <w:ind w:left="432" w:right="0" w:hanging="133"/>
        <w:jc w:val="left"/>
        <w:rPr>
          <w:color w:val="2D74B5"/>
          <w:sz w:val="18"/>
        </w:rPr>
      </w:pPr>
      <w:r>
        <w:rPr>
          <w:sz w:val="18"/>
        </w:rPr>
        <w:t>Este</w:t>
      </w:r>
      <w:r>
        <w:rPr>
          <w:spacing w:val="-4"/>
          <w:sz w:val="18"/>
        </w:rPr>
        <w:t> </w:t>
      </w:r>
      <w:r>
        <w:rPr>
          <w:sz w:val="18"/>
        </w:rPr>
        <w:t>dato</w:t>
      </w:r>
      <w:r>
        <w:rPr>
          <w:spacing w:val="-2"/>
          <w:sz w:val="18"/>
        </w:rPr>
        <w:t> </w:t>
      </w:r>
      <w:r>
        <w:rPr>
          <w:sz w:val="18"/>
        </w:rPr>
        <w:t>no</w:t>
      </w:r>
      <w:r>
        <w:rPr>
          <w:spacing w:val="-2"/>
          <w:sz w:val="18"/>
        </w:rPr>
        <w:t> </w:t>
      </w:r>
      <w:r>
        <w:rPr>
          <w:sz w:val="18"/>
        </w:rPr>
        <w:t>considera</w:t>
      </w:r>
      <w:r>
        <w:rPr>
          <w:spacing w:val="-2"/>
          <w:sz w:val="18"/>
        </w:rPr>
        <w:t> </w:t>
      </w:r>
      <w:r>
        <w:rPr>
          <w:sz w:val="18"/>
        </w:rPr>
        <w:t>la población</w:t>
      </w:r>
      <w:r>
        <w:rPr>
          <w:spacing w:val="-3"/>
          <w:sz w:val="18"/>
        </w:rPr>
        <w:t> </w:t>
      </w:r>
      <w:r>
        <w:rPr>
          <w:sz w:val="18"/>
        </w:rPr>
        <w:t>atendida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1"/>
          <w:sz w:val="18"/>
        </w:rPr>
        <w:t> </w:t>
      </w:r>
      <w:r>
        <w:rPr>
          <w:sz w:val="18"/>
        </w:rPr>
        <w:t>las</w:t>
      </w:r>
      <w:r>
        <w:rPr>
          <w:spacing w:val="-3"/>
          <w:sz w:val="18"/>
        </w:rPr>
        <w:t> </w:t>
      </w:r>
      <w:r>
        <w:rPr>
          <w:sz w:val="18"/>
        </w:rPr>
        <w:t>academias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cursos</w:t>
      </w:r>
      <w:r>
        <w:rPr>
          <w:spacing w:val="-3"/>
          <w:sz w:val="18"/>
        </w:rPr>
        <w:t> </w:t>
      </w:r>
      <w:r>
        <w:rPr>
          <w:sz w:val="18"/>
        </w:rPr>
        <w:t>libres.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pict>
          <v:rect style="position:absolute;margin-left:563.280029pt;margin-top:14.19264pt;width:25.44pt;height:1.44pt;mso-position-horizontal-relative:page;mso-position-vertical-relative:paragraph;z-index:-1560934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after="19"/>
        <w:ind w:right="223"/>
      </w:pPr>
      <w:r>
        <w:rPr/>
        <w:t>60</w:t>
      </w:r>
    </w:p>
    <w:p>
      <w:pPr>
        <w:pStyle w:val="BodyText"/>
        <w:spacing w:line="91" w:lineRule="exact"/>
        <w:ind w:left="10125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45pt;height:4.6pt;mso-position-horizontal-relative:char;mso-position-vertical-relative:line" coordorigin="0,0" coordsize="509,92">
            <v:rect style="position:absolute;left:0;top:0;width:509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7"/>
        </w:rPr>
      </w:pPr>
    </w:p>
    <w:p>
      <w:pPr>
        <w:spacing w:before="59"/>
        <w:ind w:left="1020" w:right="1061" w:hanging="425"/>
        <w:jc w:val="left"/>
        <w:rPr>
          <w:sz w:val="20"/>
        </w:rPr>
      </w:pPr>
      <w:bookmarkStart w:name="_bookmark75" w:id="100"/>
      <w:bookmarkEnd w:id="100"/>
      <w:r>
        <w:rPr/>
      </w:r>
      <w:r>
        <w:rPr>
          <w:sz w:val="20"/>
        </w:rPr>
        <w:t>Gráfico</w:t>
      </w:r>
      <w:r>
        <w:rPr>
          <w:spacing w:val="33"/>
          <w:sz w:val="20"/>
        </w:rPr>
        <w:t> </w:t>
      </w:r>
      <w:r>
        <w:rPr>
          <w:sz w:val="20"/>
        </w:rPr>
        <w:t>50</w:t>
      </w:r>
      <w:r>
        <w:rPr>
          <w:spacing w:val="34"/>
          <w:sz w:val="20"/>
        </w:rPr>
        <w:t> </w:t>
      </w:r>
      <w:r>
        <w:rPr>
          <w:sz w:val="20"/>
        </w:rPr>
        <w:t>Matrícula</w:t>
      </w:r>
      <w:r>
        <w:rPr>
          <w:spacing w:val="32"/>
          <w:sz w:val="20"/>
        </w:rPr>
        <w:t> </w:t>
      </w:r>
      <w:r>
        <w:rPr>
          <w:sz w:val="20"/>
        </w:rPr>
        <w:t>de</w:t>
      </w:r>
      <w:r>
        <w:rPr>
          <w:spacing w:val="32"/>
          <w:sz w:val="20"/>
        </w:rPr>
        <w:t> </w:t>
      </w:r>
      <w:r>
        <w:rPr>
          <w:sz w:val="20"/>
        </w:rPr>
        <w:t>estudiantes</w:t>
      </w:r>
      <w:r>
        <w:rPr>
          <w:spacing w:val="30"/>
          <w:sz w:val="20"/>
        </w:rPr>
        <w:t> </w:t>
      </w:r>
      <w:r>
        <w:rPr>
          <w:sz w:val="20"/>
        </w:rPr>
        <w:t>en</w:t>
      </w:r>
      <w:r>
        <w:rPr>
          <w:spacing w:val="34"/>
          <w:sz w:val="20"/>
        </w:rPr>
        <w:t> </w:t>
      </w:r>
      <w:r>
        <w:rPr>
          <w:sz w:val="20"/>
        </w:rPr>
        <w:t>los</w:t>
      </w:r>
      <w:r>
        <w:rPr>
          <w:spacing w:val="30"/>
          <w:sz w:val="20"/>
        </w:rPr>
        <w:t> </w:t>
      </w:r>
      <w:r>
        <w:rPr>
          <w:sz w:val="20"/>
        </w:rPr>
        <w:t>programas</w:t>
      </w:r>
      <w:r>
        <w:rPr>
          <w:spacing w:val="33"/>
          <w:sz w:val="20"/>
        </w:rPr>
        <w:t> </w:t>
      </w:r>
      <w:r>
        <w:rPr>
          <w:sz w:val="20"/>
        </w:rPr>
        <w:t>de</w:t>
      </w:r>
      <w:r>
        <w:rPr>
          <w:spacing w:val="33"/>
          <w:sz w:val="20"/>
        </w:rPr>
        <w:t> </w:t>
      </w:r>
      <w:r>
        <w:rPr>
          <w:sz w:val="20"/>
        </w:rPr>
        <w:t>educación</w:t>
      </w:r>
      <w:r>
        <w:rPr>
          <w:spacing w:val="32"/>
          <w:sz w:val="20"/>
        </w:rPr>
        <w:t> </w:t>
      </w:r>
      <w:r>
        <w:rPr>
          <w:sz w:val="20"/>
        </w:rPr>
        <w:t>extraescolar,</w:t>
      </w:r>
      <w:r>
        <w:rPr>
          <w:spacing w:val="31"/>
          <w:sz w:val="20"/>
        </w:rPr>
        <w:t> </w:t>
      </w:r>
      <w:r>
        <w:rPr>
          <w:sz w:val="20"/>
        </w:rPr>
        <w:t>según</w:t>
      </w:r>
      <w:r>
        <w:rPr>
          <w:spacing w:val="32"/>
          <w:sz w:val="20"/>
        </w:rPr>
        <w:t> </w:t>
      </w:r>
      <w:r>
        <w:rPr>
          <w:sz w:val="20"/>
        </w:rPr>
        <w:t>sexo,</w:t>
      </w:r>
      <w:r>
        <w:rPr>
          <w:spacing w:val="32"/>
          <w:sz w:val="20"/>
        </w:rPr>
        <w:t> </w:t>
      </w:r>
      <w:r>
        <w:rPr>
          <w:sz w:val="20"/>
        </w:rPr>
        <w:t>a</w:t>
      </w:r>
      <w:r>
        <w:rPr>
          <w:spacing w:val="31"/>
          <w:sz w:val="20"/>
        </w:rPr>
        <w:t> </w:t>
      </w:r>
      <w:r>
        <w:rPr>
          <w:sz w:val="20"/>
        </w:rPr>
        <w:t>nivel</w:t>
      </w:r>
      <w:r>
        <w:rPr>
          <w:spacing w:val="-42"/>
          <w:sz w:val="20"/>
        </w:rPr>
        <w:t> </w:t>
      </w:r>
      <w:r>
        <w:rPr>
          <w:sz w:val="20"/>
        </w:rPr>
        <w:t>nacional.</w:t>
      </w:r>
    </w:p>
    <w:p>
      <w:pPr>
        <w:spacing w:after="0"/>
        <w:jc w:val="left"/>
        <w:rPr>
          <w:sz w:val="20"/>
        </w:rPr>
        <w:sectPr>
          <w:pgSz w:w="12240" w:h="15840"/>
          <w:pgMar w:top="1500" w:bottom="280" w:left="1140" w:right="340"/>
        </w:sectPr>
      </w:pPr>
    </w:p>
    <w:p>
      <w:pPr>
        <w:pStyle w:val="BodyText"/>
        <w:spacing w:before="4"/>
        <w:rPr>
          <w:sz w:val="12"/>
        </w:rPr>
      </w:pPr>
    </w:p>
    <w:p>
      <w:pPr>
        <w:spacing w:before="0"/>
        <w:ind w:left="677" w:right="0" w:firstLine="0"/>
        <w:jc w:val="left"/>
        <w:rPr>
          <w:sz w:val="14"/>
        </w:rPr>
      </w:pPr>
      <w:r>
        <w:rPr>
          <w:color w:val="585858"/>
          <w:sz w:val="14"/>
        </w:rPr>
        <w:t>25,000</w:t>
      </w: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677" w:right="0" w:firstLine="0"/>
        <w:jc w:val="left"/>
        <w:rPr>
          <w:sz w:val="14"/>
        </w:rPr>
      </w:pPr>
      <w:r>
        <w:rPr>
          <w:color w:val="585858"/>
          <w:sz w:val="14"/>
        </w:rPr>
        <w:t>20,000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32"/>
        <w:ind w:left="677" w:right="0" w:firstLine="0"/>
        <w:jc w:val="left"/>
        <w:rPr>
          <w:sz w:val="18"/>
        </w:rPr>
      </w:pPr>
      <w:r>
        <w:rPr>
          <w:color w:val="404040"/>
          <w:sz w:val="18"/>
        </w:rPr>
        <w:t>20,625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340" w:bottom="280" w:left="1140" w:right="340"/>
          <w:cols w:num="2" w:equalWidth="0">
            <w:col w:w="1107" w:space="3390"/>
            <w:col w:w="6263"/>
          </w:cols>
        </w:sectPr>
      </w:pP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74434048">
            <wp:simplePos x="0" y="0"/>
            <wp:positionH relativeFrom="page">
              <wp:posOffset>0</wp:posOffset>
            </wp:positionH>
            <wp:positionV relativeFrom="page">
              <wp:posOffset>302887</wp:posOffset>
            </wp:positionV>
            <wp:extent cx="7772399" cy="9501333"/>
            <wp:effectExtent l="0" t="0" r="0" b="0"/>
            <wp:wrapNone/>
            <wp:docPr id="16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1"/>
        <w:ind w:left="677" w:right="0" w:firstLine="0"/>
        <w:jc w:val="left"/>
        <w:rPr>
          <w:sz w:val="14"/>
        </w:rPr>
      </w:pPr>
      <w:r>
        <w:rPr/>
        <w:pict>
          <v:group style="position:absolute;margin-left:116.839996pt;margin-top:-18.844986pt;width:422.8pt;height:99.35pt;mso-position-horizontal-relative:page;mso-position-vertical-relative:paragraph;z-index:15851520" coordorigin="2337,-377" coordsize="8456,1987">
            <v:shape style="position:absolute;left:3304;top:-377;width:6521;height:1979" coordorigin="3305,-377" coordsize="6521,1979" path="m4188,756l3305,756,3305,1602,4188,1602,4188,756xm7006,-377l6122,-377,6122,1602,7006,1602,7006,-377xm9826,989l8940,989,8940,1602,9826,1602,9826,989xe" filled="true" fillcolor="#997300" stroked="false">
              <v:path arrowok="t"/>
              <v:fill type="solid"/>
            </v:shape>
            <v:line style="position:absolute" from="2337,1602" to="10792,1602" stroked="true" strokeweight=".75pt" strokecolor="#d9d9d9">
              <v:stroke dashstyle="solid"/>
            </v:line>
            <v:shape style="position:absolute;left:3541;top:483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8,806</w:t>
                    </w:r>
                  </w:p>
                </w:txbxContent>
              </v:textbox>
              <w10:wrap type="none"/>
            </v:shape>
            <v:shape style="position:absolute;left:9179;top:714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6,399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4"/>
        </w:rPr>
        <w:t>15,000</w:t>
      </w:r>
    </w:p>
    <w:p>
      <w:pPr>
        <w:pStyle w:val="BodyText"/>
        <w:spacing w:before="6"/>
        <w:rPr>
          <w:sz w:val="19"/>
        </w:rPr>
      </w:pPr>
    </w:p>
    <w:p>
      <w:pPr>
        <w:spacing w:before="71"/>
        <w:ind w:left="677" w:right="0" w:firstLine="0"/>
        <w:jc w:val="left"/>
        <w:rPr>
          <w:sz w:val="14"/>
        </w:rPr>
      </w:pPr>
      <w:r>
        <w:rPr>
          <w:color w:val="585858"/>
          <w:sz w:val="14"/>
        </w:rPr>
        <w:t>10,000</w:t>
      </w:r>
    </w:p>
    <w:p>
      <w:pPr>
        <w:pStyle w:val="BodyText"/>
        <w:spacing w:before="6"/>
        <w:rPr>
          <w:sz w:val="19"/>
        </w:rPr>
      </w:pPr>
    </w:p>
    <w:p>
      <w:pPr>
        <w:spacing w:before="71"/>
        <w:ind w:left="748" w:right="0" w:firstLine="0"/>
        <w:jc w:val="left"/>
        <w:rPr>
          <w:sz w:val="14"/>
        </w:rPr>
      </w:pPr>
      <w:r>
        <w:rPr>
          <w:color w:val="585858"/>
          <w:sz w:val="14"/>
        </w:rPr>
        <w:t>5,000</w:t>
      </w:r>
    </w:p>
    <w:p>
      <w:pPr>
        <w:pStyle w:val="BodyText"/>
        <w:spacing w:before="6"/>
        <w:rPr>
          <w:sz w:val="19"/>
        </w:rPr>
      </w:pPr>
    </w:p>
    <w:p>
      <w:pPr>
        <w:spacing w:before="71"/>
        <w:ind w:left="996" w:right="0" w:firstLine="0"/>
        <w:jc w:val="left"/>
        <w:rPr>
          <w:sz w:val="14"/>
        </w:rPr>
      </w:pPr>
      <w:r>
        <w:rPr>
          <w:color w:val="585858"/>
          <w:w w:val="99"/>
          <w:sz w:val="14"/>
        </w:rPr>
        <w:t>0</w:t>
      </w:r>
    </w:p>
    <w:p>
      <w:pPr>
        <w:tabs>
          <w:tab w:pos="2900" w:val="left" w:leader="none"/>
          <w:tab w:pos="5727" w:val="left" w:leader="none"/>
        </w:tabs>
        <w:spacing w:before="35"/>
        <w:ind w:left="32" w:right="0" w:firstLine="0"/>
        <w:jc w:val="center"/>
        <w:rPr>
          <w:sz w:val="18"/>
        </w:rPr>
      </w:pPr>
      <w:r>
        <w:rPr>
          <w:color w:val="585858"/>
          <w:sz w:val="18"/>
        </w:rPr>
        <w:t>MASCULINO</w:t>
        <w:tab/>
        <w:t>FEMENINO</w:t>
        <w:tab/>
        <w:t>NO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INDICA</w:t>
      </w:r>
    </w:p>
    <w:p>
      <w:pPr>
        <w:pStyle w:val="BodyText"/>
        <w:spacing w:before="5"/>
        <w:rPr>
          <w:sz w:val="9"/>
        </w:rPr>
      </w:pPr>
    </w:p>
    <w:p>
      <w:pPr>
        <w:spacing w:before="64"/>
        <w:ind w:left="32" w:right="155" w:firstLine="0"/>
        <w:jc w:val="center"/>
        <w:rPr>
          <w:sz w:val="18"/>
        </w:rPr>
      </w:pPr>
      <w:r>
        <w:rPr/>
        <w:pict>
          <v:rect style="position:absolute;margin-left:291.760010pt;margin-top:6.716046pt;width:4.9433pt;height:4.9433pt;mso-position-horizontal-relative:page;mso-position-vertical-relative:paragraph;z-index:15852032" filled="true" fillcolor="#997300" stroked="false">
            <v:fill type="solid"/>
            <w10:wrap type="none"/>
          </v:rect>
        </w:pict>
      </w:r>
      <w:r>
        <w:rPr>
          <w:color w:val="585858"/>
          <w:sz w:val="18"/>
        </w:rPr>
        <w:t>Total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general</w:t>
      </w:r>
    </w:p>
    <w:p>
      <w:pPr>
        <w:pStyle w:val="BodyText"/>
        <w:spacing w:before="9"/>
        <w:rPr>
          <w:sz w:val="9"/>
        </w:rPr>
      </w:pPr>
    </w:p>
    <w:p>
      <w:pPr>
        <w:spacing w:before="69"/>
        <w:ind w:left="595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Sistema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Registro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Educación</w:t>
      </w:r>
      <w:r>
        <w:rPr>
          <w:spacing w:val="-2"/>
          <w:sz w:val="16"/>
        </w:rPr>
        <w:t> </w:t>
      </w:r>
      <w:r>
        <w:rPr>
          <w:sz w:val="16"/>
        </w:rPr>
        <w:t>Extraescolar,</w:t>
      </w:r>
      <w:r>
        <w:rPr>
          <w:spacing w:val="-1"/>
          <w:sz w:val="16"/>
        </w:rPr>
        <w:t> </w:t>
      </w:r>
      <w:r>
        <w:rPr>
          <w:sz w:val="16"/>
        </w:rPr>
        <w:t>SIREEX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30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diciembre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2021,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8:00</w:t>
      </w:r>
      <w:r>
        <w:rPr>
          <w:spacing w:val="-1"/>
          <w:sz w:val="16"/>
        </w:rPr>
        <w:t> </w:t>
      </w:r>
      <w:r>
        <w:rPr>
          <w:sz w:val="16"/>
        </w:rPr>
        <w:t>horas</w:t>
      </w:r>
    </w:p>
    <w:p>
      <w:pPr>
        <w:pStyle w:val="BodyText"/>
        <w:spacing w:before="2"/>
        <w:rPr>
          <w:sz w:val="20"/>
        </w:rPr>
      </w:pPr>
    </w:p>
    <w:p>
      <w:pPr>
        <w:spacing w:before="1"/>
        <w:ind w:left="300" w:right="1096" w:firstLine="0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programas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1"/>
          <w:sz w:val="24"/>
        </w:rPr>
        <w:t> </w:t>
      </w:r>
      <w:r>
        <w:rPr>
          <w:sz w:val="24"/>
        </w:rPr>
        <w:t>extraescolar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nivel</w:t>
      </w:r>
      <w:r>
        <w:rPr>
          <w:spacing w:val="1"/>
          <w:sz w:val="24"/>
        </w:rPr>
        <w:t> </w:t>
      </w:r>
      <w:r>
        <w:rPr>
          <w:sz w:val="24"/>
        </w:rPr>
        <w:t>nacional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2021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matriculó</w:t>
      </w:r>
      <w:r>
        <w:rPr>
          <w:spacing w:val="1"/>
          <w:sz w:val="24"/>
        </w:rPr>
        <w:t> </w:t>
      </w:r>
      <w:r>
        <w:rPr>
          <w:sz w:val="24"/>
        </w:rPr>
        <w:t>principalmente población joven entre 13 y 29 años, el 67% de la población corresponde a ese</w:t>
      </w:r>
      <w:r>
        <w:rPr>
          <w:spacing w:val="1"/>
          <w:sz w:val="24"/>
        </w:rPr>
        <w:t> </w:t>
      </w:r>
      <w:r>
        <w:rPr>
          <w:sz w:val="24"/>
        </w:rPr>
        <w:t>grupo etario, el 30% comprendida entre 30 y 59 años. Adicionalmente, se atendió a 1,306</w:t>
      </w:r>
      <w:r>
        <w:rPr>
          <w:spacing w:val="1"/>
          <w:sz w:val="24"/>
        </w:rPr>
        <w:t> </w:t>
      </w:r>
      <w:r>
        <w:rPr>
          <w:sz w:val="24"/>
        </w:rPr>
        <w:t>personas adultas mayores quienes participaron principalmente en cursos de formación técnica</w:t>
      </w:r>
      <w:r>
        <w:rPr>
          <w:spacing w:val="1"/>
          <w:sz w:val="24"/>
        </w:rPr>
        <w:t> </w:t>
      </w:r>
      <w:r>
        <w:rPr>
          <w:sz w:val="24"/>
        </w:rPr>
        <w:t>laboral</w:t>
      </w:r>
      <w:r>
        <w:rPr>
          <w:spacing w:val="-3"/>
          <w:sz w:val="24"/>
        </w:rPr>
        <w:t> </w:t>
      </w:r>
      <w:r>
        <w:rPr>
          <w:sz w:val="24"/>
        </w:rPr>
        <w:t>en el</w:t>
      </w:r>
      <w:r>
        <w:rPr>
          <w:spacing w:val="-1"/>
          <w:sz w:val="24"/>
        </w:rPr>
        <w:t> </w:t>
      </w:r>
      <w:r>
        <w:rPr>
          <w:sz w:val="24"/>
        </w:rPr>
        <w:t>Programa</w:t>
      </w:r>
      <w:r>
        <w:rPr>
          <w:spacing w:val="-1"/>
          <w:sz w:val="24"/>
        </w:rPr>
        <w:t> </w:t>
      </w:r>
      <w:r>
        <w:rPr>
          <w:sz w:val="24"/>
        </w:rPr>
        <w:t>CEMUCAF.</w:t>
      </w:r>
    </w:p>
    <w:p>
      <w:pPr>
        <w:pStyle w:val="BodyText"/>
        <w:spacing w:before="12"/>
        <w:rPr>
          <w:sz w:val="19"/>
        </w:rPr>
      </w:pPr>
    </w:p>
    <w:p>
      <w:pPr>
        <w:spacing w:before="0"/>
        <w:ind w:left="1584" w:right="0" w:firstLine="0"/>
        <w:jc w:val="left"/>
        <w:rPr>
          <w:sz w:val="20"/>
        </w:rPr>
      </w:pPr>
      <w:bookmarkStart w:name="_bookmark76" w:id="101"/>
      <w:bookmarkEnd w:id="101"/>
      <w:r>
        <w:rPr/>
      </w:r>
      <w:r>
        <w:rPr>
          <w:sz w:val="20"/>
        </w:rPr>
        <w:t>Gráfico</w:t>
      </w:r>
      <w:r>
        <w:rPr>
          <w:spacing w:val="-2"/>
          <w:sz w:val="20"/>
        </w:rPr>
        <w:t> </w:t>
      </w:r>
      <w:r>
        <w:rPr>
          <w:sz w:val="20"/>
        </w:rPr>
        <w:t>51</w:t>
      </w:r>
      <w:r>
        <w:rPr>
          <w:spacing w:val="-2"/>
          <w:sz w:val="20"/>
        </w:rPr>
        <w:t> </w:t>
      </w:r>
      <w:r>
        <w:rPr>
          <w:sz w:val="20"/>
        </w:rPr>
        <w:t>Matrícula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estudiantes</w:t>
      </w:r>
      <w:r>
        <w:rPr>
          <w:spacing w:val="-4"/>
          <w:sz w:val="20"/>
        </w:rPr>
        <w:t> </w:t>
      </w:r>
      <w:r>
        <w:rPr>
          <w:sz w:val="20"/>
        </w:rPr>
        <w:t>según</w:t>
      </w:r>
      <w:r>
        <w:rPr>
          <w:spacing w:val="-2"/>
          <w:sz w:val="20"/>
        </w:rPr>
        <w:t> </w:t>
      </w:r>
      <w:r>
        <w:rPr>
          <w:sz w:val="20"/>
        </w:rPr>
        <w:t>grupo</w:t>
      </w:r>
      <w:r>
        <w:rPr>
          <w:spacing w:val="-1"/>
          <w:sz w:val="20"/>
        </w:rPr>
        <w:t> </w:t>
      </w:r>
      <w:r>
        <w:rPr>
          <w:sz w:val="20"/>
        </w:rPr>
        <w:t>etario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nacional,</w:t>
      </w:r>
      <w:r>
        <w:rPr>
          <w:spacing w:val="-2"/>
          <w:sz w:val="20"/>
        </w:rPr>
        <w:t> </w:t>
      </w:r>
      <w:r>
        <w:rPr>
          <w:sz w:val="20"/>
        </w:rPr>
        <w:t>año</w:t>
      </w:r>
      <w:r>
        <w:rPr>
          <w:spacing w:val="-2"/>
          <w:sz w:val="20"/>
        </w:rPr>
        <w:t> </w:t>
      </w:r>
      <w:r>
        <w:rPr>
          <w:sz w:val="20"/>
        </w:rPr>
        <w:t>2021</w:t>
      </w:r>
    </w:p>
    <w:p>
      <w:pPr>
        <w:pStyle w:val="BodyText"/>
        <w:spacing w:before="6"/>
        <w:rPr>
          <w:sz w:val="8"/>
        </w:rPr>
      </w:pPr>
      <w:r>
        <w:rPr/>
        <w:pict>
          <v:group style="position:absolute;margin-left:71.900002pt;margin-top:7.165947pt;width:469.25pt;height:147.75pt;mso-position-horizontal-relative:page;mso-position-vertical-relative:paragraph;z-index:-15607808;mso-wrap-distance-left:0;mso-wrap-distance-right:0" coordorigin="1438,143" coordsize="9385,2955">
            <v:rect style="position:absolute;left:1438;top:143;width:9385;height:2955" filled="true" fillcolor="#ffffff" stroked="false">
              <v:fill type="solid"/>
            </v:rect>
            <v:shape style="position:absolute;left:2954;top:722;width:6932;height:1912" coordorigin="2954,723" coordsize="6932,1912" path="m3610,2632l2954,2632,2954,2634,3610,2634,3610,2632xm5702,723l5045,723,5045,2634,5702,2634,5702,723xm7793,1771l7138,1771,7138,2634,7793,2634,7793,1771xm9886,2561l9230,2561,9230,2634,9886,2634,9886,2561xe" filled="true" fillcolor="#5b9bd4" stroked="false">
              <v:path arrowok="t"/>
              <v:fill type="solid"/>
            </v:shape>
            <v:line style="position:absolute" from="2236,2634" to="10603,2634" stroked="true" strokeweight=".75pt" strokecolor="#d9d9d9">
              <v:stroke dashstyle="solid"/>
            </v:line>
            <v:shape style="position:absolute;left:1568;top:280;width:523;height:188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40,000</w:t>
                    </w:r>
                  </w:p>
                  <w:p>
                    <w:pPr>
                      <w:spacing w:before="6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35,000</w:t>
                    </w:r>
                  </w:p>
                  <w:p>
                    <w:pPr>
                      <w:spacing w:before="6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30,000</w:t>
                    </w:r>
                  </w:p>
                  <w:p>
                    <w:pPr>
                      <w:spacing w:before="6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25,000</w:t>
                    </w:r>
                  </w:p>
                  <w:p>
                    <w:pPr>
                      <w:spacing w:before="6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20,000</w:t>
                    </w:r>
                  </w:p>
                  <w:p>
                    <w:pPr>
                      <w:spacing w:before="6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15,000</w:t>
                    </w:r>
                  </w:p>
                  <w:p>
                    <w:pPr>
                      <w:spacing w:line="216" w:lineRule="exact" w:before="6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10,000</w:t>
                    </w:r>
                  </w:p>
                </w:txbxContent>
              </v:textbox>
              <w10:wrap type="none"/>
            </v:shape>
            <v:shape style="position:absolute;left:5122;top:450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33,655</w:t>
                    </w:r>
                  </w:p>
                </w:txbxContent>
              </v:textbox>
              <w10:wrap type="none"/>
            </v:shape>
            <v:shape style="position:absolute;left:7214;top:1498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15,208</w:t>
                    </w:r>
                  </w:p>
                </w:txbxContent>
              </v:textbox>
              <w10:wrap type="none"/>
            </v:shape>
            <v:shape style="position:absolute;left:1659;top:2267;width:432;height:465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5,000</w:t>
                    </w:r>
                  </w:p>
                  <w:p>
                    <w:pPr>
                      <w:spacing w:line="216" w:lineRule="exact" w:before="64"/>
                      <w:ind w:left="0" w:right="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36;top:236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9352;top:2287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1,306</w:t>
                    </w:r>
                  </w:p>
                </w:txbxContent>
              </v:textbox>
              <w10:wrap type="none"/>
            </v:shape>
            <v:shape style="position:absolute;left:2821;top:2785;width:7593;height:180" type="#_x0000_t202" filled="false" stroked="false">
              <v:textbox inset="0,0,0,0">
                <w:txbxContent>
                  <w:p>
                    <w:pPr>
                      <w:tabs>
                        <w:tab w:pos="2046" w:val="left" w:leader="none"/>
                        <w:tab w:pos="4138" w:val="left" w:leader="none"/>
                        <w:tab w:pos="5907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 A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12 AÑOS</w:t>
                      <w:tab/>
                      <w:t>13 A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29 AÑOS</w:t>
                      <w:tab/>
                      <w:t>30 A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59 AÑOS</w:t>
                      <w:tab/>
                      <w:t>MAYORES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DE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60 AÑOS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300" w:right="1100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Registro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Educación</w:t>
      </w:r>
      <w:r>
        <w:rPr>
          <w:spacing w:val="-3"/>
          <w:sz w:val="16"/>
        </w:rPr>
        <w:t> </w:t>
      </w:r>
      <w:r>
        <w:rPr>
          <w:sz w:val="16"/>
        </w:rPr>
        <w:t>Extraescolar,</w:t>
      </w:r>
      <w:r>
        <w:rPr>
          <w:spacing w:val="-1"/>
          <w:sz w:val="16"/>
        </w:rPr>
        <w:t> </w:t>
      </w:r>
      <w:r>
        <w:rPr>
          <w:sz w:val="16"/>
        </w:rPr>
        <w:t>SIREEX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30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diciembre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2021,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8:00</w:t>
      </w:r>
      <w:r>
        <w:rPr>
          <w:spacing w:val="-2"/>
          <w:sz w:val="16"/>
        </w:rPr>
        <w:t> </w:t>
      </w:r>
      <w:r>
        <w:rPr>
          <w:sz w:val="16"/>
        </w:rPr>
        <w:t>horas.</w:t>
      </w:r>
      <w:r>
        <w:rPr>
          <w:spacing w:val="-1"/>
          <w:sz w:val="16"/>
        </w:rPr>
        <w:t> </w:t>
      </w:r>
      <w:r>
        <w:rPr>
          <w:sz w:val="16"/>
        </w:rPr>
        <w:t>No</w:t>
      </w:r>
      <w:r>
        <w:rPr>
          <w:spacing w:val="-3"/>
          <w:sz w:val="16"/>
        </w:rPr>
        <w:t> </w:t>
      </w:r>
      <w:r>
        <w:rPr>
          <w:sz w:val="16"/>
        </w:rPr>
        <w:t>incluye</w:t>
      </w:r>
      <w:r>
        <w:rPr>
          <w:spacing w:val="-2"/>
          <w:sz w:val="16"/>
        </w:rPr>
        <w:t> </w:t>
      </w:r>
      <w:r>
        <w:rPr>
          <w:sz w:val="16"/>
        </w:rPr>
        <w:t>academias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cursos</w:t>
      </w:r>
      <w:r>
        <w:rPr>
          <w:spacing w:val="-1"/>
          <w:sz w:val="16"/>
        </w:rPr>
        <w:t> </w:t>
      </w:r>
      <w:r>
        <w:rPr>
          <w:sz w:val="16"/>
        </w:rPr>
        <w:t>libres.</w:t>
      </w:r>
    </w:p>
    <w:p>
      <w:pPr>
        <w:pStyle w:val="BodyText"/>
        <w:spacing w:before="8"/>
        <w:rPr>
          <w:sz w:val="17"/>
        </w:rPr>
      </w:pPr>
    </w:p>
    <w:p>
      <w:pPr>
        <w:spacing w:line="240" w:lineRule="auto" w:before="0"/>
        <w:ind w:left="300" w:right="1096" w:firstLine="0"/>
        <w:jc w:val="both"/>
        <w:rPr>
          <w:sz w:val="24"/>
        </w:rPr>
      </w:pPr>
      <w:r>
        <w:rPr>
          <w:sz w:val="24"/>
        </w:rPr>
        <w:t>En el 2021 la matrícula de estudiantes según el área de atención reflejó que el 69% de la</w:t>
      </w:r>
      <w:r>
        <w:rPr>
          <w:spacing w:val="1"/>
          <w:sz w:val="24"/>
        </w:rPr>
        <w:t> </w:t>
      </w:r>
      <w:r>
        <w:rPr>
          <w:sz w:val="24"/>
        </w:rPr>
        <w:t>población es atendida en el área urbana y el 31% en el área rural. Los programas Modalidades</w:t>
      </w:r>
      <w:r>
        <w:rPr>
          <w:spacing w:val="1"/>
          <w:sz w:val="24"/>
        </w:rPr>
        <w:t> </w:t>
      </w:r>
      <w:r>
        <w:rPr>
          <w:sz w:val="24"/>
        </w:rPr>
        <w:t>Flexibles para la Educación Media y PRONEA son quienes su mayor cobertura la tienen en áreas</w:t>
      </w:r>
      <w:r>
        <w:rPr>
          <w:spacing w:val="1"/>
          <w:sz w:val="24"/>
        </w:rPr>
        <w:t> </w:t>
      </w:r>
      <w:r>
        <w:rPr>
          <w:sz w:val="24"/>
        </w:rPr>
        <w:t>urbanas.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rect style="position:absolute;margin-left:563.280029pt;margin-top:14.886898pt;width:25.44pt;height:1.464pt;mso-position-horizontal-relative:page;mso-position-vertical-relative:paragraph;z-index:-1560729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223"/>
      </w:pPr>
      <w:r>
        <w:rPr/>
        <w:t>61</w:t>
      </w:r>
    </w:p>
    <w:p>
      <w:pPr>
        <w:pStyle w:val="BodyText"/>
        <w:spacing w:line="91" w:lineRule="exact"/>
        <w:ind w:left="10125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45pt;height:4.6pt;mso-position-horizontal-relative:char;mso-position-vertical-relative:line" coordorigin="0,0" coordsize="509,92">
            <v:rect style="position:absolute;left:0;top:0;width:509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type w:val="continuous"/>
          <w:pgSz w:w="12240" w:h="15840"/>
          <w:pgMar w:top="340" w:bottom="280" w:left="1140" w:right="34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7"/>
        </w:rPr>
      </w:pPr>
    </w:p>
    <w:p>
      <w:pPr>
        <w:spacing w:before="59"/>
        <w:ind w:left="806" w:right="0" w:firstLine="0"/>
        <w:jc w:val="left"/>
        <w:rPr>
          <w:sz w:val="20"/>
        </w:rPr>
      </w:pPr>
      <w:bookmarkStart w:name="_bookmark77" w:id="102"/>
      <w:bookmarkEnd w:id="102"/>
      <w:r>
        <w:rPr/>
      </w:r>
      <w:r>
        <w:rPr>
          <w:sz w:val="20"/>
        </w:rPr>
        <w:t>Gráfico</w:t>
      </w:r>
      <w:r>
        <w:rPr>
          <w:spacing w:val="-2"/>
          <w:sz w:val="20"/>
        </w:rPr>
        <w:t> </w:t>
      </w:r>
      <w:r>
        <w:rPr>
          <w:sz w:val="20"/>
        </w:rPr>
        <w:t>52</w:t>
      </w:r>
      <w:r>
        <w:rPr>
          <w:spacing w:val="-2"/>
          <w:sz w:val="20"/>
        </w:rPr>
        <w:t> </w:t>
      </w:r>
      <w:r>
        <w:rPr>
          <w:sz w:val="20"/>
        </w:rPr>
        <w:t>Matrícula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estudiantes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nacional,</w:t>
      </w:r>
      <w:r>
        <w:rPr>
          <w:spacing w:val="-2"/>
          <w:sz w:val="20"/>
        </w:rPr>
        <w:t> </w:t>
      </w:r>
      <w:r>
        <w:rPr>
          <w:sz w:val="20"/>
        </w:rPr>
        <w:t>según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área</w:t>
      </w:r>
      <w:r>
        <w:rPr>
          <w:spacing w:val="-2"/>
          <w:sz w:val="20"/>
        </w:rPr>
        <w:t> </w:t>
      </w:r>
      <w:r>
        <w:rPr>
          <w:sz w:val="20"/>
        </w:rPr>
        <w:t>geográfica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atención.</w:t>
      </w:r>
      <w:r>
        <w:rPr>
          <w:spacing w:val="42"/>
          <w:sz w:val="20"/>
        </w:rPr>
        <w:t> </w:t>
      </w:r>
      <w:r>
        <w:rPr>
          <w:sz w:val="20"/>
        </w:rPr>
        <w:t>Año</w:t>
      </w:r>
      <w:r>
        <w:rPr>
          <w:spacing w:val="-2"/>
          <w:sz w:val="20"/>
        </w:rPr>
        <w:t> </w:t>
      </w:r>
      <w:r>
        <w:rPr>
          <w:sz w:val="20"/>
        </w:rPr>
        <w:t>2021</w:t>
      </w:r>
    </w:p>
    <w:p>
      <w:pPr>
        <w:spacing w:line="188" w:lineRule="exact" w:before="98"/>
        <w:ind w:left="430" w:right="0" w:firstLine="0"/>
        <w:jc w:val="left"/>
        <w:rPr>
          <w:sz w:val="18"/>
        </w:rPr>
      </w:pPr>
      <w:r>
        <w:rPr>
          <w:color w:val="585858"/>
          <w:sz w:val="18"/>
        </w:rPr>
        <w:t>40,000</w:t>
      </w:r>
    </w:p>
    <w:p>
      <w:pPr>
        <w:spacing w:after="0" w:line="188" w:lineRule="exact"/>
        <w:jc w:val="left"/>
        <w:rPr>
          <w:sz w:val="18"/>
        </w:rPr>
        <w:sectPr>
          <w:pgSz w:w="12240" w:h="15840"/>
          <w:pgMar w:top="1500" w:bottom="280" w:left="1140" w:right="340"/>
        </w:sectPr>
      </w:pPr>
    </w:p>
    <w:p>
      <w:pPr>
        <w:spacing w:before="122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35,000</w:t>
      </w:r>
    </w:p>
    <w:p>
      <w:pPr>
        <w:spacing w:before="90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30,000</w:t>
      </w:r>
    </w:p>
    <w:p>
      <w:pPr>
        <w:spacing w:before="91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25,000</w:t>
      </w:r>
    </w:p>
    <w:p>
      <w:pPr>
        <w:spacing w:before="90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20,000</w:t>
      </w:r>
    </w:p>
    <w:p>
      <w:pPr>
        <w:spacing w:before="91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15,000</w:t>
      </w:r>
    </w:p>
    <w:p>
      <w:pPr>
        <w:spacing w:before="90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10,000</w:t>
      </w:r>
    </w:p>
    <w:p>
      <w:pPr>
        <w:spacing w:before="91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5,000</w:t>
      </w:r>
    </w:p>
    <w:p>
      <w:pPr>
        <w:spacing w:before="90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spacing w:line="184" w:lineRule="exact" w:before="0"/>
        <w:ind w:left="4455" w:right="3315" w:firstLine="0"/>
        <w:jc w:val="center"/>
        <w:rPr>
          <w:sz w:val="18"/>
        </w:rPr>
      </w:pPr>
      <w:r>
        <w:rPr/>
        <w:br w:type="column"/>
      </w:r>
      <w:r>
        <w:rPr>
          <w:color w:val="404040"/>
          <w:sz w:val="18"/>
        </w:rPr>
        <w:t>34,487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tabs>
          <w:tab w:pos="4409" w:val="left" w:leader="none"/>
        </w:tabs>
        <w:spacing w:before="146"/>
        <w:ind w:left="430" w:right="0" w:firstLine="0"/>
        <w:jc w:val="left"/>
        <w:rPr>
          <w:sz w:val="18"/>
        </w:rPr>
      </w:pPr>
      <w:r>
        <w:rPr/>
        <w:pict>
          <v:group style="position:absolute;margin-left:111.889999pt;margin-top:-105.350693pt;width:405.15pt;height:107.35pt;mso-position-horizontal-relative:page;mso-position-vertical-relative:paragraph;z-index:15854080" coordorigin="2238,-2107" coordsize="8103,2147">
            <v:shape style="position:absolute;left:3628;top:-2108;width:5321;height:2139" coordorigin="3629,-2107" coordsize="5321,2139" path="m4898,-941l3629,-941,3629,32,4898,32,4898,-941xm8950,-2107l7680,-2107,7680,32,8950,32,8950,-2107xe" filled="true" fillcolor="#5b9bd4" stroked="false">
              <v:path arrowok="t"/>
              <v:fill type="solid"/>
            </v:shape>
            <v:line style="position:absolute" from="2238,32" to="10340,32" stroked="true" strokeweight=".75pt" strokecolor="#d9d9d9">
              <v:stroke dashstyle="solid"/>
            </v:line>
            <v:shape style="position:absolute;left:4012;top:-1215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15,691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RURAL</w:t>
        <w:tab/>
        <w:t>URBANA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340" w:bottom="280" w:left="1140" w:right="340"/>
          <w:cols w:num="2" w:equalWidth="0">
            <w:col w:w="972" w:space="1476"/>
            <w:col w:w="8312"/>
          </w:cols>
        </w:sectPr>
      </w:pPr>
    </w:p>
    <w:p>
      <w:pPr>
        <w:spacing w:before="131"/>
        <w:ind w:left="4095" w:right="1061" w:hanging="3435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74436608">
            <wp:simplePos x="0" y="0"/>
            <wp:positionH relativeFrom="page">
              <wp:posOffset>0</wp:posOffset>
            </wp:positionH>
            <wp:positionV relativeFrom="page">
              <wp:posOffset>302887</wp:posOffset>
            </wp:positionV>
            <wp:extent cx="7772399" cy="9501333"/>
            <wp:effectExtent l="0" t="0" r="0" b="0"/>
            <wp:wrapNone/>
            <wp:docPr id="16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Sistema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Registro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Educación</w:t>
      </w:r>
      <w:r>
        <w:rPr>
          <w:spacing w:val="-2"/>
          <w:sz w:val="16"/>
        </w:rPr>
        <w:t> </w:t>
      </w:r>
      <w:r>
        <w:rPr>
          <w:sz w:val="16"/>
        </w:rPr>
        <w:t>Extraescolar,</w:t>
      </w:r>
      <w:r>
        <w:rPr>
          <w:spacing w:val="-2"/>
          <w:sz w:val="16"/>
        </w:rPr>
        <w:t> </w:t>
      </w:r>
      <w:r>
        <w:rPr>
          <w:sz w:val="16"/>
        </w:rPr>
        <w:t>SIREEX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30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diciembre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2021,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8:00</w:t>
      </w:r>
      <w:r>
        <w:rPr>
          <w:spacing w:val="-1"/>
          <w:sz w:val="16"/>
        </w:rPr>
        <w:t> </w:t>
      </w:r>
      <w:r>
        <w:rPr>
          <w:sz w:val="16"/>
        </w:rPr>
        <w:t>horas.</w:t>
      </w:r>
      <w:r>
        <w:rPr>
          <w:spacing w:val="-2"/>
          <w:sz w:val="16"/>
        </w:rPr>
        <w:t> </w:t>
      </w:r>
      <w:r>
        <w:rPr>
          <w:sz w:val="16"/>
        </w:rPr>
        <w:t>No</w:t>
      </w:r>
      <w:r>
        <w:rPr>
          <w:spacing w:val="2"/>
          <w:sz w:val="16"/>
        </w:rPr>
        <w:t> </w:t>
      </w:r>
      <w:r>
        <w:rPr>
          <w:sz w:val="16"/>
        </w:rPr>
        <w:t>incluye</w:t>
      </w:r>
      <w:r>
        <w:rPr>
          <w:spacing w:val="1"/>
          <w:sz w:val="16"/>
        </w:rPr>
        <w:t> </w:t>
      </w:r>
      <w:r>
        <w:rPr>
          <w:sz w:val="16"/>
        </w:rPr>
        <w:t>academias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cursos</w:t>
      </w:r>
      <w:r>
        <w:rPr>
          <w:spacing w:val="-1"/>
          <w:sz w:val="16"/>
        </w:rPr>
        <w:t> </w:t>
      </w:r>
      <w:r>
        <w:rPr>
          <w:sz w:val="16"/>
        </w:rPr>
        <w:t>libres.</w:t>
      </w:r>
    </w:p>
    <w:p>
      <w:pPr>
        <w:pStyle w:val="BodyText"/>
        <w:rPr>
          <w:sz w:val="20"/>
        </w:rPr>
      </w:pPr>
    </w:p>
    <w:p>
      <w:pPr>
        <w:spacing w:before="0"/>
        <w:ind w:left="300" w:right="0" w:firstLine="0"/>
        <w:jc w:val="both"/>
        <w:rPr>
          <w:sz w:val="24"/>
        </w:rPr>
      </w:pPr>
      <w:r>
        <w:rPr>
          <w:sz w:val="24"/>
        </w:rPr>
        <w:t>Seguidamente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presenta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cobertura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programa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nivel departamental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grupo</w:t>
      </w:r>
      <w:r>
        <w:rPr>
          <w:spacing w:val="-4"/>
          <w:sz w:val="24"/>
        </w:rPr>
        <w:t> </w:t>
      </w:r>
      <w:r>
        <w:rPr>
          <w:sz w:val="24"/>
        </w:rPr>
        <w:t>etario: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4"/>
        </w:numPr>
        <w:tabs>
          <w:tab w:pos="876" w:val="left" w:leader="none"/>
          <w:tab w:pos="877" w:val="left" w:leader="none"/>
        </w:tabs>
        <w:spacing w:line="240" w:lineRule="auto" w:before="1" w:after="0"/>
        <w:ind w:left="876" w:right="0" w:hanging="577"/>
        <w:jc w:val="left"/>
        <w:rPr>
          <w:b/>
          <w:sz w:val="24"/>
        </w:rPr>
      </w:pPr>
      <w:bookmarkStart w:name="_bookmark78" w:id="103"/>
      <w:bookmarkEnd w:id="103"/>
      <w:r>
        <w:rPr/>
      </w:r>
      <w:bookmarkStart w:name="_bookmark78" w:id="104"/>
      <w:bookmarkEnd w:id="104"/>
      <w:r>
        <w:rPr>
          <w:b/>
          <w:color w:val="1F4E79"/>
          <w:sz w:val="24"/>
        </w:rPr>
        <w:t>P</w:t>
      </w:r>
      <w:r>
        <w:rPr>
          <w:b/>
          <w:color w:val="1F4E79"/>
          <w:sz w:val="24"/>
        </w:rPr>
        <w:t>rograma</w:t>
      </w:r>
      <w:r>
        <w:rPr>
          <w:b/>
          <w:color w:val="1F4E79"/>
          <w:spacing w:val="-5"/>
          <w:sz w:val="24"/>
        </w:rPr>
        <w:t> </w:t>
      </w:r>
      <w:r>
        <w:rPr>
          <w:b/>
          <w:color w:val="1F4E79"/>
          <w:sz w:val="24"/>
        </w:rPr>
        <w:t>de</w:t>
      </w:r>
      <w:r>
        <w:rPr>
          <w:b/>
          <w:color w:val="1F4E79"/>
          <w:spacing w:val="-5"/>
          <w:sz w:val="24"/>
        </w:rPr>
        <w:t> </w:t>
      </w:r>
      <w:r>
        <w:rPr>
          <w:b/>
          <w:color w:val="1F4E79"/>
          <w:sz w:val="24"/>
        </w:rPr>
        <w:t>Educación</w:t>
      </w:r>
      <w:r>
        <w:rPr>
          <w:b/>
          <w:color w:val="1F4E79"/>
          <w:spacing w:val="-5"/>
          <w:sz w:val="24"/>
        </w:rPr>
        <w:t> </w:t>
      </w:r>
      <w:r>
        <w:rPr>
          <w:b/>
          <w:color w:val="1F4E79"/>
          <w:sz w:val="24"/>
        </w:rPr>
        <w:t>de</w:t>
      </w:r>
      <w:r>
        <w:rPr>
          <w:b/>
          <w:color w:val="1F4E79"/>
          <w:spacing w:val="-5"/>
          <w:sz w:val="24"/>
        </w:rPr>
        <w:t> </w:t>
      </w:r>
      <w:r>
        <w:rPr>
          <w:b/>
          <w:color w:val="1F4E79"/>
          <w:sz w:val="24"/>
        </w:rPr>
        <w:t>Adultos</w:t>
      </w:r>
      <w:r>
        <w:rPr>
          <w:b/>
          <w:color w:val="1F4E79"/>
          <w:spacing w:val="-4"/>
          <w:sz w:val="24"/>
        </w:rPr>
        <w:t> </w:t>
      </w:r>
      <w:r>
        <w:rPr>
          <w:b/>
          <w:color w:val="1F4E79"/>
          <w:sz w:val="24"/>
        </w:rPr>
        <w:t>por</w:t>
      </w:r>
      <w:r>
        <w:rPr>
          <w:b/>
          <w:color w:val="1F4E79"/>
          <w:spacing w:val="-2"/>
          <w:sz w:val="24"/>
        </w:rPr>
        <w:t> </w:t>
      </w:r>
      <w:r>
        <w:rPr>
          <w:b/>
          <w:color w:val="1F4E79"/>
          <w:sz w:val="24"/>
        </w:rPr>
        <w:t>Correspondencia</w:t>
      </w:r>
      <w:r>
        <w:rPr>
          <w:b/>
          <w:color w:val="1F4E79"/>
          <w:spacing w:val="-4"/>
          <w:sz w:val="24"/>
        </w:rPr>
        <w:t> </w:t>
      </w:r>
      <w:r>
        <w:rPr>
          <w:b/>
          <w:color w:val="1F4E79"/>
          <w:sz w:val="24"/>
        </w:rPr>
        <w:t>PEAC:</w:t>
      </w:r>
    </w:p>
    <w:p>
      <w:pPr>
        <w:pStyle w:val="BodyText"/>
        <w:rPr>
          <w:b/>
          <w:sz w:val="24"/>
        </w:rPr>
      </w:pPr>
    </w:p>
    <w:p>
      <w:pPr>
        <w:spacing w:line="240" w:lineRule="auto" w:before="186"/>
        <w:ind w:left="300" w:right="1096" w:firstLine="0"/>
        <w:jc w:val="both"/>
        <w:rPr>
          <w:sz w:val="24"/>
        </w:rPr>
      </w:pPr>
      <w:r>
        <w:rPr>
          <w:sz w:val="24"/>
        </w:rPr>
        <w:t>En el 2021 la matrícula a nivel nacional del Programa PEAC fue de 4,709 estudiantes, de ellos</w:t>
      </w:r>
      <w:r>
        <w:rPr>
          <w:spacing w:val="1"/>
          <w:sz w:val="24"/>
        </w:rPr>
        <w:t> </w:t>
      </w:r>
      <w:r>
        <w:rPr>
          <w:sz w:val="24"/>
        </w:rPr>
        <w:t>1,909 (41%) fueron hombres y 2,800 (59%) mujeres. La Dirección Departamental de Educación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9"/>
          <w:sz w:val="24"/>
        </w:rPr>
        <w:t> </w:t>
      </w:r>
      <w:r>
        <w:rPr>
          <w:sz w:val="24"/>
        </w:rPr>
        <w:t>reportó</w:t>
      </w:r>
      <w:r>
        <w:rPr>
          <w:spacing w:val="-8"/>
          <w:sz w:val="24"/>
        </w:rPr>
        <w:t> </w:t>
      </w:r>
      <w:r>
        <w:rPr>
          <w:sz w:val="24"/>
        </w:rPr>
        <w:t>mayor</w:t>
      </w:r>
      <w:r>
        <w:rPr>
          <w:spacing w:val="-9"/>
          <w:sz w:val="24"/>
        </w:rPr>
        <w:t> </w:t>
      </w:r>
      <w:r>
        <w:rPr>
          <w:sz w:val="24"/>
        </w:rPr>
        <w:t>matrícula</w:t>
      </w:r>
      <w:r>
        <w:rPr>
          <w:spacing w:val="-7"/>
          <w:sz w:val="24"/>
        </w:rPr>
        <w:t> </w:t>
      </w:r>
      <w:r>
        <w:rPr>
          <w:sz w:val="24"/>
        </w:rPr>
        <w:t>fue</w:t>
      </w:r>
      <w:r>
        <w:rPr>
          <w:spacing w:val="-7"/>
          <w:sz w:val="24"/>
        </w:rPr>
        <w:t> </w:t>
      </w:r>
      <w:r>
        <w:rPr>
          <w:sz w:val="24"/>
        </w:rPr>
        <w:t>Guatemala</w:t>
      </w:r>
      <w:r>
        <w:rPr>
          <w:spacing w:val="-9"/>
          <w:sz w:val="24"/>
        </w:rPr>
        <w:t> </w:t>
      </w:r>
      <w:r>
        <w:rPr>
          <w:sz w:val="24"/>
        </w:rPr>
        <w:t>Occidente,</w:t>
      </w:r>
      <w:r>
        <w:rPr>
          <w:spacing w:val="-7"/>
          <w:sz w:val="24"/>
        </w:rPr>
        <w:t> </w:t>
      </w:r>
      <w:r>
        <w:rPr>
          <w:sz w:val="24"/>
        </w:rPr>
        <w:t>seguido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Huehuetenango,</w:t>
      </w:r>
      <w:r>
        <w:rPr>
          <w:spacing w:val="-9"/>
          <w:sz w:val="24"/>
        </w:rPr>
        <w:t> </w:t>
      </w:r>
      <w:r>
        <w:rPr>
          <w:sz w:val="24"/>
        </w:rPr>
        <w:t>San</w:t>
      </w:r>
      <w:r>
        <w:rPr>
          <w:spacing w:val="-8"/>
          <w:sz w:val="24"/>
        </w:rPr>
        <w:t> </w:t>
      </w:r>
      <w:r>
        <w:rPr>
          <w:sz w:val="24"/>
        </w:rPr>
        <w:t>Marcos</w:t>
      </w:r>
      <w:r>
        <w:rPr>
          <w:spacing w:val="-52"/>
          <w:sz w:val="24"/>
        </w:rPr>
        <w:t> </w:t>
      </w:r>
      <w:r>
        <w:rPr>
          <w:sz w:val="24"/>
        </w:rPr>
        <w:t>y Guatemala Sur. Este programa se ofrece en forma gratuita a la población y lo implementan</w:t>
      </w:r>
      <w:r>
        <w:rPr>
          <w:spacing w:val="1"/>
          <w:sz w:val="24"/>
        </w:rPr>
        <w:t> </w:t>
      </w:r>
      <w:r>
        <w:rPr>
          <w:sz w:val="24"/>
        </w:rPr>
        <w:t>docentes itinerantes contratados por el Ministerio de Educación y entidades a quienes se les</w:t>
      </w:r>
      <w:r>
        <w:rPr>
          <w:spacing w:val="1"/>
          <w:sz w:val="24"/>
        </w:rPr>
        <w:t> </w:t>
      </w:r>
      <w:r>
        <w:rPr>
          <w:sz w:val="24"/>
        </w:rPr>
        <w:t>autoriza la implementación del programa al cumplir los requisitos establecidos. El programa</w:t>
      </w:r>
      <w:r>
        <w:rPr>
          <w:spacing w:val="1"/>
          <w:sz w:val="24"/>
        </w:rPr>
        <w:t> </w:t>
      </w:r>
      <w:r>
        <w:rPr>
          <w:sz w:val="24"/>
        </w:rPr>
        <w:t>permite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estudiantes</w:t>
      </w:r>
      <w:r>
        <w:rPr>
          <w:spacing w:val="-6"/>
          <w:sz w:val="24"/>
        </w:rPr>
        <w:t> </w:t>
      </w:r>
      <w:r>
        <w:rPr>
          <w:sz w:val="24"/>
        </w:rPr>
        <w:t>iniciar,</w:t>
      </w:r>
      <w:r>
        <w:rPr>
          <w:spacing w:val="-3"/>
          <w:sz w:val="24"/>
        </w:rPr>
        <w:t> </w:t>
      </w:r>
      <w:r>
        <w:rPr>
          <w:sz w:val="24"/>
        </w:rPr>
        <w:t>retomar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culminar</w:t>
      </w:r>
      <w:r>
        <w:rPr>
          <w:spacing w:val="-8"/>
          <w:sz w:val="24"/>
        </w:rPr>
        <w:t> </w:t>
      </w:r>
      <w:r>
        <w:rPr>
          <w:sz w:val="24"/>
        </w:rPr>
        <w:t>sus</w:t>
      </w:r>
      <w:r>
        <w:rPr>
          <w:spacing w:val="-4"/>
          <w:sz w:val="24"/>
        </w:rPr>
        <w:t> </w:t>
      </w:r>
      <w:r>
        <w:rPr>
          <w:sz w:val="24"/>
        </w:rPr>
        <w:t>estudios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nivel</w:t>
      </w:r>
      <w:r>
        <w:rPr>
          <w:spacing w:val="-6"/>
          <w:sz w:val="24"/>
        </w:rPr>
        <w:t> </w:t>
      </w:r>
      <w:r>
        <w:rPr>
          <w:sz w:val="24"/>
        </w:rPr>
        <w:t>primario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dos</w:t>
      </w:r>
      <w:r>
        <w:rPr>
          <w:spacing w:val="-6"/>
          <w:sz w:val="24"/>
        </w:rPr>
        <w:t> </w:t>
      </w:r>
      <w:r>
        <w:rPr>
          <w:sz w:val="24"/>
        </w:rPr>
        <w:t>etapas,</w:t>
      </w:r>
      <w:r>
        <w:rPr>
          <w:spacing w:val="-52"/>
          <w:sz w:val="24"/>
        </w:rPr>
        <w:t> </w:t>
      </w:r>
      <w:r>
        <w:rPr>
          <w:sz w:val="24"/>
        </w:rPr>
        <w:t>un año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etapa.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rect style="position:absolute;margin-left:563.280029pt;margin-top:18.480165pt;width:25.44pt;height:1.464pt;mso-position-horizontal-relative:page;mso-position-vertical-relative:paragraph;z-index:-1560473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223"/>
      </w:pPr>
      <w:r>
        <w:rPr/>
        <w:t>62</w:t>
      </w:r>
    </w:p>
    <w:p>
      <w:pPr>
        <w:pStyle w:val="BodyText"/>
        <w:spacing w:line="91" w:lineRule="exact"/>
        <w:ind w:left="10125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45pt;height:4.6pt;mso-position-horizontal-relative:char;mso-position-vertical-relative:line" coordorigin="0,0" coordsize="509,92">
            <v:rect style="position:absolute;left:0;top:0;width:509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type w:val="continuous"/>
          <w:pgSz w:w="12240" w:h="15840"/>
          <w:pgMar w:top="34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439680">
            <wp:simplePos x="0" y="0"/>
            <wp:positionH relativeFrom="page">
              <wp:posOffset>0</wp:posOffset>
            </wp:positionH>
            <wp:positionV relativeFrom="page">
              <wp:posOffset>302887</wp:posOffset>
            </wp:positionV>
            <wp:extent cx="7772399" cy="9501333"/>
            <wp:effectExtent l="0" t="0" r="0" b="0"/>
            <wp:wrapNone/>
            <wp:docPr id="16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spacing w:before="59"/>
        <w:ind w:left="32" w:right="987" w:firstLine="0"/>
        <w:jc w:val="center"/>
        <w:rPr>
          <w:sz w:val="20"/>
        </w:rPr>
      </w:pPr>
      <w:bookmarkStart w:name="_bookmark79" w:id="105"/>
      <w:bookmarkEnd w:id="105"/>
      <w:r>
        <w:rPr/>
      </w:r>
      <w:r>
        <w:rPr>
          <w:sz w:val="20"/>
        </w:rPr>
        <w:t>Gráfico</w:t>
      </w:r>
      <w:r>
        <w:rPr>
          <w:spacing w:val="-2"/>
          <w:sz w:val="20"/>
        </w:rPr>
        <w:t> </w:t>
      </w:r>
      <w:r>
        <w:rPr>
          <w:sz w:val="20"/>
        </w:rPr>
        <w:t>53</w:t>
      </w:r>
      <w:r>
        <w:rPr>
          <w:spacing w:val="-3"/>
          <w:sz w:val="20"/>
        </w:rPr>
        <w:t> </w:t>
      </w:r>
      <w:r>
        <w:rPr>
          <w:sz w:val="20"/>
        </w:rPr>
        <w:t>Matrícula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programa</w:t>
      </w:r>
      <w:r>
        <w:rPr>
          <w:spacing w:val="-3"/>
          <w:sz w:val="20"/>
        </w:rPr>
        <w:t> </w:t>
      </w:r>
      <w:r>
        <w:rPr>
          <w:sz w:val="20"/>
        </w:rPr>
        <w:t>PEAC,</w:t>
      </w:r>
      <w:r>
        <w:rPr>
          <w:spacing w:val="-2"/>
          <w:sz w:val="20"/>
        </w:rPr>
        <w:t> </w:t>
      </w:r>
      <w:r>
        <w:rPr>
          <w:sz w:val="20"/>
        </w:rPr>
        <w:t>según</w:t>
      </w:r>
      <w:r>
        <w:rPr>
          <w:spacing w:val="-3"/>
          <w:sz w:val="20"/>
        </w:rPr>
        <w:t> </w:t>
      </w:r>
      <w:r>
        <w:rPr>
          <w:sz w:val="20"/>
        </w:rPr>
        <w:t>DIDEDUC.</w:t>
      </w:r>
      <w:r>
        <w:rPr>
          <w:spacing w:val="-1"/>
          <w:sz w:val="20"/>
        </w:rPr>
        <w:t> </w:t>
      </w:r>
      <w:r>
        <w:rPr>
          <w:sz w:val="20"/>
        </w:rPr>
        <w:t>2021</w:t>
      </w:r>
    </w:p>
    <w:p>
      <w:pPr>
        <w:pStyle w:val="BodyText"/>
        <w:ind w:left="724"/>
        <w:rPr>
          <w:sz w:val="20"/>
        </w:rPr>
      </w:pPr>
      <w:r>
        <w:rPr>
          <w:sz w:val="20"/>
        </w:rPr>
        <w:pict>
          <v:group style="width:473.2pt;height:301.5pt;mso-position-horizontal-relative:char;mso-position-vertical-relative:line" coordorigin="0,0" coordsize="9464,6030">
            <v:rect style="position:absolute;left:0;top:0;width:9464;height:6030" filled="true" fillcolor="#ffffff" stroked="false">
              <v:fill type="solid"/>
            </v:rect>
            <v:shape style="position:absolute;left:872;top:2052;width:8168;height:1824" coordorigin="872,2052" coordsize="8168,1824" path="m927,3224l872,3224,872,3876,927,3876,927,3224xm1254,3807l1196,3807,1196,3876,1254,3876,1254,3807xm1578,3401l1520,3401,1520,3876,1578,3876,1578,3401xm1902,3495l1844,3495,1844,3876,1902,3876,1902,3495xm2226,3776l2170,3776,2170,3876,2226,3876,2226,3776xm2550,3588l2494,3588,2494,3876,2550,3876,2550,3588xm2874,3656l2818,3656,2818,3876,2874,3876,2874,3656xm3200,2052l3142,2052,3142,3876,3200,3876,3200,2052xm3524,3677l3466,3677,3466,3876,3524,3876,3524,3677xm3848,3092l3790,3092,3790,3876,3848,3876,3848,3092xm4172,2926l4117,2926,4117,3876,4172,3876,4172,2926xm4496,3464l4441,3464,4441,3876,4496,3876,4496,3464xm4820,3725l4765,3725,4765,3876,4820,3876,4820,3725xm5146,3869l5089,3869,5089,3876,5146,3876,5146,3869xm5470,3416l5413,3416,5413,3876,5470,3876,5470,3416xm5794,3322l5737,3322,5737,3876,5794,3876,5794,3322xm6118,3363l6063,3363,6063,3876,6118,3876,6118,3363xm6766,3725l6711,3725,6711,3876,6766,3876,6766,3725xm7093,3660l7035,3660,7035,3876,7093,3876,7093,3660xm7417,3286l7359,3286,7359,3876,7417,3876,7417,3286xm7741,3704l7683,3704,7683,3876,7741,3876,7741,3704xm8065,3725l8010,3725,8010,3876,8065,3876,8065,3725xm8389,3713l8334,3713,8334,3876,8389,3876,8389,3713xm8713,3713l8658,3713,8658,3876,8713,3876,8713,3713xm9039,3540l8982,3540,8982,3876,9039,3876,9039,3540xe" filled="true" fillcolor="#5b9bd4" stroked="false">
              <v:path arrowok="t"/>
              <v:fill type="solid"/>
            </v:shape>
            <v:shape style="position:absolute;left:944;top:2234;width:8168;height:1641" coordorigin="944,2235" coordsize="8168,1641" path="m999,3500l944,3500,944,3876,999,3876,999,3500xm1326,3756l1268,3756,1268,3876,1326,3876,1326,3756xm1650,3180l1592,3180,1592,3876,1650,3876,1650,3180xm1974,2768l1916,2768,1916,3876,1974,3876,1974,2768xm2298,3814l2240,3814,2240,3876,2298,3876,2298,3814xm2622,3490l2566,3490,2566,3876,2622,3876,2622,3490xm2946,3579l2890,3579,2890,3876,2946,3876,2946,3579xm3272,2235l3214,2235,3214,3876,3272,3876,3272,2235xm3596,3490l3538,3490,3538,3876,3596,3876,3596,3490xm3920,2837l3862,2837,3862,3876,3920,3876,3920,2837xm4244,2648l4186,2648,4186,3876,4244,3876,4244,2648xm4568,2909l4513,2909,4513,3876,4568,3876,4568,2909xm4892,3641l4837,3641,4837,3876,4892,3876,4892,3641xm5218,3864l5161,3864,5161,3876,5218,3876,5218,3864xm5542,3291l5485,3291,5485,3876,5542,3876,5542,3291xm5866,2931l5809,2931,5809,3876,5866,3876,5866,2931xm6190,3358l6133,3358,6133,3876,6190,3876,6190,3358xm6838,3572l6783,3572,6783,3876,6838,3876,6838,3572xm7165,3610l7107,3610,7107,3876,7165,3876,7165,3610xm7489,2528l7431,2528,7431,3876,7489,3876,7489,2528xm7813,3699l7755,3699,7755,3876,7813,3876,7813,3699xm8137,3540l8079,3540,8079,3876,8137,3876,8137,3540xm8461,3730l8406,3730,8406,3876,8461,3876,8461,3730xm8785,2775l8730,2775,8730,3876,8785,3876,8785,2775xm9111,3526l9054,3526,9054,3876,9111,3876,9111,3526xe" filled="true" fillcolor="#ec7c30" stroked="false">
              <v:path arrowok="t"/>
              <v:fill type="solid"/>
            </v:shape>
            <v:shape style="position:absolute;left:1016;top:413;width:8168;height:3463" coordorigin="1016,413" coordsize="8168,3463" path="m1071,2847l1016,2847,1016,3876,1071,3876,1071,2847xm1398,3687l1340,3687,1340,3876,1398,3876,1398,3687xm1722,2705l1664,2705,1664,3876,1722,3876,1722,2705xm2046,2388l1988,2388,1988,3876,2046,3876,2046,2388xm2370,3713l2312,3713,2312,3876,2370,3876,2370,3713xm2694,3202l2638,3202,2638,3876,2694,3876,2694,3202xm3018,3358l2962,3358,2962,3876,3018,3876,3018,3358xm3344,413l3286,413,3286,3876,3344,3876,3344,413xm3668,3291l3610,3291,3610,3876,3668,3876,3668,3291xm3992,2052l3934,2052,3934,3876,3992,3876,3992,2052xm4316,1697l4258,1697,4258,3876,4316,3876,4316,1697xm4640,2496l4585,2496,4585,3876,4640,3876,4640,2496xm4964,3490l4909,3490,4909,3876,4964,3876,4964,3490xm5290,3860l5233,3860,5233,3876,5290,3876,5290,3860xm5614,2830l5557,2830,5557,3876,5614,3876,5614,2830xm5938,2376l5881,2376,5881,3876,5938,3876,5938,2376xm6262,2847l6205,2847,6205,3876,6262,3876,6262,2847xm6910,3420l6855,3420,6855,3876,6910,3876,6910,3420xm7237,3394l7179,3394,7179,3876,7237,3876,7237,3394xm7561,1937l7503,1937,7503,3876,7561,3876,7561,1937xm7885,3526l7827,3526,7827,3876,7885,3876,7885,3526xm8209,3389l8151,3389,8151,3876,8209,3876,8209,3389xm8533,3567l8478,3567,8478,3876,8533,3876,8533,3567xm8857,2612l8802,2612,8802,3876,8857,3876,8857,2612xm9183,3192l9126,3192,9126,3876,9183,3876,9183,3192xe" filled="true" fillcolor="#a4a4a4" stroked="false">
              <v:path arrowok="t"/>
              <v:fill type="solid"/>
            </v:shape>
            <v:line style="position:absolute" from="810,3876" to="9244,3876" stroked="true" strokeweight=".75pt" strokecolor="#d9d9d9">
              <v:stroke dashstyle="solid"/>
            </v:line>
            <v:shape style="position:absolute;left:197;top:4017;width:8925;height:1364" type="#_x0000_t75" stroked="false">
              <v:imagedata r:id="rId52" o:title=""/>
            </v:shape>
            <v:rect style="position:absolute;left:3197;top:5691;width:99;height:99" filled="true" fillcolor="#5b9bd4" stroked="false">
              <v:fill type="solid"/>
            </v:rect>
            <v:rect style="position:absolute;left:4449;top:5691;width:99;height:99" filled="true" fillcolor="#ec7c30" stroked="false">
              <v:fill type="solid"/>
            </v:rect>
            <v:rect style="position:absolute;left:5601;top:5691;width:99;height:99" filled="true" fillcolor="#a4a4a4" stroked="false">
              <v:fill type="solid"/>
            </v:rect>
            <v:shape style="position:absolute;left:369;top:13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700</w:t>
                    </w:r>
                  </w:p>
                </w:txbxContent>
              </v:textbox>
              <w10:wrap type="none"/>
            </v:shape>
            <v:shape style="position:absolute;left:3178;top:139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663</w:t>
                    </w:r>
                  </w:p>
                </w:txbxContent>
              </v:textbox>
              <w10:wrap type="none"/>
            </v:shape>
            <v:shape style="position:absolute;left:369;top:658;width:294;height:70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600</w:t>
                    </w:r>
                  </w:p>
                  <w:p>
                    <w:pPr>
                      <w:spacing w:line="240" w:lineRule="auto" w:before="9"/>
                      <w:rPr>
                        <w:sz w:val="24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4151;top:142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417</w:t>
                    </w:r>
                  </w:p>
                </w:txbxContent>
              </v:textbox>
              <w10:wrap type="none"/>
            </v:shape>
            <v:shape style="position:absolute;left:369;top:1702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3826;top:1779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349</w:t>
                    </w:r>
                  </w:p>
                </w:txbxContent>
              </v:textbox>
              <w10:wrap type="none"/>
            </v:shape>
            <v:shape style="position:absolute;left:7396;top:166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371</w:t>
                    </w:r>
                  </w:p>
                </w:txbxContent>
              </v:textbox>
              <w10:wrap type="none"/>
            </v:shape>
            <v:shape style="position:absolute;left:369;top:222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1880;top:211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285</w:t>
                    </w:r>
                  </w:p>
                </w:txbxContent>
              </v:textbox>
              <w10:wrap type="none"/>
            </v:shape>
            <v:shape style="position:absolute;left:4475;top:222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264</w:t>
                    </w:r>
                  </w:p>
                </w:txbxContent>
              </v:textbox>
              <w10:wrap type="none"/>
            </v:shape>
            <v:shape style="position:absolute;left:5773;top:210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287</w:t>
                    </w:r>
                  </w:p>
                </w:txbxContent>
              </v:textbox>
              <w10:wrap type="none"/>
            </v:shape>
            <v:shape style="position:absolute;left:1555;top:2431;width:294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224</w:t>
                    </w:r>
                  </w:p>
                </w:txbxContent>
              </v:textbox>
              <w10:wrap type="none"/>
            </v:shape>
            <v:shape style="position:absolute;left:8693;top:2338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242</w:t>
                    </w:r>
                  </w:p>
                </w:txbxContent>
              </v:textbox>
              <w10:wrap type="none"/>
            </v:shape>
            <v:shape style="position:absolute;left:906;top:257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197</w:t>
                    </w:r>
                  </w:p>
                </w:txbxContent>
              </v:textbox>
              <w10:wrap type="none"/>
            </v:shape>
            <v:shape style="position:absolute;left:5449;top:2557;width:943;height:196" type="#_x0000_t202" filled="false" stroked="false">
              <v:textbox inset="0,0,0,0">
                <w:txbxContent>
                  <w:p>
                    <w:pPr>
                      <w:tabs>
                        <w:tab w:pos="648" w:val="left" w:leader="none"/>
                      </w:tabs>
                      <w:spacing w:line="195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2"/>
                        <w:sz w:val="18"/>
                      </w:rPr>
                      <w:t>200</w:t>
                      <w:tab/>
                    </w:r>
                    <w:r>
                      <w:rPr>
                        <w:color w:val="404040"/>
                        <w:sz w:val="18"/>
                      </w:rPr>
                      <w:t>197</w:t>
                    </w:r>
                  </w:p>
                </w:txbxContent>
              </v:textbox>
              <w10:wrap type="none"/>
            </v:shape>
            <v:shape style="position:absolute;left:369;top:274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2529;top:292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129</w:t>
                    </w:r>
                  </w:p>
                </w:txbxContent>
              </v:textbox>
              <w10:wrap type="none"/>
            </v:shape>
            <v:shape style="position:absolute;left:9018;top:291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131</w:t>
                    </w:r>
                  </w:p>
                </w:txbxContent>
              </v:textbox>
              <w10:wrap type="none"/>
            </v:shape>
            <v:shape style="position:absolute;left:2899;top:308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99</w:t>
                    </w:r>
                  </w:p>
                </w:txbxContent>
              </v:textbox>
              <w10:wrap type="none"/>
            </v:shape>
            <v:shape style="position:absolute;left:3502;top:301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112</w:t>
                    </w:r>
                  </w:p>
                </w:txbxContent>
              </v:textbox>
              <w10:wrap type="none"/>
            </v:shape>
            <v:shape style="position:absolute;left:7117;top:312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92</w:t>
                    </w:r>
                  </w:p>
                </w:txbxContent>
              </v:textbox>
              <w10:wrap type="none"/>
            </v:shape>
            <v:shape style="position:absolute;left:8090;top:311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93</w:t>
                    </w:r>
                  </w:p>
                </w:txbxContent>
              </v:textbox>
              <w10:wrap type="none"/>
            </v:shape>
            <v:shape style="position:absolute;left:369;top:3269;width:294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4846;top:321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74</w:t>
                    </w:r>
                  </w:p>
                </w:txbxContent>
              </v:textbox>
              <w10:wrap type="none"/>
            </v:shape>
            <v:shape style="position:absolute;left:6792;top:314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87</w:t>
                    </w:r>
                  </w:p>
                </w:txbxContent>
              </v:textbox>
              <w10:wrap type="none"/>
            </v:shape>
            <v:shape style="position:absolute;left:7766;top:325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67</w:t>
                    </w:r>
                  </w:p>
                </w:txbxContent>
              </v:textbox>
              <w10:wrap type="none"/>
            </v:shape>
            <v:shape style="position:absolute;left:1276;top:341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36</w:t>
                    </w:r>
                  </w:p>
                </w:txbxContent>
              </v:textbox>
              <w10:wrap type="none"/>
            </v:shape>
            <v:shape style="position:absolute;left:8414;top:3294;width: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59</w:t>
                    </w:r>
                  </w:p>
                </w:txbxContent>
              </v:textbox>
              <w10:wrap type="none"/>
            </v:shape>
            <v:shape style="position:absolute;left:2250;top:344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31</w:t>
                    </w:r>
                  </w:p>
                </w:txbxContent>
              </v:textbox>
              <w10:wrap type="none"/>
            </v:shape>
            <v:shape style="position:absolute;left:5216;top:358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51;top:379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38;top:5658;width:2899;height:180" type="#_x0000_t202" filled="false" stroked="false">
              <v:textbox inset="0,0,0,0">
                <w:txbxContent>
                  <w:p>
                    <w:pPr>
                      <w:tabs>
                        <w:tab w:pos="1252" w:val="left" w:leader="none"/>
                        <w:tab w:pos="2405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MASCULINO</w:t>
                      <w:tab/>
                      <w:t>FEMENINO</w:t>
                      <w:tab/>
                      <w:t>TOTAL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0"/>
        <w:ind w:left="32" w:right="988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Sistema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Registro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Educación</w:t>
      </w:r>
      <w:r>
        <w:rPr>
          <w:spacing w:val="-2"/>
          <w:sz w:val="16"/>
        </w:rPr>
        <w:t> </w:t>
      </w:r>
      <w:r>
        <w:rPr>
          <w:sz w:val="16"/>
        </w:rPr>
        <w:t>Extraescolar,</w:t>
      </w:r>
      <w:r>
        <w:rPr>
          <w:spacing w:val="-1"/>
          <w:sz w:val="16"/>
        </w:rPr>
        <w:t> </w:t>
      </w:r>
      <w:r>
        <w:rPr>
          <w:sz w:val="16"/>
        </w:rPr>
        <w:t>SIREEX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30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diciembre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2021,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8:00</w:t>
      </w:r>
      <w:r>
        <w:rPr>
          <w:spacing w:val="-1"/>
          <w:sz w:val="16"/>
        </w:rPr>
        <w:t> </w:t>
      </w:r>
      <w:r>
        <w:rPr>
          <w:sz w:val="16"/>
        </w:rPr>
        <w:t>horas.</w:t>
      </w:r>
    </w:p>
    <w:p>
      <w:pPr>
        <w:pStyle w:val="BodyText"/>
        <w:spacing w:before="4"/>
      </w:pPr>
    </w:p>
    <w:p>
      <w:pPr>
        <w:spacing w:before="0"/>
        <w:ind w:left="300" w:right="1061" w:firstLine="0"/>
        <w:jc w:val="left"/>
        <w:rPr>
          <w:sz w:val="24"/>
        </w:rPr>
      </w:pPr>
      <w:r>
        <w:rPr>
          <w:sz w:val="24"/>
        </w:rPr>
        <w:t>En</w:t>
      </w:r>
      <w:r>
        <w:rPr>
          <w:spacing w:val="12"/>
          <w:sz w:val="24"/>
        </w:rPr>
        <w:t> </w:t>
      </w:r>
      <w:r>
        <w:rPr>
          <w:sz w:val="24"/>
        </w:rPr>
        <w:t>el</w:t>
      </w:r>
      <w:r>
        <w:rPr>
          <w:spacing w:val="9"/>
          <w:sz w:val="24"/>
        </w:rPr>
        <w:t> </w:t>
      </w:r>
      <w:r>
        <w:rPr>
          <w:sz w:val="24"/>
        </w:rPr>
        <w:t>Programa</w:t>
      </w:r>
      <w:r>
        <w:rPr>
          <w:spacing w:val="10"/>
          <w:sz w:val="24"/>
        </w:rPr>
        <w:t> </w:t>
      </w:r>
      <w:r>
        <w:rPr>
          <w:sz w:val="24"/>
        </w:rPr>
        <w:t>PEAC,</w:t>
      </w:r>
      <w:r>
        <w:rPr>
          <w:spacing w:val="11"/>
          <w:sz w:val="24"/>
        </w:rPr>
        <w:t> </w:t>
      </w:r>
      <w:r>
        <w:rPr>
          <w:sz w:val="24"/>
        </w:rPr>
        <w:t>en</w:t>
      </w:r>
      <w:r>
        <w:rPr>
          <w:spacing w:val="10"/>
          <w:sz w:val="24"/>
        </w:rPr>
        <w:t> </w:t>
      </w:r>
      <w:r>
        <w:rPr>
          <w:sz w:val="24"/>
        </w:rPr>
        <w:t>el</w:t>
      </w:r>
      <w:r>
        <w:rPr>
          <w:spacing w:val="12"/>
          <w:sz w:val="24"/>
        </w:rPr>
        <w:t> </w:t>
      </w:r>
      <w:r>
        <w:rPr>
          <w:sz w:val="24"/>
        </w:rPr>
        <w:t>2021</w:t>
      </w:r>
      <w:r>
        <w:rPr>
          <w:spacing w:val="10"/>
          <w:sz w:val="24"/>
        </w:rPr>
        <w:t> </w:t>
      </w:r>
      <w:r>
        <w:rPr>
          <w:sz w:val="24"/>
        </w:rPr>
        <w:t>el</w:t>
      </w:r>
      <w:r>
        <w:rPr>
          <w:spacing w:val="10"/>
          <w:sz w:val="24"/>
        </w:rPr>
        <w:t> </w:t>
      </w:r>
      <w:r>
        <w:rPr>
          <w:sz w:val="24"/>
        </w:rPr>
        <w:t>65%</w:t>
      </w:r>
      <w:r>
        <w:rPr>
          <w:spacing w:val="10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la</w:t>
      </w:r>
      <w:r>
        <w:rPr>
          <w:spacing w:val="9"/>
          <w:sz w:val="24"/>
        </w:rPr>
        <w:t> </w:t>
      </w:r>
      <w:r>
        <w:rPr>
          <w:sz w:val="24"/>
        </w:rPr>
        <w:t>población</w:t>
      </w:r>
      <w:r>
        <w:rPr>
          <w:spacing w:val="10"/>
          <w:sz w:val="24"/>
        </w:rPr>
        <w:t> </w:t>
      </w:r>
      <w:r>
        <w:rPr>
          <w:sz w:val="24"/>
        </w:rPr>
        <w:t>atendida</w:t>
      </w:r>
      <w:r>
        <w:rPr>
          <w:spacing w:val="9"/>
          <w:sz w:val="24"/>
        </w:rPr>
        <w:t> </w:t>
      </w:r>
      <w:r>
        <w:rPr>
          <w:sz w:val="24"/>
        </w:rPr>
        <w:t>tenía</w:t>
      </w:r>
      <w:r>
        <w:rPr>
          <w:spacing w:val="11"/>
          <w:sz w:val="24"/>
        </w:rPr>
        <w:t> </w:t>
      </w:r>
      <w:r>
        <w:rPr>
          <w:sz w:val="24"/>
        </w:rPr>
        <w:t>entre</w:t>
      </w:r>
      <w:r>
        <w:rPr>
          <w:spacing w:val="10"/>
          <w:sz w:val="24"/>
        </w:rPr>
        <w:t> </w:t>
      </w:r>
      <w:r>
        <w:rPr>
          <w:sz w:val="24"/>
        </w:rPr>
        <w:t>13</w:t>
      </w:r>
      <w:r>
        <w:rPr>
          <w:spacing w:val="10"/>
          <w:sz w:val="24"/>
        </w:rPr>
        <w:t> </w:t>
      </w:r>
      <w:r>
        <w:rPr>
          <w:sz w:val="24"/>
        </w:rPr>
        <w:t>y</w:t>
      </w:r>
      <w:r>
        <w:rPr>
          <w:spacing w:val="11"/>
          <w:sz w:val="24"/>
        </w:rPr>
        <w:t> </w:t>
      </w:r>
      <w:r>
        <w:rPr>
          <w:sz w:val="24"/>
        </w:rPr>
        <w:t>29</w:t>
      </w:r>
      <w:r>
        <w:rPr>
          <w:spacing w:val="12"/>
          <w:sz w:val="24"/>
        </w:rPr>
        <w:t> </w:t>
      </w:r>
      <w:r>
        <w:rPr>
          <w:sz w:val="24"/>
        </w:rPr>
        <w:t>años</w:t>
      </w:r>
      <w:r>
        <w:rPr>
          <w:spacing w:val="12"/>
          <w:sz w:val="24"/>
        </w:rPr>
        <w:t> </w:t>
      </w:r>
      <w:r>
        <w:rPr>
          <w:sz w:val="24"/>
        </w:rPr>
        <w:t>y</w:t>
      </w:r>
      <w:r>
        <w:rPr>
          <w:spacing w:val="11"/>
          <w:sz w:val="24"/>
        </w:rPr>
        <w:t> </w:t>
      </w:r>
      <w:r>
        <w:rPr>
          <w:sz w:val="24"/>
        </w:rPr>
        <w:t>el</w:t>
      </w:r>
      <w:r>
        <w:rPr>
          <w:spacing w:val="-51"/>
          <w:sz w:val="24"/>
        </w:rPr>
        <w:t> </w:t>
      </w:r>
      <w:r>
        <w:rPr>
          <w:sz w:val="24"/>
        </w:rPr>
        <w:t>32%</w:t>
      </w:r>
      <w:r>
        <w:rPr>
          <w:spacing w:val="-2"/>
          <w:sz w:val="24"/>
        </w:rPr>
        <w:t> </w:t>
      </w:r>
      <w:r>
        <w:rPr>
          <w:sz w:val="24"/>
        </w:rPr>
        <w:t>tenía</w:t>
      </w:r>
      <w:r>
        <w:rPr>
          <w:spacing w:val="-1"/>
          <w:sz w:val="24"/>
        </w:rPr>
        <w:t> </w:t>
      </w:r>
      <w:r>
        <w:rPr>
          <w:sz w:val="24"/>
        </w:rPr>
        <w:t>entre</w:t>
      </w:r>
      <w:r>
        <w:rPr>
          <w:spacing w:val="-1"/>
          <w:sz w:val="24"/>
        </w:rPr>
        <w:t> </w:t>
      </w:r>
      <w:r>
        <w:rPr>
          <w:sz w:val="24"/>
        </w:rPr>
        <w:t>30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59</w:t>
      </w:r>
      <w:r>
        <w:rPr>
          <w:spacing w:val="-1"/>
          <w:sz w:val="24"/>
        </w:rPr>
        <w:t> </w:t>
      </w:r>
      <w:r>
        <w:rPr>
          <w:sz w:val="24"/>
        </w:rPr>
        <w:t>años, el</w:t>
      </w:r>
      <w:r>
        <w:rPr>
          <w:spacing w:val="-2"/>
          <w:sz w:val="24"/>
        </w:rPr>
        <w:t> </w:t>
      </w:r>
      <w:r>
        <w:rPr>
          <w:sz w:val="24"/>
        </w:rPr>
        <w:t>3%</w:t>
      </w:r>
      <w:r>
        <w:rPr>
          <w:spacing w:val="-2"/>
          <w:sz w:val="24"/>
        </w:rPr>
        <w:t> </w:t>
      </w:r>
      <w:r>
        <w:rPr>
          <w:sz w:val="24"/>
        </w:rPr>
        <w:t>fueron personas adultas</w:t>
      </w:r>
      <w:r>
        <w:rPr>
          <w:spacing w:val="-2"/>
          <w:sz w:val="24"/>
        </w:rPr>
        <w:t> </w:t>
      </w:r>
      <w:r>
        <w:rPr>
          <w:sz w:val="24"/>
        </w:rPr>
        <w:t>mayores.</w:t>
      </w:r>
    </w:p>
    <w:p>
      <w:pPr>
        <w:pStyle w:val="BodyText"/>
        <w:rPr>
          <w:sz w:val="20"/>
        </w:rPr>
      </w:pPr>
    </w:p>
    <w:p>
      <w:pPr>
        <w:spacing w:before="0"/>
        <w:ind w:left="32" w:right="984" w:firstLine="0"/>
        <w:jc w:val="center"/>
        <w:rPr>
          <w:sz w:val="20"/>
        </w:rPr>
      </w:pPr>
      <w:bookmarkStart w:name="_bookmark80" w:id="106"/>
      <w:bookmarkEnd w:id="106"/>
      <w:r>
        <w:rPr/>
      </w:r>
      <w:r>
        <w:rPr>
          <w:sz w:val="20"/>
        </w:rPr>
        <w:t>Gráfico</w:t>
      </w:r>
      <w:r>
        <w:rPr>
          <w:spacing w:val="-2"/>
          <w:sz w:val="20"/>
        </w:rPr>
        <w:t> </w:t>
      </w:r>
      <w:r>
        <w:rPr>
          <w:sz w:val="20"/>
        </w:rPr>
        <w:t>54</w:t>
      </w:r>
      <w:r>
        <w:rPr>
          <w:spacing w:val="-1"/>
          <w:sz w:val="20"/>
        </w:rPr>
        <w:t> </w:t>
      </w:r>
      <w:r>
        <w:rPr>
          <w:sz w:val="20"/>
        </w:rPr>
        <w:t>Matrícula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estudiantes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programa</w:t>
      </w:r>
      <w:r>
        <w:rPr>
          <w:spacing w:val="-2"/>
          <w:sz w:val="20"/>
        </w:rPr>
        <w:t> </w:t>
      </w:r>
      <w:r>
        <w:rPr>
          <w:sz w:val="20"/>
        </w:rPr>
        <w:t>PEAC,</w:t>
      </w:r>
      <w:r>
        <w:rPr>
          <w:spacing w:val="-1"/>
          <w:sz w:val="20"/>
        </w:rPr>
        <w:t> </w:t>
      </w:r>
      <w:r>
        <w:rPr>
          <w:sz w:val="20"/>
        </w:rPr>
        <w:t>según</w:t>
      </w:r>
      <w:r>
        <w:rPr>
          <w:spacing w:val="-1"/>
          <w:sz w:val="20"/>
        </w:rPr>
        <w:t> </w:t>
      </w:r>
      <w:r>
        <w:rPr>
          <w:sz w:val="20"/>
        </w:rPr>
        <w:t>grupo</w:t>
      </w:r>
      <w:r>
        <w:rPr>
          <w:spacing w:val="-2"/>
          <w:sz w:val="20"/>
        </w:rPr>
        <w:t> </w:t>
      </w:r>
      <w:r>
        <w:rPr>
          <w:sz w:val="20"/>
        </w:rPr>
        <w:t>etario.</w:t>
      </w:r>
      <w:r>
        <w:rPr>
          <w:spacing w:val="-1"/>
          <w:sz w:val="20"/>
        </w:rPr>
        <w:t> </w:t>
      </w:r>
      <w:r>
        <w:rPr>
          <w:sz w:val="20"/>
        </w:rPr>
        <w:t>Año</w:t>
      </w:r>
      <w:r>
        <w:rPr>
          <w:spacing w:val="-1"/>
          <w:sz w:val="20"/>
        </w:rPr>
        <w:t> </w:t>
      </w:r>
      <w:r>
        <w:rPr>
          <w:sz w:val="20"/>
        </w:rPr>
        <w:t>2021</w:t>
      </w:r>
    </w:p>
    <w:p>
      <w:pPr>
        <w:pStyle w:val="BodyText"/>
        <w:ind w:left="300"/>
        <w:rPr>
          <w:sz w:val="20"/>
        </w:rPr>
      </w:pPr>
      <w:r>
        <w:rPr>
          <w:sz w:val="20"/>
        </w:rPr>
        <w:pict>
          <v:group style="width:492pt;height:162pt;mso-position-horizontal-relative:char;mso-position-vertical-relative:line" coordorigin="0,0" coordsize="9840,3240">
            <v:rect style="position:absolute;left:0;top:0;width:9840;height:3240" filled="true" fillcolor="#ffffff" stroked="false">
              <v:fill type="solid"/>
            </v:rect>
            <v:shape style="position:absolute;left:1471;top:536;width:7385;height:2240" coordorigin="1471,537" coordsize="7385,2240" path="m2170,2771l1471,2771,1471,2776,2170,2776,2170,2771xm4399,537l3701,537,3701,2776,4399,2776,4399,537xm6626,1674l5928,1674,5928,2776,6626,2776,6626,1674xm8856,2682l8158,2682,8158,2776,8856,2776,8856,2682xe" filled="true" fillcolor="#5b9bd4" stroked="false">
              <v:path arrowok="t"/>
              <v:fill type="solid"/>
            </v:shape>
            <v:line style="position:absolute" from="707,2776" to="9620,2776" stroked="true" strokeweight=".75pt" strokecolor="#d9d9d9">
              <v:stroke dashstyle="solid"/>
            </v:line>
            <v:shape style="position:absolute;left:130;top:137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3,500</w:t>
                    </w:r>
                  </w:p>
                </w:txbxContent>
              </v:textbox>
              <w10:wrap type="none"/>
            </v:shape>
            <v:shape style="position:absolute;left:3843;top:265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3,065</w:t>
                    </w:r>
                  </w:p>
                </w:txbxContent>
              </v:textbox>
              <w10:wrap type="none"/>
            </v:shape>
            <v:shape style="position:absolute;left:130;top:502;width:430;height:91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3,000</w:t>
                    </w:r>
                  </w:p>
                  <w:p>
                    <w:pPr>
                      <w:spacing w:before="14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2,500</w:t>
                    </w:r>
                  </w:p>
                  <w:p>
                    <w:pPr>
                      <w:spacing w:line="216" w:lineRule="exact" w:before="14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2,000</w:t>
                    </w:r>
                  </w:p>
                </w:txbxContent>
              </v:textbox>
              <w10:wrap type="none"/>
            </v:shape>
            <v:shape style="position:absolute;left:6072;top:1401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1,509</w:t>
                    </w:r>
                  </w:p>
                </w:txbxContent>
              </v:textbox>
              <w10:wrap type="none"/>
            </v:shape>
            <v:shape style="position:absolute;left:130;top:1598;width:430;height:91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1,500</w:t>
                    </w:r>
                  </w:p>
                  <w:p>
                    <w:pPr>
                      <w:spacing w:before="14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1,000</w:t>
                    </w:r>
                  </w:p>
                  <w:p>
                    <w:pPr>
                      <w:spacing w:line="216" w:lineRule="exact" w:before="146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1776;top:249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8371;top:2410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128</w:t>
                    </w:r>
                  </w:p>
                </w:txbxContent>
              </v:textbox>
              <w10:wrap type="none"/>
            </v:shape>
            <v:shape style="position:absolute;left:448;top:269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360;top:2927;width:94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 A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12 AÑOS</w:t>
                    </w:r>
                  </w:p>
                </w:txbxContent>
              </v:textbox>
              <w10:wrap type="none"/>
            </v:shape>
            <v:shape style="position:absolute;left:3543;top:2927;width:10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13 A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29 AÑOS</w:t>
                    </w:r>
                  </w:p>
                </w:txbxContent>
              </v:textbox>
              <w10:wrap type="none"/>
            </v:shape>
            <v:shape style="position:absolute;left:5772;top:2927;width:10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 A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59 AÑOS</w:t>
                    </w:r>
                  </w:p>
                </w:txbxContent>
              </v:textbox>
              <w10:wrap type="none"/>
            </v:shape>
            <v:shape style="position:absolute;left:7678;top:2927;width:16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MAYORES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DE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60 AÑOS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0"/>
        <w:ind w:left="32" w:right="988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Sistema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Registro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Educación</w:t>
      </w:r>
      <w:r>
        <w:rPr>
          <w:spacing w:val="-2"/>
          <w:sz w:val="16"/>
        </w:rPr>
        <w:t> </w:t>
      </w:r>
      <w:r>
        <w:rPr>
          <w:sz w:val="16"/>
        </w:rPr>
        <w:t>Extraescolar,</w:t>
      </w:r>
      <w:r>
        <w:rPr>
          <w:spacing w:val="-1"/>
          <w:sz w:val="16"/>
        </w:rPr>
        <w:t> </w:t>
      </w:r>
      <w:r>
        <w:rPr>
          <w:sz w:val="16"/>
        </w:rPr>
        <w:t>SIREEX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30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diciembre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2021,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8:00</w:t>
      </w:r>
      <w:r>
        <w:rPr>
          <w:spacing w:val="-1"/>
          <w:sz w:val="16"/>
        </w:rPr>
        <w:t> </w:t>
      </w:r>
      <w:r>
        <w:rPr>
          <w:sz w:val="16"/>
        </w:rPr>
        <w:t>horas.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  <w:r>
        <w:rPr/>
        <w:pict>
          <v:rect style="position:absolute;margin-left:563.280029pt;margin-top:17.807728pt;width:25.44pt;height:1.464pt;mso-position-horizontal-relative:page;mso-position-vertical-relative:paragraph;z-index:-1560166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223"/>
      </w:pPr>
      <w:r>
        <w:rPr/>
        <w:t>63</w:t>
      </w:r>
    </w:p>
    <w:p>
      <w:pPr>
        <w:pStyle w:val="BodyText"/>
        <w:spacing w:line="91" w:lineRule="exact"/>
        <w:ind w:left="10125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45pt;height:4.6pt;mso-position-horizontal-relative:char;mso-position-vertical-relative:line" coordorigin="0,0" coordsize="509,92">
            <v:rect style="position:absolute;left:0;top:0;width:509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441728">
            <wp:simplePos x="0" y="0"/>
            <wp:positionH relativeFrom="page">
              <wp:posOffset>0</wp:posOffset>
            </wp:positionH>
            <wp:positionV relativeFrom="page">
              <wp:posOffset>302887</wp:posOffset>
            </wp:positionV>
            <wp:extent cx="7772399" cy="9501333"/>
            <wp:effectExtent l="0" t="0" r="0" b="0"/>
            <wp:wrapNone/>
            <wp:docPr id="17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1"/>
          <w:numId w:val="4"/>
        </w:numPr>
        <w:tabs>
          <w:tab w:pos="876" w:val="left" w:leader="none"/>
          <w:tab w:pos="877" w:val="left" w:leader="none"/>
        </w:tabs>
        <w:spacing w:line="240" w:lineRule="auto" w:before="52" w:after="0"/>
        <w:ind w:left="876" w:right="0" w:hanging="577"/>
        <w:jc w:val="left"/>
      </w:pPr>
      <w:bookmarkStart w:name="_bookmark81" w:id="107"/>
      <w:bookmarkEnd w:id="107"/>
      <w:r>
        <w:rPr>
          <w:b w:val="0"/>
        </w:rPr>
      </w:r>
      <w:bookmarkStart w:name="_bookmark81" w:id="108"/>
      <w:bookmarkEnd w:id="108"/>
      <w:r>
        <w:rPr>
          <w:color w:val="1F4E79"/>
        </w:rPr>
        <w:t>P</w:t>
      </w:r>
      <w:r>
        <w:rPr>
          <w:color w:val="1F4E79"/>
        </w:rPr>
        <w:t>rograma</w:t>
      </w:r>
      <w:r>
        <w:rPr>
          <w:color w:val="1F4E79"/>
          <w:spacing w:val="-5"/>
        </w:rPr>
        <w:t> </w:t>
      </w:r>
      <w:r>
        <w:rPr>
          <w:color w:val="1F4E79"/>
        </w:rPr>
        <w:t>Modalidades</w:t>
      </w:r>
      <w:r>
        <w:rPr>
          <w:color w:val="1F4E79"/>
          <w:spacing w:val="-4"/>
        </w:rPr>
        <w:t> </w:t>
      </w:r>
      <w:r>
        <w:rPr>
          <w:color w:val="1F4E79"/>
        </w:rPr>
        <w:t>Flexibles</w:t>
      </w:r>
      <w:r>
        <w:rPr>
          <w:color w:val="1F4E79"/>
          <w:spacing w:val="-5"/>
        </w:rPr>
        <w:t> </w:t>
      </w:r>
      <w:r>
        <w:rPr>
          <w:color w:val="1F4E79"/>
        </w:rPr>
        <w:t>para</w:t>
      </w:r>
      <w:r>
        <w:rPr>
          <w:color w:val="1F4E79"/>
          <w:spacing w:val="-4"/>
        </w:rPr>
        <w:t> </w:t>
      </w:r>
      <w:r>
        <w:rPr>
          <w:color w:val="1F4E79"/>
        </w:rPr>
        <w:t>la</w:t>
      </w:r>
      <w:r>
        <w:rPr>
          <w:color w:val="1F4E79"/>
          <w:spacing w:val="-6"/>
        </w:rPr>
        <w:t> </w:t>
      </w:r>
      <w:r>
        <w:rPr>
          <w:color w:val="1F4E79"/>
        </w:rPr>
        <w:t>Educación</w:t>
      </w:r>
      <w:r>
        <w:rPr>
          <w:color w:val="1F4E79"/>
          <w:spacing w:val="-2"/>
        </w:rPr>
        <w:t> </w:t>
      </w:r>
      <w:r>
        <w:rPr>
          <w:color w:val="1F4E79"/>
        </w:rPr>
        <w:t>Media</w:t>
      </w:r>
    </w:p>
    <w:p>
      <w:pPr>
        <w:pStyle w:val="BodyText"/>
        <w:rPr>
          <w:b/>
          <w:sz w:val="24"/>
        </w:rPr>
      </w:pPr>
    </w:p>
    <w:p>
      <w:pPr>
        <w:spacing w:before="187"/>
        <w:ind w:left="300" w:right="1098" w:firstLine="0"/>
        <w:jc w:val="both"/>
        <w:rPr>
          <w:sz w:val="24"/>
        </w:rPr>
      </w:pPr>
      <w:r>
        <w:rPr>
          <w:sz w:val="24"/>
        </w:rPr>
        <w:t>En el 2021, la matrícula del programa Modalidades Flexibles para la Educación media en el nivel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medio,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ciclo</w:t>
      </w:r>
      <w:r>
        <w:rPr>
          <w:spacing w:val="-10"/>
          <w:sz w:val="24"/>
        </w:rPr>
        <w:t> </w:t>
      </w:r>
      <w:r>
        <w:rPr>
          <w:sz w:val="24"/>
        </w:rPr>
        <w:t>básico</w:t>
      </w:r>
      <w:r>
        <w:rPr>
          <w:spacing w:val="-12"/>
          <w:sz w:val="24"/>
        </w:rPr>
        <w:t> </w:t>
      </w:r>
      <w:r>
        <w:rPr>
          <w:sz w:val="24"/>
        </w:rPr>
        <w:t>fue</w:t>
      </w:r>
      <w:r>
        <w:rPr>
          <w:spacing w:val="-13"/>
          <w:sz w:val="24"/>
        </w:rPr>
        <w:t> </w:t>
      </w:r>
      <w:r>
        <w:rPr>
          <w:sz w:val="24"/>
        </w:rPr>
        <w:t>10,078</w:t>
      </w:r>
      <w:r>
        <w:rPr>
          <w:spacing w:val="-11"/>
          <w:sz w:val="24"/>
        </w:rPr>
        <w:t> </w:t>
      </w:r>
      <w:r>
        <w:rPr>
          <w:sz w:val="24"/>
        </w:rPr>
        <w:t>estudiantes</w:t>
      </w:r>
      <w:r>
        <w:rPr>
          <w:spacing w:val="-11"/>
          <w:sz w:val="24"/>
        </w:rPr>
        <w:t> </w:t>
      </w:r>
      <w:r>
        <w:rPr>
          <w:sz w:val="24"/>
        </w:rPr>
        <w:t>inscritos,</w:t>
      </w:r>
      <w:r>
        <w:rPr>
          <w:spacing w:val="-10"/>
          <w:sz w:val="24"/>
        </w:rPr>
        <w:t> </w:t>
      </w:r>
      <w:r>
        <w:rPr>
          <w:sz w:val="24"/>
        </w:rPr>
        <w:t>4,512</w:t>
      </w:r>
      <w:r>
        <w:rPr>
          <w:spacing w:val="-10"/>
          <w:sz w:val="24"/>
        </w:rPr>
        <w:t> </w:t>
      </w:r>
      <w:r>
        <w:rPr>
          <w:sz w:val="24"/>
        </w:rPr>
        <w:t>(45%)</w:t>
      </w:r>
      <w:r>
        <w:rPr>
          <w:spacing w:val="-11"/>
          <w:sz w:val="24"/>
        </w:rPr>
        <w:t> </w:t>
      </w:r>
      <w:r>
        <w:rPr>
          <w:sz w:val="24"/>
        </w:rPr>
        <w:t>hombres</w:t>
      </w:r>
      <w:r>
        <w:rPr>
          <w:spacing w:val="-14"/>
          <w:sz w:val="24"/>
        </w:rPr>
        <w:t> </w:t>
      </w:r>
      <w:r>
        <w:rPr>
          <w:sz w:val="24"/>
        </w:rPr>
        <w:t>y</w:t>
      </w:r>
      <w:r>
        <w:rPr>
          <w:spacing w:val="-11"/>
          <w:sz w:val="24"/>
        </w:rPr>
        <w:t> </w:t>
      </w:r>
      <w:r>
        <w:rPr>
          <w:sz w:val="24"/>
        </w:rPr>
        <w:t>5,566</w:t>
      </w:r>
      <w:r>
        <w:rPr>
          <w:spacing w:val="-12"/>
          <w:sz w:val="24"/>
        </w:rPr>
        <w:t> </w:t>
      </w:r>
      <w:r>
        <w:rPr>
          <w:sz w:val="24"/>
        </w:rPr>
        <w:t>(55%)</w:t>
      </w:r>
      <w:r>
        <w:rPr>
          <w:spacing w:val="-11"/>
          <w:sz w:val="24"/>
        </w:rPr>
        <w:t> </w:t>
      </w:r>
      <w:r>
        <w:rPr>
          <w:sz w:val="24"/>
        </w:rPr>
        <w:t>mujeres;</w:t>
      </w:r>
    </w:p>
    <w:p>
      <w:pPr>
        <w:spacing w:line="240" w:lineRule="auto" w:before="0"/>
        <w:ind w:left="300" w:right="1092" w:firstLine="0"/>
        <w:jc w:val="both"/>
        <w:rPr>
          <w:sz w:val="24"/>
        </w:rPr>
      </w:pPr>
      <w:r>
        <w:rPr>
          <w:sz w:val="24"/>
        </w:rPr>
        <w:t>en el ciclo diversificado 4,598 estudiantes inscritos, de ellos 1,967 (43%) hombres y 2,631 (57%)</w:t>
      </w:r>
      <w:r>
        <w:rPr>
          <w:spacing w:val="1"/>
          <w:sz w:val="24"/>
        </w:rPr>
        <w:t> </w:t>
      </w:r>
      <w:r>
        <w:rPr>
          <w:sz w:val="24"/>
        </w:rPr>
        <w:t>mujeres.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programa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implementa</w:t>
      </w:r>
      <w:r>
        <w:rPr>
          <w:spacing w:val="1"/>
          <w:sz w:val="24"/>
        </w:rPr>
        <w:t> </w:t>
      </w:r>
      <w:r>
        <w:rPr>
          <w:sz w:val="24"/>
        </w:rPr>
        <w:t>principalmente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apoyo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Municipalidades,</w:t>
      </w:r>
      <w:r>
        <w:rPr>
          <w:spacing w:val="-52"/>
          <w:sz w:val="24"/>
        </w:rPr>
        <w:t> </w:t>
      </w:r>
      <w:r>
        <w:rPr>
          <w:sz w:val="24"/>
        </w:rPr>
        <w:t>Fundaciones,</w:t>
      </w:r>
      <w:r>
        <w:rPr>
          <w:spacing w:val="1"/>
          <w:sz w:val="24"/>
        </w:rPr>
        <w:t> </w:t>
      </w:r>
      <w:r>
        <w:rPr>
          <w:sz w:val="24"/>
        </w:rPr>
        <w:t>Asociaciones,</w:t>
      </w:r>
      <w:r>
        <w:rPr>
          <w:spacing w:val="1"/>
          <w:sz w:val="24"/>
        </w:rPr>
        <w:t> </w:t>
      </w:r>
      <w:r>
        <w:rPr>
          <w:sz w:val="24"/>
        </w:rPr>
        <w:t>quienes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cumplir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requisitos,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les</w:t>
      </w:r>
      <w:r>
        <w:rPr>
          <w:spacing w:val="1"/>
          <w:sz w:val="24"/>
        </w:rPr>
        <w:t> </w:t>
      </w:r>
      <w:r>
        <w:rPr>
          <w:sz w:val="24"/>
        </w:rPr>
        <w:t>autoriza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implementación</w:t>
      </w:r>
      <w:r>
        <w:rPr>
          <w:spacing w:val="-8"/>
          <w:sz w:val="24"/>
        </w:rPr>
        <w:t> </w:t>
      </w:r>
      <w:r>
        <w:rPr>
          <w:sz w:val="24"/>
        </w:rPr>
        <w:t>del</w:t>
      </w:r>
      <w:r>
        <w:rPr>
          <w:spacing w:val="-8"/>
          <w:sz w:val="24"/>
        </w:rPr>
        <w:t> </w:t>
      </w:r>
      <w:r>
        <w:rPr>
          <w:sz w:val="24"/>
        </w:rPr>
        <w:t>programa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forma</w:t>
      </w:r>
      <w:r>
        <w:rPr>
          <w:spacing w:val="-6"/>
          <w:sz w:val="24"/>
        </w:rPr>
        <w:t> </w:t>
      </w:r>
      <w:r>
        <w:rPr>
          <w:sz w:val="24"/>
        </w:rPr>
        <w:t>gratuita</w:t>
      </w:r>
      <w:r>
        <w:rPr>
          <w:spacing w:val="-9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población,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2021</w:t>
      </w:r>
      <w:r>
        <w:rPr>
          <w:spacing w:val="-8"/>
          <w:sz w:val="24"/>
        </w:rPr>
        <w:t> </w:t>
      </w:r>
      <w:r>
        <w:rPr>
          <w:sz w:val="24"/>
        </w:rPr>
        <w:t>por</w:t>
      </w:r>
      <w:r>
        <w:rPr>
          <w:spacing w:val="-8"/>
          <w:sz w:val="24"/>
        </w:rPr>
        <w:t> </w:t>
      </w:r>
      <w:r>
        <w:rPr>
          <w:sz w:val="24"/>
        </w:rPr>
        <w:t>primera</w:t>
      </w:r>
      <w:r>
        <w:rPr>
          <w:spacing w:val="-9"/>
          <w:sz w:val="24"/>
        </w:rPr>
        <w:t> </w:t>
      </w:r>
      <w:r>
        <w:rPr>
          <w:sz w:val="24"/>
        </w:rPr>
        <w:t>vez</w:t>
      </w:r>
      <w:r>
        <w:rPr>
          <w:spacing w:val="-7"/>
          <w:sz w:val="24"/>
        </w:rPr>
        <w:t> </w:t>
      </w:r>
      <w:r>
        <w:rPr>
          <w:sz w:val="24"/>
        </w:rPr>
        <w:t>se</w:t>
      </w:r>
      <w:r>
        <w:rPr>
          <w:spacing w:val="-52"/>
          <w:sz w:val="24"/>
        </w:rPr>
        <w:t> </w:t>
      </w:r>
      <w:r>
        <w:rPr>
          <w:sz w:val="24"/>
        </w:rPr>
        <w:t>contrataron docentes itinerantes por parte del Ministerio de Educación para implementar el</w:t>
      </w:r>
      <w:r>
        <w:rPr>
          <w:spacing w:val="1"/>
          <w:sz w:val="24"/>
        </w:rPr>
        <w:t> </w:t>
      </w:r>
      <w:r>
        <w:rPr>
          <w:sz w:val="24"/>
        </w:rPr>
        <w:t>programa.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programa</w:t>
      </w:r>
      <w:r>
        <w:rPr>
          <w:spacing w:val="1"/>
          <w:sz w:val="24"/>
        </w:rPr>
        <w:t> </w:t>
      </w:r>
      <w:r>
        <w:rPr>
          <w:sz w:val="24"/>
        </w:rPr>
        <w:t>presenta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mayor</w:t>
      </w:r>
      <w:r>
        <w:rPr>
          <w:spacing w:val="1"/>
          <w:sz w:val="24"/>
        </w:rPr>
        <w:t> </w:t>
      </w:r>
      <w:r>
        <w:rPr>
          <w:sz w:val="24"/>
        </w:rPr>
        <w:t>matrícula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ciclo</w:t>
      </w:r>
      <w:r>
        <w:rPr>
          <w:spacing w:val="1"/>
          <w:sz w:val="24"/>
        </w:rPr>
        <w:t> </w:t>
      </w:r>
      <w:r>
        <w:rPr>
          <w:sz w:val="24"/>
        </w:rPr>
        <w:t>básico,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direcciones</w:t>
      </w:r>
      <w:r>
        <w:rPr>
          <w:spacing w:val="1"/>
          <w:sz w:val="24"/>
        </w:rPr>
        <w:t> </w:t>
      </w:r>
      <w:r>
        <w:rPr>
          <w:sz w:val="24"/>
        </w:rPr>
        <w:t>departamentales de educación que registraron mayor cantidad de estudiantes inscritos fueron</w:t>
      </w:r>
      <w:r>
        <w:rPr>
          <w:spacing w:val="1"/>
          <w:sz w:val="24"/>
        </w:rPr>
        <w:t> </w:t>
      </w:r>
      <w:r>
        <w:rPr>
          <w:sz w:val="24"/>
        </w:rPr>
        <w:t>Guatemala</w:t>
      </w:r>
      <w:r>
        <w:rPr>
          <w:spacing w:val="-1"/>
          <w:sz w:val="24"/>
        </w:rPr>
        <w:t> </w:t>
      </w:r>
      <w:r>
        <w:rPr>
          <w:sz w:val="24"/>
        </w:rPr>
        <w:t>Sur,</w:t>
      </w:r>
      <w:r>
        <w:rPr>
          <w:spacing w:val="1"/>
          <w:sz w:val="24"/>
        </w:rPr>
        <w:t> </w:t>
      </w:r>
      <w:r>
        <w:rPr>
          <w:sz w:val="24"/>
        </w:rPr>
        <w:t>Guatemala</w:t>
      </w:r>
      <w:r>
        <w:rPr>
          <w:spacing w:val="1"/>
          <w:sz w:val="24"/>
        </w:rPr>
        <w:t> </w:t>
      </w:r>
      <w:r>
        <w:rPr>
          <w:sz w:val="24"/>
        </w:rPr>
        <w:t>Occidente, Quiche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San</w:t>
      </w:r>
      <w:r>
        <w:rPr>
          <w:spacing w:val="1"/>
          <w:sz w:val="24"/>
        </w:rPr>
        <w:t> </w:t>
      </w:r>
      <w:r>
        <w:rPr>
          <w:sz w:val="24"/>
        </w:rPr>
        <w:t>Marcos.</w:t>
      </w:r>
    </w:p>
    <w:p>
      <w:pPr>
        <w:pStyle w:val="BodyText"/>
        <w:spacing w:before="3"/>
        <w:rPr>
          <w:sz w:val="24"/>
        </w:rPr>
      </w:pPr>
    </w:p>
    <w:p>
      <w:pPr>
        <w:spacing w:before="0"/>
        <w:ind w:left="3152" w:right="1205" w:hanging="2437"/>
        <w:jc w:val="left"/>
        <w:rPr>
          <w:sz w:val="20"/>
        </w:rPr>
      </w:pPr>
      <w:bookmarkStart w:name="_bookmark82" w:id="109"/>
      <w:bookmarkEnd w:id="109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55</w:t>
      </w:r>
      <w:r>
        <w:rPr>
          <w:spacing w:val="-2"/>
          <w:sz w:val="20"/>
        </w:rPr>
        <w:t> </w:t>
      </w:r>
      <w:r>
        <w:rPr>
          <w:sz w:val="20"/>
        </w:rPr>
        <w:t>Matrícula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estudiantes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Programa</w:t>
      </w:r>
      <w:r>
        <w:rPr>
          <w:spacing w:val="-2"/>
          <w:sz w:val="20"/>
        </w:rPr>
        <w:t> </w:t>
      </w:r>
      <w:r>
        <w:rPr>
          <w:sz w:val="20"/>
        </w:rPr>
        <w:t>Modalidades</w:t>
      </w:r>
      <w:r>
        <w:rPr>
          <w:spacing w:val="-4"/>
          <w:sz w:val="20"/>
        </w:rPr>
        <w:t> </w:t>
      </w:r>
      <w:r>
        <w:rPr>
          <w:sz w:val="20"/>
        </w:rPr>
        <w:t>Flexibles</w:t>
      </w:r>
      <w:r>
        <w:rPr>
          <w:spacing w:val="-4"/>
          <w:sz w:val="20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Educación</w:t>
      </w:r>
      <w:r>
        <w:rPr>
          <w:spacing w:val="-1"/>
          <w:sz w:val="20"/>
        </w:rPr>
        <w:t> </w:t>
      </w:r>
      <w:r>
        <w:rPr>
          <w:sz w:val="20"/>
        </w:rPr>
        <w:t>Media,</w:t>
      </w:r>
      <w:r>
        <w:rPr>
          <w:spacing w:val="-2"/>
          <w:sz w:val="20"/>
        </w:rPr>
        <w:t> </w:t>
      </w:r>
      <w:r>
        <w:rPr>
          <w:sz w:val="20"/>
        </w:rPr>
        <w:t>ciclo</w:t>
      </w:r>
      <w:r>
        <w:rPr>
          <w:spacing w:val="-42"/>
          <w:sz w:val="20"/>
        </w:rPr>
        <w:t> </w:t>
      </w:r>
      <w:r>
        <w:rPr>
          <w:sz w:val="20"/>
        </w:rPr>
        <w:t>básico</w:t>
      </w:r>
      <w:r>
        <w:rPr>
          <w:spacing w:val="-1"/>
          <w:sz w:val="20"/>
        </w:rPr>
        <w:t> </w:t>
      </w:r>
      <w:r>
        <w:rPr>
          <w:sz w:val="20"/>
        </w:rPr>
        <w:t>y diversificado según</w:t>
      </w:r>
      <w:r>
        <w:rPr>
          <w:spacing w:val="-1"/>
          <w:sz w:val="20"/>
        </w:rPr>
        <w:t> </w:t>
      </w:r>
      <w:r>
        <w:rPr>
          <w:sz w:val="20"/>
        </w:rPr>
        <w:t>DIDEDUC.</w:t>
      </w:r>
      <w:r>
        <w:rPr>
          <w:spacing w:val="-1"/>
          <w:sz w:val="20"/>
        </w:rPr>
        <w:t> </w:t>
      </w:r>
      <w:r>
        <w:rPr>
          <w:sz w:val="20"/>
        </w:rPr>
        <w:t>Año 2021</w:t>
      </w:r>
    </w:p>
    <w:p>
      <w:pPr>
        <w:pStyle w:val="BodyText"/>
        <w:spacing w:before="3"/>
        <w:rPr>
          <w:sz w:val="9"/>
        </w:rPr>
      </w:pPr>
      <w:r>
        <w:rPr/>
        <w:pict>
          <v:group style="position:absolute;margin-left:72pt;margin-top:7.613057pt;width:492pt;height:242.25pt;mso-position-horizontal-relative:page;mso-position-vertical-relative:paragraph;z-index:-15600128;mso-wrap-distance-left:0;mso-wrap-distance-right:0" coordorigin="1440,152" coordsize="9840,4845">
            <v:rect style="position:absolute;left:1440;top:152;width:9840;height:4845" filled="true" fillcolor="#ffffff" stroked="false">
              <v:fill type="solid"/>
            </v:rect>
            <v:shape style="position:absolute;left:2325;top:1191;width:8554;height:1651" coordorigin="2326,1192" coordsize="8554,1651" path="m2402,2524l2326,2524,2326,2843,2402,2843,2402,2524xm2741,2634l2664,2634,2664,2843,2741,2843,2741,2634xm3079,2397l3005,2397,3005,2843,3079,2843,3079,2397xm3420,2409l3343,2409,3343,2843,3420,2843,3420,2409xm3758,2577l3682,2577,3682,2843,3758,2843,3758,2577xm4097,2805l4022,2805,4022,2843,4097,2843,4097,2805xm4438,2358l4361,2358,4361,2843,4438,2843,4438,2358xm4776,1849l4699,1849,4699,2843,4776,2843,4776,1849xm5114,2687l5040,2687,5040,2843,5114,2843,5114,2687xm5453,1192l5378,1192,5378,2843,5453,2843,5453,1192xm5794,2469l5717,2469,5717,2843,5794,2843,5794,2469xm6132,2795l6055,2795,6055,2843,6132,2843,6132,2795xm6470,2764l6396,2764,6396,2843,6470,2843,6470,2764xm6811,2840l6734,2840,6734,2843,6811,2843,6811,2840xm7150,2538l7073,2538,7073,2843,7150,2843,7150,2538xm7488,2529l7414,2529,7414,2843,7488,2843,7488,2529xm7829,2135l7752,2135,7752,2843,7829,2843,7829,2135xm8506,2829l8431,2829,8431,2843,8506,2843,8506,2829xm8846,2615l8770,2615,8770,2843,8846,2843,8846,2615xm9185,2281l9108,2281,9108,2843,9185,2843,9185,2281xm9862,2819l9787,2819,9787,2843,9862,2843,9862,2819xm10202,2829l10126,2829,10126,2843,10202,2843,10202,2829xm10541,2805l10464,2805,10464,2843,10541,2843,10541,2805xm10879,2689l10805,2689,10805,2843,10879,2843,10879,2689xe" filled="true" fillcolor="#5b9bd4" stroked="false">
              <v:path arrowok="t"/>
              <v:fill type="solid"/>
            </v:shape>
            <v:shape style="position:absolute;left:2421;top:2291;width:8556;height:552" coordorigin="2422,2291" coordsize="8556,552" path="m2498,2809l2422,2809,2422,2843,2498,2843,2498,2809xm2837,2761l2762,2761,2762,2843,2837,2843,2837,2761xm3178,2620l3101,2620,3101,2843,3178,2843,3178,2620xm3516,2632l3439,2632,3439,2843,3516,2843,3516,2632xm3854,2677l3780,2677,3780,2843,3854,2843,3854,2677xm4534,2555l4457,2555,4457,2843,4534,2843,4534,2555xm4872,2291l4795,2291,4795,2843,4872,2843,4872,2291xm5210,2778l5136,2778,5136,2843,5210,2843,5210,2778xm5551,2435l5474,2435,5474,2843,5551,2843,5551,2435xm5890,2476l5813,2476,5813,2843,5890,2843,5890,2476xm6228,2812l6154,2812,6154,2843,6228,2843,6228,2812xm6569,2761l6492,2761,6492,2843,6569,2843,6569,2761xm7586,2562l7510,2562,7510,2843,7586,2843,7586,2562xm7925,2728l7848,2728,7848,2843,7925,2843,7925,2728xm8602,2838l8527,2838,8527,2843,8602,2843,8602,2838xm8942,2754l8866,2754,8866,2843,8942,2843,8942,2754xm9281,2401l9204,2401,9204,2843,9281,2843,9281,2401xm9619,2814l9545,2814,9545,2843,9619,2843,9619,2814xm10298,2831l10222,2831,10222,2843,10298,2843,10298,2831xm10637,2826l10562,2826,10562,2843,10637,2843,10637,2826xm10978,2752l10901,2752,10901,2843,10978,2843,10978,2752xe" filled="true" fillcolor="#ec7c30" stroked="false">
              <v:path arrowok="t"/>
              <v:fill type="solid"/>
            </v:shape>
            <v:line style="position:absolute" from="2242,2843" to="11060,2843" stroked="true" strokeweight=".75pt" strokecolor="#d9d9d9">
              <v:stroke dashstyle="solid"/>
            </v:line>
            <v:shape style="position:absolute;left:5851;top:2127;width:1776;height:436" coordorigin="5852,2127" coordsize="1776,436" path="m5852,2476l5892,2127m7547,2563l7627,2286e" filled="false" stroked="true" strokeweight=".75pt" strokecolor="#a6a6a6">
              <v:path arrowok="t"/>
              <v:stroke dashstyle="solid"/>
            </v:shape>
            <v:shape style="position:absolute;left:1637;top:2984;width:9294;height:1365" type="#_x0000_t75" stroked="false">
              <v:imagedata r:id="rId53" o:title=""/>
            </v:shape>
            <v:rect style="position:absolute;left:4683;top:4659;width:99;height:99" filled="true" fillcolor="#5b9bd4" stroked="false">
              <v:fill type="solid"/>
            </v:rect>
            <v:rect style="position:absolute;left:6240;top:4659;width:99;height:99" filled="true" fillcolor="#ec7c30" stroked="false">
              <v:fill type="solid"/>
            </v:rect>
            <v:shape style="position:absolute;left:3685;top:359;width:5370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85858"/>
                        <w:sz w:val="28"/>
                      </w:rPr>
                      <w:t>Modalidades</w:t>
                    </w:r>
                    <w:r>
                      <w:rPr>
                        <w:color w:val="585858"/>
                        <w:spacing w:val="-6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Flexibles</w:t>
                    </w:r>
                    <w:r>
                      <w:rPr>
                        <w:color w:val="585858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para</w:t>
                    </w:r>
                    <w:r>
                      <w:rPr>
                        <w:color w:val="585858"/>
                        <w:spacing w:val="-8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la</w:t>
                    </w:r>
                    <w:r>
                      <w:rPr>
                        <w:color w:val="585858"/>
                        <w:spacing w:val="-5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Educación</w:t>
                    </w:r>
                    <w:r>
                      <w:rPr>
                        <w:color w:val="585858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Media</w:t>
                    </w:r>
                  </w:p>
                </w:txbxContent>
              </v:textbox>
              <w10:wrap type="none"/>
            </v:shape>
            <v:shape style="position:absolute;left:1666;top:810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2,500</w:t>
                    </w:r>
                  </w:p>
                </w:txbxContent>
              </v:textbox>
              <w10:wrap type="none"/>
            </v:shape>
            <v:shape style="position:absolute;left:5232;top:938;width:387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2,118</w:t>
                    </w:r>
                  </w:p>
                </w:txbxContent>
              </v:textbox>
              <w10:wrap type="none"/>
            </v:shape>
            <v:shape style="position:absolute;left:1666;top:1200;width:430;height:57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2,000</w:t>
                    </w:r>
                  </w:p>
                  <w:p>
                    <w:pPr>
                      <w:spacing w:line="240" w:lineRule="auto" w:before="11"/>
                      <w:rPr>
                        <w:sz w:val="13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1,500</w:t>
                    </w:r>
                  </w:p>
                </w:txbxContent>
              </v:textbox>
              <w10:wrap type="none"/>
            </v:shape>
            <v:shape style="position:absolute;left:4553;top:1596;width:388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1,273</w:t>
                    </w:r>
                  </w:p>
                </w:txbxContent>
              </v:textbox>
              <w10:wrap type="none"/>
            </v:shape>
            <v:shape style="position:absolute;left:1666;top:1980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1,000</w:t>
                    </w:r>
                  </w:p>
                </w:txbxContent>
              </v:textbox>
              <w10:wrap type="none"/>
            </v:shape>
            <v:shape style="position:absolute;left:5391;top:1933;width:644;height:442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37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471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524</w:t>
                    </w:r>
                    <w:r>
                      <w:rPr>
                        <w:color w:val="404040"/>
                        <w:position w:val="-2"/>
                        <w:sz w:val="16"/>
                      </w:rPr>
                      <w:t>481</w:t>
                    </w:r>
                  </w:p>
                </w:txbxContent>
              </v:textbox>
              <w10:wrap type="none"/>
            </v:shape>
            <v:shape style="position:absolute;left:1802;top:2370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2242;top:2269;width:604;height:273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410</w:t>
                    </w:r>
                  </w:p>
                  <w:p>
                    <w:pPr>
                      <w:spacing w:line="151" w:lineRule="exact" w:before="0"/>
                      <w:ind w:left="33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267</w:t>
                    </w:r>
                  </w:p>
                </w:txbxContent>
              </v:textbox>
              <w10:wrap type="none"/>
            </v:shape>
            <v:shape style="position:absolute;left:2920;top:2142;width:943;height:398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position w:val="1"/>
                        <w:sz w:val="16"/>
                      </w:rPr>
                      <w:t>573</w:t>
                    </w:r>
                    <w:r>
                      <w:rPr>
                        <w:color w:val="404040"/>
                        <w:spacing w:val="23"/>
                        <w:position w:val="1"/>
                        <w:sz w:val="16"/>
                      </w:rPr>
                      <w:t> </w:t>
                    </w:r>
                    <w:r>
                      <w:rPr>
                        <w:color w:val="404040"/>
                        <w:sz w:val="16"/>
                      </w:rPr>
                      <w:t>558</w:t>
                    </w:r>
                  </w:p>
                  <w:p>
                    <w:pPr>
                      <w:spacing w:line="237" w:lineRule="exact" w:before="0"/>
                      <w:ind w:left="9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position w:val="1"/>
                        <w:sz w:val="16"/>
                      </w:rPr>
                      <w:t>286</w:t>
                    </w:r>
                    <w:r>
                      <w:rPr>
                        <w:color w:val="404040"/>
                        <w:spacing w:val="58"/>
                        <w:position w:val="1"/>
                        <w:sz w:val="16"/>
                      </w:rPr>
                      <w:t> </w:t>
                    </w:r>
                    <w:r>
                      <w:rPr>
                        <w:color w:val="404040"/>
                        <w:sz w:val="16"/>
                      </w:rPr>
                      <w:t>270</w:t>
                    </w:r>
                    <w:r>
                      <w:rPr>
                        <w:color w:val="404040"/>
                        <w:position w:val="6"/>
                        <w:sz w:val="16"/>
                      </w:rPr>
                      <w:t>342</w:t>
                    </w:r>
                  </w:p>
                </w:txbxContent>
              </v:textbox>
              <w10:wrap type="none"/>
            </v:shape>
            <v:shape style="position:absolute;left:4277;top:2104;width:362;height:358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621</w:t>
                    </w:r>
                  </w:p>
                  <w:p>
                    <w:pPr>
                      <w:spacing w:line="193" w:lineRule="exact" w:before="1"/>
                      <w:ind w:left="9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369</w:t>
                    </w:r>
                  </w:p>
                </w:txbxContent>
              </v:textbox>
              <w10:wrap type="none"/>
            </v:shape>
            <v:shape style="position:absolute;left:4712;top:2037;width:267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708</w:t>
                    </w:r>
                  </w:p>
                </w:txbxContent>
              </v:textbox>
              <w10:wrap type="none"/>
            </v:shape>
            <v:shape style="position:absolute;left:6990;top:1881;width:943;height:564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67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909</w:t>
                    </w:r>
                  </w:p>
                  <w:p>
                    <w:pPr>
                      <w:spacing w:line="188" w:lineRule="exact" w:before="17"/>
                      <w:ind w:left="51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359</w:t>
                    </w:r>
                  </w:p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392</w:t>
                    </w:r>
                    <w:r>
                      <w:rPr>
                        <w:color w:val="404040"/>
                        <w:spacing w:val="23"/>
                        <w:sz w:val="16"/>
                      </w:rPr>
                      <w:t> </w:t>
                    </w:r>
                    <w:r>
                      <w:rPr>
                        <w:color w:val="404040"/>
                        <w:position w:val="1"/>
                        <w:sz w:val="16"/>
                      </w:rPr>
                      <w:t>403</w:t>
                    </w:r>
                  </w:p>
                </w:txbxContent>
              </v:textbox>
              <w10:wrap type="none"/>
            </v:shape>
            <v:shape style="position:absolute;left:9026;top:2027;width:362;height:282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721</w:t>
                    </w:r>
                  </w:p>
                  <w:p>
                    <w:pPr>
                      <w:spacing w:line="155" w:lineRule="exact" w:before="0"/>
                      <w:ind w:left="9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566</w:t>
                    </w:r>
                  </w:p>
                </w:txbxContent>
              </v:textbox>
              <w10:wrap type="none"/>
            </v:shape>
            <v:shape style="position:absolute;left:8686;top:2362;width:265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291</w:t>
                    </w:r>
                  </w:p>
                </w:txbxContent>
              </v:textbox>
              <w10:wrap type="none"/>
            </v:shape>
            <v:shape style="position:absolute;left:3978;top:2552;width:18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48</w:t>
                    </w:r>
                  </w:p>
                </w:txbxContent>
              </v:textbox>
              <w10:wrap type="none"/>
            </v:shape>
            <v:shape style="position:absolute;left:4955;top:2434;width:265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199</w:t>
                    </w:r>
                  </w:p>
                </w:txbxContent>
              </v:textbox>
              <w10:wrap type="none"/>
            </v:shape>
            <v:shape style="position:absolute;left:6014;top:2510;width:564;height:193" type="#_x0000_t202" filled="false" stroked="false">
              <v:textbox inset="0,0,0,0">
                <w:txbxContent>
                  <w:p>
                    <w:pPr>
                      <w:spacing w:line="189" w:lineRule="auto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position w:val="-2"/>
                        <w:sz w:val="16"/>
                      </w:rPr>
                      <w:t>60  </w:t>
                    </w:r>
                    <w:r>
                      <w:rPr>
                        <w:color w:val="404040"/>
                        <w:spacing w:val="27"/>
                        <w:position w:val="-2"/>
                        <w:sz w:val="16"/>
                      </w:rPr>
                      <w:t> </w:t>
                    </w:r>
                    <w:r>
                      <w:rPr>
                        <w:color w:val="404040"/>
                        <w:sz w:val="16"/>
                      </w:rPr>
                      <w:t>101</w:t>
                    </w:r>
                  </w:p>
                </w:txbxContent>
              </v:textbox>
              <w10:wrap type="none"/>
            </v:shape>
            <v:shape style="position:absolute;left:10721;top:2436;width:265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196</w:t>
                    </w:r>
                  </w:p>
                </w:txbxContent>
              </v:textbox>
              <w10:wrap type="none"/>
            </v:shape>
            <v:shape style="position:absolute;left:6733;top:2589;width:102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w w:val="100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388;top:2574;width:18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9745;top:2552;width:862;height:186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position w:val="1"/>
                        <w:sz w:val="16"/>
                      </w:rPr>
                      <w:t>30   </w:t>
                    </w:r>
                    <w:r>
                      <w:rPr>
                        <w:color w:val="404040"/>
                        <w:spacing w:val="31"/>
                        <w:position w:val="1"/>
                        <w:sz w:val="16"/>
                      </w:rPr>
                      <w:t> </w:t>
                    </w:r>
                    <w:r>
                      <w:rPr>
                        <w:color w:val="404040"/>
                        <w:sz w:val="16"/>
                      </w:rPr>
                      <w:t>17   </w:t>
                    </w:r>
                    <w:r>
                      <w:rPr>
                        <w:color w:val="404040"/>
                        <w:spacing w:val="32"/>
                        <w:sz w:val="16"/>
                      </w:rPr>
                      <w:t> </w:t>
                    </w:r>
                    <w:r>
                      <w:rPr>
                        <w:color w:val="404040"/>
                        <w:position w:val="2"/>
                        <w:sz w:val="16"/>
                      </w:rPr>
                      <w:t>48</w:t>
                    </w:r>
                  </w:p>
                </w:txbxContent>
              </v:textbox>
              <w10:wrap type="none"/>
            </v:shape>
            <v:shape style="position:absolute;left:1984;top:275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825;top:4625;width:112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TOTAL</w:t>
                    </w:r>
                    <w:r>
                      <w:rPr>
                        <w:color w:val="585858"/>
                        <w:spacing w:val="3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BÁSICO</w:t>
                    </w:r>
                  </w:p>
                </w:txbxContent>
              </v:textbox>
              <w10:wrap type="none"/>
            </v:shape>
            <v:shape style="position:absolute;left:6383;top:4625;width:174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TOTAL</w:t>
                    </w:r>
                    <w:r>
                      <w:rPr>
                        <w:color w:val="585858"/>
                        <w:spacing w:val="7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DIVERSIFICADO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300" w:right="0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Sistema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Registro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Educación</w:t>
      </w:r>
      <w:r>
        <w:rPr>
          <w:spacing w:val="-2"/>
          <w:sz w:val="16"/>
        </w:rPr>
        <w:t> </w:t>
      </w:r>
      <w:r>
        <w:rPr>
          <w:sz w:val="16"/>
        </w:rPr>
        <w:t>Extraescolar,</w:t>
      </w:r>
      <w:r>
        <w:rPr>
          <w:spacing w:val="-1"/>
          <w:sz w:val="16"/>
        </w:rPr>
        <w:t> </w:t>
      </w:r>
      <w:r>
        <w:rPr>
          <w:sz w:val="16"/>
        </w:rPr>
        <w:t>SIREEX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30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diciembre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2021,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8:00</w:t>
      </w:r>
      <w:r>
        <w:rPr>
          <w:spacing w:val="-1"/>
          <w:sz w:val="16"/>
        </w:rPr>
        <w:t> </w:t>
      </w:r>
      <w:r>
        <w:rPr>
          <w:sz w:val="16"/>
        </w:rPr>
        <w:t>horas.</w:t>
      </w:r>
    </w:p>
    <w:p>
      <w:pPr>
        <w:pStyle w:val="BodyText"/>
        <w:spacing w:before="9"/>
        <w:rPr>
          <w:sz w:val="17"/>
        </w:rPr>
      </w:pPr>
    </w:p>
    <w:p>
      <w:pPr>
        <w:spacing w:before="1"/>
        <w:ind w:left="300" w:right="1095" w:firstLine="0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 Programa Modalidades Flexibles para la Educación Media, en</w:t>
      </w:r>
      <w:r>
        <w:rPr>
          <w:spacing w:val="1"/>
          <w:sz w:val="24"/>
        </w:rPr>
        <w:t> </w:t>
      </w:r>
      <w:r>
        <w:rPr>
          <w:sz w:val="24"/>
        </w:rPr>
        <w:t>el ciclo básico, a nivel</w:t>
      </w:r>
      <w:r>
        <w:rPr>
          <w:spacing w:val="1"/>
          <w:sz w:val="24"/>
        </w:rPr>
        <w:t> </w:t>
      </w:r>
      <w:r>
        <w:rPr>
          <w:sz w:val="24"/>
        </w:rPr>
        <w:t>nacional, la población atendida en 2021, en el rango etario de 13 a 29 años fue del 89% y el 11%</w:t>
      </w:r>
      <w:r>
        <w:rPr>
          <w:spacing w:val="-52"/>
          <w:sz w:val="24"/>
        </w:rPr>
        <w:t> </w:t>
      </w:r>
      <w:r>
        <w:rPr>
          <w:sz w:val="24"/>
        </w:rPr>
        <w:t>de 30 a 59 años; esto evidencia que el programa es una opción educativa para los jóvenes para</w:t>
      </w:r>
      <w:r>
        <w:rPr>
          <w:spacing w:val="1"/>
          <w:sz w:val="24"/>
        </w:rPr>
        <w:t> </w:t>
      </w:r>
      <w:r>
        <w:rPr>
          <w:sz w:val="24"/>
        </w:rPr>
        <w:t>que continúen sus estudios. En el nivel medio, ciclo diversificado, la matrícula por grupo etario</w:t>
      </w:r>
      <w:r>
        <w:rPr>
          <w:spacing w:val="1"/>
          <w:sz w:val="24"/>
        </w:rPr>
        <w:t> </w:t>
      </w:r>
      <w:r>
        <w:rPr>
          <w:sz w:val="24"/>
        </w:rPr>
        <w:t>es similar que, en básico, el 90% está comprendido en las edades de 13 a 29 años y el 10% en</w:t>
      </w:r>
      <w:r>
        <w:rPr>
          <w:spacing w:val="1"/>
          <w:sz w:val="24"/>
        </w:rPr>
        <w:t> </w:t>
      </w:r>
      <w:r>
        <w:rPr>
          <w:sz w:val="24"/>
        </w:rPr>
        <w:t>edades</w:t>
      </w:r>
      <w:r>
        <w:rPr>
          <w:spacing w:val="-3"/>
          <w:sz w:val="24"/>
        </w:rPr>
        <w:t> </w:t>
      </w:r>
      <w:r>
        <w:rPr>
          <w:sz w:val="24"/>
        </w:rPr>
        <w:t>entre</w:t>
      </w:r>
      <w:r>
        <w:rPr>
          <w:spacing w:val="-1"/>
          <w:sz w:val="24"/>
        </w:rPr>
        <w:t> </w:t>
      </w:r>
      <w:r>
        <w:rPr>
          <w:sz w:val="24"/>
        </w:rPr>
        <w:t>30</w:t>
      </w:r>
      <w:r>
        <w:rPr>
          <w:spacing w:val="-1"/>
          <w:sz w:val="24"/>
        </w:rPr>
        <w:t> </w:t>
      </w:r>
      <w:r>
        <w:rPr>
          <w:sz w:val="24"/>
        </w:rPr>
        <w:t>y 59</w:t>
      </w:r>
      <w:r>
        <w:rPr>
          <w:spacing w:val="-1"/>
          <w:sz w:val="24"/>
        </w:rPr>
        <w:t> </w:t>
      </w:r>
      <w:r>
        <w:rPr>
          <w:sz w:val="24"/>
        </w:rPr>
        <w:t>años.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pict>
          <v:rect style="position:absolute;margin-left:563.280029pt;margin-top:10.50268pt;width:25.44pt;height:1.464pt;mso-position-horizontal-relative:page;mso-position-vertical-relative:paragraph;z-index:-1559961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223"/>
      </w:pPr>
      <w:r>
        <w:rPr/>
        <w:t>64</w:t>
      </w:r>
    </w:p>
    <w:p>
      <w:pPr>
        <w:pStyle w:val="BodyText"/>
        <w:spacing w:line="91" w:lineRule="exact"/>
        <w:ind w:left="10125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45pt;height:4.6pt;mso-position-horizontal-relative:char;mso-position-vertical-relative:line" coordorigin="0,0" coordsize="509,92">
            <v:rect style="position:absolute;left:0;top:0;width:509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0"/>
        </w:rPr>
      </w:pPr>
    </w:p>
    <w:p>
      <w:pPr>
        <w:spacing w:line="243" w:lineRule="exact" w:before="59"/>
        <w:ind w:left="32" w:right="989" w:firstLine="0"/>
        <w:jc w:val="center"/>
        <w:rPr>
          <w:sz w:val="20"/>
        </w:rPr>
      </w:pPr>
      <w:bookmarkStart w:name="_bookmark83" w:id="110"/>
      <w:bookmarkEnd w:id="110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56</w:t>
      </w:r>
      <w:r>
        <w:rPr>
          <w:spacing w:val="-2"/>
          <w:sz w:val="20"/>
        </w:rPr>
        <w:t> </w:t>
      </w:r>
      <w:r>
        <w:rPr>
          <w:sz w:val="20"/>
        </w:rPr>
        <w:t>Matrícula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estudiantes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Programa</w:t>
      </w:r>
      <w:r>
        <w:rPr>
          <w:spacing w:val="-2"/>
          <w:sz w:val="20"/>
        </w:rPr>
        <w:t> </w:t>
      </w:r>
      <w:r>
        <w:rPr>
          <w:sz w:val="20"/>
        </w:rPr>
        <w:t>Modalidades</w:t>
      </w:r>
      <w:r>
        <w:rPr>
          <w:spacing w:val="-4"/>
          <w:sz w:val="20"/>
        </w:rPr>
        <w:t> </w:t>
      </w:r>
      <w:r>
        <w:rPr>
          <w:sz w:val="20"/>
        </w:rPr>
        <w:t>Flexibles,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grupo</w:t>
      </w:r>
      <w:r>
        <w:rPr>
          <w:spacing w:val="-3"/>
          <w:sz w:val="20"/>
        </w:rPr>
        <w:t> </w:t>
      </w:r>
      <w:r>
        <w:rPr>
          <w:sz w:val="20"/>
        </w:rPr>
        <w:t>etario,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nacional,</w:t>
      </w:r>
    </w:p>
    <w:p>
      <w:pPr>
        <w:spacing w:line="243" w:lineRule="exact" w:before="0"/>
        <w:ind w:left="32" w:right="556" w:firstLine="0"/>
        <w:jc w:val="center"/>
        <w:rPr>
          <w:sz w:val="20"/>
        </w:rPr>
      </w:pPr>
      <w:r>
        <w:rPr>
          <w:sz w:val="20"/>
        </w:rPr>
        <w:t>año</w:t>
      </w:r>
      <w:r>
        <w:rPr>
          <w:spacing w:val="-1"/>
          <w:sz w:val="20"/>
        </w:rPr>
        <w:t> </w:t>
      </w:r>
      <w:r>
        <w:rPr>
          <w:sz w:val="20"/>
        </w:rPr>
        <w:t>2021</w:t>
      </w:r>
    </w:p>
    <w:p>
      <w:pPr>
        <w:spacing w:after="0" w:line="243" w:lineRule="exact"/>
        <w:jc w:val="center"/>
        <w:rPr>
          <w:sz w:val="20"/>
        </w:rPr>
        <w:sectPr>
          <w:pgSz w:w="12240" w:h="15840"/>
          <w:pgMar w:top="1500" w:bottom="280" w:left="1140" w:right="340"/>
        </w:sectPr>
      </w:pPr>
    </w:p>
    <w:p>
      <w:pPr>
        <w:spacing w:before="100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10,000</w:t>
      </w:r>
    </w:p>
    <w:p>
      <w:pPr>
        <w:spacing w:before="112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8,000</w:t>
      </w:r>
    </w:p>
    <w:p>
      <w:pPr>
        <w:spacing w:before="112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6,000</w:t>
      </w:r>
    </w:p>
    <w:p>
      <w:pPr>
        <w:spacing w:before="112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4,000</w:t>
      </w:r>
    </w:p>
    <w:p>
      <w:pPr>
        <w:spacing w:before="112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2,000</w:t>
      </w:r>
    </w:p>
    <w:p>
      <w:pPr>
        <w:spacing w:before="113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spacing w:before="83"/>
        <w:ind w:left="760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</w:rPr>
        <w:t>8,956</w:t>
      </w:r>
    </w:p>
    <w:p>
      <w:pPr>
        <w:pStyle w:val="BodyText"/>
        <w:spacing w:before="4"/>
        <w:rPr>
          <w:sz w:val="7"/>
        </w:r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pict>
          <v:group style="width:353.4pt;height:74.7pt;mso-position-horizontal-relative:char;mso-position-vertical-relative:line" coordorigin="0,0" coordsize="7068,1494">
            <v:shape style="position:absolute;left:578;top:0;width:5240;height:1487" coordorigin="578,0" coordsize="5240,1487" path="m1106,0l578,0,578,1486,1106,1486,1106,0xm3463,1303l2935,1303,2935,1486,3463,1486,3463,1303xm5817,1483l5289,1483,5289,1486,5817,1486,5817,1483xe" filled="true" fillcolor="#5b9bd4" stroked="false">
              <v:path arrowok="t"/>
              <v:fill type="solid"/>
            </v:shape>
            <v:shape style="position:absolute;left:1250;top:799;width:5240;height:688" coordorigin="1250,799" coordsize="5240,688" path="m1778,799l1250,799,1250,1486,1778,1486,1778,799xm4132,1411l3604,1411,3604,1486,4132,1486,4132,1411xm6489,1484l5961,1484,5961,1486,6489,1486,6489,1484xe" filled="true" fillcolor="#ec7c30" stroked="false">
              <v:path arrowok="t"/>
              <v:fill type="solid"/>
            </v:shape>
            <v:line style="position:absolute" from="0,1486" to="7067,1486" stroked="true" strokeweight=".75pt" strokecolor="#d9d9d9">
              <v:stroke dashstyle="solid"/>
            </v:line>
            <v:shape style="position:absolute;left:1308;top:526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4,139</w:t>
                    </w:r>
                  </w:p>
                </w:txbxContent>
              </v:textbox>
              <w10:wrap type="none"/>
            </v:shape>
            <v:shape style="position:absolute;left:2993;top:1029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1,104</w:t>
                    </w:r>
                  </w:p>
                </w:txbxContent>
              </v:textbox>
              <w10:wrap type="none"/>
            </v:shape>
            <v:shape style="position:absolute;left:3734;top:113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452</w:t>
                    </w:r>
                  </w:p>
                </w:txbxContent>
              </v:textbox>
              <w10:wrap type="none"/>
            </v:shape>
            <v:shape style="position:absolute;left:5464;top:121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6181;top:121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3151" w:val="left" w:leader="none"/>
          <w:tab w:pos="5185" w:val="left" w:leader="none"/>
        </w:tabs>
        <w:spacing w:before="81"/>
        <w:ind w:left="795" w:right="0" w:firstLine="0"/>
        <w:jc w:val="left"/>
        <w:rPr>
          <w:sz w:val="18"/>
        </w:rPr>
      </w:pPr>
      <w:r>
        <w:rPr>
          <w:color w:val="585858"/>
          <w:sz w:val="18"/>
        </w:rPr>
        <w:t>13 A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29 AÑOS</w:t>
        <w:tab/>
        <w:t>30 A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59 AÑOS</w:t>
        <w:tab/>
        <w:t>MAYORES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DE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60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AÑOS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340" w:bottom="280" w:left="1140" w:right="340"/>
          <w:cols w:num="2" w:equalWidth="0">
            <w:col w:w="1495" w:space="40"/>
            <w:col w:w="9225"/>
          </w:cols>
        </w:sectPr>
      </w:pPr>
    </w:p>
    <w:p>
      <w:pPr>
        <w:pStyle w:val="BodyText"/>
        <w:spacing w:before="5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4443776">
            <wp:simplePos x="0" y="0"/>
            <wp:positionH relativeFrom="page">
              <wp:posOffset>0</wp:posOffset>
            </wp:positionH>
            <wp:positionV relativeFrom="page">
              <wp:posOffset>302887</wp:posOffset>
            </wp:positionV>
            <wp:extent cx="7772399" cy="9501333"/>
            <wp:effectExtent l="0" t="0" r="0" b="0"/>
            <wp:wrapNone/>
            <wp:docPr id="17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9" w:lineRule="auto" w:before="64"/>
        <w:ind w:left="2116" w:right="2540" w:firstLine="0"/>
        <w:jc w:val="left"/>
        <w:rPr>
          <w:sz w:val="18"/>
        </w:rPr>
      </w:pPr>
      <w:r>
        <w:rPr/>
        <w:pict>
          <v:rect style="position:absolute;margin-left:155.770004pt;margin-top:6.726036pt;width:4.9433pt;height:4.9433pt;mso-position-horizontal-relative:page;mso-position-vertical-relative:paragraph;z-index:15861248" filled="true" fillcolor="#5b9bd4" stroked="false">
            <v:fill type="solid"/>
            <w10:wrap type="none"/>
          </v:rect>
        </w:pict>
      </w:r>
      <w:r>
        <w:rPr/>
        <w:pict>
          <v:rect style="position:absolute;margin-left:155.770004pt;margin-top:23.606035pt;width:4.9433pt;height:4.9433pt;mso-position-horizontal-relative:page;mso-position-vertical-relative:paragraph;z-index:15861760" filled="true" fillcolor="#ec7c30" stroked="false">
            <v:fill type="solid"/>
            <w10:wrap type="none"/>
          </v:rect>
        </w:pict>
      </w:r>
      <w:r>
        <w:rPr>
          <w:color w:val="585858"/>
          <w:sz w:val="18"/>
        </w:rPr>
        <w:t>PROGRAMA</w:t>
      </w:r>
      <w:r>
        <w:rPr>
          <w:color w:val="585858"/>
          <w:spacing w:val="-6"/>
          <w:sz w:val="18"/>
        </w:rPr>
        <w:t> </w:t>
      </w:r>
      <w:r>
        <w:rPr>
          <w:color w:val="585858"/>
          <w:sz w:val="18"/>
        </w:rPr>
        <w:t>MODALIDADES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FLEXIBLES</w:t>
      </w:r>
      <w:r>
        <w:rPr>
          <w:color w:val="585858"/>
          <w:spacing w:val="-6"/>
          <w:sz w:val="18"/>
        </w:rPr>
        <w:t> </w:t>
      </w:r>
      <w:r>
        <w:rPr>
          <w:color w:val="585858"/>
          <w:sz w:val="18"/>
        </w:rPr>
        <w:t>PARA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EDUCACIÓN</w:t>
      </w:r>
      <w:r>
        <w:rPr>
          <w:color w:val="585858"/>
          <w:spacing w:val="-5"/>
          <w:sz w:val="18"/>
        </w:rPr>
        <w:t> </w:t>
      </w:r>
      <w:r>
        <w:rPr>
          <w:color w:val="585858"/>
          <w:sz w:val="18"/>
        </w:rPr>
        <w:t>MEDIA-CICLO</w:t>
      </w:r>
      <w:r>
        <w:rPr>
          <w:color w:val="585858"/>
          <w:spacing w:val="-5"/>
          <w:sz w:val="18"/>
        </w:rPr>
        <w:t> </w:t>
      </w:r>
      <w:r>
        <w:rPr>
          <w:color w:val="585858"/>
          <w:sz w:val="18"/>
        </w:rPr>
        <w:t>BÁSICO</w:t>
      </w:r>
      <w:r>
        <w:rPr>
          <w:color w:val="585858"/>
          <w:spacing w:val="-38"/>
          <w:sz w:val="18"/>
        </w:rPr>
        <w:t> </w:t>
      </w:r>
      <w:r>
        <w:rPr>
          <w:color w:val="585858"/>
          <w:sz w:val="18"/>
        </w:rPr>
        <w:t>MODALIDADES</w:t>
      </w:r>
      <w:r>
        <w:rPr>
          <w:color w:val="585858"/>
          <w:spacing w:val="-4"/>
          <w:sz w:val="18"/>
        </w:rPr>
        <w:t> </w:t>
      </w:r>
      <w:r>
        <w:rPr>
          <w:color w:val="585858"/>
          <w:sz w:val="18"/>
        </w:rPr>
        <w:t>FLEXIBLES</w:t>
      </w:r>
      <w:r>
        <w:rPr>
          <w:color w:val="585858"/>
          <w:spacing w:val="-6"/>
          <w:sz w:val="18"/>
        </w:rPr>
        <w:t> </w:t>
      </w:r>
      <w:r>
        <w:rPr>
          <w:color w:val="585858"/>
          <w:sz w:val="18"/>
        </w:rPr>
        <w:t>PARA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LA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EDUCACIÓN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MEDIA-CICLO</w:t>
      </w:r>
      <w:r>
        <w:rPr>
          <w:color w:val="585858"/>
          <w:spacing w:val="-5"/>
          <w:sz w:val="18"/>
        </w:rPr>
        <w:t> </w:t>
      </w:r>
      <w:r>
        <w:rPr>
          <w:color w:val="585858"/>
          <w:sz w:val="18"/>
        </w:rPr>
        <w:t>DIVERSIFICADO-</w:t>
      </w:r>
    </w:p>
    <w:p>
      <w:pPr>
        <w:spacing w:before="50"/>
        <w:ind w:left="941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Sistema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Registro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Educación</w:t>
      </w:r>
      <w:r>
        <w:rPr>
          <w:spacing w:val="-2"/>
          <w:sz w:val="16"/>
        </w:rPr>
        <w:t> </w:t>
      </w:r>
      <w:r>
        <w:rPr>
          <w:sz w:val="16"/>
        </w:rPr>
        <w:t>Extraescolar,</w:t>
      </w:r>
      <w:r>
        <w:rPr>
          <w:spacing w:val="-2"/>
          <w:sz w:val="16"/>
        </w:rPr>
        <w:t> </w:t>
      </w:r>
      <w:r>
        <w:rPr>
          <w:sz w:val="16"/>
        </w:rPr>
        <w:t>SIREEX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30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diciembre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2021,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8:00</w:t>
      </w:r>
      <w:r>
        <w:rPr>
          <w:spacing w:val="3"/>
          <w:sz w:val="16"/>
        </w:rPr>
        <w:t> </w:t>
      </w:r>
      <w:r>
        <w:rPr>
          <w:sz w:val="16"/>
        </w:rPr>
        <w:t>horas.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3"/>
        <w:numPr>
          <w:ilvl w:val="1"/>
          <w:numId w:val="4"/>
        </w:numPr>
        <w:tabs>
          <w:tab w:pos="876" w:val="left" w:leader="none"/>
          <w:tab w:pos="877" w:val="left" w:leader="none"/>
        </w:tabs>
        <w:spacing w:line="240" w:lineRule="auto" w:before="0" w:after="0"/>
        <w:ind w:left="876" w:right="0" w:hanging="577"/>
        <w:jc w:val="left"/>
      </w:pPr>
      <w:bookmarkStart w:name="_bookmark84" w:id="111"/>
      <w:bookmarkEnd w:id="111"/>
      <w:r>
        <w:rPr>
          <w:b w:val="0"/>
        </w:rPr>
      </w:r>
      <w:bookmarkStart w:name="_bookmark84" w:id="112"/>
      <w:bookmarkEnd w:id="112"/>
      <w:r>
        <w:rPr>
          <w:color w:val="1F4E79"/>
        </w:rPr>
        <w:t>P</w:t>
      </w:r>
      <w:r>
        <w:rPr>
          <w:color w:val="1F4E79"/>
        </w:rPr>
        <w:t>rograma</w:t>
      </w:r>
      <w:r>
        <w:rPr>
          <w:color w:val="1F4E79"/>
          <w:spacing w:val="-5"/>
        </w:rPr>
        <w:t> </w:t>
      </w:r>
      <w:r>
        <w:rPr>
          <w:color w:val="1F4E79"/>
        </w:rPr>
        <w:t>Centros</w:t>
      </w:r>
      <w:r>
        <w:rPr>
          <w:color w:val="1F4E79"/>
          <w:spacing w:val="-3"/>
        </w:rPr>
        <w:t> </w:t>
      </w:r>
      <w:r>
        <w:rPr>
          <w:color w:val="1F4E79"/>
        </w:rPr>
        <w:t>Municipales</w:t>
      </w:r>
      <w:r>
        <w:rPr>
          <w:color w:val="1F4E79"/>
          <w:spacing w:val="-3"/>
        </w:rPr>
        <w:t> </w:t>
      </w:r>
      <w:r>
        <w:rPr>
          <w:color w:val="1F4E79"/>
        </w:rPr>
        <w:t>de</w:t>
      </w:r>
      <w:r>
        <w:rPr>
          <w:color w:val="1F4E79"/>
          <w:spacing w:val="-7"/>
        </w:rPr>
        <w:t> </w:t>
      </w:r>
      <w:r>
        <w:rPr>
          <w:color w:val="1F4E79"/>
        </w:rPr>
        <w:t>Capacitación</w:t>
      </w:r>
      <w:r>
        <w:rPr>
          <w:color w:val="1F4E79"/>
          <w:spacing w:val="-5"/>
        </w:rPr>
        <w:t> </w:t>
      </w:r>
      <w:r>
        <w:rPr>
          <w:color w:val="1F4E79"/>
        </w:rPr>
        <w:t>y</w:t>
      </w:r>
      <w:r>
        <w:rPr>
          <w:color w:val="1F4E79"/>
          <w:spacing w:val="-4"/>
        </w:rPr>
        <w:t> </w:t>
      </w:r>
      <w:r>
        <w:rPr>
          <w:color w:val="1F4E79"/>
        </w:rPr>
        <w:t>Formación</w:t>
      </w:r>
      <w:r>
        <w:rPr>
          <w:color w:val="1F4E79"/>
          <w:spacing w:val="-5"/>
        </w:rPr>
        <w:t> </w:t>
      </w:r>
      <w:r>
        <w:rPr>
          <w:color w:val="1F4E79"/>
        </w:rPr>
        <w:t>Humana,</w:t>
      </w:r>
      <w:r>
        <w:rPr>
          <w:color w:val="1F4E79"/>
          <w:spacing w:val="-2"/>
        </w:rPr>
        <w:t> </w:t>
      </w:r>
      <w:r>
        <w:rPr>
          <w:color w:val="1F4E79"/>
        </w:rPr>
        <w:t>CEMUCAF</w:t>
      </w:r>
    </w:p>
    <w:p>
      <w:pPr>
        <w:pStyle w:val="BodyText"/>
        <w:rPr>
          <w:b/>
          <w:sz w:val="24"/>
        </w:rPr>
      </w:pPr>
    </w:p>
    <w:p>
      <w:pPr>
        <w:spacing w:line="240" w:lineRule="auto" w:before="187"/>
        <w:ind w:left="300" w:right="1093" w:firstLine="0"/>
        <w:jc w:val="both"/>
        <w:rPr>
          <w:sz w:val="24"/>
        </w:rPr>
      </w:pPr>
      <w:r>
        <w:rPr>
          <w:sz w:val="24"/>
        </w:rPr>
        <w:t>En el 2021 el programa CEMUCAF matriculó a 23,825 estudiantes en los cursos de formación</w:t>
      </w:r>
      <w:r>
        <w:rPr>
          <w:spacing w:val="1"/>
          <w:sz w:val="24"/>
        </w:rPr>
        <w:t> </w:t>
      </w:r>
      <w:r>
        <w:rPr>
          <w:sz w:val="24"/>
        </w:rPr>
        <w:t>técnica laboral, del ellos 4,254 (18%) son hombres y 19,571 (92%) son mujeres. Las Direcciones</w:t>
      </w:r>
      <w:r>
        <w:rPr>
          <w:spacing w:val="1"/>
          <w:sz w:val="24"/>
        </w:rPr>
        <w:t> </w:t>
      </w:r>
      <w:r>
        <w:rPr>
          <w:sz w:val="24"/>
        </w:rPr>
        <w:t>Departamentales de Educación que registraron una mayor matrícula fueron: Chiquimula, San</w:t>
      </w:r>
      <w:r>
        <w:rPr>
          <w:spacing w:val="1"/>
          <w:sz w:val="24"/>
        </w:rPr>
        <w:t> </w:t>
      </w:r>
      <w:r>
        <w:rPr>
          <w:sz w:val="24"/>
        </w:rPr>
        <w:t>Marcos,</w:t>
      </w:r>
      <w:r>
        <w:rPr>
          <w:spacing w:val="-3"/>
          <w:sz w:val="24"/>
        </w:rPr>
        <w:t> </w:t>
      </w:r>
      <w:r>
        <w:rPr>
          <w:sz w:val="24"/>
        </w:rPr>
        <w:t>Guatemala</w:t>
      </w:r>
      <w:r>
        <w:rPr>
          <w:spacing w:val="-4"/>
          <w:sz w:val="24"/>
        </w:rPr>
        <w:t> </w:t>
      </w:r>
      <w:r>
        <w:rPr>
          <w:sz w:val="24"/>
        </w:rPr>
        <w:t>Sur,</w:t>
      </w:r>
      <w:r>
        <w:rPr>
          <w:spacing w:val="-5"/>
          <w:sz w:val="24"/>
        </w:rPr>
        <w:t> </w:t>
      </w:r>
      <w:r>
        <w:rPr>
          <w:sz w:val="24"/>
        </w:rPr>
        <w:t>Izabal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Quetzaltenango.</w:t>
      </w:r>
      <w:r>
        <w:rPr>
          <w:spacing w:val="-4"/>
          <w:sz w:val="24"/>
        </w:rPr>
        <w:t> </w:t>
      </w:r>
      <w:r>
        <w:rPr>
          <w:sz w:val="24"/>
        </w:rPr>
        <w:t>Este</w:t>
      </w:r>
      <w:r>
        <w:rPr>
          <w:spacing w:val="-5"/>
          <w:sz w:val="24"/>
        </w:rPr>
        <w:t> </w:t>
      </w:r>
      <w:r>
        <w:rPr>
          <w:sz w:val="24"/>
        </w:rPr>
        <w:t>programa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implementa</w:t>
      </w:r>
      <w:r>
        <w:rPr>
          <w:spacing w:val="-4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apoyo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1"/>
          <w:sz w:val="24"/>
        </w:rPr>
        <w:t> </w:t>
      </w:r>
      <w:r>
        <w:rPr>
          <w:sz w:val="24"/>
        </w:rPr>
        <w:t>municipalidades, Fundaciones y Organizaciones que proveen espacios físicos y equipamiento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7"/>
          <w:sz w:val="24"/>
        </w:rPr>
        <w:t> </w:t>
      </w:r>
      <w:r>
        <w:rPr>
          <w:sz w:val="24"/>
        </w:rPr>
        <w:t>facilitar</w:t>
      </w:r>
      <w:r>
        <w:rPr>
          <w:spacing w:val="-7"/>
          <w:sz w:val="24"/>
        </w:rPr>
        <w:t> </w:t>
      </w:r>
      <w:r>
        <w:rPr>
          <w:sz w:val="24"/>
        </w:rPr>
        <w:t>cursos.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64%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población</w:t>
      </w:r>
      <w:r>
        <w:rPr>
          <w:spacing w:val="-6"/>
          <w:sz w:val="24"/>
        </w:rPr>
        <w:t> </w:t>
      </w:r>
      <w:r>
        <w:rPr>
          <w:sz w:val="24"/>
        </w:rPr>
        <w:t>se</w:t>
      </w:r>
      <w:r>
        <w:rPr>
          <w:spacing w:val="-8"/>
          <w:sz w:val="24"/>
        </w:rPr>
        <w:t> </w:t>
      </w:r>
      <w:r>
        <w:rPr>
          <w:sz w:val="24"/>
        </w:rPr>
        <w:t>atiende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área</w:t>
      </w:r>
      <w:r>
        <w:rPr>
          <w:spacing w:val="-7"/>
          <w:sz w:val="24"/>
        </w:rPr>
        <w:t> </w:t>
      </w:r>
      <w:r>
        <w:rPr>
          <w:sz w:val="24"/>
        </w:rPr>
        <w:t>urbana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11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36%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área</w:t>
      </w:r>
      <w:r>
        <w:rPr>
          <w:spacing w:val="-8"/>
          <w:sz w:val="24"/>
        </w:rPr>
        <w:t> </w:t>
      </w:r>
      <w:r>
        <w:rPr>
          <w:sz w:val="24"/>
        </w:rPr>
        <w:t>rural.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pict>
          <v:rect style="position:absolute;margin-left:563.280029pt;margin-top:14.627724pt;width:25.44pt;height:1.464pt;mso-position-horizontal-relative:page;mso-position-vertical-relative:paragraph;z-index:-1559756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223"/>
      </w:pPr>
      <w:r>
        <w:rPr/>
        <w:t>65</w:t>
      </w:r>
    </w:p>
    <w:p>
      <w:pPr>
        <w:pStyle w:val="BodyText"/>
        <w:spacing w:line="91" w:lineRule="exact"/>
        <w:ind w:left="10125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45pt;height:4.6pt;mso-position-horizontal-relative:char;mso-position-vertical-relative:line" coordorigin="0,0" coordsize="509,92">
            <v:rect style="position:absolute;left:0;top:0;width:509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type w:val="continuous"/>
          <w:pgSz w:w="12240" w:h="15840"/>
          <w:pgMar w:top="34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446848">
            <wp:simplePos x="0" y="0"/>
            <wp:positionH relativeFrom="page">
              <wp:posOffset>0</wp:posOffset>
            </wp:positionH>
            <wp:positionV relativeFrom="page">
              <wp:posOffset>302887</wp:posOffset>
            </wp:positionV>
            <wp:extent cx="7772399" cy="9501333"/>
            <wp:effectExtent l="0" t="0" r="0" b="0"/>
            <wp:wrapNone/>
            <wp:docPr id="17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spacing w:before="59"/>
        <w:ind w:left="32" w:right="992" w:firstLine="0"/>
        <w:jc w:val="center"/>
        <w:rPr>
          <w:sz w:val="20"/>
        </w:rPr>
      </w:pPr>
      <w:r>
        <w:rPr/>
        <w:pict>
          <v:group style="position:absolute;margin-left:71.625pt;margin-top:14.696499pt;width:447.8pt;height:260.25pt;mso-position-horizontal-relative:page;mso-position-vertical-relative:paragraph;z-index:15864320" coordorigin="1433,294" coordsize="8956,5205">
            <v:line style="position:absolute" from="2147,2469" to="10161,2469" stroked="true" strokeweight=".75pt" strokecolor="#d9d9d9">
              <v:stroke dashstyle="solid"/>
            </v:line>
            <v:shape style="position:absolute;left:2205;top:2411;width:7760;height:544" coordorigin="2206,2411" coordsize="7760,544" path="m2258,2824l2206,2824,2206,2955,2258,2955,2258,2824xm2875,2517l2822,2517,2822,2955,2875,2955,2875,2517xm3185,2440l3130,2440,3130,2955,3185,2955,3185,2440xm3492,2759l3439,2759,3439,2955,3492,2955,3492,2759xm3802,2937l3746,2937,3746,2955,3802,2955,3802,2937xm4109,2822l4056,2822,4056,2955,4109,2955,4109,2822xm4416,2411l4363,2411,4363,2955,4416,2955,4416,2411xm4726,2899l4670,2899,4670,2955,4726,2955,4726,2899xm5033,2757l4980,2757,4980,2955,5033,2955,5033,2757xm5342,2767l5287,2767,5287,2955,5342,2955,5342,2767xm5650,2651l5597,2651,5597,2955,5650,2955,5650,2651xm5959,2824l5904,2824,5904,2955,5959,2955,5959,2824xm6266,2911l6214,2911,6214,2955,6266,2955,6266,2911xm6574,2925l6521,2925,6521,2955,6574,2955,6574,2925xm6883,2788l6830,2788,6830,2955,6883,2955,6883,2788xm7190,2887l7138,2887,7138,2955,7190,2955,7190,2887xm7807,2947l7754,2947,7754,2955,7807,2955,7807,2947xm8117,2829l8062,2829,8062,2955,8117,2955,8117,2829xm8424,2822l8371,2822,8371,2955,8424,2955,8424,2822xm8734,2625l8678,2625,8678,2955,8734,2955,8734,2625xm9041,2937l8988,2937,8988,2955,9041,2955,9041,2937xm9348,2846l9295,2846,9295,2955,9348,2955,9348,2846xm9658,2932l9602,2932,9602,2955,9658,2955,9658,2932xm9965,2731l9912,2731,9912,2955,9965,2955,9965,2731xe" filled="true" fillcolor="#5b9bd4" stroked="false">
              <v:path arrowok="t"/>
              <v:fill type="solid"/>
            </v:shape>
            <v:rect style="position:absolute;left:2272;top:2699;width:56;height:256" filled="true" fillcolor="#ec7c30" stroked="false">
              <v:fill type="solid"/>
            </v:rect>
            <v:rect style="position:absolute;left:2512;top:2946;width:56;height:9" filled="true" fillcolor="#5b9bd4" stroked="false">
              <v:fill type="solid"/>
            </v:rect>
            <v:shape style="position:absolute;left:2582;top:2099;width:363;height:856" coordorigin="2582,2099" coordsize="363,856" path="m2635,2764l2582,2764,2582,2955,2635,2955,2635,2764xm2945,2099l2890,2099,2890,2955,2945,2955,2945,2099xe" filled="true" fillcolor="#ec7c30" stroked="false">
              <v:path arrowok="t"/>
              <v:fill type="solid"/>
            </v:shape>
            <v:shape style="position:absolute;left:2146;top:1494;width:8015;height:488" coordorigin="2147,1495" coordsize="8015,488" path="m2147,1982l10161,1982m2147,1495l10161,1495e" filled="false" stroked="true" strokeweight=".75pt" strokecolor="#d9d9d9">
              <v:path arrowok="t"/>
              <v:stroke dashstyle="solid"/>
            </v:shape>
            <v:shape style="position:absolute;left:3199;top:1144;width:6836;height:1811" coordorigin="3199,1144" coordsize="6836,1811" path="m3252,1449l3199,1449,3199,2955,3252,2955,3252,1449xm3562,2555l3506,2555,3506,2955,3562,2955,3562,2555xm3869,1903l3816,1903,3816,2955,3869,2955,3869,1903xm4176,2831l4123,2831,4123,2955,4176,2955,4176,2831xm4486,2551l4433,2551,4433,2955,4486,2955,4486,2551xm4793,1483l4740,1483,4740,2955,4793,2955,4793,1483xm5102,1466l5047,1466,5047,2955,5102,2955,5102,1466xm5410,2227l5357,2227,5357,2955,5410,2955,5410,2227xm5719,1603l5664,1603,5664,2955,5719,2955,5719,1603xm6026,2613l5974,2613,5974,2955,6026,2955,6026,2613xm6336,1516l6281,1516,6281,2955,6336,2955,6336,1516xm6643,2791l6590,2791,6590,2955,6643,2955,6643,2791xm6950,1627l6898,1627,6898,2955,6950,2955,6950,1627xm7260,2872l7205,2872,7205,2955,7260,2955,7260,2872xm7877,2745l7822,2745,7822,2955,7877,2955,7877,2745xm8184,2006l8131,2006,8131,2955,8184,2955,8184,2006xm8494,1144l8438,1144,8438,2955,8494,2955,8494,1144xm8801,2512l8748,2512,8748,2955,8801,2955,8801,2512xm9108,2342l9055,2342,9055,2955,9108,2955,9108,2342xm9418,2800l9362,2800,9362,2955,9418,2955,9418,2800xm9725,2282l9672,2282,9672,2955,9725,2955,9725,2282xm10034,1943l9979,1943,9979,2955,10034,2955,10034,1943xe" filled="true" fillcolor="#ec7c30" stroked="false">
              <v:path arrowok="t"/>
              <v:fill type="solid"/>
            </v:shape>
            <v:shape style="position:absolute;left:2342;top:1660;width:670;height:1295" coordorigin="2342,1660" coordsize="670,1295" path="m2395,2567l2342,2567,2342,2955,2395,2955,2395,2567xm2705,2755l2650,2755,2650,2955,2705,2955,2705,2755xm3012,1660l2959,1660,2959,2955,3012,2955,3012,1660xe" filled="true" fillcolor="#a4a4a4" stroked="false">
              <v:path arrowok="t"/>
              <v:fill type="solid"/>
            </v:shape>
            <v:line style="position:absolute" from="2147,1007" to="10161,1007" stroked="true" strokeweight=".75pt" strokecolor="#d9d9d9">
              <v:stroke dashstyle="solid"/>
            </v:line>
            <v:shape style="position:absolute;left:3266;top:933;width:6836;height:2022" coordorigin="3266,933" coordsize="6836,2022" path="m3322,933l3266,933,3266,2955,3322,2955,3322,933xm3629,2361l3576,2361,3576,2955,3629,2955,3629,2361xm3938,1886l3883,1886,3883,2955,3938,2955,3938,1886xm4246,2697l4193,2697,4193,2955,4246,2955,4246,2697xm4553,2006l4500,2006,4500,2955,4553,2955,4553,2006xm4862,1427l4807,1427,4807,2955,4862,2955,4862,1427xm5170,1269l5117,1269,5117,2955,5170,2955,5170,1269xm5479,2037l5424,2037,5424,2955,5479,2955,5479,2037xm5786,1298l5734,1298,5734,2955,5786,2955,5786,1298xm6096,2481l6041,2481,6041,2955,6096,2955,6096,2481xm6403,1471l6350,1471,6350,2955,6403,2955,6403,1471xm6710,2759l6658,2759,6658,2955,6710,2955,6710,2759xm7020,1459l6965,1459,6965,2955,7020,2955,7020,1459xm7327,2805l7274,2805,7274,2955,7327,2955,7327,2805xm7944,2738l7891,2738,7891,2955,7944,2955,7944,2738xm8254,1881l8198,1881,8198,2955,8254,2955,8254,1881xm8561,1010l8508,1010,8508,2955,8561,2955,8561,1010xm8868,2183l8815,2183,8815,2955,8868,2955,8868,2183xm9178,2325l9122,2325,9122,2955,9178,2955,9178,2325xm9485,2692l9432,2692,9432,2955,9485,2955,9485,2692xm9794,2258l9739,2258,9739,2955,9794,2955,9794,2258xm10102,1718l10049,1718,10049,2955,10102,2955,10102,1718xe" filled="true" fillcolor="#a4a4a4" stroked="false">
              <v:path arrowok="t"/>
              <v:fill type="solid"/>
            </v:shape>
            <v:shape style="position:absolute;left:2146;top:521;width:8015;height:2434" coordorigin="2147,521" coordsize="8015,2434" path="m2147,2955l10161,2955m2147,521l10161,521e" filled="false" stroked="true" strokeweight=".75pt" strokecolor="#d9d9d9">
              <v:path arrowok="t"/>
              <v:stroke dashstyle="solid"/>
            </v:shape>
            <v:rect style="position:absolute;left:4375;top:5153;width:99;height:99" filled="true" fillcolor="#5b9bd4" stroked="false">
              <v:fill type="solid"/>
            </v:rect>
            <v:rect style="position:absolute;left:5627;top:5153;width:99;height:99" filled="true" fillcolor="#ec7c30" stroked="false">
              <v:fill type="solid"/>
            </v:rect>
            <v:rect style="position:absolute;left:6780;top:5153;width:99;height:99" filled="true" fillcolor="#a4a4a4" stroked="false">
              <v:fill type="solid"/>
            </v:rect>
            <v:rect style="position:absolute;left:1440;top:301;width:8941;height:5190" filled="false" stroked="true" strokeweight=".75pt" strokecolor="#d9d9d9">
              <v:stroke dashstyle="solid"/>
            </v:rect>
            <v:shape style="position:absolute;left:1570;top:437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2,500</w:t>
                    </w:r>
                  </w:p>
                </w:txbxContent>
              </v:textbox>
              <w10:wrap type="none"/>
            </v:shape>
            <v:shape style="position:absolute;left:3089;top:660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2,076</w:t>
                    </w:r>
                  </w:p>
                </w:txbxContent>
              </v:textbox>
              <w10:wrap type="none"/>
            </v:shape>
            <v:shape style="position:absolute;left:8330;top:737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1,997</w:t>
                    </w:r>
                  </w:p>
                </w:txbxContent>
              </v:textbox>
              <w10:wrap type="none"/>
            </v:shape>
            <v:shape style="position:absolute;left:1570;top:924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2,000</w:t>
                    </w:r>
                  </w:p>
                </w:txbxContent>
              </v:textbox>
              <w10:wrap type="none"/>
            </v:shape>
            <v:shape style="position:absolute;left:4630;top:994;width:739;height:340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30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1,733</w:t>
                    </w:r>
                  </w:p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1,569</w:t>
                    </w:r>
                  </w:p>
                </w:txbxContent>
              </v:textbox>
              <w10:wrap type="none"/>
            </v:shape>
            <v:shape style="position:absolute;left:5555;top:1022;width:43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1,703</w:t>
                    </w:r>
                  </w:p>
                </w:txbxContent>
              </v:textbox>
              <w10:wrap type="none"/>
            </v:shape>
            <v:shape style="position:absolute;left:6172;top:1185;width:1049;height:192" type="#_x0000_t202" filled="false" stroked="false">
              <v:textbox inset="0,0,0,0">
                <w:txbxContent>
                  <w:p>
                    <w:pPr>
                      <w:tabs>
                        <w:tab w:pos="616" w:val="left" w:leader="none"/>
                      </w:tabs>
                      <w:spacing w:line="19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1,524</w:t>
                      <w:tab/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>1,536</w:t>
                    </w:r>
                  </w:p>
                </w:txbxContent>
              </v:textbox>
              <w10:wrap type="none"/>
            </v:shape>
            <v:shape style="position:absolute;left:1570;top:1387;width:1641;height:204" type="#_x0000_t202" filled="false" stroked="false">
              <v:textbox inset="0,0,0,0">
                <w:txbxContent>
                  <w:p>
                    <w:pPr>
                      <w:tabs>
                        <w:tab w:pos="1210" w:val="left" w:leader="none"/>
                      </w:tabs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-1"/>
                        <w:sz w:val="18"/>
                      </w:rPr>
                      <w:t>1,500</w:t>
                      <w:tab/>
                    </w:r>
                    <w:r>
                      <w:rPr>
                        <w:color w:val="404040"/>
                        <w:sz w:val="18"/>
                      </w:rPr>
                      <w:t>1,329</w:t>
                    </w:r>
                  </w:p>
                </w:txbxContent>
              </v:textbox>
              <w10:wrap type="none"/>
            </v:shape>
            <v:shape style="position:absolute;left:9871;top:1445;width:43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1,270</w:t>
                    </w:r>
                  </w:p>
                </w:txbxContent>
              </v:textbox>
              <w10:wrap type="none"/>
            </v:shape>
            <v:shape style="position:absolute;left:3705;top:1612;width:43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1,098</w:t>
                    </w:r>
                  </w:p>
                </w:txbxContent>
              </v:textbox>
              <w10:wrap type="none"/>
            </v:shape>
            <v:shape style="position:absolute;left:4389;top:173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974</w:t>
                    </w:r>
                  </w:p>
                </w:txbxContent>
              </v:textbox>
              <w10:wrap type="none"/>
            </v:shape>
            <v:shape style="position:absolute;left:8022;top:1606;width:43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1,103</w:t>
                    </w:r>
                  </w:p>
                </w:txbxContent>
              </v:textbox>
              <w10:wrap type="none"/>
            </v:shape>
            <v:shape style="position:absolute;left:1570;top:1897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1,000</w:t>
                    </w:r>
                  </w:p>
                </w:txbxContent>
              </v:textbox>
              <w10:wrap type="none"/>
            </v:shape>
            <v:shape style="position:absolute;left:5314;top:176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942</w:t>
                    </w:r>
                  </w:p>
                </w:txbxContent>
              </v:textbox>
              <w10:wrap type="none"/>
            </v:shape>
            <v:shape style="position:absolute;left:8705;top:1909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793</w:t>
                    </w:r>
                  </w:p>
                </w:txbxContent>
              </v:textbox>
              <w10:wrap type="none"/>
            </v:shape>
            <v:shape style="position:absolute;left:3464;top:208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611</w:t>
                    </w:r>
                  </w:p>
                </w:txbxContent>
              </v:textbox>
              <w10:wrap type="none"/>
            </v:shape>
            <v:shape style="position:absolute;left:9014;top:2050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648</w:t>
                    </w:r>
                  </w:p>
                </w:txbxContent>
              </v:textbox>
              <w10:wrap type="none"/>
            </v:shape>
            <v:shape style="position:absolute;left:9630;top:198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716</w:t>
                    </w:r>
                  </w:p>
                </w:txbxContent>
              </v:textbox>
              <w10:wrap type="none"/>
            </v:shape>
            <v:shape style="position:absolute;left:1706;top:238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2231;top:2294;width:294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397</w:t>
                    </w:r>
                  </w:p>
                </w:txbxContent>
              </v:textbox>
              <w10:wrap type="none"/>
            </v:shape>
            <v:shape style="position:absolute;left:5931;top:220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486</w:t>
                    </w:r>
                  </w:p>
                </w:txbxContent>
              </v:textbox>
              <w10:wrap type="none"/>
            </v:shape>
            <v:shape style="position:absolute;left:2539;top:2481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205</w:t>
                    </w:r>
                  </w:p>
                </w:txbxContent>
              </v:textbox>
              <w10:wrap type="none"/>
            </v:shape>
            <v:shape style="position:absolute;left:4081;top:242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265</w:t>
                    </w:r>
                  </w:p>
                </w:txbxContent>
              </v:textbox>
              <w10:wrap type="none"/>
            </v:shape>
            <v:shape style="position:absolute;left:6547;top:248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201</w:t>
                    </w:r>
                  </w:p>
                </w:txbxContent>
              </v:textbox>
              <w10:wrap type="none"/>
            </v:shape>
            <v:shape style="position:absolute;left:7164;top:2530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155</w:t>
                    </w:r>
                  </w:p>
                </w:txbxContent>
              </v:textbox>
              <w10:wrap type="none"/>
            </v:shape>
            <v:shape style="position:absolute;left:7780;top:246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224</w:t>
                    </w:r>
                  </w:p>
                </w:txbxContent>
              </v:textbox>
              <w10:wrap type="none"/>
            </v:shape>
            <v:shape style="position:absolute;left:9322;top:241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270</w:t>
                    </w:r>
                  </w:p>
                </w:txbxContent>
              </v:textbox>
              <w10:wrap type="none"/>
            </v:shape>
            <v:shape style="position:absolute;left:1888;top:287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517;top:5119;width:2899;height:180" type="#_x0000_t202" filled="false" stroked="false">
              <v:textbox inset="0,0,0,0">
                <w:txbxContent>
                  <w:p>
                    <w:pPr>
                      <w:tabs>
                        <w:tab w:pos="1252" w:val="left" w:leader="none"/>
                        <w:tab w:pos="2404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MASCULINO</w:t>
                      <w:tab/>
                      <w:t>FEMENINO</w:t>
                      <w:tab/>
                      <w:t>TOTAL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85" w:id="113"/>
      <w:bookmarkEnd w:id="113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57</w:t>
      </w:r>
      <w:r>
        <w:rPr>
          <w:spacing w:val="-2"/>
          <w:sz w:val="20"/>
        </w:rPr>
        <w:t> </w:t>
      </w:r>
      <w:r>
        <w:rPr>
          <w:sz w:val="20"/>
        </w:rPr>
        <w:t>Matrícula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estudiantes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Programa</w:t>
      </w:r>
      <w:r>
        <w:rPr>
          <w:spacing w:val="-3"/>
          <w:sz w:val="20"/>
        </w:rPr>
        <w:t> </w:t>
      </w:r>
      <w:r>
        <w:rPr>
          <w:sz w:val="20"/>
        </w:rPr>
        <w:t>CEMUCAF</w:t>
      </w:r>
      <w:r>
        <w:rPr>
          <w:spacing w:val="-3"/>
          <w:sz w:val="20"/>
        </w:rPr>
        <w:t> </w:t>
      </w:r>
      <w:r>
        <w:rPr>
          <w:sz w:val="20"/>
        </w:rPr>
        <w:t>según</w:t>
      </w:r>
      <w:r>
        <w:rPr>
          <w:spacing w:val="-2"/>
          <w:sz w:val="20"/>
        </w:rPr>
        <w:t> </w:t>
      </w:r>
      <w:r>
        <w:rPr>
          <w:sz w:val="20"/>
        </w:rPr>
        <w:t>DIDEDUC.</w:t>
      </w:r>
      <w:r>
        <w:rPr>
          <w:spacing w:val="-4"/>
          <w:sz w:val="20"/>
        </w:rPr>
        <w:t> </w:t>
      </w:r>
      <w:r>
        <w:rPr>
          <w:sz w:val="20"/>
        </w:rPr>
        <w:t>Año</w:t>
      </w:r>
      <w:r>
        <w:rPr>
          <w:spacing w:val="-2"/>
          <w:sz w:val="20"/>
        </w:rPr>
        <w:t> </w:t>
      </w:r>
      <w:r>
        <w:rPr>
          <w:sz w:val="20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spacing w:before="1"/>
        <w:ind w:left="32" w:right="987" w:firstLine="0"/>
        <w:jc w:val="center"/>
        <w:rPr>
          <w:sz w:val="16"/>
        </w:rPr>
      </w:pPr>
      <w:r>
        <w:rPr/>
        <w:pict>
          <v:shape style="position:absolute;margin-left:110.311996pt;margin-top:-122.028458pt;width:396.45pt;height:93.85pt;mso-position-horizontal-relative:page;mso-position-vertical-relative:paragraph;z-index:15864832" type="#_x0000_t202" filled="false" stroked="false">
            <v:textbox inset="0,0,0,0" style="layout-flow:vertical;mso-layout-flow-alt:bottom-to-top">
              <w:txbxContent>
                <w:p>
                  <w:pPr>
                    <w:spacing w:line="204" w:lineRule="exact" w:before="0"/>
                    <w:ind w:left="0" w:right="20" w:firstLine="0"/>
                    <w:jc w:val="right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ALTA</w:t>
                  </w:r>
                  <w:r>
                    <w:rPr>
                      <w:color w:val="585858"/>
                      <w:spacing w:val="-7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VERAPAZ</w:t>
                  </w:r>
                </w:p>
                <w:p>
                  <w:pPr>
                    <w:spacing w:line="336" w:lineRule="auto" w:before="89"/>
                    <w:ind w:left="358" w:right="18" w:firstLine="418"/>
                    <w:jc w:val="right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BAJA VERAPAZ</w:t>
                  </w:r>
                  <w:r>
                    <w:rPr>
                      <w:color w:val="585858"/>
                      <w:spacing w:val="-38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CHIMALTENANGO</w:t>
                  </w:r>
                  <w:r>
                    <w:rPr>
                      <w:color w:val="585858"/>
                      <w:spacing w:val="1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CHIQUIMULA</w:t>
                  </w:r>
                  <w:r>
                    <w:rPr>
                      <w:color w:val="585858"/>
                      <w:spacing w:val="1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PROGRESO</w:t>
                  </w:r>
                  <w:r>
                    <w:rPr>
                      <w:color w:val="585858"/>
                      <w:spacing w:val="1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ESCUINTLA</w:t>
                  </w:r>
                  <w:r>
                    <w:rPr>
                      <w:color w:val="585858"/>
                      <w:spacing w:val="1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GUATEMALA</w:t>
                  </w:r>
                  <w:r>
                    <w:rPr>
                      <w:color w:val="585858"/>
                      <w:spacing w:val="-7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NORTE</w:t>
                  </w:r>
                </w:p>
                <w:p>
                  <w:pPr>
                    <w:spacing w:line="336" w:lineRule="auto" w:before="4"/>
                    <w:ind w:left="225" w:right="18" w:hanging="205"/>
                    <w:jc w:val="right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GUATEMALA OCCIDENTE</w:t>
                  </w:r>
                  <w:r>
                    <w:rPr>
                      <w:color w:val="585858"/>
                      <w:spacing w:val="-38"/>
                      <w:sz w:val="18"/>
                    </w:rPr>
                    <w:t> </w:t>
                  </w:r>
                  <w:r>
                    <w:rPr>
                      <w:color w:val="585858"/>
                      <w:spacing w:val="-1"/>
                      <w:sz w:val="18"/>
                    </w:rPr>
                    <w:t>GUATEMALA </w:t>
                  </w:r>
                  <w:r>
                    <w:rPr>
                      <w:color w:val="585858"/>
                      <w:sz w:val="18"/>
                    </w:rPr>
                    <w:t>ORIENTE</w:t>
                  </w:r>
                  <w:r>
                    <w:rPr>
                      <w:color w:val="585858"/>
                      <w:spacing w:val="-38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GUATEMALA SUR</w:t>
                  </w:r>
                  <w:r>
                    <w:rPr>
                      <w:color w:val="585858"/>
                      <w:spacing w:val="1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HUEHUETENANGO</w:t>
                  </w:r>
                </w:p>
                <w:p>
                  <w:pPr>
                    <w:spacing w:line="336" w:lineRule="auto" w:before="2"/>
                    <w:ind w:left="1247" w:right="18" w:firstLine="96"/>
                    <w:jc w:val="right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IZABAL</w:t>
                  </w:r>
                  <w:r>
                    <w:rPr>
                      <w:color w:val="585858"/>
                      <w:spacing w:val="-38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JALAPA</w:t>
                  </w:r>
                  <w:r>
                    <w:rPr>
                      <w:color w:val="585858"/>
                      <w:spacing w:val="1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JUTIAPA</w:t>
                  </w:r>
                  <w:r>
                    <w:rPr>
                      <w:color w:val="585858"/>
                      <w:spacing w:val="-38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PETÉN</w:t>
                  </w:r>
                </w:p>
                <w:p>
                  <w:pPr>
                    <w:spacing w:before="3"/>
                    <w:ind w:left="0" w:right="19" w:firstLine="0"/>
                    <w:jc w:val="right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QUETZALTENANGO</w:t>
                  </w:r>
                </w:p>
                <w:p>
                  <w:pPr>
                    <w:spacing w:line="336" w:lineRule="auto" w:before="89"/>
                    <w:ind w:left="702" w:right="19" w:firstLine="574"/>
                    <w:jc w:val="right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QUICHÉ</w:t>
                  </w:r>
                  <w:r>
                    <w:rPr>
                      <w:color w:val="585858"/>
                      <w:spacing w:val="-38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QUICHÉ NORTE</w:t>
                  </w:r>
                  <w:r>
                    <w:rPr>
                      <w:color w:val="585858"/>
                      <w:spacing w:val="-38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RETALHULEU</w:t>
                  </w:r>
                  <w:r>
                    <w:rPr>
                      <w:color w:val="585858"/>
                      <w:spacing w:val="1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SACATEPÉQUEZ</w:t>
                  </w:r>
                  <w:r>
                    <w:rPr>
                      <w:color w:val="585858"/>
                      <w:spacing w:val="-38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SAN MARCOS</w:t>
                  </w:r>
                  <w:r>
                    <w:rPr>
                      <w:color w:val="585858"/>
                      <w:spacing w:val="1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SANTA</w:t>
                  </w:r>
                  <w:r>
                    <w:rPr>
                      <w:color w:val="585858"/>
                      <w:spacing w:val="-3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ROSA</w:t>
                  </w:r>
                </w:p>
                <w:p>
                  <w:pPr>
                    <w:spacing w:line="336" w:lineRule="auto" w:before="4"/>
                    <w:ind w:left="637" w:right="19" w:firstLine="640"/>
                    <w:jc w:val="right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SOLOLÁ</w:t>
                  </w:r>
                  <w:r>
                    <w:rPr>
                      <w:color w:val="585858"/>
                      <w:spacing w:val="-38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SUCHITEPÉQUEZ</w:t>
                  </w:r>
                  <w:r>
                    <w:rPr>
                      <w:color w:val="585858"/>
                      <w:spacing w:val="-38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TOTONICAPÁN</w:t>
                  </w:r>
                </w:p>
                <w:p>
                  <w:pPr>
                    <w:spacing w:before="2"/>
                    <w:ind w:left="0" w:right="19" w:firstLine="0"/>
                    <w:jc w:val="right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ZACAPA</w:t>
                  </w:r>
                </w:p>
              </w:txbxContent>
            </v:textbox>
            <w10:wrap type="none"/>
          </v:shape>
        </w:pict>
      </w: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Sistema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Registro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Educación</w:t>
      </w:r>
      <w:r>
        <w:rPr>
          <w:spacing w:val="-2"/>
          <w:sz w:val="16"/>
        </w:rPr>
        <w:t> </w:t>
      </w:r>
      <w:r>
        <w:rPr>
          <w:sz w:val="16"/>
        </w:rPr>
        <w:t>Extraescolar,</w:t>
      </w:r>
      <w:r>
        <w:rPr>
          <w:spacing w:val="-1"/>
          <w:sz w:val="16"/>
        </w:rPr>
        <w:t> </w:t>
      </w:r>
      <w:r>
        <w:rPr>
          <w:sz w:val="16"/>
        </w:rPr>
        <w:t>SIREEX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30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diciembre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2021,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8:00</w:t>
      </w:r>
      <w:r>
        <w:rPr>
          <w:spacing w:val="-2"/>
          <w:sz w:val="16"/>
        </w:rPr>
        <w:t> </w:t>
      </w:r>
      <w:r>
        <w:rPr>
          <w:sz w:val="16"/>
        </w:rPr>
        <w:t>horas.</w:t>
      </w:r>
    </w:p>
    <w:p>
      <w:pPr>
        <w:pStyle w:val="BodyText"/>
        <w:rPr>
          <w:sz w:val="16"/>
        </w:rPr>
      </w:pPr>
    </w:p>
    <w:p>
      <w:pPr>
        <w:spacing w:before="100"/>
        <w:ind w:left="300" w:right="1096" w:firstLine="0"/>
        <w:jc w:val="both"/>
        <w:rPr>
          <w:sz w:val="24"/>
        </w:rPr>
      </w:pPr>
      <w:r>
        <w:rPr>
          <w:sz w:val="24"/>
        </w:rPr>
        <w:t>El Programa CEMUCAF en el año 2021 matriculó principalmente población joven entre 13 y 29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años,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56%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población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inscrita</w:t>
      </w:r>
      <w:r>
        <w:rPr>
          <w:spacing w:val="-11"/>
          <w:sz w:val="24"/>
        </w:rPr>
        <w:t> </w:t>
      </w:r>
      <w:r>
        <w:rPr>
          <w:sz w:val="24"/>
        </w:rPr>
        <w:t>se</w:t>
      </w:r>
      <w:r>
        <w:rPr>
          <w:spacing w:val="-14"/>
          <w:sz w:val="24"/>
        </w:rPr>
        <w:t> </w:t>
      </w:r>
      <w:r>
        <w:rPr>
          <w:sz w:val="24"/>
        </w:rPr>
        <w:t>ubicó</w:t>
      </w:r>
      <w:r>
        <w:rPr>
          <w:spacing w:val="-13"/>
          <w:sz w:val="24"/>
        </w:rPr>
        <w:t> </w:t>
      </w:r>
      <w:r>
        <w:rPr>
          <w:sz w:val="24"/>
        </w:rPr>
        <w:t>en</w:t>
      </w:r>
      <w:r>
        <w:rPr>
          <w:spacing w:val="-11"/>
          <w:sz w:val="24"/>
        </w:rPr>
        <w:t> </w:t>
      </w:r>
      <w:r>
        <w:rPr>
          <w:sz w:val="24"/>
        </w:rPr>
        <w:t>ese</w:t>
      </w:r>
      <w:r>
        <w:rPr>
          <w:spacing w:val="-11"/>
          <w:sz w:val="24"/>
        </w:rPr>
        <w:t> </w:t>
      </w:r>
      <w:r>
        <w:rPr>
          <w:sz w:val="24"/>
        </w:rPr>
        <w:t>rango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edad.</w:t>
      </w:r>
      <w:r>
        <w:rPr>
          <w:spacing w:val="-12"/>
          <w:sz w:val="24"/>
        </w:rPr>
        <w:t> </w:t>
      </w:r>
      <w:r>
        <w:rPr>
          <w:sz w:val="24"/>
        </w:rPr>
        <w:t>El</w:t>
      </w:r>
      <w:r>
        <w:rPr>
          <w:spacing w:val="-13"/>
          <w:sz w:val="24"/>
        </w:rPr>
        <w:t> </w:t>
      </w:r>
      <w:r>
        <w:rPr>
          <w:sz w:val="24"/>
        </w:rPr>
        <w:t>40%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población</w:t>
      </w:r>
      <w:r>
        <w:rPr>
          <w:spacing w:val="-11"/>
          <w:sz w:val="24"/>
        </w:rPr>
        <w:t> </w:t>
      </w:r>
      <w:r>
        <w:rPr>
          <w:sz w:val="24"/>
        </w:rPr>
        <w:t>inscrita</w:t>
      </w:r>
      <w:r>
        <w:rPr>
          <w:spacing w:val="-52"/>
          <w:sz w:val="24"/>
        </w:rPr>
        <w:t> </w:t>
      </w:r>
      <w:r>
        <w:rPr>
          <w:sz w:val="24"/>
        </w:rPr>
        <w:t>está ubicada en el rango de edad de 30 a 59 años, también se inscribieron 963 personas adultas</w:t>
      </w:r>
      <w:r>
        <w:rPr>
          <w:spacing w:val="-52"/>
          <w:sz w:val="24"/>
        </w:rPr>
        <w:t> </w:t>
      </w:r>
      <w:r>
        <w:rPr>
          <w:sz w:val="24"/>
        </w:rPr>
        <w:t>mayores en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cursos</w:t>
      </w:r>
      <w:r>
        <w:rPr>
          <w:spacing w:val="-2"/>
          <w:sz w:val="24"/>
        </w:rPr>
        <w:t> </w:t>
      </w:r>
      <w:r>
        <w:rPr>
          <w:sz w:val="24"/>
        </w:rPr>
        <w:t>técnicos de</w:t>
      </w:r>
      <w:r>
        <w:rPr>
          <w:spacing w:val="-2"/>
          <w:sz w:val="24"/>
        </w:rPr>
        <w:t> </w:t>
      </w:r>
      <w:r>
        <w:rPr>
          <w:sz w:val="24"/>
        </w:rPr>
        <w:t>formación</w:t>
      </w:r>
      <w:r>
        <w:rPr>
          <w:spacing w:val="-1"/>
          <w:sz w:val="24"/>
        </w:rPr>
        <w:t> </w:t>
      </w:r>
      <w:r>
        <w:rPr>
          <w:sz w:val="24"/>
        </w:rPr>
        <w:t>laboral</w:t>
      </w:r>
      <w:r>
        <w:rPr>
          <w:spacing w:val="1"/>
          <w:sz w:val="24"/>
        </w:rPr>
        <w:t> </w:t>
      </w:r>
      <w:r>
        <w:rPr>
          <w:sz w:val="24"/>
        </w:rPr>
        <w:t>y emprendimiento.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32" w:right="990" w:firstLine="0"/>
        <w:jc w:val="center"/>
        <w:rPr>
          <w:sz w:val="20"/>
        </w:rPr>
      </w:pPr>
      <w:bookmarkStart w:name="_bookmark86" w:id="114"/>
      <w:bookmarkEnd w:id="114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58</w:t>
      </w:r>
      <w:r>
        <w:rPr>
          <w:spacing w:val="-2"/>
          <w:sz w:val="20"/>
        </w:rPr>
        <w:t> </w:t>
      </w:r>
      <w:r>
        <w:rPr>
          <w:sz w:val="20"/>
        </w:rPr>
        <w:t>Matrícula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Programa</w:t>
      </w:r>
      <w:r>
        <w:rPr>
          <w:spacing w:val="-3"/>
          <w:sz w:val="20"/>
        </w:rPr>
        <w:t> </w:t>
      </w:r>
      <w:r>
        <w:rPr>
          <w:sz w:val="20"/>
        </w:rPr>
        <w:t>CEMUCAF,</w:t>
      </w:r>
      <w:r>
        <w:rPr>
          <w:spacing w:val="-2"/>
          <w:sz w:val="20"/>
        </w:rPr>
        <w:t> </w:t>
      </w:r>
      <w:r>
        <w:rPr>
          <w:sz w:val="20"/>
        </w:rPr>
        <w:t>según</w:t>
      </w:r>
      <w:r>
        <w:rPr>
          <w:spacing w:val="-2"/>
          <w:sz w:val="20"/>
        </w:rPr>
        <w:t> </w:t>
      </w:r>
      <w:r>
        <w:rPr>
          <w:sz w:val="20"/>
        </w:rPr>
        <w:t>grupo</w:t>
      </w:r>
      <w:r>
        <w:rPr>
          <w:spacing w:val="-2"/>
          <w:sz w:val="20"/>
        </w:rPr>
        <w:t> </w:t>
      </w:r>
      <w:r>
        <w:rPr>
          <w:sz w:val="20"/>
        </w:rPr>
        <w:t>etario,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3"/>
          <w:sz w:val="20"/>
        </w:rPr>
        <w:t> </w:t>
      </w:r>
      <w:r>
        <w:rPr>
          <w:sz w:val="20"/>
        </w:rPr>
        <w:t>nacional,</w:t>
      </w:r>
      <w:r>
        <w:rPr>
          <w:spacing w:val="-2"/>
          <w:sz w:val="20"/>
        </w:rPr>
        <w:t> </w:t>
      </w:r>
      <w:r>
        <w:rPr>
          <w:sz w:val="20"/>
        </w:rPr>
        <w:t>año</w:t>
      </w:r>
      <w:r>
        <w:rPr>
          <w:spacing w:val="-2"/>
          <w:sz w:val="20"/>
        </w:rPr>
        <w:t> </w:t>
      </w:r>
      <w:r>
        <w:rPr>
          <w:sz w:val="20"/>
        </w:rPr>
        <w:t>2021.</w:t>
      </w:r>
    </w:p>
    <w:p>
      <w:pPr>
        <w:pStyle w:val="BodyText"/>
        <w:ind w:left="300"/>
        <w:rPr>
          <w:sz w:val="20"/>
        </w:rPr>
      </w:pPr>
      <w:r>
        <w:rPr>
          <w:sz w:val="20"/>
        </w:rPr>
        <w:pict>
          <v:group style="width:453.75pt;height:159.75pt;mso-position-horizontal-relative:char;mso-position-vertical-relative:line" coordorigin="0,0" coordsize="9075,3195">
            <v:rect style="position:absolute;left:0;top:0;width:9075;height:3195" filled="true" fillcolor="#ffffff" stroked="false">
              <v:fill type="solid"/>
            </v:rect>
            <v:shape style="position:absolute;left:1447;top:354;width:6713;height:2377" coordorigin="1447,354" coordsize="6713,2377" path="m2083,2729l1447,2729,1447,2731,2083,2731,2083,2729xm4109,354l3473,354,3473,2731,4109,2731,4109,354xm6134,1007l5498,1007,5498,2731,6134,2731,6134,1007xm8160,2557l7524,2557,7524,2731,8160,2731,8160,2557xe" filled="true" fillcolor="#5b9bd4" stroked="false">
              <v:path arrowok="t"/>
              <v:fill type="solid"/>
            </v:shape>
            <v:line style="position:absolute" from="753,2731" to="8855,2731" stroked="true" strokeweight=".75pt" strokecolor="#d9d9d9">
              <v:stroke dashstyle="solid"/>
            </v:line>
            <v:shape style="position:absolute;left:130;top:137;width:47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14000</w:t>
                    </w:r>
                  </w:p>
                </w:txbxContent>
              </v:textbox>
              <w10:wrap type="none"/>
            </v:shape>
            <v:shape style="position:absolute;left:3540;top:82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13,247</w:t>
                    </w:r>
                  </w:p>
                </w:txbxContent>
              </v:textbox>
              <w10:wrap type="none"/>
            </v:shape>
            <v:shape style="position:absolute;left:130;top:496;width:476;height:539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12000</w:t>
                    </w:r>
                  </w:p>
                  <w:p>
                    <w:pPr>
                      <w:spacing w:line="216" w:lineRule="exact" w:before="13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10000</w:t>
                    </w:r>
                  </w:p>
                </w:txbxContent>
              </v:textbox>
              <w10:wrap type="none"/>
            </v:shape>
            <v:shape style="position:absolute;left:5611;top:734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9,613</w:t>
                    </w:r>
                  </w:p>
                </w:txbxContent>
              </v:textbox>
              <w10:wrap type="none"/>
            </v:shape>
            <v:shape style="position:absolute;left:221;top:1213;width:385;height:125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8000</w:t>
                    </w: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6000</w:t>
                    </w: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4000</w:t>
                    </w:r>
                  </w:p>
                  <w:p>
                    <w:pPr>
                      <w:spacing w:line="216" w:lineRule="exact" w:before="13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7706;top:228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963</w:t>
                    </w:r>
                  </w:p>
                </w:txbxContent>
              </v:textbox>
              <w10:wrap type="none"/>
            </v:shape>
            <v:shape style="position:absolute;left:1720;top:245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95;top:264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305;top:2882;width:94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 A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12 AÑOS</w:t>
                    </w:r>
                  </w:p>
                </w:txbxContent>
              </v:textbox>
              <w10:wrap type="none"/>
            </v:shape>
            <v:shape style="position:absolute;left:3285;top:2882;width:10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13 A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29 AÑOS</w:t>
                    </w:r>
                  </w:p>
                </w:txbxContent>
              </v:textbox>
              <w10:wrap type="none"/>
            </v:shape>
            <v:shape style="position:absolute;left:5311;top:2882;width:10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 A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59 AÑOS</w:t>
                    </w:r>
                  </w:p>
                </w:txbxContent>
              </v:textbox>
              <w10:wrap type="none"/>
            </v:shape>
            <v:shape style="position:absolute;left:7014;top:2882;width:16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MAYORES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DE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60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AÑOS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0"/>
        <w:ind w:left="32" w:right="983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Sistema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Registro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Educación</w:t>
      </w:r>
      <w:r>
        <w:rPr>
          <w:spacing w:val="-2"/>
          <w:sz w:val="16"/>
        </w:rPr>
        <w:t> </w:t>
      </w:r>
      <w:r>
        <w:rPr>
          <w:sz w:val="16"/>
        </w:rPr>
        <w:t>Extraescolar,</w:t>
      </w:r>
      <w:r>
        <w:rPr>
          <w:spacing w:val="-2"/>
          <w:sz w:val="16"/>
        </w:rPr>
        <w:t> </w:t>
      </w:r>
      <w:r>
        <w:rPr>
          <w:sz w:val="16"/>
        </w:rPr>
        <w:t>SIREEX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30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diciembre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2021,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8:00</w:t>
      </w:r>
      <w:r>
        <w:rPr>
          <w:spacing w:val="-1"/>
          <w:sz w:val="16"/>
        </w:rPr>
        <w:t> </w:t>
      </w:r>
      <w:r>
        <w:rPr>
          <w:sz w:val="16"/>
        </w:rPr>
        <w:t>horas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pict>
          <v:rect style="position:absolute;margin-left:563.280029pt;margin-top:8.380190pt;width:25.44pt;height:1.464pt;mso-position-horizontal-relative:page;mso-position-vertical-relative:paragraph;z-index:-1559449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223"/>
      </w:pPr>
      <w:r>
        <w:rPr/>
        <w:t>66</w:t>
      </w:r>
    </w:p>
    <w:p>
      <w:pPr>
        <w:pStyle w:val="BodyText"/>
        <w:spacing w:line="91" w:lineRule="exact"/>
        <w:ind w:left="10125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45pt;height:4.6pt;mso-position-horizontal-relative:char;mso-position-vertical-relative:line" coordorigin="0,0" coordsize="509,92">
            <v:rect style="position:absolute;left:0;top:0;width:509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449920">
            <wp:simplePos x="0" y="0"/>
            <wp:positionH relativeFrom="page">
              <wp:posOffset>0</wp:posOffset>
            </wp:positionH>
            <wp:positionV relativeFrom="page">
              <wp:posOffset>302887</wp:posOffset>
            </wp:positionV>
            <wp:extent cx="7772399" cy="9501333"/>
            <wp:effectExtent l="0" t="0" r="0" b="0"/>
            <wp:wrapNone/>
            <wp:docPr id="17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1"/>
          <w:numId w:val="4"/>
        </w:numPr>
        <w:tabs>
          <w:tab w:pos="876" w:val="left" w:leader="none"/>
          <w:tab w:pos="877" w:val="left" w:leader="none"/>
        </w:tabs>
        <w:spacing w:line="240" w:lineRule="auto" w:before="52" w:after="0"/>
        <w:ind w:left="876" w:right="0" w:hanging="577"/>
        <w:jc w:val="left"/>
      </w:pPr>
      <w:bookmarkStart w:name="_bookmark87" w:id="115"/>
      <w:bookmarkEnd w:id="115"/>
      <w:r>
        <w:rPr>
          <w:b w:val="0"/>
        </w:rPr>
      </w:r>
      <w:bookmarkStart w:name="_bookmark87" w:id="116"/>
      <w:bookmarkEnd w:id="116"/>
      <w:r>
        <w:rPr>
          <w:color w:val="1F4E79"/>
        </w:rPr>
        <w:t>P</w:t>
      </w:r>
      <w:r>
        <w:rPr>
          <w:color w:val="1F4E79"/>
        </w:rPr>
        <w:t>rograma</w:t>
      </w:r>
      <w:r>
        <w:rPr>
          <w:color w:val="1F4E79"/>
          <w:spacing w:val="-6"/>
        </w:rPr>
        <w:t> </w:t>
      </w:r>
      <w:r>
        <w:rPr>
          <w:color w:val="1F4E79"/>
        </w:rPr>
        <w:t>Nacional</w:t>
      </w:r>
      <w:r>
        <w:rPr>
          <w:color w:val="1F4E79"/>
          <w:spacing w:val="-5"/>
        </w:rPr>
        <w:t> </w:t>
      </w:r>
      <w:r>
        <w:rPr>
          <w:color w:val="1F4E79"/>
        </w:rPr>
        <w:t>de</w:t>
      </w:r>
      <w:r>
        <w:rPr>
          <w:color w:val="1F4E79"/>
          <w:spacing w:val="-5"/>
        </w:rPr>
        <w:t> </w:t>
      </w:r>
      <w:r>
        <w:rPr>
          <w:color w:val="1F4E79"/>
        </w:rPr>
        <w:t>Educación</w:t>
      </w:r>
      <w:r>
        <w:rPr>
          <w:color w:val="1F4E79"/>
          <w:spacing w:val="-3"/>
        </w:rPr>
        <w:t> </w:t>
      </w:r>
      <w:r>
        <w:rPr>
          <w:color w:val="1F4E79"/>
        </w:rPr>
        <w:t>Alternativa,</w:t>
      </w:r>
      <w:r>
        <w:rPr>
          <w:color w:val="1F4E79"/>
          <w:spacing w:val="-3"/>
        </w:rPr>
        <w:t> </w:t>
      </w:r>
      <w:r>
        <w:rPr>
          <w:color w:val="1F4E79"/>
        </w:rPr>
        <w:t>PRONEA,</w:t>
      </w:r>
    </w:p>
    <w:p>
      <w:pPr>
        <w:pStyle w:val="BodyText"/>
        <w:rPr>
          <w:b/>
          <w:sz w:val="24"/>
        </w:rPr>
      </w:pPr>
    </w:p>
    <w:p>
      <w:pPr>
        <w:spacing w:line="240" w:lineRule="auto" w:before="187"/>
        <w:ind w:left="300" w:right="1095" w:firstLine="0"/>
        <w:jc w:val="both"/>
        <w:rPr>
          <w:sz w:val="24"/>
        </w:rPr>
      </w:pPr>
      <w:r>
        <w:rPr>
          <w:sz w:val="24"/>
        </w:rPr>
        <w:t>El Programa Nacional de Educación Alternativa, PRONEA, en al año 2021 matriculó a 6,363</w:t>
      </w:r>
      <w:r>
        <w:rPr>
          <w:spacing w:val="1"/>
          <w:sz w:val="24"/>
        </w:rPr>
        <w:t> </w:t>
      </w:r>
      <w:r>
        <w:rPr>
          <w:sz w:val="24"/>
        </w:rPr>
        <w:t>estudiantes a nivel nacional, de ellos el 2,235 (35%) fue población masculina y 4,128 (65%) fue</w:t>
      </w:r>
      <w:r>
        <w:rPr>
          <w:spacing w:val="1"/>
          <w:sz w:val="24"/>
        </w:rPr>
        <w:t> </w:t>
      </w:r>
      <w:r>
        <w:rPr>
          <w:sz w:val="24"/>
        </w:rPr>
        <w:t>población</w:t>
      </w:r>
      <w:r>
        <w:rPr>
          <w:spacing w:val="-10"/>
          <w:sz w:val="24"/>
        </w:rPr>
        <w:t> </w:t>
      </w:r>
      <w:r>
        <w:rPr>
          <w:sz w:val="24"/>
        </w:rPr>
        <w:t>femenina.</w:t>
      </w:r>
      <w:r>
        <w:rPr>
          <w:spacing w:val="33"/>
          <w:sz w:val="24"/>
        </w:rPr>
        <w:t> </w:t>
      </w:r>
      <w:r>
        <w:rPr>
          <w:sz w:val="24"/>
        </w:rPr>
        <w:t>Según</w:t>
      </w:r>
      <w:r>
        <w:rPr>
          <w:spacing w:val="-10"/>
          <w:sz w:val="24"/>
        </w:rPr>
        <w:t> </w:t>
      </w:r>
      <w:r>
        <w:rPr>
          <w:sz w:val="24"/>
        </w:rPr>
        <w:t>el</w:t>
      </w:r>
      <w:r>
        <w:rPr>
          <w:spacing w:val="-12"/>
          <w:sz w:val="24"/>
        </w:rPr>
        <w:t> </w:t>
      </w:r>
      <w:r>
        <w:rPr>
          <w:sz w:val="24"/>
        </w:rPr>
        <w:t>nivel</w:t>
      </w:r>
      <w:r>
        <w:rPr>
          <w:spacing w:val="-11"/>
          <w:sz w:val="24"/>
        </w:rPr>
        <w:t> </w:t>
      </w:r>
      <w:r>
        <w:rPr>
          <w:sz w:val="24"/>
        </w:rPr>
        <w:t>educativo,</w:t>
      </w:r>
      <w:r>
        <w:rPr>
          <w:spacing w:val="-11"/>
          <w:sz w:val="24"/>
        </w:rPr>
        <w:t> </w:t>
      </w:r>
      <w:r>
        <w:rPr>
          <w:sz w:val="24"/>
        </w:rPr>
        <w:t>el</w:t>
      </w:r>
      <w:r>
        <w:rPr>
          <w:spacing w:val="-12"/>
          <w:sz w:val="24"/>
        </w:rPr>
        <w:t> </w:t>
      </w:r>
      <w:r>
        <w:rPr>
          <w:sz w:val="24"/>
        </w:rPr>
        <w:t>nivel</w:t>
      </w:r>
      <w:r>
        <w:rPr>
          <w:spacing w:val="-11"/>
          <w:sz w:val="24"/>
        </w:rPr>
        <w:t> </w:t>
      </w:r>
      <w:r>
        <w:rPr>
          <w:sz w:val="24"/>
        </w:rPr>
        <w:t>primario</w:t>
      </w:r>
      <w:r>
        <w:rPr>
          <w:spacing w:val="-11"/>
          <w:sz w:val="24"/>
        </w:rPr>
        <w:t> </w:t>
      </w:r>
      <w:r>
        <w:rPr>
          <w:sz w:val="24"/>
        </w:rPr>
        <w:t>representó</w:t>
      </w:r>
      <w:r>
        <w:rPr>
          <w:spacing w:val="-12"/>
          <w:sz w:val="24"/>
        </w:rPr>
        <w:t> </w:t>
      </w:r>
      <w:r>
        <w:rPr>
          <w:sz w:val="24"/>
        </w:rPr>
        <w:t>el</w:t>
      </w:r>
      <w:r>
        <w:rPr>
          <w:spacing w:val="-10"/>
          <w:sz w:val="24"/>
        </w:rPr>
        <w:t> </w:t>
      </w:r>
      <w:r>
        <w:rPr>
          <w:sz w:val="24"/>
        </w:rPr>
        <w:t>23%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matrícula</w:t>
      </w:r>
      <w:r>
        <w:rPr>
          <w:spacing w:val="-52"/>
          <w:sz w:val="24"/>
        </w:rPr>
        <w:t> </w:t>
      </w:r>
      <w:r>
        <w:rPr>
          <w:sz w:val="24"/>
        </w:rPr>
        <w:t>con 1,512 estudiantes, de ellos el 518 (34%) fueron hombres y 944 (66%) fueron mujeres. La</w:t>
      </w:r>
      <w:r>
        <w:rPr>
          <w:spacing w:val="1"/>
          <w:sz w:val="24"/>
        </w:rPr>
        <w:t> </w:t>
      </w:r>
      <w:r>
        <w:rPr>
          <w:sz w:val="24"/>
        </w:rPr>
        <w:t>matrícula del nivel medio, ciclo básico representó el 50% de la matrícula, con 3,151 estudiantes</w:t>
      </w:r>
      <w:r>
        <w:rPr>
          <w:spacing w:val="1"/>
          <w:sz w:val="24"/>
        </w:rPr>
        <w:t> </w:t>
      </w:r>
      <w:r>
        <w:rPr>
          <w:sz w:val="24"/>
        </w:rPr>
        <w:t>inscritos, de ellos 1,131 (36%) fueron hombres y 2,020 (64%) fueron mujeres. La matrícula del</w:t>
      </w:r>
      <w:r>
        <w:rPr>
          <w:spacing w:val="1"/>
          <w:sz w:val="24"/>
        </w:rPr>
        <w:t> </w:t>
      </w:r>
      <w:r>
        <w:rPr>
          <w:sz w:val="24"/>
        </w:rPr>
        <w:t>nivel medio, ciclo diversificado, representó el 27% con 1,700 estudiantes inscritos, de ellos 586</w:t>
      </w:r>
      <w:r>
        <w:rPr>
          <w:spacing w:val="1"/>
          <w:sz w:val="24"/>
        </w:rPr>
        <w:t> </w:t>
      </w:r>
      <w:r>
        <w:rPr>
          <w:sz w:val="24"/>
        </w:rPr>
        <w:t>(34%) fueron hombres y 1,114 (66%) fueron mujeres. Lo anterior evidencia que el programa</w:t>
      </w:r>
      <w:r>
        <w:rPr>
          <w:spacing w:val="1"/>
          <w:sz w:val="24"/>
        </w:rPr>
        <w:t> </w:t>
      </w:r>
      <w:r>
        <w:rPr>
          <w:sz w:val="24"/>
        </w:rPr>
        <w:t>ofrece</w:t>
      </w:r>
      <w:r>
        <w:rPr>
          <w:spacing w:val="-7"/>
          <w:sz w:val="24"/>
        </w:rPr>
        <w:t> </w:t>
      </w:r>
      <w:r>
        <w:rPr>
          <w:sz w:val="24"/>
        </w:rPr>
        <w:t>oportunidades</w:t>
      </w:r>
      <w:r>
        <w:rPr>
          <w:spacing w:val="-6"/>
          <w:sz w:val="24"/>
        </w:rPr>
        <w:t> </w:t>
      </w:r>
      <w:r>
        <w:rPr>
          <w:sz w:val="24"/>
        </w:rPr>
        <w:t>educativa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toda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población</w:t>
      </w:r>
      <w:r>
        <w:rPr>
          <w:spacing w:val="-5"/>
          <w:sz w:val="24"/>
        </w:rPr>
        <w:t> </w:t>
      </w:r>
      <w:r>
        <w:rPr>
          <w:sz w:val="24"/>
        </w:rPr>
        <w:t>pueda</w:t>
      </w:r>
      <w:r>
        <w:rPr>
          <w:spacing w:val="-6"/>
          <w:sz w:val="24"/>
        </w:rPr>
        <w:t> </w:t>
      </w:r>
      <w:r>
        <w:rPr>
          <w:sz w:val="24"/>
        </w:rPr>
        <w:t>iniciar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retomar</w:t>
      </w:r>
      <w:r>
        <w:rPr>
          <w:spacing w:val="-6"/>
          <w:sz w:val="24"/>
        </w:rPr>
        <w:t> </w:t>
      </w:r>
      <w:r>
        <w:rPr>
          <w:sz w:val="24"/>
        </w:rPr>
        <w:t>sus</w:t>
      </w:r>
      <w:r>
        <w:rPr>
          <w:spacing w:val="-8"/>
          <w:sz w:val="24"/>
        </w:rPr>
        <w:t> </w:t>
      </w:r>
      <w:r>
        <w:rPr>
          <w:sz w:val="24"/>
        </w:rPr>
        <w:t>estudios,</w:t>
      </w:r>
      <w:r>
        <w:rPr>
          <w:spacing w:val="-51"/>
          <w:sz w:val="24"/>
        </w:rPr>
        <w:t> </w:t>
      </w:r>
      <w:r>
        <w:rPr>
          <w:sz w:val="24"/>
        </w:rPr>
        <w:t>y por la flexibilidad del programa las jóvenes y mujeres son beneficiadas al considerar que en</w:t>
      </w:r>
      <w:r>
        <w:rPr>
          <w:spacing w:val="1"/>
          <w:sz w:val="24"/>
        </w:rPr>
        <w:t> </w:t>
      </w:r>
      <w:r>
        <w:rPr>
          <w:sz w:val="24"/>
        </w:rPr>
        <w:t>todos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niveles</w:t>
      </w:r>
      <w:r>
        <w:rPr>
          <w:spacing w:val="-2"/>
          <w:sz w:val="24"/>
        </w:rPr>
        <w:t> </w:t>
      </w:r>
      <w:r>
        <w:rPr>
          <w:sz w:val="24"/>
        </w:rPr>
        <w:t>educativos se</w:t>
      </w:r>
      <w:r>
        <w:rPr>
          <w:spacing w:val="-1"/>
          <w:sz w:val="24"/>
        </w:rPr>
        <w:t> </w:t>
      </w:r>
      <w:r>
        <w:rPr>
          <w:sz w:val="24"/>
        </w:rPr>
        <w:t>inscribieron</w:t>
      </w:r>
      <w:r>
        <w:rPr>
          <w:spacing w:val="1"/>
          <w:sz w:val="24"/>
        </w:rPr>
        <w:t> </w:t>
      </w:r>
      <w:r>
        <w:rPr>
          <w:sz w:val="24"/>
        </w:rPr>
        <w:t>mayoritariamente mujeres.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300" w:right="1093" w:firstLine="0"/>
        <w:jc w:val="both"/>
        <w:rPr>
          <w:sz w:val="24"/>
        </w:rPr>
      </w:pP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cobertura</w:t>
      </w:r>
      <w:r>
        <w:rPr>
          <w:spacing w:val="-11"/>
          <w:sz w:val="24"/>
        </w:rPr>
        <w:t> </w:t>
      </w:r>
      <w:r>
        <w:rPr>
          <w:sz w:val="24"/>
        </w:rPr>
        <w:t>del</w:t>
      </w:r>
      <w:r>
        <w:rPr>
          <w:spacing w:val="-10"/>
          <w:sz w:val="24"/>
        </w:rPr>
        <w:t> </w:t>
      </w:r>
      <w:r>
        <w:rPr>
          <w:sz w:val="24"/>
        </w:rPr>
        <w:t>programa</w:t>
      </w:r>
      <w:r>
        <w:rPr>
          <w:spacing w:val="-9"/>
          <w:sz w:val="24"/>
        </w:rPr>
        <w:t> </w:t>
      </w:r>
      <w:r>
        <w:rPr>
          <w:sz w:val="24"/>
        </w:rPr>
        <w:t>PRONEA</w:t>
      </w:r>
      <w:r>
        <w:rPr>
          <w:spacing w:val="-11"/>
          <w:sz w:val="24"/>
        </w:rPr>
        <w:t> </w:t>
      </w:r>
      <w:r>
        <w:rPr>
          <w:sz w:val="24"/>
        </w:rPr>
        <w:t>en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año</w:t>
      </w:r>
      <w:r>
        <w:rPr>
          <w:spacing w:val="-11"/>
          <w:sz w:val="24"/>
        </w:rPr>
        <w:t> </w:t>
      </w:r>
      <w:r>
        <w:rPr>
          <w:sz w:val="24"/>
        </w:rPr>
        <w:t>2021</w:t>
      </w:r>
      <w:r>
        <w:rPr>
          <w:spacing w:val="-10"/>
          <w:sz w:val="24"/>
        </w:rPr>
        <w:t> </w:t>
      </w:r>
      <w:r>
        <w:rPr>
          <w:sz w:val="24"/>
        </w:rPr>
        <w:t>fue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nivel</w:t>
      </w:r>
      <w:r>
        <w:rPr>
          <w:spacing w:val="-11"/>
          <w:sz w:val="24"/>
        </w:rPr>
        <w:t> </w:t>
      </w:r>
      <w:r>
        <w:rPr>
          <w:sz w:val="24"/>
        </w:rPr>
        <w:t>nacional,</w:t>
      </w:r>
      <w:r>
        <w:rPr>
          <w:spacing w:val="-11"/>
          <w:sz w:val="24"/>
        </w:rPr>
        <w:t> </w:t>
      </w:r>
      <w:r>
        <w:rPr>
          <w:sz w:val="24"/>
        </w:rPr>
        <w:t>sin</w:t>
      </w:r>
      <w:r>
        <w:rPr>
          <w:spacing w:val="-10"/>
          <w:sz w:val="24"/>
        </w:rPr>
        <w:t> </w:t>
      </w:r>
      <w:r>
        <w:rPr>
          <w:sz w:val="24"/>
        </w:rPr>
        <w:t>embargo</w:t>
      </w:r>
      <w:r>
        <w:rPr>
          <w:spacing w:val="-11"/>
          <w:sz w:val="24"/>
        </w:rPr>
        <w:t> </w:t>
      </w:r>
      <w:r>
        <w:rPr>
          <w:sz w:val="24"/>
        </w:rPr>
        <w:t>fueron</w:t>
      </w:r>
      <w:r>
        <w:rPr>
          <w:spacing w:val="-10"/>
          <w:sz w:val="24"/>
        </w:rPr>
        <w:t> </w:t>
      </w:r>
      <w:r>
        <w:rPr>
          <w:sz w:val="24"/>
        </w:rPr>
        <w:t>cinco</w:t>
      </w:r>
      <w:r>
        <w:rPr>
          <w:spacing w:val="-52"/>
          <w:sz w:val="24"/>
        </w:rPr>
        <w:t> </w:t>
      </w:r>
      <w:r>
        <w:rPr>
          <w:sz w:val="24"/>
        </w:rPr>
        <w:t>Direcciones</w:t>
      </w:r>
      <w:r>
        <w:rPr>
          <w:spacing w:val="1"/>
          <w:sz w:val="24"/>
        </w:rPr>
        <w:t> </w:t>
      </w:r>
      <w:r>
        <w:rPr>
          <w:sz w:val="24"/>
        </w:rPr>
        <w:t>Departamentales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registraron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50%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matrícula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nivel</w:t>
      </w:r>
      <w:r>
        <w:rPr>
          <w:spacing w:val="-52"/>
          <w:sz w:val="24"/>
        </w:rPr>
        <w:t> </w:t>
      </w:r>
      <w:r>
        <w:rPr>
          <w:sz w:val="24"/>
        </w:rPr>
        <w:t>nacional siendo estas Guatemala Oriente (17%), Guatemala Sur (14%), Jutiapa (7%), Jalapa y</w:t>
      </w:r>
      <w:r>
        <w:rPr>
          <w:spacing w:val="1"/>
          <w:sz w:val="24"/>
        </w:rPr>
        <w:t> </w:t>
      </w:r>
      <w:r>
        <w:rPr>
          <w:sz w:val="24"/>
        </w:rPr>
        <w:t>Chimaltenango</w:t>
      </w:r>
      <w:r>
        <w:rPr>
          <w:spacing w:val="-3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6%</w:t>
      </w:r>
      <w:r>
        <w:rPr>
          <w:spacing w:val="-1"/>
          <w:sz w:val="24"/>
        </w:rPr>
        <w:t> </w:t>
      </w:r>
      <w:r>
        <w:rPr>
          <w:sz w:val="24"/>
        </w:rPr>
        <w:t>cada una.</w:t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32" w:right="988" w:firstLine="0"/>
        <w:jc w:val="center"/>
        <w:rPr>
          <w:sz w:val="20"/>
        </w:rPr>
      </w:pPr>
      <w:bookmarkStart w:name="_bookmark88" w:id="117"/>
      <w:bookmarkEnd w:id="117"/>
      <w:r>
        <w:rPr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59</w:t>
      </w:r>
      <w:r>
        <w:rPr>
          <w:spacing w:val="-3"/>
          <w:sz w:val="20"/>
        </w:rPr>
        <w:t> </w:t>
      </w:r>
      <w:r>
        <w:rPr>
          <w:sz w:val="20"/>
        </w:rPr>
        <w:t>Matrícula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Programa</w:t>
      </w:r>
      <w:r>
        <w:rPr>
          <w:spacing w:val="-2"/>
          <w:sz w:val="20"/>
        </w:rPr>
        <w:t> </w:t>
      </w:r>
      <w:r>
        <w:rPr>
          <w:sz w:val="20"/>
        </w:rPr>
        <w:t>PRONEA,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3"/>
          <w:sz w:val="20"/>
        </w:rPr>
        <w:t> </w:t>
      </w:r>
      <w:r>
        <w:rPr>
          <w:sz w:val="20"/>
        </w:rPr>
        <w:t>educativo,</w:t>
      </w:r>
      <w:r>
        <w:rPr>
          <w:spacing w:val="-3"/>
          <w:sz w:val="20"/>
        </w:rPr>
        <w:t> </w:t>
      </w:r>
      <w:r>
        <w:rPr>
          <w:sz w:val="20"/>
        </w:rPr>
        <w:t>según</w:t>
      </w:r>
      <w:r>
        <w:rPr>
          <w:spacing w:val="-2"/>
          <w:sz w:val="20"/>
        </w:rPr>
        <w:t> </w:t>
      </w:r>
      <w:r>
        <w:rPr>
          <w:sz w:val="20"/>
        </w:rPr>
        <w:t>DIDEDUC.</w:t>
      </w:r>
      <w:r>
        <w:rPr>
          <w:spacing w:val="-4"/>
          <w:sz w:val="20"/>
        </w:rPr>
        <w:t> </w:t>
      </w:r>
      <w:r>
        <w:rPr>
          <w:sz w:val="20"/>
        </w:rPr>
        <w:t>Año</w:t>
      </w:r>
      <w:r>
        <w:rPr>
          <w:spacing w:val="-2"/>
          <w:sz w:val="20"/>
        </w:rPr>
        <w:t> </w:t>
      </w:r>
      <w:r>
        <w:rPr>
          <w:sz w:val="20"/>
        </w:rPr>
        <w:t>2021.</w:t>
      </w:r>
    </w:p>
    <w:p>
      <w:pPr>
        <w:pStyle w:val="BodyText"/>
        <w:ind w:left="300"/>
        <w:rPr>
          <w:sz w:val="20"/>
        </w:rPr>
      </w:pPr>
      <w:r>
        <w:rPr>
          <w:sz w:val="20"/>
        </w:rPr>
        <w:pict>
          <v:group style="width:496.5pt;height:203.25pt;mso-position-horizontal-relative:char;mso-position-vertical-relative:line" coordorigin="0,0" coordsize="9930,4065">
            <v:rect style="position:absolute;left:0;top:0;width:9930;height:4065" filled="true" fillcolor="#ffffff" stroked="false">
              <v:fill type="solid"/>
            </v:rect>
            <v:shape style="position:absolute;left:866;top:1265;width:8626;height:646" coordorigin="866,1265" coordsize="8626,646" path="m926,1863l866,1863,866,1911,926,1911,926,1863xm1270,1892l1210,1892,1210,1911,1270,1911,1270,1892xm1610,1765l1550,1765,1550,1911,1610,1911,1610,1765xm1954,1861l1894,1861,1894,1911,1954,1911,1954,1861xm2297,1738l2237,1738,2237,1911,2297,1911,2297,1738xm2640,1810l2580,1810,2580,1911,2640,1911,2640,1810xm3324,1817l3264,1817,3264,1911,3324,1911,3324,1817xm3667,1390l3607,1390,3607,1911,3667,1911,3667,1390xm4010,1510l3950,1510,3950,1911,4010,1911,4010,1510xm4354,1805l4294,1805,4294,1911,4354,1911,4354,1805xm4694,1865l4634,1865,4634,1911,4694,1911,4694,1865xm5038,1311l4978,1311,4978,1911,5038,1911,5038,1311xm5381,1522l5321,1522,5321,1911,5381,1911,5381,1522xm5724,1851l5664,1851,5664,1911,5724,1911,5724,1851xm6065,1702l6007,1702,6007,1911,6065,1911,6065,1702xm7438,1772l7378,1772,7378,1911,7438,1911,7438,1772xm7778,1904l7718,1904,7718,1911,7778,1911,7778,1904xm8122,1801l8062,1801,8062,1911,8122,1911,8122,1801xm8465,1604l8405,1604,8405,1911,8465,1911,8465,1604xm8808,1822l8748,1822,8748,1911,8808,1911,8808,1822xm9149,1265l9091,1265,9091,1911,9149,1911,9149,1265xm9492,1901l9432,1901,9432,1911,9492,1911,9492,1901xe" filled="true" fillcolor="#5b9bd4" stroked="false">
              <v:path arrowok="t"/>
              <v:fill type="solid"/>
            </v:shape>
            <v:shape style="position:absolute;left:943;top:557;width:8626;height:1354" coordorigin="943,557" coordsize="8626,1354" path="m1001,1781l943,1781,943,1911,1001,1911,1001,1781xm1344,1741l1284,1741,1284,1911,1344,1911,1344,1741xm1687,1313l1627,1313,1627,1911,1687,1911,1687,1313xm2030,1693l1970,1693,1970,1911,2030,1911,2030,1693xm2374,1544l2314,1544,2314,1911,2374,1911,2374,1544xm2714,1573l2654,1573,2654,1911,2714,1911,2714,1573xm3058,1426l2998,1426,2998,1911,3058,1911,3058,1426xm3401,1724l3341,1724,3341,1911,3401,1911,3401,1724xm3744,557l3684,557,3684,1911,3744,1911,3744,557xm4085,704l4027,704,4027,1911,4085,1911,4085,704xm4428,1637l4368,1637,4368,1911,4428,1911,4428,1637xm4771,1801l4711,1801,4711,1911,4771,1911,4771,1801xm5114,1568l5054,1568,5054,1911,5114,1911,5114,1568xm5458,1393l5398,1393,5398,1911,5458,1911,5458,1393xm5798,1767l5738,1767,5738,1911,5798,1911,5798,1767xm6142,1745l6082,1745,6082,1911,6142,1911,6142,1745xm6485,1693l6425,1693,6425,1911,6485,1911,6485,1693xm6828,1880l6768,1880,6768,1911,6828,1911,6828,1880xm7512,1537l7452,1537,7452,1911,7512,1911,7512,1537xm7855,1369l7795,1369,7795,1911,7855,1911,7855,1369xm8198,1537l8138,1537,8138,1911,8198,1911,8198,1537xm8542,1894l8482,1894,8482,1911,8542,1911,8542,1894xm8882,1637l8822,1637,8822,1911,8882,1911,8882,1637xm9226,1690l9166,1690,9166,1911,9226,1911,9226,1690xm9569,1683l9509,1683,9509,1911,9569,1911,9569,1683xe" filled="true" fillcolor="#ec7c30" stroked="false">
              <v:path arrowok="t"/>
              <v:fill type="solid"/>
            </v:shape>
            <v:shape style="position:absolute;left:1017;top:780;width:8628;height:1130" coordorigin="1018,781" coordsize="8628,1130" path="m1078,1858l1018,1858,1018,1911,1078,1911,1078,1858xm1421,1858l1361,1858,1361,1911,1421,1911,1421,1858xm1764,1625l1704,1625,1704,1911,1764,1911,1764,1625xm2105,1774l2047,1774,2047,1911,2105,1911,2105,1774xm2448,1719l2388,1719,2388,1911,2448,1911,2448,1719xm2791,1865l2731,1865,2731,1911,2791,1911,2791,1865xm3134,1796l3074,1796,3074,1911,3134,1911,3134,1796xm3478,1817l3418,1817,3418,1911,3478,1911,3478,1817xm3818,781l3758,781,3758,1911,3818,1911,3818,781xm4162,961l4102,961,4102,1911,4162,1911,4162,961xm4505,1839l4445,1839,4445,1911,4505,1911,4505,1839xm4848,1875l4788,1875,4788,1911,4848,1911,4848,1875xm5189,1781l5131,1781,5131,1911,5189,1911,5189,1781xm5532,1580l5472,1580,5472,1911,5532,1911,5532,1580xm5875,1765l5815,1765,5815,1911,5875,1911,5875,1765xm6218,1901l6158,1901,6158,1911,6218,1911,6218,1901xm6562,1904l6502,1904,6502,1911,6562,1911,6562,1904xm7589,1717l7529,1717,7529,1911,7589,1911,7589,1717xm7932,1561l7872,1561,7872,1911,7932,1911,7932,1561xm8273,1767l8215,1767,8215,1911,8273,1911,8273,1767xm8616,1887l8556,1887,8556,1911,8616,1911,8616,1887xm8959,1786l8899,1786,8899,1911,8959,1911,8959,1786xm9302,1849l9242,1849,9242,1911,9302,1911,9302,1849xm9646,1796l9586,1796,9586,1911,9646,1911,9646,1796xe" filled="true" fillcolor="#a4a4a4" stroked="false">
              <v:path arrowok="t"/>
              <v:fill type="solid"/>
            </v:shape>
            <v:line style="position:absolute" from="801,1911" to="9710,1911" stroked="true" strokeweight=".75pt" strokecolor="#d9d9d9">
              <v:stroke dashstyle="solid"/>
            </v:line>
            <v:line style="position:absolute" from="6036,1702" to="6036,1569" stroked="true" strokeweight=".75pt" strokecolor="#a6a6a6">
              <v:stroke dashstyle="solid"/>
            </v:line>
            <v:line style="position:absolute" from="5779,1553" to="5779,1774" stroked="true" strokeweight="1.75pt" strokecolor="#a6a6a6">
              <v:stroke dashstyle="solid"/>
            </v:line>
            <v:shape style="position:absolute;left:197;top:2052;width:9382;height:1365" type="#_x0000_t75" stroked="false">
              <v:imagedata r:id="rId54" o:title=""/>
            </v:shape>
            <v:rect style="position:absolute;left:2389;top:3726;width:99;height:99" filled="true" fillcolor="#5b9bd4" stroked="false">
              <v:fill type="solid"/>
            </v:rect>
            <v:rect style="position:absolute;left:4165;top:3726;width:99;height:99" filled="true" fillcolor="#ec7c30" stroked="false">
              <v:fill type="solid"/>
            </v:rect>
            <v:rect style="position:absolute;left:5745;top:3726;width:99;height:99" filled="true" fillcolor="#a4a4a4" stroked="false">
              <v:fill type="solid"/>
            </v:rect>
            <v:shape style="position:absolute;left:360;top:136;width:294;height:74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600</w:t>
                    </w:r>
                  </w:p>
                  <w:p>
                    <w:pPr>
                      <w:spacing w:before="6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500</w:t>
                    </w:r>
                  </w:p>
                  <w:p>
                    <w:pPr>
                      <w:spacing w:line="216" w:lineRule="exact" w:before="6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3609;top:327;width:648;height:543" type="#_x0000_t202" filled="false" stroked="false">
              <v:textbox inset="0,0,0,0">
                <w:txbxContent>
                  <w:p>
                    <w:pPr>
                      <w:spacing w:line="13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480</w:t>
                    </w:r>
                  </w:p>
                  <w:p>
                    <w:pPr>
                      <w:spacing w:line="216" w:lineRule="auto" w:before="0"/>
                      <w:ind w:left="75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position w:val="-7"/>
                        <w:sz w:val="14"/>
                      </w:rPr>
                      <w:t>401</w:t>
                    </w:r>
                    <w:r>
                      <w:rPr>
                        <w:color w:val="404040"/>
                        <w:spacing w:val="20"/>
                        <w:position w:val="-7"/>
                        <w:sz w:val="14"/>
                      </w:rPr>
                      <w:t> </w:t>
                    </w:r>
                    <w:r>
                      <w:rPr>
                        <w:color w:val="404040"/>
                        <w:sz w:val="14"/>
                      </w:rPr>
                      <w:t>428</w:t>
                    </w:r>
                  </w:p>
                  <w:p>
                    <w:pPr>
                      <w:spacing w:line="168" w:lineRule="exact" w:before="9"/>
                      <w:ind w:left="41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337</w:t>
                    </w:r>
                  </w:p>
                </w:txbxContent>
              </v:textbox>
              <w10:wrap type="none"/>
            </v:shape>
            <v:shape style="position:absolute;left:360;top:982;width:294;height:102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300</w:t>
                    </w:r>
                  </w:p>
                  <w:p>
                    <w:pPr>
                      <w:spacing w:before="62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</w:t>
                    </w:r>
                  </w:p>
                  <w:p>
                    <w:pPr>
                      <w:spacing w:before="62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line="216" w:lineRule="exact" w:before="62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552;top:1083;width:22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212</w:t>
                    </w:r>
                  </w:p>
                </w:txbxContent>
              </v:textbox>
              <w10:wrap type="none"/>
            </v:shape>
            <v:shape style="position:absolute;left:4904;top:1080;width:22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213</w:t>
                    </w:r>
                  </w:p>
                </w:txbxContent>
              </v:textbox>
              <w10:wrap type="none"/>
            </v:shape>
            <v:shape style="position:absolute;left:9017;top:1035;width:22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229</w:t>
                    </w:r>
                  </w:p>
                </w:txbxContent>
              </v:textbox>
              <w10:wrap type="none"/>
            </v:shape>
            <v:shape style="position:absolute;left:2924;top:1196;width:22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172</w:t>
                    </w:r>
                  </w:p>
                </w:txbxContent>
              </v:textbox>
              <w10:wrap type="none"/>
            </v:shape>
            <v:shape style="position:absolute;left:3533;top:1159;width:22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185</w:t>
                    </w:r>
                  </w:p>
                </w:txbxContent>
              </v:textbox>
              <w10:wrap type="none"/>
            </v:shape>
            <v:shape style="position:absolute;left:5323;top:1162;width:22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184</w:t>
                    </w:r>
                  </w:p>
                </w:txbxContent>
              </v:textbox>
              <w10:wrap type="none"/>
            </v:shape>
            <v:shape style="position:absolute;left:7722;top:1139;width:22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192</w:t>
                    </w:r>
                  </w:p>
                </w:txbxContent>
              </v:textbox>
              <w10:wrap type="none"/>
            </v:shape>
            <v:shape style="position:absolute;left:3876;top:1281;width:22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142</w:t>
                    </w:r>
                  </w:p>
                </w:txbxContent>
              </v:textbox>
              <w10:wrap type="none"/>
            </v:shape>
            <v:shape style="position:absolute;left:1629;top:1396;width:22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101</w:t>
                    </w:r>
                  </w:p>
                </w:txbxContent>
              </v:textbox>
              <w10:wrap type="none"/>
            </v:shape>
            <v:shape style="position:absolute;left:2238;top:1314;width:572;height:168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130  </w:t>
                    </w:r>
                    <w:r>
                      <w:rPr>
                        <w:color w:val="404040"/>
                        <w:spacing w:val="31"/>
                        <w:sz w:val="14"/>
                      </w:rPr>
                      <w:t> </w:t>
                    </w:r>
                    <w:r>
                      <w:rPr>
                        <w:color w:val="404040"/>
                        <w:position w:val="-2"/>
                        <w:sz w:val="14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4980;top:1292;width:1148;height:247" type="#_x0000_t202" filled="false" stroked="false">
              <v:textbox inset="0,0,0,0">
                <w:txbxContent>
                  <w:p>
                    <w:pPr>
                      <w:spacing w:line="223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pacing w:val="-1"/>
                        <w:w w:val="99"/>
                        <w:position w:val="1"/>
                        <w:sz w:val="14"/>
                      </w:rPr>
                      <w:t>12</w:t>
                    </w:r>
                    <w:r>
                      <w:rPr>
                        <w:color w:val="404040"/>
                        <w:w w:val="99"/>
                        <w:position w:val="1"/>
                        <w:sz w:val="14"/>
                      </w:rPr>
                      <w:t>2</w:t>
                    </w:r>
                    <w:r>
                      <w:rPr>
                        <w:color w:val="404040"/>
                        <w:position w:val="1"/>
                        <w:sz w:val="14"/>
                      </w:rPr>
                      <w:t> </w:t>
                    </w:r>
                    <w:r>
                      <w:rPr>
                        <w:color w:val="404040"/>
                        <w:spacing w:val="-7"/>
                        <w:position w:val="1"/>
                        <w:sz w:val="14"/>
                      </w:rPr>
                      <w:t> </w:t>
                    </w:r>
                    <w:r>
                      <w:rPr>
                        <w:color w:val="404040"/>
                        <w:spacing w:val="-1"/>
                        <w:w w:val="99"/>
                        <w:position w:val="6"/>
                        <w:sz w:val="14"/>
                      </w:rPr>
                      <w:t>13</w:t>
                    </w:r>
                    <w:r>
                      <w:rPr>
                        <w:color w:val="404040"/>
                        <w:spacing w:val="-58"/>
                        <w:w w:val="99"/>
                        <w:position w:val="6"/>
                        <w:sz w:val="14"/>
                      </w:rPr>
                      <w:t>8</w:t>
                    </w:r>
                    <w:r>
                      <w:rPr>
                        <w:color w:val="404040"/>
                        <w:spacing w:val="-1"/>
                        <w:w w:val="99"/>
                        <w:sz w:val="14"/>
                      </w:rPr>
                      <w:t>11</w:t>
                    </w:r>
                    <w:r>
                      <w:rPr>
                        <w:color w:val="404040"/>
                        <w:w w:val="99"/>
                        <w:sz w:val="14"/>
                      </w:rPr>
                      <w:t>7</w:t>
                    </w:r>
                    <w:r>
                      <w:rPr>
                        <w:color w:val="404040"/>
                        <w:sz w:val="14"/>
                      </w:rPr>
                      <w:t>   </w:t>
                    </w:r>
                    <w:r>
                      <w:rPr>
                        <w:color w:val="404040"/>
                        <w:spacing w:val="-14"/>
                        <w:sz w:val="14"/>
                      </w:rPr>
                      <w:t> </w:t>
                    </w:r>
                    <w:r>
                      <w:rPr>
                        <w:color w:val="404040"/>
                        <w:spacing w:val="-1"/>
                        <w:w w:val="99"/>
                        <w:position w:val="-3"/>
                        <w:sz w:val="14"/>
                      </w:rPr>
                      <w:t>5</w:t>
                    </w:r>
                    <w:r>
                      <w:rPr>
                        <w:color w:val="404040"/>
                        <w:w w:val="99"/>
                        <w:position w:val="-3"/>
                        <w:sz w:val="14"/>
                      </w:rPr>
                      <w:t>1</w:t>
                    </w:r>
                    <w:r>
                      <w:rPr>
                        <w:color w:val="404040"/>
                        <w:position w:val="-3"/>
                        <w:sz w:val="14"/>
                      </w:rPr>
                      <w:t>  </w:t>
                    </w:r>
                    <w:r>
                      <w:rPr>
                        <w:color w:val="404040"/>
                        <w:spacing w:val="12"/>
                        <w:position w:val="-3"/>
                        <w:sz w:val="14"/>
                      </w:rPr>
                      <w:t> </w:t>
                    </w:r>
                    <w:r>
                      <w:rPr>
                        <w:color w:val="404040"/>
                        <w:spacing w:val="-1"/>
                        <w:w w:val="99"/>
                        <w:position w:val="-4"/>
                        <w:sz w:val="14"/>
                      </w:rPr>
                      <w:t>74</w:t>
                    </w:r>
                  </w:p>
                </w:txbxContent>
              </v:textbox>
              <w10:wrap type="none"/>
            </v:shape>
            <v:shape style="position:absolute;left:7379;top:1306;width:1181;height:207" type="#_x0000_t202" filled="false" stroked="false">
              <v:textbox inset="0,0,0,0">
                <w:txbxContent>
                  <w:p>
                    <w:pPr>
                      <w:tabs>
                        <w:tab w:pos="418" w:val="left" w:leader="none"/>
                      </w:tabs>
                      <w:spacing w:line="187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133</w:t>
                      <w:tab/>
                    </w:r>
                    <w:r>
                      <w:rPr>
                        <w:color w:val="404040"/>
                        <w:position w:val="-2"/>
                        <w:sz w:val="14"/>
                      </w:rPr>
                      <w:t>124</w:t>
                    </w:r>
                    <w:r>
                      <w:rPr>
                        <w:color w:val="404040"/>
                        <w:spacing w:val="20"/>
                        <w:position w:val="-2"/>
                        <w:sz w:val="14"/>
                      </w:rPr>
                      <w:t> </w:t>
                    </w:r>
                    <w:r>
                      <w:rPr>
                        <w:color w:val="404040"/>
                        <w:sz w:val="14"/>
                      </w:rPr>
                      <w:t>133</w:t>
                    </w:r>
                    <w:r>
                      <w:rPr>
                        <w:color w:val="404040"/>
                        <w:spacing w:val="20"/>
                        <w:sz w:val="14"/>
                      </w:rPr>
                      <w:t> </w:t>
                    </w:r>
                    <w:r>
                      <w:rPr>
                        <w:color w:val="404040"/>
                        <w:position w:val="-6"/>
                        <w:sz w:val="14"/>
                      </w:rPr>
                      <w:t>109</w:t>
                    </w:r>
                  </w:p>
                </w:txbxContent>
              </v:textbox>
              <w10:wrap type="none"/>
            </v:shape>
            <v:shape style="position:absolute;left:827;top:1627;width:654;height:173" type="#_x0000_t202" filled="false" stroked="false">
              <v:textbox inset="0,0,0,0">
                <w:txbxContent>
                  <w:p>
                    <w:pPr>
                      <w:spacing w:line="196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w w:val="90"/>
                        <w:sz w:val="14"/>
                      </w:rPr>
                      <w:t>17</w:t>
                    </w:r>
                    <w:r>
                      <w:rPr>
                        <w:color w:val="404040"/>
                        <w:spacing w:val="-15"/>
                        <w:w w:val="90"/>
                        <w:sz w:val="14"/>
                      </w:rPr>
                      <w:t> </w:t>
                    </w:r>
                    <w:r>
                      <w:rPr>
                        <w:color w:val="404040"/>
                        <w:w w:val="90"/>
                        <w:position w:val="1"/>
                        <w:sz w:val="14"/>
                      </w:rPr>
                      <w:t>19</w:t>
                    </w:r>
                    <w:r>
                      <w:rPr>
                        <w:color w:val="404040"/>
                        <w:spacing w:val="75"/>
                        <w:position w:val="1"/>
                        <w:sz w:val="14"/>
                      </w:rPr>
                      <w:t> </w:t>
                    </w:r>
                    <w:r>
                      <w:rPr>
                        <w:color w:val="404040"/>
                        <w:w w:val="90"/>
                        <w:position w:val="-2"/>
                        <w:sz w:val="14"/>
                      </w:rPr>
                      <w:t>7</w:t>
                    </w:r>
                    <w:r>
                      <w:rPr>
                        <w:color w:val="404040"/>
                        <w:spacing w:val="28"/>
                        <w:position w:val="-2"/>
                        <w:sz w:val="14"/>
                      </w:rPr>
                      <w:t> </w:t>
                    </w:r>
                    <w:r>
                      <w:rPr>
                        <w:color w:val="404040"/>
                        <w:w w:val="90"/>
                        <w:position w:val="1"/>
                        <w:sz w:val="14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903;top:1550;width:160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46</w:t>
                    </w:r>
                  </w:p>
                </w:txbxContent>
              </v:textbox>
              <w10:wrap type="none"/>
            </v:shape>
            <v:shape style="position:absolute;left:1246;top:1463;width:1455;height:256" type="#_x0000_t202" filled="false" stroked="false">
              <v:textbox inset="0,0,0,0">
                <w:txbxContent>
                  <w:p>
                    <w:pPr>
                      <w:tabs>
                        <w:tab w:pos="685" w:val="left" w:leader="none"/>
                      </w:tabs>
                      <w:spacing w:line="228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60  </w:t>
                    </w:r>
                    <w:r>
                      <w:rPr>
                        <w:color w:val="404040"/>
                        <w:spacing w:val="29"/>
                        <w:sz w:val="14"/>
                      </w:rPr>
                      <w:t> </w:t>
                    </w:r>
                    <w:r>
                      <w:rPr>
                        <w:color w:val="404040"/>
                        <w:position w:val="-1"/>
                        <w:sz w:val="14"/>
                      </w:rPr>
                      <w:t>52</w:t>
                      <w:tab/>
                    </w:r>
                    <w:r>
                      <w:rPr>
                        <w:color w:val="404040"/>
                        <w:w w:val="90"/>
                        <w:position w:val="5"/>
                        <w:sz w:val="14"/>
                      </w:rPr>
                      <w:t>77</w:t>
                    </w:r>
                    <w:r>
                      <w:rPr>
                        <w:color w:val="404040"/>
                        <w:spacing w:val="122"/>
                        <w:position w:val="5"/>
                        <w:sz w:val="14"/>
                      </w:rPr>
                      <w:t> </w:t>
                    </w:r>
                    <w:r>
                      <w:rPr>
                        <w:color w:val="404040"/>
                        <w:w w:val="90"/>
                        <w:sz w:val="14"/>
                      </w:rPr>
                      <w:t>61</w:t>
                    </w:r>
                    <w:r>
                      <w:rPr>
                        <w:color w:val="404040"/>
                        <w:spacing w:val="-14"/>
                        <w:w w:val="90"/>
                        <w:sz w:val="14"/>
                      </w:rPr>
                      <w:t> </w:t>
                    </w:r>
                    <w:r>
                      <w:rPr>
                        <w:color w:val="404040"/>
                        <w:w w:val="90"/>
                        <w:position w:val="2"/>
                        <w:sz w:val="14"/>
                      </w:rPr>
                      <w:t>68</w:t>
                    </w:r>
                    <w:r>
                      <w:rPr>
                        <w:color w:val="404040"/>
                        <w:spacing w:val="30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404040"/>
                        <w:w w:val="90"/>
                        <w:position w:val="-6"/>
                        <w:sz w:val="14"/>
                      </w:rPr>
                      <w:t>36</w:t>
                    </w:r>
                  </w:p>
                </w:txbxContent>
              </v:textbox>
              <w10:wrap type="none"/>
            </v:shape>
            <v:shape style="position:absolute;left:1855;top:1546;width:312;height:224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w w:val="95"/>
                        <w:position w:val="-7"/>
                        <w:sz w:val="14"/>
                      </w:rPr>
                      <w:t>18</w:t>
                    </w:r>
                    <w:r>
                      <w:rPr>
                        <w:color w:val="404040"/>
                        <w:spacing w:val="-16"/>
                        <w:w w:val="95"/>
                        <w:position w:val="-7"/>
                        <w:sz w:val="14"/>
                      </w:rPr>
                      <w:t> </w:t>
                    </w:r>
                    <w:r>
                      <w:rPr>
                        <w:color w:val="404040"/>
                        <w:w w:val="95"/>
                        <w:sz w:val="14"/>
                      </w:rPr>
                      <w:t>48</w:t>
                    </w:r>
                  </w:p>
                </w:txbxContent>
              </v:textbox>
              <w10:wrap type="none"/>
            </v:shape>
            <v:shape style="position:absolute;left:2693;top:1636;width:160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3036;top:1495;width:426;height:210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position w:val="-6"/>
                        <w:sz w:val="14"/>
                      </w:rPr>
                      <w:t>41  </w:t>
                    </w:r>
                    <w:r>
                      <w:rPr>
                        <w:color w:val="404040"/>
                        <w:spacing w:val="27"/>
                        <w:position w:val="-6"/>
                        <w:sz w:val="14"/>
                      </w:rPr>
                      <w:t> </w:t>
                    </w:r>
                    <w:r>
                      <w:rPr>
                        <w:color w:val="404040"/>
                        <w:sz w:val="14"/>
                      </w:rPr>
                      <w:t>66</w:t>
                    </w:r>
                  </w:p>
                </w:txbxContent>
              </v:textbox>
              <w10:wrap type="none"/>
            </v:shape>
            <v:shape style="position:absolute;left:4331;top:1407;width:160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97</w:t>
                    </w:r>
                  </w:p>
                </w:txbxContent>
              </v:textbox>
              <w10:wrap type="none"/>
            </v:shape>
            <v:shape style="position:absolute;left:8786;top:1407;width:160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97</w:t>
                    </w:r>
                  </w:p>
                </w:txbxContent>
              </v:textbox>
              <w10:wrap type="none"/>
            </v:shape>
            <v:shape style="position:absolute;left:3226;top:1588;width:312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w w:val="95"/>
                        <w:sz w:val="14"/>
                      </w:rPr>
                      <w:t>33</w:t>
                    </w:r>
                    <w:r>
                      <w:rPr>
                        <w:color w:val="404040"/>
                        <w:spacing w:val="-16"/>
                        <w:w w:val="95"/>
                        <w:sz w:val="14"/>
                      </w:rPr>
                      <w:t> </w:t>
                    </w:r>
                    <w:r>
                      <w:rPr>
                        <w:color w:val="404040"/>
                        <w:w w:val="95"/>
                        <w:sz w:val="14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4254;top:1576;width:654;height:207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w w:val="95"/>
                        <w:position w:val="7"/>
                        <w:sz w:val="14"/>
                      </w:rPr>
                      <w:t>37</w:t>
                    </w:r>
                    <w:r>
                      <w:rPr>
                        <w:color w:val="404040"/>
                        <w:spacing w:val="-16"/>
                        <w:w w:val="95"/>
                        <w:position w:val="7"/>
                        <w:sz w:val="14"/>
                      </w:rPr>
                      <w:t> </w:t>
                    </w:r>
                    <w:r>
                      <w:rPr>
                        <w:color w:val="404040"/>
                        <w:w w:val="95"/>
                        <w:position w:val="3"/>
                        <w:sz w:val="14"/>
                      </w:rPr>
                      <w:t>25</w:t>
                    </w:r>
                    <w:r>
                      <w:rPr>
                        <w:color w:val="404040"/>
                        <w:spacing w:val="29"/>
                        <w:position w:val="3"/>
                        <w:sz w:val="14"/>
                      </w:rPr>
                      <w:t> </w:t>
                    </w:r>
                    <w:r>
                      <w:rPr>
                        <w:color w:val="404040"/>
                        <w:w w:val="95"/>
                        <w:position w:val="1"/>
                        <w:sz w:val="14"/>
                      </w:rPr>
                      <w:t>16</w:t>
                    </w:r>
                    <w:r>
                      <w:rPr>
                        <w:color w:val="404040"/>
                        <w:spacing w:val="-16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color w:val="404040"/>
                        <w:w w:val="95"/>
                        <w:sz w:val="14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4673;top:1571;width:160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39</w:t>
                    </w:r>
                  </w:p>
                </w:txbxContent>
              </v:textbox>
              <w10:wrap type="none"/>
            </v:shape>
            <v:shape style="position:absolute;left:5092;top:1514;width:1153;height:297" type="#_x0000_t202" filled="false" stroked="false">
              <v:textbox inset="0,0,0,0">
                <w:txbxContent>
                  <w:p>
                    <w:pPr>
                      <w:tabs>
                        <w:tab w:pos="533" w:val="left" w:leader="none"/>
                      </w:tabs>
                      <w:spacing w:line="105" w:lineRule="auto" w:before="3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46</w:t>
                      <w:tab/>
                    </w:r>
                    <w:r>
                      <w:rPr>
                        <w:color w:val="404040"/>
                        <w:w w:val="90"/>
                        <w:position w:val="-6"/>
                        <w:sz w:val="14"/>
                      </w:rPr>
                      <w:t>21</w:t>
                    </w:r>
                    <w:r>
                      <w:rPr>
                        <w:color w:val="404040"/>
                        <w:spacing w:val="-15"/>
                        <w:w w:val="90"/>
                        <w:position w:val="-6"/>
                        <w:sz w:val="14"/>
                      </w:rPr>
                      <w:t> </w:t>
                    </w:r>
                    <w:r>
                      <w:rPr>
                        <w:color w:val="404040"/>
                        <w:w w:val="90"/>
                        <w:position w:val="2"/>
                        <w:sz w:val="14"/>
                      </w:rPr>
                      <w:t>52</w:t>
                    </w:r>
                    <w:r>
                      <w:rPr>
                        <w:color w:val="404040"/>
                        <w:spacing w:val="62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404040"/>
                        <w:w w:val="90"/>
                        <w:position w:val="4"/>
                        <w:sz w:val="14"/>
                      </w:rPr>
                      <w:t>59</w:t>
                    </w:r>
                  </w:p>
                  <w:p>
                    <w:pPr>
                      <w:spacing w:line="109" w:lineRule="exact" w:before="0"/>
                      <w:ind w:left="0" w:right="18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color w:val="404040"/>
                        <w:w w:val="99"/>
                        <w:sz w:val="1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387;top:1463;width:200;height:352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58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color w:val="404040"/>
                        <w:spacing w:val="-1"/>
                        <w:sz w:val="14"/>
                      </w:rPr>
                      <w:t>77</w:t>
                    </w:r>
                  </w:p>
                  <w:p>
                    <w:pPr>
                      <w:spacing w:line="168" w:lineRule="exact" w:before="41"/>
                      <w:ind w:left="0" w:right="18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color w:val="404040"/>
                        <w:w w:val="99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339;top:1486;width:311;height:197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w w:val="95"/>
                        <w:position w:val="-5"/>
                        <w:sz w:val="14"/>
                      </w:rPr>
                      <w:t>49</w:t>
                    </w:r>
                    <w:r>
                      <w:rPr>
                        <w:color w:val="404040"/>
                        <w:spacing w:val="-16"/>
                        <w:w w:val="95"/>
                        <w:position w:val="-5"/>
                        <w:sz w:val="14"/>
                      </w:rPr>
                      <w:t> </w:t>
                    </w:r>
                    <w:r>
                      <w:rPr>
                        <w:color w:val="404040"/>
                        <w:w w:val="95"/>
                        <w:sz w:val="14"/>
                      </w:rPr>
                      <w:t>69</w:t>
                    </w:r>
                  </w:p>
                </w:txbxContent>
              </v:textbox>
              <w10:wrap type="none"/>
            </v:shape>
            <v:shape style="position:absolute;left:6730;top:1650;width:160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8025;top:1537;width:311;height:174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position w:val="-2"/>
                        <w:sz w:val="14"/>
                      </w:rPr>
                      <w:t>39</w:t>
                    </w:r>
                    <w:r>
                      <w:rPr>
                        <w:color w:val="404040"/>
                        <w:sz w:val="14"/>
                      </w:rPr>
                      <w:t>51</w:t>
                    </w:r>
                  </w:p>
                </w:txbxContent>
              </v:textbox>
              <w10:wrap type="none"/>
            </v:shape>
            <v:shape style="position:absolute;left:8862;top:1452;width:769;height:244" type="#_x0000_t202" filled="false" stroked="false">
              <v:textbox inset="0,0,0,0">
                <w:txbxContent>
                  <w:p>
                    <w:pPr>
                      <w:tabs>
                        <w:tab w:pos="609" w:val="left" w:leader="none"/>
                      </w:tabs>
                      <w:spacing w:line="113" w:lineRule="exact" w:before="0"/>
                      <w:ind w:left="267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78</w:t>
                      <w:tab/>
                    </w:r>
                    <w:r>
                      <w:rPr>
                        <w:color w:val="404040"/>
                        <w:position w:val="1"/>
                        <w:sz w:val="14"/>
                      </w:rPr>
                      <w:t>81</w:t>
                    </w:r>
                  </w:p>
                  <w:p>
                    <w:pPr>
                      <w:spacing w:line="13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44</w:t>
                    </w:r>
                  </w:p>
                </w:txbxContent>
              </v:textbox>
              <w10:wrap type="none"/>
            </v:shape>
            <v:shape style="position:absolute;left:7716;top:1675;width:91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w w:val="99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477;top:1594;width:393;height:210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position w:val="-6"/>
                        <w:sz w:val="14"/>
                      </w:rPr>
                      <w:t>6</w:t>
                    </w:r>
                    <w:r>
                      <w:rPr>
                        <w:color w:val="404040"/>
                        <w:position w:val="-5"/>
                        <w:sz w:val="14"/>
                      </w:rPr>
                      <w:t>8</w:t>
                    </w:r>
                    <w:r>
                      <w:rPr>
                        <w:color w:val="404040"/>
                        <w:spacing w:val="55"/>
                        <w:position w:val="-5"/>
                        <w:sz w:val="14"/>
                      </w:rPr>
                      <w:t> </w:t>
                    </w:r>
                    <w:r>
                      <w:rPr>
                        <w:color w:val="404040"/>
                        <w:sz w:val="14"/>
                      </w:rPr>
                      <w:t>31</w:t>
                    </w:r>
                  </w:p>
                </w:txbxContent>
              </v:textbox>
              <w10:wrap type="none"/>
            </v:shape>
            <v:shape style="position:absolute;left:9205;top:1565;width:502;height:247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position w:val="-4"/>
                        <w:sz w:val="14"/>
                      </w:rPr>
                      <w:t>22</w:t>
                    </w:r>
                    <w:r>
                      <w:rPr>
                        <w:color w:val="404040"/>
                        <w:spacing w:val="49"/>
                        <w:position w:val="-4"/>
                        <w:sz w:val="14"/>
                      </w:rPr>
                      <w:t> </w:t>
                    </w:r>
                    <w:r>
                      <w:rPr>
                        <w:color w:val="404040"/>
                        <w:position w:val="-10"/>
                        <w:sz w:val="14"/>
                      </w:rPr>
                      <w:t>3</w:t>
                    </w:r>
                    <w:r>
                      <w:rPr>
                        <w:color w:val="404040"/>
                        <w:spacing w:val="13"/>
                        <w:position w:val="-10"/>
                        <w:sz w:val="14"/>
                      </w:rPr>
                      <w:t> </w:t>
                    </w:r>
                    <w:r>
                      <w:rPr>
                        <w:color w:val="404040"/>
                        <w:sz w:val="14"/>
                      </w:rPr>
                      <w:t>41</w:t>
                    </w:r>
                  </w:p>
                </w:txbxContent>
              </v:textbox>
              <w10:wrap type="none"/>
            </v:shape>
            <v:shape style="position:absolute;left:2531;top:3693;width:135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TOTAL</w:t>
                    </w:r>
                    <w:r>
                      <w:rPr>
                        <w:color w:val="585858"/>
                        <w:spacing w:val="7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PRIMARIA</w:t>
                    </w:r>
                  </w:p>
                </w:txbxContent>
              </v:textbox>
              <w10:wrap type="none"/>
            </v:shape>
            <v:shape style="position:absolute;left:4307;top:3693;width:116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TOTAL</w:t>
                    </w:r>
                    <w:r>
                      <w:rPr>
                        <w:color w:val="585858"/>
                        <w:spacing w:val="7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BÁSICO</w:t>
                    </w:r>
                  </w:p>
                </w:txbxContent>
              </v:textbox>
              <w10:wrap type="none"/>
            </v:shape>
            <v:shape style="position:absolute;left:5887;top:3693;width:174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TOTAL</w:t>
                    </w:r>
                    <w:r>
                      <w:rPr>
                        <w:color w:val="585858"/>
                        <w:spacing w:val="7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DIVERSIFICADO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0"/>
        <w:ind w:left="32" w:right="980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Sistema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Registro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Educación</w:t>
      </w:r>
      <w:r>
        <w:rPr>
          <w:spacing w:val="-2"/>
          <w:sz w:val="16"/>
        </w:rPr>
        <w:t> </w:t>
      </w:r>
      <w:r>
        <w:rPr>
          <w:sz w:val="16"/>
        </w:rPr>
        <w:t>Extraescolar,</w:t>
      </w:r>
      <w:r>
        <w:rPr>
          <w:spacing w:val="-1"/>
          <w:sz w:val="16"/>
        </w:rPr>
        <w:t> </w:t>
      </w:r>
      <w:r>
        <w:rPr>
          <w:sz w:val="16"/>
        </w:rPr>
        <w:t>SIREEX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30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diciembre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2021, 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8:00</w:t>
      </w:r>
      <w:r>
        <w:rPr>
          <w:spacing w:val="-1"/>
          <w:sz w:val="16"/>
        </w:rPr>
        <w:t> </w:t>
      </w:r>
      <w:r>
        <w:rPr>
          <w:sz w:val="16"/>
        </w:rPr>
        <w:t>horas</w:t>
      </w:r>
    </w:p>
    <w:p>
      <w:pPr>
        <w:pStyle w:val="BodyText"/>
        <w:spacing w:before="8"/>
      </w:pPr>
    </w:p>
    <w:p>
      <w:pPr>
        <w:spacing w:before="0"/>
        <w:ind w:left="300" w:right="1097" w:firstLine="0"/>
        <w:jc w:val="both"/>
        <w:rPr>
          <w:sz w:val="24"/>
        </w:rPr>
      </w:pPr>
      <w:r>
        <w:rPr>
          <w:sz w:val="24"/>
        </w:rPr>
        <w:t>En el 2021, a nivel nacional, en el Programa PRONEA se inscribieron principalmente jóvenes en</w:t>
      </w:r>
      <w:r>
        <w:rPr>
          <w:spacing w:val="1"/>
          <w:sz w:val="24"/>
        </w:rPr>
        <w:t> </w:t>
      </w:r>
      <w:r>
        <w:rPr>
          <w:sz w:val="24"/>
        </w:rPr>
        <w:t>el grupo etario de 13 a 24 años representando el 64% (4,080) de los estudiantes inscritos, de 60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56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años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se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inscribió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34%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(2,143)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estudiantes</w:t>
      </w:r>
      <w:r>
        <w:rPr>
          <w:spacing w:val="-13"/>
          <w:sz w:val="24"/>
        </w:rPr>
        <w:t> </w:t>
      </w:r>
      <w:r>
        <w:rPr>
          <w:sz w:val="24"/>
        </w:rPr>
        <w:t>y</w:t>
      </w:r>
      <w:r>
        <w:rPr>
          <w:spacing w:val="-14"/>
          <w:sz w:val="24"/>
        </w:rPr>
        <w:t> </w:t>
      </w:r>
      <w:r>
        <w:rPr>
          <w:sz w:val="24"/>
        </w:rPr>
        <w:t>personas</w:t>
      </w:r>
      <w:r>
        <w:rPr>
          <w:spacing w:val="-14"/>
          <w:sz w:val="24"/>
        </w:rPr>
        <w:t> </w:t>
      </w:r>
      <w:r>
        <w:rPr>
          <w:sz w:val="24"/>
        </w:rPr>
        <w:t>adultas</w:t>
      </w:r>
      <w:r>
        <w:rPr>
          <w:spacing w:val="-13"/>
          <w:sz w:val="24"/>
        </w:rPr>
        <w:t> </w:t>
      </w:r>
      <w:r>
        <w:rPr>
          <w:sz w:val="24"/>
        </w:rPr>
        <w:t>mayores</w:t>
      </w:r>
      <w:r>
        <w:rPr>
          <w:spacing w:val="-11"/>
          <w:sz w:val="24"/>
        </w:rPr>
        <w:t> </w:t>
      </w:r>
      <w:r>
        <w:rPr>
          <w:sz w:val="24"/>
        </w:rPr>
        <w:t>se</w:t>
      </w:r>
      <w:r>
        <w:rPr>
          <w:spacing w:val="-13"/>
          <w:sz w:val="24"/>
        </w:rPr>
        <w:t> </w:t>
      </w:r>
      <w:r>
        <w:rPr>
          <w:sz w:val="24"/>
        </w:rPr>
        <w:t>inscribieron</w:t>
      </w:r>
      <w:r>
        <w:rPr>
          <w:spacing w:val="-52"/>
          <w:sz w:val="24"/>
        </w:rPr>
        <w:t> </w:t>
      </w:r>
      <w:r>
        <w:rPr>
          <w:sz w:val="24"/>
        </w:rPr>
        <w:t>140,</w:t>
      </w:r>
      <w:r>
        <w:rPr>
          <w:spacing w:val="-2"/>
          <w:sz w:val="24"/>
        </w:rPr>
        <w:t> </w:t>
      </w:r>
      <w:r>
        <w:rPr>
          <w:sz w:val="24"/>
        </w:rPr>
        <w:t>representando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2%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estudiantes</w:t>
      </w:r>
      <w:r>
        <w:rPr>
          <w:spacing w:val="-2"/>
          <w:sz w:val="24"/>
        </w:rPr>
        <w:t> </w:t>
      </w:r>
      <w:r>
        <w:rPr>
          <w:sz w:val="24"/>
        </w:rPr>
        <w:t>matriculados.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  <w:r>
        <w:rPr/>
        <w:pict>
          <v:rect style="position:absolute;margin-left:563.280029pt;margin-top:10.918666pt;width:25.44pt;height:1.464pt;mso-position-horizontal-relative:page;mso-position-vertical-relative:paragraph;z-index:-1559142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223"/>
      </w:pPr>
      <w:r>
        <w:rPr/>
        <w:t>67</w:t>
      </w:r>
    </w:p>
    <w:p>
      <w:pPr>
        <w:pStyle w:val="BodyText"/>
        <w:spacing w:line="91" w:lineRule="exact"/>
        <w:ind w:left="10125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45pt;height:4.6pt;mso-position-horizontal-relative:char;mso-position-vertical-relative:line" coordorigin="0,0" coordsize="509,92">
            <v:rect style="position:absolute;left:0;top:0;width:509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</w:rPr>
      </w:pPr>
    </w:p>
    <w:p>
      <w:pPr>
        <w:spacing w:after="0"/>
        <w:rPr>
          <w:rFonts w:ascii="Arial MT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10"/>
        <w:rPr>
          <w:rFonts w:ascii="Arial MT"/>
          <w:sz w:val="16"/>
        </w:rPr>
      </w:pPr>
    </w:p>
    <w:p>
      <w:pPr>
        <w:spacing w:before="1"/>
        <w:ind w:left="725" w:right="0" w:firstLine="0"/>
        <w:jc w:val="left"/>
        <w:rPr>
          <w:sz w:val="18"/>
        </w:rPr>
      </w:pPr>
      <w:bookmarkStart w:name="_bookmark89" w:id="118"/>
      <w:bookmarkEnd w:id="118"/>
      <w:r>
        <w:rPr/>
      </w:r>
      <w:r>
        <w:rPr>
          <w:color w:val="585858"/>
          <w:sz w:val="18"/>
        </w:rPr>
        <w:t>2,500</w:t>
      </w:r>
    </w:p>
    <w:p>
      <w:pPr>
        <w:pStyle w:val="BodyText"/>
        <w:spacing w:before="11"/>
        <w:rPr>
          <w:sz w:val="19"/>
        </w:rPr>
      </w:pPr>
    </w:p>
    <w:p>
      <w:pPr>
        <w:spacing w:before="1"/>
        <w:ind w:left="725" w:right="0" w:firstLine="0"/>
        <w:jc w:val="left"/>
        <w:rPr>
          <w:sz w:val="18"/>
        </w:rPr>
      </w:pPr>
      <w:r>
        <w:rPr>
          <w:color w:val="585858"/>
          <w:sz w:val="18"/>
        </w:rPr>
        <w:t>2,000</w:t>
      </w:r>
    </w:p>
    <w:p>
      <w:pPr>
        <w:spacing w:before="59"/>
        <w:ind w:left="725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Gráfico</w:t>
      </w:r>
      <w:r>
        <w:rPr>
          <w:spacing w:val="-3"/>
          <w:sz w:val="20"/>
        </w:rPr>
        <w:t> </w:t>
      </w:r>
      <w:r>
        <w:rPr>
          <w:sz w:val="20"/>
        </w:rPr>
        <w:t>60</w:t>
      </w:r>
      <w:r>
        <w:rPr>
          <w:spacing w:val="-2"/>
          <w:sz w:val="20"/>
        </w:rPr>
        <w:t> </w:t>
      </w:r>
      <w:r>
        <w:rPr>
          <w:sz w:val="20"/>
        </w:rPr>
        <w:t>Matrícula</w:t>
      </w:r>
      <w:r>
        <w:rPr>
          <w:spacing w:val="-2"/>
          <w:sz w:val="20"/>
        </w:rPr>
        <w:t> </w:t>
      </w:r>
      <w:r>
        <w:rPr>
          <w:sz w:val="20"/>
        </w:rPr>
        <w:t>nacional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PRONEA,</w:t>
      </w:r>
      <w:r>
        <w:rPr>
          <w:spacing w:val="-2"/>
          <w:sz w:val="20"/>
        </w:rPr>
        <w:t> </w:t>
      </w:r>
      <w:r>
        <w:rPr>
          <w:sz w:val="20"/>
        </w:rPr>
        <w:t>según</w:t>
      </w:r>
      <w:r>
        <w:rPr>
          <w:spacing w:val="-2"/>
          <w:sz w:val="20"/>
        </w:rPr>
        <w:t> </w:t>
      </w:r>
      <w:r>
        <w:rPr>
          <w:sz w:val="20"/>
        </w:rPr>
        <w:t>grupo</w:t>
      </w:r>
      <w:r>
        <w:rPr>
          <w:spacing w:val="-2"/>
          <w:sz w:val="20"/>
        </w:rPr>
        <w:t> </w:t>
      </w:r>
      <w:r>
        <w:rPr>
          <w:sz w:val="20"/>
        </w:rPr>
        <w:t>etario.</w:t>
      </w:r>
      <w:r>
        <w:rPr>
          <w:spacing w:val="-2"/>
          <w:sz w:val="20"/>
        </w:rPr>
        <w:t> </w:t>
      </w:r>
      <w:r>
        <w:rPr>
          <w:sz w:val="20"/>
        </w:rPr>
        <w:t>Año</w:t>
      </w:r>
      <w:r>
        <w:rPr>
          <w:spacing w:val="-2"/>
          <w:sz w:val="20"/>
        </w:rPr>
        <w:t> </w:t>
      </w:r>
      <w:r>
        <w:rPr>
          <w:sz w:val="20"/>
        </w:rPr>
        <w:t>2021</w:t>
      </w:r>
    </w:p>
    <w:p>
      <w:pPr>
        <w:pStyle w:val="BodyText"/>
        <w:spacing w:before="3"/>
        <w:rPr>
          <w:sz w:val="18"/>
        </w:rPr>
      </w:pPr>
    </w:p>
    <w:p>
      <w:pPr>
        <w:spacing w:before="0"/>
        <w:ind w:left="1223" w:right="0" w:firstLine="0"/>
        <w:jc w:val="left"/>
        <w:rPr>
          <w:sz w:val="18"/>
        </w:rPr>
      </w:pPr>
      <w:r>
        <w:rPr>
          <w:color w:val="404040"/>
          <w:sz w:val="18"/>
        </w:rPr>
        <w:t>2,161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340" w:bottom="280" w:left="1140" w:right="340"/>
          <w:cols w:num="2" w:equalWidth="0">
            <w:col w:w="1176" w:space="63"/>
            <w:col w:w="9521"/>
          </w:cols>
        </w:sectPr>
      </w:pPr>
    </w:p>
    <w:p>
      <w:pPr>
        <w:pStyle w:val="BodyText"/>
        <w:spacing w:before="9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74451456">
            <wp:simplePos x="0" y="0"/>
            <wp:positionH relativeFrom="page">
              <wp:posOffset>0</wp:posOffset>
            </wp:positionH>
            <wp:positionV relativeFrom="page">
              <wp:posOffset>302887</wp:posOffset>
            </wp:positionV>
            <wp:extent cx="7772399" cy="9501333"/>
            <wp:effectExtent l="0" t="0" r="0" b="0"/>
            <wp:wrapNone/>
            <wp:docPr id="17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4"/>
        <w:ind w:left="725" w:right="0" w:firstLine="0"/>
        <w:jc w:val="left"/>
        <w:rPr>
          <w:sz w:val="18"/>
        </w:rPr>
      </w:pPr>
      <w:r>
        <w:rPr/>
        <w:pict>
          <v:group style="position:absolute;margin-left:122.080002pt;margin-top:-21.490685pt;width:409.7pt;height:100.6pt;mso-position-horizontal-relative:page;mso-position-vertical-relative:paragraph;z-index:15868928" coordorigin="2442,-430" coordsize="8194,2012">
            <v:shape style="position:absolute;left:2964;top:916;width:5938;height:658" coordorigin="2964,917" coordsize="5938,658" path="m3439,917l2964,917,2964,1575,3439,1575,3439,917xm6170,921l5695,921,5695,1575,6170,1575,6170,921xm8902,1483l8426,1483,8426,1575,8902,1575,8902,1483xe" filled="true" fillcolor="#5b9bd4" stroked="false">
              <v:path arrowok="t"/>
              <v:fill type="solid"/>
            </v:shape>
            <v:shape style="position:absolute;left:3568;top:-430;width:5940;height:2005" coordorigin="3569,-430" coordsize="5940,2005" path="m4046,-430l3569,-430,3569,1575,4046,1575,4046,-430xm6778,684l6300,684,6300,1575,6778,1575,6778,684xm9509,1548l9031,1548,9031,1575,9509,1575,9509,1548xe" filled="true" fillcolor="#ec7c30" stroked="false">
              <v:path arrowok="t"/>
              <v:fill type="solid"/>
            </v:shape>
            <v:shape style="position:absolute;left:4173;top:453;width:5940;height:1122" coordorigin="4174,453" coordsize="5940,1122" path="m4651,453l4174,453,4174,1575,4651,1575,4651,453xm7382,1133l6905,1133,6905,1575,7382,1575,7382,1133xm10114,1562l9636,1562,9636,1575,10114,1575,10114,1562xe" filled="true" fillcolor="#a4a4a4" stroked="false">
              <v:path arrowok="t"/>
              <v:fill type="solid"/>
            </v:shape>
            <v:line style="position:absolute" from="2442,1575" to="10635,1575" stroked="true" strokeweight=".75pt" strokecolor="#d9d9d9">
              <v:stroke dashstyle="solid"/>
            </v:line>
            <v:shape style="position:absolute;left:4207;top:180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1,209</w:t>
                    </w:r>
                  </w:p>
                </w:txbxContent>
              </v:textbox>
              <w10:wrap type="none"/>
            </v:shape>
            <v:shape style="position:absolute;left:6402;top:409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961</w:t>
                    </w:r>
                  </w:p>
                </w:txbxContent>
              </v:textbox>
              <w10:wrap type="none"/>
            </v:shape>
            <v:shape style="position:absolute;left:3065;top:642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710</w:t>
                    </w:r>
                  </w:p>
                </w:txbxContent>
              </v:textbox>
              <w10:wrap type="none"/>
            </v:shape>
            <v:shape style="position:absolute;left:5797;top:64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704</w:t>
                    </w:r>
                  </w:p>
                </w:txbxContent>
              </v:textbox>
              <w10:wrap type="none"/>
            </v:shape>
            <v:shape style="position:absolute;left:7008;top:85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478</w:t>
                    </w:r>
                  </w:p>
                </w:txbxContent>
              </v:textbox>
              <w10:wrap type="none"/>
            </v:shape>
            <v:shape style="position:absolute;left:8574;top:121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98</w:t>
                    </w:r>
                  </w:p>
                </w:txbxContent>
              </v:textbox>
              <w10:wrap type="none"/>
            </v:shape>
            <v:shape style="position:absolute;left:9180;top:127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29</w:t>
                    </w:r>
                  </w:p>
                </w:txbxContent>
              </v:textbox>
              <w10:wrap type="none"/>
            </v:shape>
            <v:shape style="position:absolute;left:9785;top:128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1,500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725" w:right="0" w:firstLine="0"/>
        <w:jc w:val="left"/>
        <w:rPr>
          <w:sz w:val="18"/>
        </w:rPr>
      </w:pPr>
      <w:r>
        <w:rPr>
          <w:color w:val="585858"/>
          <w:sz w:val="18"/>
        </w:rPr>
        <w:t>1,000</w:t>
      </w:r>
    </w:p>
    <w:p>
      <w:pPr>
        <w:pStyle w:val="BodyText"/>
        <w:spacing w:before="9"/>
        <w:rPr>
          <w:sz w:val="14"/>
        </w:rPr>
      </w:pPr>
    </w:p>
    <w:p>
      <w:pPr>
        <w:spacing w:before="64"/>
        <w:ind w:left="861" w:right="0" w:firstLine="0"/>
        <w:jc w:val="left"/>
        <w:rPr>
          <w:sz w:val="18"/>
        </w:rPr>
      </w:pPr>
      <w:r>
        <w:rPr>
          <w:color w:val="585858"/>
          <w:sz w:val="18"/>
        </w:rPr>
        <w:t>500</w:t>
      </w:r>
    </w:p>
    <w:p>
      <w:pPr>
        <w:pStyle w:val="BodyText"/>
        <w:spacing w:before="9"/>
        <w:rPr>
          <w:sz w:val="14"/>
        </w:rPr>
      </w:pPr>
    </w:p>
    <w:p>
      <w:pPr>
        <w:spacing w:before="64"/>
        <w:ind w:left="1044" w:right="0" w:firstLine="0"/>
        <w:jc w:val="left"/>
        <w:rPr>
          <w:sz w:val="18"/>
        </w:rPr>
      </w:pPr>
      <w:r>
        <w:rPr>
          <w:color w:val="585858"/>
          <w:sz w:val="18"/>
        </w:rPr>
        <w:t>0</w:t>
      </w:r>
    </w:p>
    <w:p>
      <w:pPr>
        <w:tabs>
          <w:tab w:pos="4892" w:val="left" w:leader="none"/>
          <w:tab w:pos="7301" w:val="left" w:leader="none"/>
        </w:tabs>
        <w:spacing w:before="15"/>
        <w:ind w:left="2161" w:right="0" w:firstLine="0"/>
        <w:jc w:val="left"/>
        <w:rPr>
          <w:sz w:val="18"/>
        </w:rPr>
      </w:pPr>
      <w:r>
        <w:rPr>
          <w:color w:val="585858"/>
          <w:sz w:val="18"/>
        </w:rPr>
        <w:t>13 A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29 AÑOS</w:t>
        <w:tab/>
        <w:t>30 A 59 AÑOS</w:t>
        <w:tab/>
        <w:t>MAYORES DE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60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AÑOS</w:t>
      </w:r>
    </w:p>
    <w:p>
      <w:pPr>
        <w:pStyle w:val="BodyText"/>
        <w:spacing w:before="5"/>
        <w:rPr>
          <w:sz w:val="9"/>
        </w:rPr>
      </w:pPr>
    </w:p>
    <w:p>
      <w:pPr>
        <w:spacing w:line="369" w:lineRule="auto" w:before="63"/>
        <w:ind w:left="2666" w:right="2540" w:firstLine="0"/>
        <w:jc w:val="left"/>
        <w:rPr>
          <w:sz w:val="18"/>
        </w:rPr>
      </w:pPr>
      <w:r>
        <w:rPr/>
        <w:pict>
          <v:rect style="position:absolute;margin-left:183.210007pt;margin-top:6.686043pt;width:4.9433pt;height:4.9433pt;mso-position-horizontal-relative:page;mso-position-vertical-relative:paragraph;z-index:15869440" filled="true" fillcolor="#5b9bd4" stroked="false">
            <v:fill type="solid"/>
            <w10:wrap type="none"/>
          </v:rect>
        </w:pict>
      </w:r>
      <w:r>
        <w:rPr/>
        <w:pict>
          <v:rect style="position:absolute;margin-left:183.210007pt;margin-top:23.556044pt;width:4.9433pt;height:4.9433pt;mso-position-horizontal-relative:page;mso-position-vertical-relative:paragraph;z-index:15869952" filled="true" fillcolor="#ec7c30" stroked="false">
            <v:fill type="solid"/>
            <w10:wrap type="none"/>
          </v:rect>
        </w:pict>
      </w:r>
      <w:r>
        <w:rPr/>
        <w:pict>
          <v:rect style="position:absolute;margin-left:183.210007pt;margin-top:40.436043pt;width:4.9433pt;height:4.9433pt;mso-position-horizontal-relative:page;mso-position-vertical-relative:paragraph;z-index:15870464" filled="true" fillcolor="#a4a4a4" stroked="false">
            <v:fill type="solid"/>
            <w10:wrap type="none"/>
          </v:rect>
        </w:pict>
      </w:r>
      <w:r>
        <w:rPr>
          <w:color w:val="585858"/>
          <w:sz w:val="18"/>
        </w:rPr>
        <w:t>PROGRAMA NACIONAL DE EDUCACIÓN ALTERNATIVA - PRIMARIA</w:t>
      </w:r>
      <w:r>
        <w:rPr>
          <w:color w:val="585858"/>
          <w:spacing w:val="1"/>
          <w:sz w:val="18"/>
        </w:rPr>
        <w:t> </w:t>
      </w:r>
      <w:r>
        <w:rPr>
          <w:color w:val="585858"/>
          <w:sz w:val="18"/>
        </w:rPr>
        <w:t>PROGRAMA NACIONAL DE EDUCACIÓN ALTERNATIVA - BÁSICOS</w:t>
      </w:r>
      <w:r>
        <w:rPr>
          <w:color w:val="585858"/>
          <w:spacing w:val="1"/>
          <w:sz w:val="18"/>
        </w:rPr>
        <w:t> </w:t>
      </w:r>
      <w:r>
        <w:rPr>
          <w:color w:val="585858"/>
          <w:sz w:val="18"/>
        </w:rPr>
        <w:t>PROGRAMA</w:t>
      </w:r>
      <w:r>
        <w:rPr>
          <w:color w:val="585858"/>
          <w:spacing w:val="-7"/>
          <w:sz w:val="18"/>
        </w:rPr>
        <w:t> </w:t>
      </w:r>
      <w:r>
        <w:rPr>
          <w:color w:val="585858"/>
          <w:sz w:val="18"/>
        </w:rPr>
        <w:t>NACIONAL</w:t>
      </w:r>
      <w:r>
        <w:rPr>
          <w:color w:val="585858"/>
          <w:spacing w:val="-4"/>
          <w:sz w:val="18"/>
        </w:rPr>
        <w:t> </w:t>
      </w:r>
      <w:r>
        <w:rPr>
          <w:color w:val="585858"/>
          <w:sz w:val="18"/>
        </w:rPr>
        <w:t>DE</w:t>
      </w:r>
      <w:r>
        <w:rPr>
          <w:color w:val="585858"/>
          <w:spacing w:val="-5"/>
          <w:sz w:val="18"/>
        </w:rPr>
        <w:t> </w:t>
      </w:r>
      <w:r>
        <w:rPr>
          <w:color w:val="585858"/>
          <w:sz w:val="18"/>
        </w:rPr>
        <w:t>EDUCACIÓN</w:t>
      </w:r>
      <w:r>
        <w:rPr>
          <w:color w:val="585858"/>
          <w:spacing w:val="-4"/>
          <w:sz w:val="18"/>
        </w:rPr>
        <w:t> </w:t>
      </w:r>
      <w:r>
        <w:rPr>
          <w:color w:val="585858"/>
          <w:sz w:val="18"/>
        </w:rPr>
        <w:t>ALTERNATIVA</w:t>
      </w:r>
      <w:r>
        <w:rPr>
          <w:color w:val="585858"/>
          <w:spacing w:val="-4"/>
          <w:sz w:val="18"/>
        </w:rPr>
        <w:t> </w:t>
      </w:r>
      <w:r>
        <w:rPr>
          <w:color w:val="585858"/>
          <w:sz w:val="18"/>
        </w:rPr>
        <w:t>-</w:t>
      </w:r>
      <w:r>
        <w:rPr>
          <w:color w:val="585858"/>
          <w:spacing w:val="-6"/>
          <w:sz w:val="18"/>
        </w:rPr>
        <w:t> </w:t>
      </w:r>
      <w:r>
        <w:rPr>
          <w:color w:val="585858"/>
          <w:sz w:val="18"/>
        </w:rPr>
        <w:t>DIVERSIFICADO</w:t>
      </w:r>
    </w:p>
    <w:p>
      <w:pPr>
        <w:spacing w:before="44"/>
        <w:ind w:left="32" w:right="984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Sistema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Registro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Educación</w:t>
      </w:r>
      <w:r>
        <w:rPr>
          <w:spacing w:val="-2"/>
          <w:sz w:val="16"/>
        </w:rPr>
        <w:t> </w:t>
      </w:r>
      <w:r>
        <w:rPr>
          <w:sz w:val="16"/>
        </w:rPr>
        <w:t>Extraescolar,</w:t>
      </w:r>
      <w:r>
        <w:rPr>
          <w:spacing w:val="-2"/>
          <w:sz w:val="16"/>
        </w:rPr>
        <w:t> </w:t>
      </w:r>
      <w:r>
        <w:rPr>
          <w:sz w:val="16"/>
        </w:rPr>
        <w:t>SIREEX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30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diciembre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2021,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8:00</w:t>
      </w:r>
      <w:r>
        <w:rPr>
          <w:spacing w:val="-1"/>
          <w:sz w:val="16"/>
        </w:rPr>
        <w:t> </w:t>
      </w:r>
      <w:r>
        <w:rPr>
          <w:sz w:val="16"/>
        </w:rPr>
        <w:t>horas</w:t>
      </w: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13"/>
        </w:rPr>
      </w:pPr>
    </w:p>
    <w:p>
      <w:pPr>
        <w:pStyle w:val="Heading3"/>
        <w:numPr>
          <w:ilvl w:val="1"/>
          <w:numId w:val="4"/>
        </w:numPr>
        <w:tabs>
          <w:tab w:pos="876" w:val="left" w:leader="none"/>
          <w:tab w:pos="877" w:val="left" w:leader="none"/>
        </w:tabs>
        <w:spacing w:line="240" w:lineRule="auto" w:before="0" w:after="0"/>
        <w:ind w:left="876" w:right="0" w:hanging="577"/>
        <w:jc w:val="left"/>
      </w:pPr>
      <w:bookmarkStart w:name="_bookmark90" w:id="119"/>
      <w:bookmarkEnd w:id="119"/>
      <w:r>
        <w:rPr>
          <w:b w:val="0"/>
        </w:rPr>
      </w:r>
      <w:bookmarkStart w:name="_bookmark90" w:id="120"/>
      <w:bookmarkEnd w:id="120"/>
      <w:r>
        <w:rPr>
          <w:color w:val="1F4E79"/>
        </w:rPr>
        <w:t>Sis</w:t>
      </w:r>
      <w:r>
        <w:rPr>
          <w:color w:val="1F4E79"/>
        </w:rPr>
        <w:t>tema</w:t>
      </w:r>
      <w:r>
        <w:rPr>
          <w:color w:val="1F4E79"/>
          <w:spacing w:val="-4"/>
        </w:rPr>
        <w:t> </w:t>
      </w:r>
      <w:r>
        <w:rPr>
          <w:color w:val="1F4E79"/>
        </w:rPr>
        <w:t>de</w:t>
      </w:r>
      <w:r>
        <w:rPr>
          <w:color w:val="1F4E79"/>
          <w:spacing w:val="-4"/>
        </w:rPr>
        <w:t> </w:t>
      </w:r>
      <w:r>
        <w:rPr>
          <w:color w:val="1F4E79"/>
        </w:rPr>
        <w:t>Certificación</w:t>
      </w:r>
      <w:r>
        <w:rPr>
          <w:color w:val="1F4E79"/>
          <w:spacing w:val="-4"/>
        </w:rPr>
        <w:t> </w:t>
      </w:r>
      <w:r>
        <w:rPr>
          <w:color w:val="1F4E79"/>
        </w:rPr>
        <w:t>de</w:t>
      </w:r>
      <w:r>
        <w:rPr>
          <w:color w:val="1F4E79"/>
          <w:spacing w:val="-4"/>
        </w:rPr>
        <w:t> </w:t>
      </w:r>
      <w:r>
        <w:rPr>
          <w:color w:val="1F4E79"/>
        </w:rPr>
        <w:t>Competencias,</w:t>
      </w:r>
      <w:r>
        <w:rPr>
          <w:color w:val="1F4E79"/>
          <w:spacing w:val="-3"/>
        </w:rPr>
        <w:t> </w:t>
      </w:r>
      <w:r>
        <w:rPr>
          <w:color w:val="1F4E79"/>
        </w:rPr>
        <w:t>SCC</w:t>
      </w:r>
    </w:p>
    <w:p>
      <w:pPr>
        <w:pStyle w:val="BodyText"/>
        <w:rPr>
          <w:b/>
          <w:sz w:val="24"/>
        </w:rPr>
      </w:pPr>
    </w:p>
    <w:p>
      <w:pPr>
        <w:spacing w:before="188"/>
        <w:ind w:left="300" w:right="1097" w:firstLine="0"/>
        <w:jc w:val="both"/>
        <w:rPr>
          <w:sz w:val="24"/>
        </w:rPr>
      </w:pPr>
      <w:r>
        <w:rPr>
          <w:sz w:val="24"/>
        </w:rPr>
        <w:t>En el marco del Sistema de Certificación de Competencias, SCC, el Ministerio de Educación,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implementó</w:t>
      </w:r>
      <w:r>
        <w:rPr>
          <w:spacing w:val="28"/>
          <w:sz w:val="24"/>
        </w:rPr>
        <w:t> </w:t>
      </w:r>
      <w:r>
        <w:rPr>
          <w:spacing w:val="-1"/>
          <w:sz w:val="24"/>
        </w:rPr>
        <w:t>jornadas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evaluación</w:t>
      </w:r>
      <w:r>
        <w:rPr>
          <w:spacing w:val="-11"/>
          <w:sz w:val="24"/>
        </w:rPr>
        <w:t> </w:t>
      </w:r>
      <w:r>
        <w:rPr>
          <w:sz w:val="24"/>
        </w:rPr>
        <w:t>por</w:t>
      </w:r>
      <w:r>
        <w:rPr>
          <w:spacing w:val="-12"/>
          <w:sz w:val="24"/>
        </w:rPr>
        <w:t> </w:t>
      </w:r>
      <w:r>
        <w:rPr>
          <w:sz w:val="24"/>
        </w:rPr>
        <w:t>competencias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nivel</w:t>
      </w:r>
      <w:r>
        <w:rPr>
          <w:spacing w:val="-16"/>
          <w:sz w:val="24"/>
        </w:rPr>
        <w:t> </w:t>
      </w:r>
      <w:r>
        <w:rPr>
          <w:sz w:val="24"/>
        </w:rPr>
        <w:t>nacional,</w:t>
      </w:r>
      <w:r>
        <w:rPr>
          <w:spacing w:val="-13"/>
          <w:sz w:val="24"/>
        </w:rPr>
        <w:t> </w:t>
      </w:r>
      <w:r>
        <w:rPr>
          <w:sz w:val="24"/>
        </w:rPr>
        <w:t>en</w:t>
      </w:r>
      <w:r>
        <w:rPr>
          <w:spacing w:val="-14"/>
          <w:sz w:val="24"/>
        </w:rPr>
        <w:t> </w:t>
      </w:r>
      <w:r>
        <w:rPr>
          <w:sz w:val="24"/>
        </w:rPr>
        <w:t>cuatro</w:t>
      </w:r>
      <w:r>
        <w:rPr>
          <w:spacing w:val="-13"/>
          <w:sz w:val="24"/>
        </w:rPr>
        <w:t> </w:t>
      </w:r>
      <w:r>
        <w:rPr>
          <w:sz w:val="24"/>
        </w:rPr>
        <w:t>departamentos</w:t>
      </w:r>
      <w:r>
        <w:rPr>
          <w:spacing w:val="-52"/>
          <w:sz w:val="24"/>
        </w:rPr>
        <w:t> </w:t>
      </w:r>
      <w:r>
        <w:rPr>
          <w:sz w:val="24"/>
        </w:rPr>
        <w:t>del país</w:t>
      </w:r>
      <w:r>
        <w:rPr>
          <w:spacing w:val="1"/>
          <w:sz w:val="24"/>
        </w:rPr>
        <w:t> </w:t>
      </w:r>
      <w:r>
        <w:rPr>
          <w:sz w:val="24"/>
        </w:rPr>
        <w:t>y a nivel internacional, en Estados Unidos de América; específicamente en seis Estados</w:t>
      </w:r>
      <w:r>
        <w:rPr>
          <w:spacing w:val="1"/>
          <w:sz w:val="24"/>
        </w:rPr>
        <w:t> </w:t>
      </w:r>
      <w:r>
        <w:rPr>
          <w:sz w:val="24"/>
        </w:rPr>
        <w:t>focalizados;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propósito de</w:t>
      </w:r>
      <w:r>
        <w:rPr>
          <w:spacing w:val="1"/>
          <w:sz w:val="24"/>
        </w:rPr>
        <w:t> </w:t>
      </w:r>
      <w:r>
        <w:rPr>
          <w:sz w:val="24"/>
        </w:rPr>
        <w:t>reconocer,</w:t>
      </w:r>
      <w:r>
        <w:rPr>
          <w:spacing w:val="1"/>
          <w:sz w:val="24"/>
        </w:rPr>
        <w:t> </w:t>
      </w:r>
      <w:r>
        <w:rPr>
          <w:sz w:val="24"/>
        </w:rPr>
        <w:t>valorar,</w:t>
      </w:r>
      <w:r>
        <w:rPr>
          <w:spacing w:val="1"/>
          <w:sz w:val="24"/>
        </w:rPr>
        <w:t> </w:t>
      </w:r>
      <w:r>
        <w:rPr>
          <w:sz w:val="24"/>
        </w:rPr>
        <w:t>acreditar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certificar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capacidades,</w:t>
      </w:r>
      <w:r>
        <w:rPr>
          <w:spacing w:val="1"/>
          <w:sz w:val="24"/>
        </w:rPr>
        <w:t> </w:t>
      </w:r>
      <w:r>
        <w:rPr>
          <w:sz w:val="24"/>
        </w:rPr>
        <w:t>habilidades y competencias adquiridas a lo largo de la vida,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más de 50 áreas ocupacionales.</w:t>
      </w:r>
      <w:r>
        <w:rPr>
          <w:spacing w:val="1"/>
          <w:sz w:val="24"/>
        </w:rPr>
        <w:t> </w:t>
      </w:r>
      <w:r>
        <w:rPr>
          <w:sz w:val="24"/>
        </w:rPr>
        <w:t>En el 2021 se acreditaron a 1,813 personas, 890 (49%) en Guatemala y 923 (51%) en Estados</w:t>
      </w:r>
      <w:r>
        <w:rPr>
          <w:spacing w:val="1"/>
          <w:sz w:val="24"/>
        </w:rPr>
        <w:t> </w:t>
      </w:r>
      <w:r>
        <w:rPr>
          <w:sz w:val="24"/>
        </w:rPr>
        <w:t>Unidos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América.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300" w:right="1098" w:firstLine="0"/>
        <w:jc w:val="both"/>
        <w:rPr>
          <w:sz w:val="24"/>
        </w:rPr>
      </w:pPr>
      <w:r>
        <w:rPr>
          <w:sz w:val="24"/>
        </w:rPr>
        <w:t>A continuación, se presentan los resultados obtenidos en la jornada en Guatemala y en Estados</w:t>
      </w:r>
      <w:r>
        <w:rPr>
          <w:spacing w:val="1"/>
          <w:sz w:val="24"/>
        </w:rPr>
        <w:t> </w:t>
      </w:r>
      <w:r>
        <w:rPr>
          <w:sz w:val="24"/>
        </w:rPr>
        <w:t>Unidos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América,</w:t>
      </w:r>
      <w:r>
        <w:rPr>
          <w:spacing w:val="-1"/>
          <w:sz w:val="24"/>
        </w:rPr>
        <w:t> </w:t>
      </w:r>
      <w:r>
        <w:rPr>
          <w:sz w:val="24"/>
        </w:rPr>
        <w:t>según la Subdirección</w:t>
      </w:r>
      <w:r>
        <w:rPr>
          <w:spacing w:val="-2"/>
          <w:sz w:val="24"/>
        </w:rPr>
        <w:t> </w:t>
      </w:r>
      <w:r>
        <w:rPr>
          <w:sz w:val="24"/>
        </w:rPr>
        <w:t>de Educación para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Trabajo y</w:t>
      </w:r>
      <w:r>
        <w:rPr>
          <w:spacing w:val="-4"/>
          <w:sz w:val="24"/>
        </w:rPr>
        <w:t> </w:t>
      </w:r>
      <w:r>
        <w:rPr>
          <w:sz w:val="24"/>
        </w:rPr>
        <w:t>Cultura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DIGEEX.</w:t>
      </w:r>
    </w:p>
    <w:p>
      <w:pPr>
        <w:pStyle w:val="BodyText"/>
        <w:spacing w:before="2"/>
        <w:rPr>
          <w:sz w:val="24"/>
        </w:rPr>
      </w:pPr>
    </w:p>
    <w:p>
      <w:pPr>
        <w:spacing w:before="1"/>
        <w:ind w:left="32" w:right="988" w:firstLine="0"/>
        <w:jc w:val="center"/>
        <w:rPr>
          <w:sz w:val="20"/>
        </w:rPr>
      </w:pPr>
      <w:bookmarkStart w:name="_bookmark91" w:id="121"/>
      <w:bookmarkEnd w:id="121"/>
      <w:r>
        <w:rPr/>
      </w:r>
      <w:r>
        <w:rPr>
          <w:sz w:val="20"/>
        </w:rPr>
        <w:t>Tabla</w:t>
      </w:r>
      <w:r>
        <w:rPr>
          <w:spacing w:val="-3"/>
          <w:sz w:val="20"/>
        </w:rPr>
        <w:t> </w:t>
      </w:r>
      <w:r>
        <w:rPr>
          <w:sz w:val="20"/>
        </w:rPr>
        <w:t>6</w:t>
      </w:r>
      <w:r>
        <w:rPr>
          <w:spacing w:val="-2"/>
          <w:sz w:val="20"/>
        </w:rPr>
        <w:t> </w:t>
      </w:r>
      <w:r>
        <w:rPr>
          <w:sz w:val="20"/>
        </w:rPr>
        <w:t>Jornadas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SCC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Guatemala.</w:t>
      </w:r>
      <w:r>
        <w:rPr>
          <w:spacing w:val="-2"/>
          <w:sz w:val="20"/>
        </w:rPr>
        <w:t> </w:t>
      </w:r>
      <w:r>
        <w:rPr>
          <w:sz w:val="20"/>
        </w:rPr>
        <w:t>Año</w:t>
      </w:r>
      <w:r>
        <w:rPr>
          <w:spacing w:val="-2"/>
          <w:sz w:val="20"/>
        </w:rPr>
        <w:t> </w:t>
      </w:r>
      <w:r>
        <w:rPr>
          <w:sz w:val="20"/>
        </w:rPr>
        <w:t>2021.</w:t>
      </w:r>
    </w:p>
    <w:tbl>
      <w:tblPr>
        <w:tblW w:w="0" w:type="auto"/>
        <w:jc w:val="left"/>
        <w:tblInd w:w="31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1829"/>
        <w:gridCol w:w="3641"/>
        <w:gridCol w:w="3278"/>
      </w:tblGrid>
      <w:tr>
        <w:trPr>
          <w:trHeight w:val="244" w:hRule="atLeast"/>
        </w:trPr>
        <w:tc>
          <w:tcPr>
            <w:tcW w:w="602" w:type="dxa"/>
            <w:tcBorders>
              <w:right w:val="nil"/>
            </w:tcBorders>
            <w:shd w:val="clear" w:color="auto" w:fill="5B9BD4"/>
          </w:tcPr>
          <w:p>
            <w:pPr>
              <w:pStyle w:val="TableParagraph"/>
              <w:spacing w:line="223" w:lineRule="exact" w:before="1"/>
              <w:ind w:left="133" w:right="13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1829" w:type="dxa"/>
            <w:tcBorders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3" w:lineRule="exact" w:before="1"/>
              <w:ind w:left="30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Departamento</w:t>
            </w:r>
          </w:p>
        </w:tc>
        <w:tc>
          <w:tcPr>
            <w:tcW w:w="3641" w:type="dxa"/>
            <w:tcBorders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3" w:lineRule="exact" w:before="1"/>
              <w:ind w:left="144" w:right="12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Personas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acreditadas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por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departamento</w:t>
            </w:r>
          </w:p>
        </w:tc>
        <w:tc>
          <w:tcPr>
            <w:tcW w:w="3278" w:type="dxa"/>
            <w:tcBorders>
              <w:left w:val="nil"/>
            </w:tcBorders>
            <w:shd w:val="clear" w:color="auto" w:fill="5B9BD4"/>
          </w:tcPr>
          <w:p>
            <w:pPr>
              <w:pStyle w:val="TableParagraph"/>
              <w:spacing w:line="223" w:lineRule="exact" w:before="1"/>
              <w:ind w:left="1413" w:right="139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</w:p>
        </w:tc>
      </w:tr>
      <w:tr>
        <w:trPr>
          <w:trHeight w:val="244" w:hRule="atLeast"/>
        </w:trPr>
        <w:tc>
          <w:tcPr>
            <w:tcW w:w="602" w:type="dxa"/>
            <w:shd w:val="clear" w:color="auto" w:fill="5B9BD4"/>
          </w:tcPr>
          <w:p>
            <w:pPr>
              <w:pStyle w:val="TableParagraph"/>
              <w:spacing w:line="223" w:lineRule="exact" w:before="1"/>
              <w:ind w:left="202" w:right="19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</w:t>
            </w:r>
          </w:p>
        </w:tc>
        <w:tc>
          <w:tcPr>
            <w:tcW w:w="1829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Alta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Verapaz</w:t>
            </w:r>
          </w:p>
        </w:tc>
        <w:tc>
          <w:tcPr>
            <w:tcW w:w="3641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649" w:right="1636"/>
              <w:jc w:val="center"/>
              <w:rPr>
                <w:sz w:val="20"/>
              </w:rPr>
            </w:pPr>
            <w:r>
              <w:rPr>
                <w:sz w:val="20"/>
              </w:rPr>
              <w:t>249</w:t>
            </w:r>
          </w:p>
        </w:tc>
        <w:tc>
          <w:tcPr>
            <w:tcW w:w="3278" w:type="dxa"/>
            <w:vMerge w:val="restart"/>
            <w:shd w:val="clear" w:color="auto" w:fill="BCD5ED"/>
          </w:tcPr>
          <w:p>
            <w:pPr>
              <w:pStyle w:val="TableParagraph"/>
              <w:spacing w:before="1"/>
              <w:ind w:left="409" w:right="3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890</w:t>
            </w:r>
          </w:p>
          <w:p>
            <w:pPr>
              <w:pStyle w:val="TableParagraph"/>
              <w:spacing w:before="1"/>
              <w:ind w:left="413" w:right="396"/>
              <w:jc w:val="center"/>
              <w:rPr>
                <w:sz w:val="20"/>
              </w:rPr>
            </w:pPr>
            <w:r>
              <w:rPr>
                <w:sz w:val="20"/>
              </w:rPr>
              <w:t>personas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acreditadas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áreas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ocupacionales</w:t>
            </w:r>
          </w:p>
        </w:tc>
      </w:tr>
      <w:tr>
        <w:trPr>
          <w:trHeight w:val="244" w:hRule="atLeast"/>
        </w:trPr>
        <w:tc>
          <w:tcPr>
            <w:tcW w:w="602" w:type="dxa"/>
            <w:shd w:val="clear" w:color="auto" w:fill="5B9BD4"/>
          </w:tcPr>
          <w:p>
            <w:pPr>
              <w:pStyle w:val="TableParagraph"/>
              <w:spacing w:line="223" w:lineRule="exact" w:before="1"/>
              <w:ind w:left="202" w:right="19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2.</w:t>
            </w:r>
          </w:p>
        </w:tc>
        <w:tc>
          <w:tcPr>
            <w:tcW w:w="1829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Sacatepéquez</w:t>
            </w:r>
          </w:p>
        </w:tc>
        <w:tc>
          <w:tcPr>
            <w:tcW w:w="3641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649" w:right="1636"/>
              <w:jc w:val="center"/>
              <w:rPr>
                <w:sz w:val="20"/>
              </w:rPr>
            </w:pPr>
            <w:r>
              <w:rPr>
                <w:sz w:val="20"/>
              </w:rPr>
              <w:t>469</w:t>
            </w:r>
          </w:p>
        </w:tc>
        <w:tc>
          <w:tcPr>
            <w:tcW w:w="3278" w:type="dxa"/>
            <w:vMerge/>
            <w:tcBorders>
              <w:top w:val="nil"/>
            </w:tcBorders>
            <w:shd w:val="clear" w:color="auto" w:fill="BCD5E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atLeast"/>
        </w:trPr>
        <w:tc>
          <w:tcPr>
            <w:tcW w:w="602" w:type="dxa"/>
            <w:shd w:val="clear" w:color="auto" w:fill="5B9BD4"/>
          </w:tcPr>
          <w:p>
            <w:pPr>
              <w:pStyle w:val="TableParagraph"/>
              <w:spacing w:line="223" w:lineRule="exact" w:before="1"/>
              <w:ind w:left="202" w:right="19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3.</w:t>
            </w:r>
          </w:p>
        </w:tc>
        <w:tc>
          <w:tcPr>
            <w:tcW w:w="1829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Izabal</w:t>
            </w:r>
          </w:p>
        </w:tc>
        <w:tc>
          <w:tcPr>
            <w:tcW w:w="3641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649" w:right="1636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3278" w:type="dxa"/>
            <w:vMerge/>
            <w:tcBorders>
              <w:top w:val="nil"/>
            </w:tcBorders>
            <w:shd w:val="clear" w:color="auto" w:fill="BCD5E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atLeast"/>
        </w:trPr>
        <w:tc>
          <w:tcPr>
            <w:tcW w:w="602" w:type="dxa"/>
            <w:shd w:val="clear" w:color="auto" w:fill="5B9BD4"/>
          </w:tcPr>
          <w:p>
            <w:pPr>
              <w:pStyle w:val="TableParagraph"/>
              <w:spacing w:line="223" w:lineRule="exact" w:before="1"/>
              <w:ind w:left="202" w:right="19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4.</w:t>
            </w:r>
          </w:p>
        </w:tc>
        <w:tc>
          <w:tcPr>
            <w:tcW w:w="1829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Guatemala</w:t>
            </w:r>
          </w:p>
        </w:tc>
        <w:tc>
          <w:tcPr>
            <w:tcW w:w="3641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649" w:right="1636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3278" w:type="dxa"/>
            <w:vMerge/>
            <w:tcBorders>
              <w:top w:val="nil"/>
            </w:tcBorders>
            <w:shd w:val="clear" w:color="auto" w:fill="BCD5ED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300" w:right="0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Subdirección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Educación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Trabajo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Cultura,</w:t>
      </w:r>
      <w:r>
        <w:rPr>
          <w:spacing w:val="-2"/>
          <w:sz w:val="16"/>
        </w:rPr>
        <w:t> </w:t>
      </w:r>
      <w:r>
        <w:rPr>
          <w:sz w:val="16"/>
        </w:rPr>
        <w:t>año</w:t>
      </w:r>
      <w:r>
        <w:rPr>
          <w:spacing w:val="-3"/>
          <w:sz w:val="16"/>
        </w:rPr>
        <w:t> </w:t>
      </w:r>
      <w:r>
        <w:rPr>
          <w:sz w:val="16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563.280029pt;margin-top:11.978286pt;width:25.44pt;height:1.464pt;mso-position-horizontal-relative:page;mso-position-vertical-relative:paragraph;z-index:-1558988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223"/>
      </w:pPr>
      <w:r>
        <w:rPr/>
        <w:t>68</w:t>
      </w:r>
    </w:p>
    <w:p>
      <w:pPr>
        <w:pStyle w:val="BodyText"/>
        <w:spacing w:line="91" w:lineRule="exact"/>
        <w:ind w:left="10125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45pt;height:4.6pt;mso-position-horizontal-relative:char;mso-position-vertical-relative:line" coordorigin="0,0" coordsize="509,92">
            <v:rect style="position:absolute;left:0;top:0;width:509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type w:val="continuous"/>
          <w:pgSz w:w="12240" w:h="15840"/>
          <w:pgMar w:top="34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455040">
            <wp:simplePos x="0" y="0"/>
            <wp:positionH relativeFrom="page">
              <wp:posOffset>0</wp:posOffset>
            </wp:positionH>
            <wp:positionV relativeFrom="page">
              <wp:posOffset>302887</wp:posOffset>
            </wp:positionV>
            <wp:extent cx="7772399" cy="9501333"/>
            <wp:effectExtent l="0" t="0" r="0" b="0"/>
            <wp:wrapNone/>
            <wp:docPr id="18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spacing w:before="59"/>
        <w:ind w:left="32" w:right="988" w:firstLine="0"/>
        <w:jc w:val="center"/>
        <w:rPr>
          <w:sz w:val="20"/>
        </w:rPr>
      </w:pPr>
      <w:bookmarkStart w:name="_bookmark92" w:id="122"/>
      <w:bookmarkEnd w:id="122"/>
      <w:r>
        <w:rPr/>
      </w:r>
      <w:r>
        <w:rPr>
          <w:sz w:val="20"/>
        </w:rPr>
        <w:t>Tabla</w:t>
      </w:r>
      <w:r>
        <w:rPr>
          <w:spacing w:val="-1"/>
          <w:sz w:val="20"/>
        </w:rPr>
        <w:t> </w:t>
      </w:r>
      <w:r>
        <w:rPr>
          <w:sz w:val="20"/>
        </w:rPr>
        <w:t>7</w:t>
      </w:r>
      <w:r>
        <w:rPr>
          <w:spacing w:val="-1"/>
          <w:sz w:val="20"/>
        </w:rPr>
        <w:t> </w:t>
      </w:r>
      <w:r>
        <w:rPr>
          <w:sz w:val="20"/>
        </w:rPr>
        <w:t>Jornadas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SCC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Estados</w:t>
      </w:r>
      <w:r>
        <w:rPr>
          <w:spacing w:val="-3"/>
          <w:sz w:val="20"/>
        </w:rPr>
        <w:t> </w:t>
      </w:r>
      <w:r>
        <w:rPr>
          <w:sz w:val="20"/>
        </w:rPr>
        <w:t>Unidos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América.</w:t>
      </w:r>
      <w:r>
        <w:rPr>
          <w:spacing w:val="-2"/>
          <w:sz w:val="20"/>
        </w:rPr>
        <w:t> </w:t>
      </w:r>
      <w:r>
        <w:rPr>
          <w:sz w:val="20"/>
        </w:rPr>
        <w:t>Año</w:t>
      </w:r>
      <w:r>
        <w:rPr>
          <w:spacing w:val="-1"/>
          <w:sz w:val="20"/>
        </w:rPr>
        <w:t> </w:t>
      </w:r>
      <w:r>
        <w:rPr>
          <w:sz w:val="20"/>
        </w:rPr>
        <w:t>2021</w:t>
      </w:r>
    </w:p>
    <w:tbl>
      <w:tblPr>
        <w:tblW w:w="0" w:type="auto"/>
        <w:jc w:val="left"/>
        <w:tblInd w:w="31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2410"/>
        <w:gridCol w:w="2974"/>
        <w:gridCol w:w="3263"/>
      </w:tblGrid>
      <w:tr>
        <w:trPr>
          <w:trHeight w:val="244" w:hRule="atLeast"/>
        </w:trPr>
        <w:tc>
          <w:tcPr>
            <w:tcW w:w="703" w:type="dxa"/>
            <w:tcBorders>
              <w:right w:val="nil"/>
            </w:tcBorders>
            <w:shd w:val="clear" w:color="auto" w:fill="5B9BD4"/>
          </w:tcPr>
          <w:p>
            <w:pPr>
              <w:pStyle w:val="TableParagraph"/>
              <w:spacing w:line="223" w:lineRule="exact" w:before="1"/>
              <w:ind w:left="184" w:right="18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3" w:lineRule="exact" w:before="1"/>
              <w:ind w:left="907" w:right="90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Estado</w:t>
            </w:r>
          </w:p>
        </w:tc>
        <w:tc>
          <w:tcPr>
            <w:tcW w:w="2974" w:type="dxa"/>
            <w:tcBorders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3" w:lineRule="exact" w:before="1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Personas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acreditadas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por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Estado</w:t>
            </w:r>
          </w:p>
        </w:tc>
        <w:tc>
          <w:tcPr>
            <w:tcW w:w="3263" w:type="dxa"/>
            <w:tcBorders>
              <w:left w:val="nil"/>
            </w:tcBorders>
            <w:shd w:val="clear" w:color="auto" w:fill="5B9BD4"/>
          </w:tcPr>
          <w:p>
            <w:pPr>
              <w:pStyle w:val="TableParagraph"/>
              <w:spacing w:line="223" w:lineRule="exact" w:before="1"/>
              <w:ind w:left="1405" w:right="138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</w:p>
        </w:tc>
      </w:tr>
      <w:tr>
        <w:trPr>
          <w:trHeight w:val="244" w:hRule="atLeast"/>
        </w:trPr>
        <w:tc>
          <w:tcPr>
            <w:tcW w:w="703" w:type="dxa"/>
            <w:shd w:val="clear" w:color="auto" w:fill="5B9BD4"/>
          </w:tcPr>
          <w:p>
            <w:pPr>
              <w:pStyle w:val="TableParagraph"/>
              <w:spacing w:line="223" w:lineRule="exact" w:before="1"/>
              <w:ind w:left="252" w:right="24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</w:t>
            </w:r>
          </w:p>
        </w:tc>
        <w:tc>
          <w:tcPr>
            <w:tcW w:w="2410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Chicago,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Illinois.</w:t>
            </w:r>
          </w:p>
        </w:tc>
        <w:tc>
          <w:tcPr>
            <w:tcW w:w="2974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313" w:right="1301"/>
              <w:jc w:val="center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3263" w:type="dxa"/>
            <w:vMerge w:val="restart"/>
            <w:shd w:val="clear" w:color="auto" w:fill="BCD5ED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before="1"/>
              <w:ind w:left="400" w:right="3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923</w:t>
            </w:r>
          </w:p>
          <w:p>
            <w:pPr>
              <w:pStyle w:val="TableParagraph"/>
              <w:ind w:left="405" w:right="388"/>
              <w:jc w:val="center"/>
              <w:rPr>
                <w:sz w:val="20"/>
              </w:rPr>
            </w:pPr>
            <w:r>
              <w:rPr>
                <w:sz w:val="20"/>
              </w:rPr>
              <w:t>personas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acreditadas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áreas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ocupacionales</w:t>
            </w:r>
          </w:p>
        </w:tc>
      </w:tr>
      <w:tr>
        <w:trPr>
          <w:trHeight w:val="242" w:hRule="atLeast"/>
        </w:trPr>
        <w:tc>
          <w:tcPr>
            <w:tcW w:w="703" w:type="dxa"/>
            <w:shd w:val="clear" w:color="auto" w:fill="5B9BD4"/>
          </w:tcPr>
          <w:p>
            <w:pPr>
              <w:pStyle w:val="TableParagraph"/>
              <w:spacing w:line="222" w:lineRule="exact"/>
              <w:ind w:left="252" w:right="24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2.</w:t>
            </w:r>
          </w:p>
        </w:tc>
        <w:tc>
          <w:tcPr>
            <w:tcW w:w="2410" w:type="dxa"/>
            <w:shd w:val="clear" w:color="auto" w:fill="DEEAF6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Seattle,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Washington.</w:t>
            </w:r>
          </w:p>
        </w:tc>
        <w:tc>
          <w:tcPr>
            <w:tcW w:w="2974" w:type="dxa"/>
            <w:shd w:val="clear" w:color="auto" w:fill="DEEAF6"/>
          </w:tcPr>
          <w:p>
            <w:pPr>
              <w:pStyle w:val="TableParagraph"/>
              <w:spacing w:line="222" w:lineRule="exact"/>
              <w:ind w:left="1313" w:right="1301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3263" w:type="dxa"/>
            <w:vMerge/>
            <w:tcBorders>
              <w:top w:val="nil"/>
            </w:tcBorders>
            <w:shd w:val="clear" w:color="auto" w:fill="BCD5E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atLeast"/>
        </w:trPr>
        <w:tc>
          <w:tcPr>
            <w:tcW w:w="703" w:type="dxa"/>
            <w:shd w:val="clear" w:color="auto" w:fill="5B9BD4"/>
          </w:tcPr>
          <w:p>
            <w:pPr>
              <w:pStyle w:val="TableParagraph"/>
              <w:spacing w:line="223" w:lineRule="exact" w:before="1"/>
              <w:ind w:left="252" w:right="24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3.</w:t>
            </w:r>
          </w:p>
        </w:tc>
        <w:tc>
          <w:tcPr>
            <w:tcW w:w="2410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Ángeles,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California.</w:t>
            </w:r>
          </w:p>
        </w:tc>
        <w:tc>
          <w:tcPr>
            <w:tcW w:w="2974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313" w:right="1301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3263" w:type="dxa"/>
            <w:vMerge/>
            <w:tcBorders>
              <w:top w:val="nil"/>
            </w:tcBorders>
            <w:shd w:val="clear" w:color="auto" w:fill="BCD5E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atLeast"/>
        </w:trPr>
        <w:tc>
          <w:tcPr>
            <w:tcW w:w="703" w:type="dxa"/>
            <w:shd w:val="clear" w:color="auto" w:fill="5B9BD4"/>
          </w:tcPr>
          <w:p>
            <w:pPr>
              <w:pStyle w:val="TableParagraph"/>
              <w:spacing w:line="223" w:lineRule="exact" w:before="1"/>
              <w:ind w:left="252" w:right="24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4.</w:t>
            </w:r>
          </w:p>
        </w:tc>
        <w:tc>
          <w:tcPr>
            <w:tcW w:w="2410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Francisco,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California.</w:t>
            </w:r>
          </w:p>
        </w:tc>
        <w:tc>
          <w:tcPr>
            <w:tcW w:w="2974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313" w:right="1306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3263" w:type="dxa"/>
            <w:vMerge/>
            <w:tcBorders>
              <w:top w:val="nil"/>
            </w:tcBorders>
            <w:shd w:val="clear" w:color="auto" w:fill="BCD5E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atLeast"/>
        </w:trPr>
        <w:tc>
          <w:tcPr>
            <w:tcW w:w="703" w:type="dxa"/>
            <w:shd w:val="clear" w:color="auto" w:fill="5B9BD4"/>
          </w:tcPr>
          <w:p>
            <w:pPr>
              <w:pStyle w:val="TableParagraph"/>
              <w:spacing w:line="223" w:lineRule="exact" w:before="1"/>
              <w:ind w:left="252" w:right="24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5.</w:t>
            </w:r>
          </w:p>
        </w:tc>
        <w:tc>
          <w:tcPr>
            <w:tcW w:w="2410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New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York,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York.</w:t>
            </w:r>
          </w:p>
        </w:tc>
        <w:tc>
          <w:tcPr>
            <w:tcW w:w="2974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313" w:right="1306"/>
              <w:jc w:val="center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3263" w:type="dxa"/>
            <w:vMerge/>
            <w:tcBorders>
              <w:top w:val="nil"/>
            </w:tcBorders>
            <w:shd w:val="clear" w:color="auto" w:fill="BCD5E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atLeast"/>
        </w:trPr>
        <w:tc>
          <w:tcPr>
            <w:tcW w:w="703" w:type="dxa"/>
            <w:shd w:val="clear" w:color="auto" w:fill="5B9BD4"/>
          </w:tcPr>
          <w:p>
            <w:pPr>
              <w:pStyle w:val="TableParagraph"/>
              <w:spacing w:line="223" w:lineRule="exact" w:before="1"/>
              <w:ind w:left="252" w:right="24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6.</w:t>
            </w:r>
          </w:p>
        </w:tc>
        <w:tc>
          <w:tcPr>
            <w:tcW w:w="2410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Philadelphia,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Pennsylvania.</w:t>
            </w:r>
          </w:p>
        </w:tc>
        <w:tc>
          <w:tcPr>
            <w:tcW w:w="2974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313" w:right="1306"/>
              <w:jc w:val="center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3263" w:type="dxa"/>
            <w:vMerge/>
            <w:tcBorders>
              <w:top w:val="nil"/>
            </w:tcBorders>
            <w:shd w:val="clear" w:color="auto" w:fill="BCD5E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atLeast"/>
        </w:trPr>
        <w:tc>
          <w:tcPr>
            <w:tcW w:w="703" w:type="dxa"/>
            <w:shd w:val="clear" w:color="auto" w:fill="5B9BD4"/>
          </w:tcPr>
          <w:p>
            <w:pPr>
              <w:pStyle w:val="TableParagraph"/>
              <w:spacing w:line="223" w:lineRule="exact" w:before="1"/>
              <w:ind w:left="252" w:right="24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7.</w:t>
            </w:r>
          </w:p>
        </w:tc>
        <w:tc>
          <w:tcPr>
            <w:tcW w:w="2410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Raleigh,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Carolina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Norte</w:t>
            </w:r>
          </w:p>
        </w:tc>
        <w:tc>
          <w:tcPr>
            <w:tcW w:w="2974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313" w:right="1306"/>
              <w:jc w:val="center"/>
              <w:rPr>
                <w:sz w:val="20"/>
              </w:rPr>
            </w:pPr>
            <w:r>
              <w:rPr>
                <w:sz w:val="20"/>
              </w:rPr>
              <w:t>253</w:t>
            </w:r>
          </w:p>
        </w:tc>
        <w:tc>
          <w:tcPr>
            <w:tcW w:w="3263" w:type="dxa"/>
            <w:vMerge/>
            <w:tcBorders>
              <w:top w:val="nil"/>
            </w:tcBorders>
            <w:shd w:val="clear" w:color="auto" w:fill="BCD5ED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300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Subdirección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Educación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Trabajo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Cultura,</w:t>
      </w:r>
      <w:r>
        <w:rPr>
          <w:spacing w:val="-2"/>
          <w:sz w:val="16"/>
        </w:rPr>
        <w:t> </w:t>
      </w:r>
      <w:r>
        <w:rPr>
          <w:sz w:val="16"/>
        </w:rPr>
        <w:t>año</w:t>
      </w:r>
      <w:r>
        <w:rPr>
          <w:spacing w:val="-3"/>
          <w:sz w:val="16"/>
        </w:rPr>
        <w:t> </w:t>
      </w:r>
      <w:r>
        <w:rPr>
          <w:sz w:val="16"/>
        </w:rPr>
        <w:t>2021.</w:t>
      </w:r>
    </w:p>
    <w:p>
      <w:pPr>
        <w:pStyle w:val="BodyText"/>
      </w:pPr>
    </w:p>
    <w:p>
      <w:pPr>
        <w:spacing w:before="1"/>
        <w:ind w:left="32" w:right="989" w:firstLine="0"/>
        <w:jc w:val="center"/>
        <w:rPr>
          <w:sz w:val="20"/>
        </w:rPr>
      </w:pPr>
      <w:bookmarkStart w:name="_bookmark93" w:id="123"/>
      <w:bookmarkEnd w:id="123"/>
      <w:r>
        <w:rPr/>
      </w:r>
      <w:r>
        <w:rPr>
          <w:sz w:val="20"/>
        </w:rPr>
        <w:t>Tabla</w:t>
      </w:r>
      <w:r>
        <w:rPr>
          <w:spacing w:val="-3"/>
          <w:sz w:val="20"/>
        </w:rPr>
        <w:t> </w:t>
      </w:r>
      <w:r>
        <w:rPr>
          <w:sz w:val="20"/>
        </w:rPr>
        <w:t>8</w:t>
      </w:r>
      <w:r>
        <w:rPr>
          <w:spacing w:val="-2"/>
          <w:sz w:val="20"/>
        </w:rPr>
        <w:t> </w:t>
      </w:r>
      <w:r>
        <w:rPr>
          <w:sz w:val="20"/>
        </w:rPr>
        <w:t>Áreas</w:t>
      </w:r>
      <w:r>
        <w:rPr>
          <w:spacing w:val="-4"/>
          <w:sz w:val="20"/>
        </w:rPr>
        <w:t> </w:t>
      </w:r>
      <w:r>
        <w:rPr>
          <w:sz w:val="20"/>
        </w:rPr>
        <w:t>ocupacionales</w:t>
      </w:r>
      <w:r>
        <w:rPr>
          <w:spacing w:val="-2"/>
          <w:sz w:val="20"/>
        </w:rPr>
        <w:t> </w:t>
      </w:r>
      <w:r>
        <w:rPr>
          <w:sz w:val="20"/>
        </w:rPr>
        <w:t>evaluadas,</w:t>
      </w:r>
      <w:r>
        <w:rPr>
          <w:spacing w:val="-2"/>
          <w:sz w:val="20"/>
        </w:rPr>
        <w:t> </w:t>
      </w:r>
      <w:r>
        <w:rPr>
          <w:sz w:val="20"/>
        </w:rPr>
        <w:t>SCC,</w:t>
      </w:r>
      <w:r>
        <w:rPr>
          <w:spacing w:val="-3"/>
          <w:sz w:val="20"/>
        </w:rPr>
        <w:t> </w:t>
      </w:r>
      <w:r>
        <w:rPr>
          <w:sz w:val="20"/>
        </w:rPr>
        <w:t>Año</w:t>
      </w:r>
      <w:r>
        <w:rPr>
          <w:spacing w:val="-2"/>
          <w:sz w:val="20"/>
        </w:rPr>
        <w:t> </w:t>
      </w:r>
      <w:r>
        <w:rPr>
          <w:sz w:val="20"/>
        </w:rPr>
        <w:t>2021</w:t>
      </w:r>
    </w:p>
    <w:tbl>
      <w:tblPr>
        <w:tblW w:w="0" w:type="auto"/>
        <w:jc w:val="left"/>
        <w:tblInd w:w="31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3677"/>
        <w:gridCol w:w="710"/>
        <w:gridCol w:w="4250"/>
      </w:tblGrid>
      <w:tr>
        <w:trPr>
          <w:trHeight w:val="244" w:hRule="atLeast"/>
        </w:trPr>
        <w:tc>
          <w:tcPr>
            <w:tcW w:w="571" w:type="dxa"/>
            <w:tcBorders>
              <w:right w:val="nil"/>
            </w:tcBorders>
            <w:shd w:val="clear" w:color="auto" w:fill="5B9BD4"/>
          </w:tcPr>
          <w:p>
            <w:pPr>
              <w:pStyle w:val="TableParagraph"/>
              <w:spacing w:line="223" w:lineRule="exact" w:before="1"/>
              <w:ind w:left="89" w:right="14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8637" w:type="dxa"/>
            <w:gridSpan w:val="3"/>
            <w:tcBorders>
              <w:left w:val="nil"/>
            </w:tcBorders>
            <w:shd w:val="clear" w:color="auto" w:fill="5B9BD4"/>
          </w:tcPr>
          <w:p>
            <w:pPr>
              <w:pStyle w:val="TableParagraph"/>
              <w:spacing w:line="223" w:lineRule="exact" w:before="1"/>
              <w:ind w:left="3334" w:right="332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Ocupaciones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evaluadas</w:t>
            </w:r>
          </w:p>
        </w:tc>
      </w:tr>
      <w:tr>
        <w:trPr>
          <w:trHeight w:val="244" w:hRule="atLeast"/>
        </w:trPr>
        <w:tc>
          <w:tcPr>
            <w:tcW w:w="571" w:type="dxa"/>
            <w:shd w:val="clear" w:color="auto" w:fill="5B9BD4"/>
          </w:tcPr>
          <w:p>
            <w:pPr>
              <w:pStyle w:val="TableParagraph"/>
              <w:spacing w:line="223" w:lineRule="exact" w:before="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1</w:t>
            </w:r>
          </w:p>
        </w:tc>
        <w:tc>
          <w:tcPr>
            <w:tcW w:w="3677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Construcción.</w:t>
            </w:r>
          </w:p>
        </w:tc>
        <w:tc>
          <w:tcPr>
            <w:tcW w:w="710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231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4250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09"/>
              <w:rPr>
                <w:sz w:val="20"/>
              </w:rPr>
            </w:pPr>
            <w:r>
              <w:rPr>
                <w:sz w:val="20"/>
              </w:rPr>
              <w:t>Atención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servicio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cliente.</w:t>
            </w:r>
          </w:p>
        </w:tc>
      </w:tr>
      <w:tr>
        <w:trPr>
          <w:trHeight w:val="244" w:hRule="atLeast"/>
        </w:trPr>
        <w:tc>
          <w:tcPr>
            <w:tcW w:w="571" w:type="dxa"/>
            <w:shd w:val="clear" w:color="auto" w:fill="5B9BD4"/>
          </w:tcPr>
          <w:p>
            <w:pPr>
              <w:pStyle w:val="TableParagraph"/>
              <w:spacing w:line="223" w:lineRule="exact" w:before="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2</w:t>
            </w:r>
          </w:p>
        </w:tc>
        <w:tc>
          <w:tcPr>
            <w:tcW w:w="3677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Instalación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paneles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yeso.</w:t>
            </w:r>
          </w:p>
        </w:tc>
        <w:tc>
          <w:tcPr>
            <w:tcW w:w="710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231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4250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9"/>
              <w:rPr>
                <w:sz w:val="20"/>
              </w:rPr>
            </w:pPr>
            <w:r>
              <w:rPr>
                <w:sz w:val="20"/>
              </w:rPr>
              <w:t>Panadería.</w:t>
            </w:r>
          </w:p>
        </w:tc>
      </w:tr>
      <w:tr>
        <w:trPr>
          <w:trHeight w:val="486" w:hRule="atLeast"/>
        </w:trPr>
        <w:tc>
          <w:tcPr>
            <w:tcW w:w="571" w:type="dxa"/>
            <w:shd w:val="clear" w:color="auto" w:fill="5B9BD4"/>
          </w:tcPr>
          <w:p>
            <w:pPr>
              <w:pStyle w:val="TableParagraph"/>
              <w:spacing w:before="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3</w:t>
            </w:r>
          </w:p>
        </w:tc>
        <w:tc>
          <w:tcPr>
            <w:tcW w:w="3677" w:type="dxa"/>
            <w:shd w:val="clear" w:color="auto" w:fill="BCD5ED"/>
          </w:tcPr>
          <w:p>
            <w:pPr>
              <w:pStyle w:val="TableParagraph"/>
              <w:spacing w:line="24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Colocación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techos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pisos,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azulejos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y</w:t>
            </w:r>
          </w:p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revestimientos.</w:t>
            </w:r>
          </w:p>
        </w:tc>
        <w:tc>
          <w:tcPr>
            <w:tcW w:w="710" w:type="dxa"/>
            <w:shd w:val="clear" w:color="auto" w:fill="BCD5ED"/>
          </w:tcPr>
          <w:p>
            <w:pPr>
              <w:pStyle w:val="TableParagraph"/>
              <w:spacing w:before="1"/>
              <w:ind w:left="231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4250" w:type="dxa"/>
            <w:shd w:val="clear" w:color="auto" w:fill="BCD5ED"/>
          </w:tcPr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Repostería.</w:t>
            </w:r>
          </w:p>
        </w:tc>
      </w:tr>
      <w:tr>
        <w:trPr>
          <w:trHeight w:val="489" w:hRule="atLeast"/>
        </w:trPr>
        <w:tc>
          <w:tcPr>
            <w:tcW w:w="571" w:type="dxa"/>
            <w:shd w:val="clear" w:color="auto" w:fill="5B9BD4"/>
          </w:tcPr>
          <w:p>
            <w:pPr>
              <w:pStyle w:val="TableParagraph"/>
              <w:spacing w:before="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4</w:t>
            </w:r>
          </w:p>
        </w:tc>
        <w:tc>
          <w:tcPr>
            <w:tcW w:w="3677" w:type="dxa"/>
            <w:shd w:val="clear" w:color="auto" w:fill="DEEAF6"/>
          </w:tcPr>
          <w:p>
            <w:pPr>
              <w:pStyle w:val="TableParagraph"/>
              <w:spacing w:line="240" w:lineRule="atLeast"/>
              <w:ind w:left="107" w:right="92"/>
              <w:rPr>
                <w:sz w:val="20"/>
              </w:rPr>
            </w:pPr>
            <w:r>
              <w:rPr>
                <w:sz w:val="20"/>
              </w:rPr>
              <w:t>Instalación,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mantenimiento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reparación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aire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acondicionado.</w:t>
            </w:r>
          </w:p>
        </w:tc>
        <w:tc>
          <w:tcPr>
            <w:tcW w:w="710" w:type="dxa"/>
            <w:shd w:val="clear" w:color="auto" w:fill="DEEAF6"/>
          </w:tcPr>
          <w:p>
            <w:pPr>
              <w:pStyle w:val="TableParagraph"/>
              <w:spacing w:before="1"/>
              <w:ind w:left="231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4250" w:type="dxa"/>
            <w:shd w:val="clear" w:color="auto" w:fill="DEEAF6"/>
          </w:tcPr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Gerentes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restaurante.</w:t>
            </w:r>
          </w:p>
        </w:tc>
      </w:tr>
      <w:tr>
        <w:trPr>
          <w:trHeight w:val="489" w:hRule="atLeast"/>
        </w:trPr>
        <w:tc>
          <w:tcPr>
            <w:tcW w:w="571" w:type="dxa"/>
            <w:shd w:val="clear" w:color="auto" w:fill="5B9BD4"/>
          </w:tcPr>
          <w:p>
            <w:pPr>
              <w:pStyle w:val="TableParagraph"/>
              <w:spacing w:before="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5</w:t>
            </w:r>
          </w:p>
        </w:tc>
        <w:tc>
          <w:tcPr>
            <w:tcW w:w="3677" w:type="dxa"/>
            <w:shd w:val="clear" w:color="auto" w:fill="BCD5ED"/>
          </w:tcPr>
          <w:p>
            <w:pPr>
              <w:pStyle w:val="TableParagraph"/>
              <w:spacing w:line="240" w:lineRule="atLeast"/>
              <w:ind w:left="107" w:right="92"/>
              <w:rPr>
                <w:sz w:val="20"/>
              </w:rPr>
            </w:pPr>
            <w:r>
              <w:rPr>
                <w:sz w:val="20"/>
              </w:rPr>
              <w:t>Mantenimiento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reparación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sistemas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refrigeración.</w:t>
            </w:r>
          </w:p>
        </w:tc>
        <w:tc>
          <w:tcPr>
            <w:tcW w:w="710" w:type="dxa"/>
            <w:shd w:val="clear" w:color="auto" w:fill="BCD5ED"/>
          </w:tcPr>
          <w:p>
            <w:pPr>
              <w:pStyle w:val="TableParagraph"/>
              <w:spacing w:before="1"/>
              <w:ind w:left="231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4250" w:type="dxa"/>
            <w:shd w:val="clear" w:color="auto" w:fill="BCD5ED"/>
          </w:tcPr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Asistente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contact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center.</w:t>
            </w:r>
          </w:p>
        </w:tc>
      </w:tr>
      <w:tr>
        <w:trPr>
          <w:trHeight w:val="244" w:hRule="atLeast"/>
        </w:trPr>
        <w:tc>
          <w:tcPr>
            <w:tcW w:w="571" w:type="dxa"/>
            <w:shd w:val="clear" w:color="auto" w:fill="5B9BD4"/>
          </w:tcPr>
          <w:p>
            <w:pPr>
              <w:pStyle w:val="TableParagraph"/>
              <w:spacing w:line="223" w:lineRule="exact" w:before="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6</w:t>
            </w:r>
          </w:p>
        </w:tc>
        <w:tc>
          <w:tcPr>
            <w:tcW w:w="3677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Electricidad.</w:t>
            </w:r>
          </w:p>
        </w:tc>
        <w:tc>
          <w:tcPr>
            <w:tcW w:w="710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231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4250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9"/>
              <w:rPr>
                <w:sz w:val="20"/>
              </w:rPr>
            </w:pPr>
            <w:r>
              <w:rPr>
                <w:sz w:val="20"/>
              </w:rPr>
              <w:t>Cocinero.</w:t>
            </w:r>
          </w:p>
        </w:tc>
      </w:tr>
      <w:tr>
        <w:trPr>
          <w:trHeight w:val="241" w:hRule="atLeast"/>
        </w:trPr>
        <w:tc>
          <w:tcPr>
            <w:tcW w:w="571" w:type="dxa"/>
            <w:shd w:val="clear" w:color="auto" w:fill="5B9BD4"/>
          </w:tcPr>
          <w:p>
            <w:pPr>
              <w:pStyle w:val="TableParagraph"/>
              <w:spacing w:line="222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7</w:t>
            </w:r>
          </w:p>
        </w:tc>
        <w:tc>
          <w:tcPr>
            <w:tcW w:w="3677" w:type="dxa"/>
            <w:shd w:val="clear" w:color="auto" w:fill="BCD5ED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Jardinería.</w:t>
            </w:r>
          </w:p>
        </w:tc>
        <w:tc>
          <w:tcPr>
            <w:tcW w:w="710" w:type="dxa"/>
            <w:shd w:val="clear" w:color="auto" w:fill="BCD5ED"/>
          </w:tcPr>
          <w:p>
            <w:pPr>
              <w:pStyle w:val="TableParagraph"/>
              <w:spacing w:line="222" w:lineRule="exact"/>
              <w:ind w:left="231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4250" w:type="dxa"/>
            <w:shd w:val="clear" w:color="auto" w:fill="BCD5ED"/>
          </w:tcPr>
          <w:p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Barista.</w:t>
            </w:r>
          </w:p>
        </w:tc>
      </w:tr>
      <w:tr>
        <w:trPr>
          <w:trHeight w:val="244" w:hRule="atLeast"/>
        </w:trPr>
        <w:tc>
          <w:tcPr>
            <w:tcW w:w="571" w:type="dxa"/>
            <w:shd w:val="clear" w:color="auto" w:fill="5B9BD4"/>
          </w:tcPr>
          <w:p>
            <w:pPr>
              <w:pStyle w:val="TableParagraph"/>
              <w:spacing w:line="223" w:lineRule="exact" w:before="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8</w:t>
            </w:r>
          </w:p>
        </w:tc>
        <w:tc>
          <w:tcPr>
            <w:tcW w:w="3677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Operador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maquinaria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(montacargas).</w:t>
            </w:r>
          </w:p>
        </w:tc>
        <w:tc>
          <w:tcPr>
            <w:tcW w:w="710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231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4250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9"/>
              <w:rPr>
                <w:sz w:val="20"/>
              </w:rPr>
            </w:pPr>
            <w:r>
              <w:rPr>
                <w:sz w:val="20"/>
              </w:rPr>
              <w:t>Bartender.</w:t>
            </w:r>
          </w:p>
        </w:tc>
      </w:tr>
      <w:tr>
        <w:trPr>
          <w:trHeight w:val="244" w:hRule="atLeast"/>
        </w:trPr>
        <w:tc>
          <w:tcPr>
            <w:tcW w:w="571" w:type="dxa"/>
            <w:shd w:val="clear" w:color="auto" w:fill="5B9BD4"/>
          </w:tcPr>
          <w:p>
            <w:pPr>
              <w:pStyle w:val="TableParagraph"/>
              <w:spacing w:line="223" w:lineRule="exact" w:before="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9</w:t>
            </w:r>
          </w:p>
        </w:tc>
        <w:tc>
          <w:tcPr>
            <w:tcW w:w="3677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Barbero.</w:t>
            </w:r>
          </w:p>
        </w:tc>
        <w:tc>
          <w:tcPr>
            <w:tcW w:w="710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231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4250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09"/>
              <w:rPr>
                <w:sz w:val="20"/>
              </w:rPr>
            </w:pPr>
            <w:r>
              <w:rPr>
                <w:sz w:val="20"/>
              </w:rPr>
              <w:t>Abastecimiento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almacenaje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bodega.</w:t>
            </w:r>
          </w:p>
        </w:tc>
      </w:tr>
      <w:tr>
        <w:trPr>
          <w:trHeight w:val="244" w:hRule="atLeast"/>
        </w:trPr>
        <w:tc>
          <w:tcPr>
            <w:tcW w:w="571" w:type="dxa"/>
            <w:shd w:val="clear" w:color="auto" w:fill="5B9BD4"/>
          </w:tcPr>
          <w:p>
            <w:pPr>
              <w:pStyle w:val="TableParagraph"/>
              <w:spacing w:line="223" w:lineRule="exact" w:before="1"/>
              <w:ind w:left="163" w:right="15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10</w:t>
            </w:r>
          </w:p>
        </w:tc>
        <w:tc>
          <w:tcPr>
            <w:tcW w:w="3677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Estilista.</w:t>
            </w:r>
          </w:p>
        </w:tc>
        <w:tc>
          <w:tcPr>
            <w:tcW w:w="710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231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4250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9"/>
              <w:rPr>
                <w:sz w:val="20"/>
              </w:rPr>
            </w:pPr>
            <w:r>
              <w:rPr>
                <w:sz w:val="20"/>
              </w:rPr>
              <w:t>Repartidor.</w:t>
            </w:r>
          </w:p>
        </w:tc>
      </w:tr>
      <w:tr>
        <w:trPr>
          <w:trHeight w:val="244" w:hRule="atLeast"/>
        </w:trPr>
        <w:tc>
          <w:tcPr>
            <w:tcW w:w="571" w:type="dxa"/>
            <w:shd w:val="clear" w:color="auto" w:fill="5B9BD4"/>
          </w:tcPr>
          <w:p>
            <w:pPr>
              <w:pStyle w:val="TableParagraph"/>
              <w:spacing w:line="223" w:lineRule="exact" w:before="1"/>
              <w:ind w:left="163" w:right="15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11</w:t>
            </w:r>
          </w:p>
        </w:tc>
        <w:tc>
          <w:tcPr>
            <w:tcW w:w="3677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Niñera.</w:t>
            </w:r>
          </w:p>
        </w:tc>
        <w:tc>
          <w:tcPr>
            <w:tcW w:w="710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231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4250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09"/>
              <w:rPr>
                <w:sz w:val="20"/>
              </w:rPr>
            </w:pPr>
            <w:r>
              <w:rPr>
                <w:sz w:val="20"/>
              </w:rPr>
              <w:t>Enderezado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pintura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vehículos.</w:t>
            </w:r>
          </w:p>
        </w:tc>
      </w:tr>
      <w:tr>
        <w:trPr>
          <w:trHeight w:val="244" w:hRule="atLeast"/>
        </w:trPr>
        <w:tc>
          <w:tcPr>
            <w:tcW w:w="571" w:type="dxa"/>
            <w:shd w:val="clear" w:color="auto" w:fill="5B9BD4"/>
          </w:tcPr>
          <w:p>
            <w:pPr>
              <w:pStyle w:val="TableParagraph"/>
              <w:spacing w:line="223" w:lineRule="exact" w:before="1"/>
              <w:ind w:left="163" w:right="15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12</w:t>
            </w:r>
          </w:p>
        </w:tc>
        <w:tc>
          <w:tcPr>
            <w:tcW w:w="3677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Cuidado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adulto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domicilio.</w:t>
            </w:r>
          </w:p>
        </w:tc>
        <w:tc>
          <w:tcPr>
            <w:tcW w:w="710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231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4250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9"/>
              <w:rPr>
                <w:sz w:val="20"/>
              </w:rPr>
            </w:pPr>
            <w:r>
              <w:rPr>
                <w:sz w:val="20"/>
              </w:rPr>
              <w:t>Gestor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cultural.</w:t>
            </w:r>
          </w:p>
        </w:tc>
      </w:tr>
      <w:tr>
        <w:trPr>
          <w:trHeight w:val="244" w:hRule="atLeast"/>
        </w:trPr>
        <w:tc>
          <w:tcPr>
            <w:tcW w:w="571" w:type="dxa"/>
            <w:shd w:val="clear" w:color="auto" w:fill="5B9BD4"/>
          </w:tcPr>
          <w:p>
            <w:pPr>
              <w:pStyle w:val="TableParagraph"/>
              <w:spacing w:line="223" w:lineRule="exact" w:before="1"/>
              <w:ind w:left="163" w:right="15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13</w:t>
            </w:r>
          </w:p>
        </w:tc>
        <w:tc>
          <w:tcPr>
            <w:tcW w:w="3677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Jefe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cocina.</w:t>
            </w:r>
          </w:p>
        </w:tc>
        <w:tc>
          <w:tcPr>
            <w:tcW w:w="710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231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4250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09"/>
              <w:rPr>
                <w:sz w:val="20"/>
              </w:rPr>
            </w:pPr>
            <w:r>
              <w:rPr>
                <w:sz w:val="20"/>
              </w:rPr>
              <w:t>Asistente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Administrativa.</w:t>
            </w:r>
          </w:p>
        </w:tc>
      </w:tr>
      <w:tr>
        <w:trPr>
          <w:trHeight w:val="244" w:hRule="atLeast"/>
        </w:trPr>
        <w:tc>
          <w:tcPr>
            <w:tcW w:w="571" w:type="dxa"/>
            <w:shd w:val="clear" w:color="auto" w:fill="5B9BD4"/>
          </w:tcPr>
          <w:p>
            <w:pPr>
              <w:pStyle w:val="TableParagraph"/>
              <w:spacing w:line="223" w:lineRule="exact" w:before="1"/>
              <w:ind w:left="163" w:right="15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14</w:t>
            </w:r>
          </w:p>
        </w:tc>
        <w:tc>
          <w:tcPr>
            <w:tcW w:w="3677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Lavaplatos.</w:t>
            </w:r>
          </w:p>
        </w:tc>
        <w:tc>
          <w:tcPr>
            <w:tcW w:w="710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231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4250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9"/>
              <w:rPr>
                <w:sz w:val="20"/>
              </w:rPr>
            </w:pPr>
            <w:r>
              <w:rPr>
                <w:sz w:val="20"/>
              </w:rPr>
              <w:t>Operador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limpieza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comercial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residencial.</w:t>
            </w:r>
          </w:p>
        </w:tc>
      </w:tr>
      <w:tr>
        <w:trPr>
          <w:trHeight w:val="244" w:hRule="atLeast"/>
        </w:trPr>
        <w:tc>
          <w:tcPr>
            <w:tcW w:w="571" w:type="dxa"/>
            <w:shd w:val="clear" w:color="auto" w:fill="5B9BD4"/>
          </w:tcPr>
          <w:p>
            <w:pPr>
              <w:pStyle w:val="TableParagraph"/>
              <w:spacing w:line="223" w:lineRule="exact" w:before="1"/>
              <w:ind w:left="163" w:right="15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15</w:t>
            </w:r>
          </w:p>
        </w:tc>
        <w:tc>
          <w:tcPr>
            <w:tcW w:w="3677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Camarera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hotel.</w:t>
            </w:r>
          </w:p>
        </w:tc>
        <w:tc>
          <w:tcPr>
            <w:tcW w:w="710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231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</w:p>
        </w:tc>
        <w:tc>
          <w:tcPr>
            <w:tcW w:w="4250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09"/>
              <w:rPr>
                <w:sz w:val="20"/>
              </w:rPr>
            </w:pPr>
            <w:r>
              <w:rPr>
                <w:sz w:val="20"/>
              </w:rPr>
              <w:t>Supervisor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mantenimiento.</w:t>
            </w:r>
          </w:p>
        </w:tc>
      </w:tr>
      <w:tr>
        <w:trPr>
          <w:trHeight w:val="241" w:hRule="atLeast"/>
        </w:trPr>
        <w:tc>
          <w:tcPr>
            <w:tcW w:w="571" w:type="dxa"/>
            <w:shd w:val="clear" w:color="auto" w:fill="5B9BD4"/>
          </w:tcPr>
          <w:p>
            <w:pPr>
              <w:pStyle w:val="TableParagraph"/>
              <w:spacing w:line="222" w:lineRule="exact"/>
              <w:ind w:left="163" w:right="15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16</w:t>
            </w:r>
          </w:p>
        </w:tc>
        <w:tc>
          <w:tcPr>
            <w:tcW w:w="3677" w:type="dxa"/>
            <w:shd w:val="clear" w:color="auto" w:fill="DEEAF6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Manicure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pedicure.</w:t>
            </w:r>
          </w:p>
        </w:tc>
        <w:tc>
          <w:tcPr>
            <w:tcW w:w="710" w:type="dxa"/>
            <w:shd w:val="clear" w:color="auto" w:fill="DEEAF6"/>
          </w:tcPr>
          <w:p>
            <w:pPr>
              <w:pStyle w:val="TableParagraph"/>
              <w:spacing w:line="222" w:lineRule="exact"/>
              <w:ind w:left="231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4250" w:type="dxa"/>
            <w:shd w:val="clear" w:color="auto" w:fill="DEEAF6"/>
          </w:tcPr>
          <w:p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Electromecánico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vehículos.</w:t>
            </w:r>
          </w:p>
        </w:tc>
      </w:tr>
      <w:tr>
        <w:trPr>
          <w:trHeight w:val="244" w:hRule="atLeast"/>
        </w:trPr>
        <w:tc>
          <w:tcPr>
            <w:tcW w:w="571" w:type="dxa"/>
            <w:shd w:val="clear" w:color="auto" w:fill="5B9BD4"/>
          </w:tcPr>
          <w:p>
            <w:pPr>
              <w:pStyle w:val="TableParagraph"/>
              <w:spacing w:line="223" w:lineRule="exact" w:before="1"/>
              <w:ind w:left="163" w:right="15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17</w:t>
            </w:r>
          </w:p>
        </w:tc>
        <w:tc>
          <w:tcPr>
            <w:tcW w:w="3677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Intérprete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lengua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maya.</w:t>
            </w:r>
          </w:p>
        </w:tc>
        <w:tc>
          <w:tcPr>
            <w:tcW w:w="710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231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4250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09"/>
              <w:rPr>
                <w:sz w:val="20"/>
              </w:rPr>
            </w:pPr>
            <w:r>
              <w:rPr>
                <w:sz w:val="20"/>
              </w:rPr>
              <w:t>Cajero.</w:t>
            </w:r>
          </w:p>
        </w:tc>
      </w:tr>
      <w:tr>
        <w:trPr>
          <w:trHeight w:val="244" w:hRule="atLeast"/>
        </w:trPr>
        <w:tc>
          <w:tcPr>
            <w:tcW w:w="571" w:type="dxa"/>
            <w:shd w:val="clear" w:color="auto" w:fill="5B9BD4"/>
          </w:tcPr>
          <w:p>
            <w:pPr>
              <w:pStyle w:val="TableParagraph"/>
              <w:spacing w:line="223" w:lineRule="exact" w:before="1"/>
              <w:ind w:left="163" w:right="15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18</w:t>
            </w:r>
          </w:p>
        </w:tc>
        <w:tc>
          <w:tcPr>
            <w:tcW w:w="3677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Plomería</w:t>
            </w:r>
          </w:p>
        </w:tc>
        <w:tc>
          <w:tcPr>
            <w:tcW w:w="710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231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44</w:t>
            </w:r>
          </w:p>
        </w:tc>
        <w:tc>
          <w:tcPr>
            <w:tcW w:w="4250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9"/>
              <w:rPr>
                <w:sz w:val="20"/>
              </w:rPr>
            </w:pPr>
            <w:r>
              <w:rPr>
                <w:sz w:val="20"/>
              </w:rPr>
              <w:t>Pintura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tela</w:t>
            </w:r>
          </w:p>
        </w:tc>
      </w:tr>
      <w:tr>
        <w:trPr>
          <w:trHeight w:val="244" w:hRule="atLeast"/>
        </w:trPr>
        <w:tc>
          <w:tcPr>
            <w:tcW w:w="571" w:type="dxa"/>
            <w:shd w:val="clear" w:color="auto" w:fill="5B9BD4"/>
          </w:tcPr>
          <w:p>
            <w:pPr>
              <w:pStyle w:val="TableParagraph"/>
              <w:spacing w:line="223" w:lineRule="exact" w:before="1"/>
              <w:ind w:left="163" w:right="15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19</w:t>
            </w:r>
          </w:p>
        </w:tc>
        <w:tc>
          <w:tcPr>
            <w:tcW w:w="3677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Fontanería</w:t>
            </w:r>
          </w:p>
        </w:tc>
        <w:tc>
          <w:tcPr>
            <w:tcW w:w="710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231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</w:p>
        </w:tc>
        <w:tc>
          <w:tcPr>
            <w:tcW w:w="4250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09"/>
              <w:rPr>
                <w:sz w:val="20"/>
              </w:rPr>
            </w:pPr>
            <w:r>
              <w:rPr>
                <w:sz w:val="20"/>
              </w:rPr>
              <w:t>Escritor</w:t>
            </w:r>
          </w:p>
        </w:tc>
      </w:tr>
      <w:tr>
        <w:trPr>
          <w:trHeight w:val="244" w:hRule="atLeast"/>
        </w:trPr>
        <w:tc>
          <w:tcPr>
            <w:tcW w:w="571" w:type="dxa"/>
            <w:shd w:val="clear" w:color="auto" w:fill="5B9BD4"/>
          </w:tcPr>
          <w:p>
            <w:pPr>
              <w:pStyle w:val="TableParagraph"/>
              <w:spacing w:line="223" w:lineRule="exact" w:before="1"/>
              <w:ind w:left="163" w:right="15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</w:t>
            </w:r>
          </w:p>
        </w:tc>
        <w:tc>
          <w:tcPr>
            <w:tcW w:w="3677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Operario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modista</w:t>
            </w:r>
          </w:p>
        </w:tc>
        <w:tc>
          <w:tcPr>
            <w:tcW w:w="710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231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46</w:t>
            </w:r>
          </w:p>
        </w:tc>
        <w:tc>
          <w:tcPr>
            <w:tcW w:w="4250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9"/>
              <w:rPr>
                <w:sz w:val="20"/>
              </w:rPr>
            </w:pPr>
            <w:r>
              <w:rPr>
                <w:sz w:val="20"/>
              </w:rPr>
              <w:t>Bisutería</w:t>
            </w:r>
          </w:p>
        </w:tc>
      </w:tr>
      <w:tr>
        <w:trPr>
          <w:trHeight w:val="244" w:hRule="atLeast"/>
        </w:trPr>
        <w:tc>
          <w:tcPr>
            <w:tcW w:w="571" w:type="dxa"/>
            <w:shd w:val="clear" w:color="auto" w:fill="5B9BD4"/>
          </w:tcPr>
          <w:p>
            <w:pPr>
              <w:pStyle w:val="TableParagraph"/>
              <w:spacing w:line="223" w:lineRule="exact" w:before="1"/>
              <w:ind w:left="163" w:right="15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21</w:t>
            </w:r>
          </w:p>
        </w:tc>
        <w:tc>
          <w:tcPr>
            <w:tcW w:w="3677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Costurero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manual</w:t>
            </w:r>
          </w:p>
        </w:tc>
        <w:tc>
          <w:tcPr>
            <w:tcW w:w="710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231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4250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09"/>
              <w:rPr>
                <w:sz w:val="20"/>
              </w:rPr>
            </w:pPr>
            <w:r>
              <w:rPr>
                <w:sz w:val="20"/>
              </w:rPr>
              <w:t>Carnicería</w:t>
            </w:r>
          </w:p>
        </w:tc>
      </w:tr>
      <w:tr>
        <w:trPr>
          <w:trHeight w:val="244" w:hRule="atLeast"/>
        </w:trPr>
        <w:tc>
          <w:tcPr>
            <w:tcW w:w="571" w:type="dxa"/>
            <w:shd w:val="clear" w:color="auto" w:fill="5B9BD4"/>
          </w:tcPr>
          <w:p>
            <w:pPr>
              <w:pStyle w:val="TableParagraph"/>
              <w:spacing w:line="223" w:lineRule="exact" w:before="2"/>
              <w:ind w:left="163" w:right="15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22</w:t>
            </w:r>
          </w:p>
        </w:tc>
        <w:tc>
          <w:tcPr>
            <w:tcW w:w="3677" w:type="dxa"/>
            <w:shd w:val="clear" w:color="auto" w:fill="DEEAF6"/>
          </w:tcPr>
          <w:p>
            <w:pPr>
              <w:pStyle w:val="TableParagraph"/>
              <w:spacing w:line="223" w:lineRule="exact" w:before="2"/>
              <w:ind w:left="107"/>
              <w:rPr>
                <w:sz w:val="20"/>
              </w:rPr>
            </w:pPr>
            <w:r>
              <w:rPr>
                <w:sz w:val="20"/>
              </w:rPr>
              <w:t>Asistente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cocina</w:t>
            </w:r>
          </w:p>
        </w:tc>
        <w:tc>
          <w:tcPr>
            <w:tcW w:w="710" w:type="dxa"/>
            <w:shd w:val="clear" w:color="auto" w:fill="DEEAF6"/>
          </w:tcPr>
          <w:p>
            <w:pPr>
              <w:pStyle w:val="TableParagraph"/>
              <w:spacing w:line="223" w:lineRule="exact" w:before="2"/>
              <w:ind w:left="231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4250" w:type="dxa"/>
            <w:shd w:val="clear" w:color="auto" w:fill="DEEAF6"/>
          </w:tcPr>
          <w:p>
            <w:pPr>
              <w:pStyle w:val="TableParagraph"/>
              <w:spacing w:line="223" w:lineRule="exact" w:before="2"/>
              <w:ind w:left="109"/>
              <w:rPr>
                <w:sz w:val="20"/>
              </w:rPr>
            </w:pPr>
            <w:r>
              <w:rPr>
                <w:sz w:val="20"/>
              </w:rPr>
              <w:t>Supervisor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ventas</w:t>
            </w:r>
          </w:p>
        </w:tc>
      </w:tr>
      <w:tr>
        <w:trPr>
          <w:trHeight w:val="244" w:hRule="atLeast"/>
        </w:trPr>
        <w:tc>
          <w:tcPr>
            <w:tcW w:w="571" w:type="dxa"/>
            <w:shd w:val="clear" w:color="auto" w:fill="5B9BD4"/>
          </w:tcPr>
          <w:p>
            <w:pPr>
              <w:pStyle w:val="TableParagraph"/>
              <w:spacing w:line="223" w:lineRule="exact" w:before="1"/>
              <w:ind w:left="163" w:right="15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23</w:t>
            </w:r>
          </w:p>
        </w:tc>
        <w:tc>
          <w:tcPr>
            <w:tcW w:w="3677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Mesero</w:t>
            </w:r>
          </w:p>
        </w:tc>
        <w:tc>
          <w:tcPr>
            <w:tcW w:w="710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231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49</w:t>
            </w:r>
          </w:p>
        </w:tc>
        <w:tc>
          <w:tcPr>
            <w:tcW w:w="4250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09"/>
              <w:rPr>
                <w:sz w:val="20"/>
              </w:rPr>
            </w:pPr>
            <w:r>
              <w:rPr>
                <w:sz w:val="20"/>
              </w:rPr>
              <w:t>Limpieza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vehículos</w:t>
            </w:r>
          </w:p>
        </w:tc>
      </w:tr>
      <w:tr>
        <w:trPr>
          <w:trHeight w:val="486" w:hRule="atLeast"/>
        </w:trPr>
        <w:tc>
          <w:tcPr>
            <w:tcW w:w="571" w:type="dxa"/>
            <w:shd w:val="clear" w:color="auto" w:fill="5B9BD4"/>
          </w:tcPr>
          <w:p>
            <w:pPr>
              <w:pStyle w:val="TableParagraph"/>
              <w:spacing w:before="1"/>
              <w:ind w:left="163" w:right="15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24</w:t>
            </w:r>
          </w:p>
        </w:tc>
        <w:tc>
          <w:tcPr>
            <w:tcW w:w="3677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Diseñador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Web</w:t>
            </w:r>
          </w:p>
        </w:tc>
        <w:tc>
          <w:tcPr>
            <w:tcW w:w="710" w:type="dxa"/>
            <w:shd w:val="clear" w:color="auto" w:fill="DEEAF6"/>
          </w:tcPr>
          <w:p>
            <w:pPr>
              <w:pStyle w:val="TableParagraph"/>
              <w:spacing w:before="1"/>
              <w:ind w:left="231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4250" w:type="dxa"/>
            <w:shd w:val="clear" w:color="auto" w:fill="DEEAF6"/>
          </w:tcPr>
          <w:p>
            <w:pPr>
              <w:pStyle w:val="TableParagraph"/>
              <w:tabs>
                <w:tab w:pos="1617" w:val="left" w:leader="none"/>
                <w:tab w:pos="2065" w:val="left" w:leader="none"/>
                <w:tab w:pos="3344" w:val="left" w:leader="none"/>
                <w:tab w:pos="3787" w:val="left" w:leader="none"/>
              </w:tabs>
              <w:spacing w:line="243" w:lineRule="exact" w:before="1"/>
              <w:ind w:left="109"/>
              <w:rPr>
                <w:sz w:val="20"/>
              </w:rPr>
            </w:pPr>
            <w:r>
              <w:rPr>
                <w:sz w:val="20"/>
              </w:rPr>
              <w:t>Mantenimiento</w:t>
              <w:tab/>
              <w:t>de</w:t>
              <w:tab/>
              <w:t>motocicletas</w:t>
              <w:tab/>
              <w:t>de</w:t>
              <w:tab/>
              <w:t>bajo</w:t>
            </w:r>
          </w:p>
          <w:p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cilindraje.</w:t>
            </w:r>
          </w:p>
        </w:tc>
      </w:tr>
      <w:tr>
        <w:trPr>
          <w:trHeight w:val="244" w:hRule="atLeast"/>
        </w:trPr>
        <w:tc>
          <w:tcPr>
            <w:tcW w:w="571" w:type="dxa"/>
            <w:shd w:val="clear" w:color="auto" w:fill="5B9BD4"/>
          </w:tcPr>
          <w:p>
            <w:pPr>
              <w:pStyle w:val="TableParagraph"/>
              <w:spacing w:line="223" w:lineRule="exact" w:before="1"/>
              <w:ind w:left="163" w:right="15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25</w:t>
            </w:r>
          </w:p>
        </w:tc>
        <w:tc>
          <w:tcPr>
            <w:tcW w:w="3677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calzado</w:t>
            </w:r>
          </w:p>
        </w:tc>
        <w:tc>
          <w:tcPr>
            <w:tcW w:w="710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231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51</w:t>
            </w:r>
          </w:p>
        </w:tc>
        <w:tc>
          <w:tcPr>
            <w:tcW w:w="4250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09"/>
              <w:rPr>
                <w:sz w:val="20"/>
              </w:rPr>
            </w:pPr>
            <w:r>
              <w:rPr>
                <w:sz w:val="20"/>
              </w:rPr>
              <w:t>Asistente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mecánico</w:t>
            </w:r>
          </w:p>
        </w:tc>
      </w:tr>
      <w:tr>
        <w:trPr>
          <w:trHeight w:val="489" w:hRule="atLeast"/>
        </w:trPr>
        <w:tc>
          <w:tcPr>
            <w:tcW w:w="571" w:type="dxa"/>
            <w:shd w:val="clear" w:color="auto" w:fill="5B9BD4"/>
          </w:tcPr>
          <w:p>
            <w:pPr>
              <w:pStyle w:val="TableParagraph"/>
              <w:spacing w:before="1"/>
              <w:ind w:left="163" w:right="15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26</w:t>
            </w:r>
          </w:p>
        </w:tc>
        <w:tc>
          <w:tcPr>
            <w:tcW w:w="3677" w:type="dxa"/>
            <w:shd w:val="clear" w:color="auto" w:fill="DEEAF6"/>
          </w:tcPr>
          <w:p>
            <w:pPr>
              <w:pStyle w:val="TableParagraph"/>
              <w:spacing w:line="24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Linieros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primera,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segunda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tercera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línea</w:t>
            </w:r>
          </w:p>
        </w:tc>
        <w:tc>
          <w:tcPr>
            <w:tcW w:w="710" w:type="dxa"/>
            <w:shd w:val="clear" w:color="auto" w:fill="DEEAF6"/>
          </w:tcPr>
          <w:p>
            <w:pPr>
              <w:pStyle w:val="TableParagraph"/>
              <w:spacing w:before="1"/>
              <w:ind w:left="231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4250" w:type="dxa"/>
            <w:shd w:val="clear" w:color="auto" w:fill="DEEAF6"/>
          </w:tcPr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Soldador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piezas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estructuras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metálicas.</w:t>
            </w:r>
          </w:p>
        </w:tc>
      </w:tr>
      <w:tr>
        <w:trPr>
          <w:trHeight w:val="244" w:hRule="atLeast"/>
        </w:trPr>
        <w:tc>
          <w:tcPr>
            <w:tcW w:w="571" w:type="dxa"/>
            <w:shd w:val="clear" w:color="auto" w:fill="5B9BD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77" w:type="dxa"/>
            <w:shd w:val="clear" w:color="auto" w:fill="BCD5E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231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53</w:t>
            </w:r>
          </w:p>
        </w:tc>
        <w:tc>
          <w:tcPr>
            <w:tcW w:w="4250" w:type="dxa"/>
            <w:shd w:val="clear" w:color="auto" w:fill="BCD5ED"/>
          </w:tcPr>
          <w:p>
            <w:pPr>
              <w:pStyle w:val="TableParagraph"/>
              <w:spacing w:line="223" w:lineRule="exact" w:before="1"/>
              <w:ind w:left="109"/>
              <w:rPr>
                <w:sz w:val="20"/>
              </w:rPr>
            </w:pPr>
            <w:r>
              <w:rPr>
                <w:sz w:val="20"/>
              </w:rPr>
              <w:t>Instalación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sistemas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refrigeración.</w:t>
            </w:r>
          </w:p>
        </w:tc>
      </w:tr>
    </w:tbl>
    <w:p>
      <w:pPr>
        <w:spacing w:before="0"/>
        <w:ind w:left="300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Subdirección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Educación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Trabajo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Cultura,</w:t>
      </w:r>
      <w:r>
        <w:rPr>
          <w:spacing w:val="-2"/>
          <w:sz w:val="16"/>
        </w:rPr>
        <w:t> </w:t>
      </w:r>
      <w:r>
        <w:rPr>
          <w:sz w:val="16"/>
        </w:rPr>
        <w:t>año</w:t>
      </w:r>
      <w:r>
        <w:rPr>
          <w:spacing w:val="-2"/>
          <w:sz w:val="16"/>
        </w:rPr>
        <w:t> </w:t>
      </w:r>
      <w:r>
        <w:rPr>
          <w:sz w:val="16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  <w:r>
        <w:rPr/>
        <w:pict>
          <v:rect style="position:absolute;margin-left:563.280029pt;margin-top:17.638666pt;width:25.44pt;height:1.464pt;mso-position-horizontal-relative:page;mso-position-vertical-relative:paragraph;z-index:-1558630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223"/>
      </w:pPr>
      <w:r>
        <w:rPr/>
        <w:t>69</w:t>
      </w:r>
    </w:p>
    <w:p>
      <w:pPr>
        <w:pStyle w:val="BodyText"/>
        <w:spacing w:line="91" w:lineRule="exact"/>
        <w:ind w:left="10125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45pt;height:4.6pt;mso-position-horizontal-relative:char;mso-position-vertical-relative:line" coordorigin="0,0" coordsize="509,92">
            <v:rect style="position:absolute;left:0;top:0;width:509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457600">
            <wp:simplePos x="0" y="0"/>
            <wp:positionH relativeFrom="page">
              <wp:posOffset>0</wp:posOffset>
            </wp:positionH>
            <wp:positionV relativeFrom="page">
              <wp:posOffset>302887</wp:posOffset>
            </wp:positionV>
            <wp:extent cx="7772399" cy="9501333"/>
            <wp:effectExtent l="0" t="0" r="0" b="0"/>
            <wp:wrapNone/>
            <wp:docPr id="18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1"/>
          <w:numId w:val="4"/>
        </w:numPr>
        <w:tabs>
          <w:tab w:pos="876" w:val="left" w:leader="none"/>
          <w:tab w:pos="877" w:val="left" w:leader="none"/>
        </w:tabs>
        <w:spacing w:line="240" w:lineRule="auto" w:before="52" w:after="0"/>
        <w:ind w:left="876" w:right="0" w:hanging="577"/>
        <w:jc w:val="left"/>
      </w:pPr>
      <w:bookmarkStart w:name="_bookmark94" w:id="124"/>
      <w:bookmarkEnd w:id="124"/>
      <w:r>
        <w:rPr>
          <w:b w:val="0"/>
        </w:rPr>
      </w:r>
      <w:bookmarkStart w:name="_bookmark94" w:id="125"/>
      <w:bookmarkEnd w:id="125"/>
      <w:r>
        <w:rPr>
          <w:color w:val="1F4E79"/>
        </w:rPr>
        <w:t>A</w:t>
      </w:r>
      <w:r>
        <w:rPr>
          <w:color w:val="1F4E79"/>
        </w:rPr>
        <w:t>cademias</w:t>
      </w:r>
      <w:r>
        <w:rPr>
          <w:color w:val="1F4E79"/>
          <w:spacing w:val="-6"/>
        </w:rPr>
        <w:t> </w:t>
      </w:r>
      <w:r>
        <w:rPr>
          <w:color w:val="1F4E79"/>
        </w:rPr>
        <w:t>de</w:t>
      </w:r>
      <w:r>
        <w:rPr>
          <w:color w:val="1F4E79"/>
          <w:spacing w:val="-6"/>
        </w:rPr>
        <w:t> </w:t>
      </w:r>
      <w:r>
        <w:rPr>
          <w:color w:val="1F4E79"/>
        </w:rPr>
        <w:t>cursos</w:t>
      </w:r>
      <w:r>
        <w:rPr>
          <w:color w:val="1F4E79"/>
          <w:spacing w:val="-6"/>
        </w:rPr>
        <w:t> </w:t>
      </w:r>
      <w:r>
        <w:rPr>
          <w:color w:val="1F4E79"/>
        </w:rPr>
        <w:t>libres</w:t>
      </w:r>
    </w:p>
    <w:p>
      <w:pPr>
        <w:pStyle w:val="BodyText"/>
        <w:rPr>
          <w:b/>
          <w:sz w:val="24"/>
        </w:rPr>
      </w:pPr>
    </w:p>
    <w:p>
      <w:pPr>
        <w:spacing w:line="240" w:lineRule="auto" w:before="187"/>
        <w:ind w:left="300" w:right="1095" w:firstLine="0"/>
        <w:jc w:val="both"/>
        <w:rPr>
          <w:sz w:val="24"/>
        </w:rPr>
      </w:pPr>
      <w:r>
        <w:rPr>
          <w:sz w:val="24"/>
        </w:rPr>
        <w:t>A finales del 2021 se inició la implementación del módulo de Academias de Cursos Libres, ACL,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Sistema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Información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Registro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1"/>
          <w:sz w:val="24"/>
        </w:rPr>
        <w:t> </w:t>
      </w:r>
      <w:r>
        <w:rPr>
          <w:sz w:val="24"/>
        </w:rPr>
        <w:t>Extraescolar,</w:t>
      </w:r>
      <w:r>
        <w:rPr>
          <w:spacing w:val="1"/>
          <w:sz w:val="24"/>
        </w:rPr>
        <w:t> </w:t>
      </w:r>
      <w:r>
        <w:rPr>
          <w:sz w:val="24"/>
        </w:rPr>
        <w:t>SIREEX,</w:t>
      </w:r>
      <w:r>
        <w:rPr>
          <w:spacing w:val="1"/>
          <w:sz w:val="24"/>
        </w:rPr>
        <w:t> </w:t>
      </w:r>
      <w:r>
        <w:rPr>
          <w:sz w:val="24"/>
        </w:rPr>
        <w:t>solo</w:t>
      </w:r>
      <w:r>
        <w:rPr>
          <w:spacing w:val="1"/>
          <w:sz w:val="24"/>
        </w:rPr>
        <w:t> </w:t>
      </w:r>
      <w:r>
        <w:rPr>
          <w:sz w:val="24"/>
        </w:rPr>
        <w:t>algunas</w:t>
      </w:r>
      <w:r>
        <w:rPr>
          <w:spacing w:val="1"/>
          <w:sz w:val="24"/>
        </w:rPr>
        <w:t> </w:t>
      </w:r>
      <w:r>
        <w:rPr>
          <w:sz w:val="24"/>
        </w:rPr>
        <w:t>academias iniciaron a utilizar el sistema, por lo que la información que se presenta no es</w:t>
      </w:r>
      <w:r>
        <w:rPr>
          <w:spacing w:val="1"/>
          <w:sz w:val="24"/>
        </w:rPr>
        <w:t> </w:t>
      </w:r>
      <w:r>
        <w:rPr>
          <w:sz w:val="24"/>
        </w:rPr>
        <w:t>representativa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nivel</w:t>
      </w:r>
      <w:r>
        <w:rPr>
          <w:spacing w:val="-8"/>
          <w:sz w:val="24"/>
        </w:rPr>
        <w:t> </w:t>
      </w:r>
      <w:r>
        <w:rPr>
          <w:sz w:val="24"/>
        </w:rPr>
        <w:t>nacional</w:t>
      </w:r>
      <w:r>
        <w:rPr>
          <w:spacing w:val="-7"/>
          <w:sz w:val="24"/>
        </w:rPr>
        <w:t> </w:t>
      </w:r>
      <w:r>
        <w:rPr>
          <w:sz w:val="24"/>
        </w:rPr>
        <w:t>ni</w:t>
      </w:r>
      <w:r>
        <w:rPr>
          <w:spacing w:val="-9"/>
          <w:sz w:val="24"/>
        </w:rPr>
        <w:t> </w:t>
      </w:r>
      <w:r>
        <w:rPr>
          <w:sz w:val="24"/>
        </w:rPr>
        <w:t>departamental.</w:t>
      </w:r>
      <w:r>
        <w:rPr>
          <w:spacing w:val="-8"/>
          <w:sz w:val="24"/>
        </w:rPr>
        <w:t> </w:t>
      </w:r>
      <w:r>
        <w:rPr>
          <w:sz w:val="24"/>
        </w:rPr>
        <w:t>Es</w:t>
      </w:r>
      <w:r>
        <w:rPr>
          <w:spacing w:val="-7"/>
          <w:sz w:val="24"/>
        </w:rPr>
        <w:t> </w:t>
      </w:r>
      <w:r>
        <w:rPr>
          <w:sz w:val="24"/>
        </w:rPr>
        <w:t>importante</w:t>
      </w:r>
      <w:r>
        <w:rPr>
          <w:spacing w:val="-8"/>
          <w:sz w:val="24"/>
        </w:rPr>
        <w:t> </w:t>
      </w:r>
      <w:r>
        <w:rPr>
          <w:sz w:val="24"/>
        </w:rPr>
        <w:t>establecer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academias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cursos</w:t>
      </w:r>
      <w:r>
        <w:rPr>
          <w:spacing w:val="1"/>
          <w:sz w:val="24"/>
        </w:rPr>
        <w:t> </w:t>
      </w:r>
      <w:r>
        <w:rPr>
          <w:sz w:val="24"/>
        </w:rPr>
        <w:t>libres</w:t>
      </w:r>
      <w:r>
        <w:rPr>
          <w:spacing w:val="1"/>
          <w:sz w:val="24"/>
        </w:rPr>
        <w:t> </w:t>
      </w:r>
      <w:r>
        <w:rPr>
          <w:sz w:val="24"/>
        </w:rPr>
        <w:t>son</w:t>
      </w:r>
      <w:r>
        <w:rPr>
          <w:spacing w:val="1"/>
          <w:sz w:val="24"/>
        </w:rPr>
        <w:t> </w:t>
      </w:r>
      <w:r>
        <w:rPr>
          <w:sz w:val="24"/>
        </w:rPr>
        <w:t>entidades</w:t>
      </w:r>
      <w:r>
        <w:rPr>
          <w:spacing w:val="1"/>
          <w:sz w:val="24"/>
        </w:rPr>
        <w:t> </w:t>
      </w:r>
      <w:r>
        <w:rPr>
          <w:sz w:val="24"/>
        </w:rPr>
        <w:t>privadas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Coordinaciones</w:t>
      </w:r>
      <w:r>
        <w:rPr>
          <w:spacing w:val="1"/>
          <w:sz w:val="24"/>
        </w:rPr>
        <w:t> </w:t>
      </w:r>
      <w:r>
        <w:rPr>
          <w:sz w:val="24"/>
        </w:rPr>
        <w:t>Departamentales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1"/>
          <w:sz w:val="24"/>
        </w:rPr>
        <w:t> </w:t>
      </w:r>
      <w:r>
        <w:rPr>
          <w:sz w:val="24"/>
        </w:rPr>
        <w:t>Extraescolar</w:t>
      </w:r>
      <w:r>
        <w:rPr>
          <w:spacing w:val="-1"/>
          <w:sz w:val="24"/>
        </w:rPr>
        <w:t> </w:t>
      </w:r>
      <w:r>
        <w:rPr>
          <w:sz w:val="24"/>
        </w:rPr>
        <w:t>acompañan</w:t>
      </w:r>
      <w:r>
        <w:rPr>
          <w:spacing w:val="-2"/>
          <w:sz w:val="24"/>
        </w:rPr>
        <w:t> </w:t>
      </w:r>
      <w:r>
        <w:rPr>
          <w:sz w:val="24"/>
        </w:rPr>
        <w:t>en el</w:t>
      </w:r>
      <w:r>
        <w:rPr>
          <w:spacing w:val="-3"/>
          <w:sz w:val="24"/>
        </w:rPr>
        <w:t> </w:t>
      </w:r>
      <w:r>
        <w:rPr>
          <w:sz w:val="24"/>
        </w:rPr>
        <w:t>proceso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autorización y</w:t>
      </w:r>
      <w:r>
        <w:rPr>
          <w:spacing w:val="-1"/>
          <w:sz w:val="24"/>
        </w:rPr>
        <w:t> </w:t>
      </w:r>
      <w:r>
        <w:rPr>
          <w:sz w:val="24"/>
        </w:rPr>
        <w:t>acreditación</w:t>
      </w:r>
      <w:r>
        <w:rPr>
          <w:spacing w:val="-3"/>
          <w:sz w:val="24"/>
        </w:rPr>
        <w:t> </w:t>
      </w:r>
      <w:r>
        <w:rPr>
          <w:sz w:val="24"/>
        </w:rPr>
        <w:t>de los estudiantes.</w:t>
      </w:r>
    </w:p>
    <w:p>
      <w:pPr>
        <w:pStyle w:val="BodyText"/>
        <w:spacing w:before="1"/>
        <w:rPr>
          <w:sz w:val="24"/>
        </w:rPr>
      </w:pPr>
    </w:p>
    <w:p>
      <w:pPr>
        <w:spacing w:before="1"/>
        <w:ind w:left="300" w:right="1091" w:firstLine="0"/>
        <w:jc w:val="both"/>
        <w:rPr>
          <w:sz w:val="24"/>
        </w:rPr>
      </w:pP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2021,</w:t>
      </w:r>
      <w:r>
        <w:rPr>
          <w:spacing w:val="-4"/>
          <w:sz w:val="24"/>
        </w:rPr>
        <w:t> </w:t>
      </w:r>
      <w:r>
        <w:rPr>
          <w:sz w:val="24"/>
        </w:rPr>
        <w:t>6,8253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academias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cursos</w:t>
      </w:r>
      <w:r>
        <w:rPr>
          <w:spacing w:val="-4"/>
          <w:sz w:val="24"/>
        </w:rPr>
        <w:t> </w:t>
      </w:r>
      <w:r>
        <w:rPr>
          <w:sz w:val="24"/>
        </w:rPr>
        <w:t>libres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inscribieron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SIREEX,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ellos</w:t>
      </w:r>
      <w:r>
        <w:rPr>
          <w:spacing w:val="-3"/>
          <w:sz w:val="24"/>
        </w:rPr>
        <w:t> </w:t>
      </w:r>
      <w:r>
        <w:rPr>
          <w:sz w:val="24"/>
        </w:rPr>
        <w:t>3,162</w:t>
      </w:r>
      <w:r>
        <w:rPr>
          <w:spacing w:val="-3"/>
          <w:sz w:val="24"/>
        </w:rPr>
        <w:t> </w:t>
      </w:r>
      <w:r>
        <w:rPr>
          <w:sz w:val="24"/>
        </w:rPr>
        <w:t>(46%)</w:t>
      </w:r>
      <w:r>
        <w:rPr>
          <w:spacing w:val="-52"/>
          <w:sz w:val="24"/>
        </w:rPr>
        <w:t> </w:t>
      </w:r>
      <w:r>
        <w:rPr>
          <w:sz w:val="24"/>
        </w:rPr>
        <w:t>fueron hombres y 3,691 (54%) fueron mujeres. Las Direcciones Departamentales de Educación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registraron</w:t>
      </w:r>
      <w:r>
        <w:rPr>
          <w:spacing w:val="1"/>
          <w:sz w:val="24"/>
        </w:rPr>
        <w:t> </w:t>
      </w:r>
      <w:r>
        <w:rPr>
          <w:sz w:val="24"/>
        </w:rPr>
        <w:t>mayor</w:t>
      </w:r>
      <w:r>
        <w:rPr>
          <w:spacing w:val="1"/>
          <w:sz w:val="24"/>
        </w:rPr>
        <w:t> </w:t>
      </w:r>
      <w:r>
        <w:rPr>
          <w:sz w:val="24"/>
        </w:rPr>
        <w:t>cantidad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estudiantes</w:t>
      </w:r>
      <w:r>
        <w:rPr>
          <w:spacing w:val="1"/>
          <w:sz w:val="24"/>
        </w:rPr>
        <w:t> </w:t>
      </w:r>
      <w:r>
        <w:rPr>
          <w:sz w:val="24"/>
        </w:rPr>
        <w:t>fueron</w:t>
      </w:r>
      <w:r>
        <w:rPr>
          <w:spacing w:val="1"/>
          <w:sz w:val="24"/>
        </w:rPr>
        <w:t> </w:t>
      </w:r>
      <w:r>
        <w:rPr>
          <w:sz w:val="24"/>
        </w:rPr>
        <w:t>Suchitepéquez,</w:t>
      </w:r>
      <w:r>
        <w:rPr>
          <w:spacing w:val="1"/>
          <w:sz w:val="24"/>
        </w:rPr>
        <w:t> </w:t>
      </w:r>
      <w:r>
        <w:rPr>
          <w:sz w:val="24"/>
        </w:rPr>
        <w:t>Huehuetenango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Guatemala</w:t>
      </w:r>
      <w:r>
        <w:rPr>
          <w:spacing w:val="-1"/>
          <w:sz w:val="24"/>
        </w:rPr>
        <w:t> </w:t>
      </w:r>
      <w:r>
        <w:rPr>
          <w:sz w:val="24"/>
        </w:rPr>
        <w:t>Sur.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32" w:right="989" w:firstLine="0"/>
        <w:jc w:val="center"/>
        <w:rPr>
          <w:sz w:val="20"/>
        </w:rPr>
      </w:pPr>
      <w:bookmarkStart w:name="_bookmark95" w:id="126"/>
      <w:bookmarkEnd w:id="126"/>
      <w:r>
        <w:rPr/>
      </w:r>
      <w:r>
        <w:rPr>
          <w:sz w:val="20"/>
        </w:rPr>
        <w:t>Gráfico</w:t>
      </w:r>
      <w:r>
        <w:rPr>
          <w:spacing w:val="-2"/>
          <w:sz w:val="20"/>
        </w:rPr>
        <w:t> </w:t>
      </w:r>
      <w:r>
        <w:rPr>
          <w:sz w:val="20"/>
        </w:rPr>
        <w:t>61</w:t>
      </w:r>
      <w:r>
        <w:rPr>
          <w:spacing w:val="-2"/>
          <w:sz w:val="20"/>
        </w:rPr>
        <w:t> </w:t>
      </w:r>
      <w:r>
        <w:rPr>
          <w:sz w:val="20"/>
        </w:rPr>
        <w:t>Estudiantes</w:t>
      </w:r>
      <w:r>
        <w:rPr>
          <w:spacing w:val="-4"/>
          <w:sz w:val="20"/>
        </w:rPr>
        <w:t> </w:t>
      </w:r>
      <w:r>
        <w:rPr>
          <w:sz w:val="20"/>
        </w:rPr>
        <w:t>inscritos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SIREEX,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Academias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Cursos</w:t>
      </w:r>
      <w:r>
        <w:rPr>
          <w:spacing w:val="-3"/>
          <w:sz w:val="20"/>
        </w:rPr>
        <w:t> </w:t>
      </w:r>
      <w:r>
        <w:rPr>
          <w:sz w:val="20"/>
        </w:rPr>
        <w:t>Libres,</w:t>
      </w:r>
      <w:r>
        <w:rPr>
          <w:spacing w:val="-2"/>
          <w:sz w:val="20"/>
        </w:rPr>
        <w:t> </w:t>
      </w:r>
      <w:r>
        <w:rPr>
          <w:sz w:val="20"/>
        </w:rPr>
        <w:t>Año</w:t>
      </w:r>
      <w:r>
        <w:rPr>
          <w:spacing w:val="-2"/>
          <w:sz w:val="20"/>
        </w:rPr>
        <w:t> </w:t>
      </w:r>
      <w:r>
        <w:rPr>
          <w:sz w:val="20"/>
        </w:rPr>
        <w:t>2021.</w:t>
      </w:r>
    </w:p>
    <w:p>
      <w:pPr>
        <w:pStyle w:val="BodyText"/>
        <w:ind w:left="300"/>
        <w:rPr>
          <w:sz w:val="20"/>
        </w:rPr>
      </w:pPr>
      <w:r>
        <w:rPr>
          <w:sz w:val="20"/>
        </w:rPr>
        <w:pict>
          <v:group style="width:467.25pt;height:148.5pt;mso-position-horizontal-relative:char;mso-position-vertical-relative:line" coordorigin="0,0" coordsize="9345,2970">
            <v:rect style="position:absolute;left:0;top:0;width:9345;height:2970" filled="true" fillcolor="#ffffff" stroked="false">
              <v:fill type="solid"/>
            </v:rect>
            <v:shape style="position:absolute;left:948;top:468;width:7937;height:1108" coordorigin="948,469" coordsize="7937,1108" path="m1166,1390l948,1390,948,1576,1166,1576,1166,1390xm1870,1333l1649,1333,1649,1576,1870,1576,1870,1333xm2570,1395l2350,1395,2350,1576,2570,1576,2570,1395xm3271,1574l3053,1574,3053,1576,3271,1576,3271,1574xm3974,1522l3754,1522,3754,1576,3974,1576,3974,1522xm4675,973l4454,973,4454,1576,4675,1576,4675,973xm5376,605l5158,605,5158,1576,5376,1576,5376,605xm6079,1467l5858,1467,5858,1576,6079,1576,6079,1467xm6780,1489l6559,1489,6559,1576,6780,1576,6780,1489xm7481,1467l7262,1467,7262,1576,7481,1576,7481,1467xm8182,469l7963,469,7963,1576,8182,1576,8182,469xm8885,1513l8664,1513,8664,1576,8885,1576,8885,1513xe" filled="true" fillcolor="#5b9bd4" stroked="false">
              <v:path arrowok="t"/>
              <v:fill type="solid"/>
            </v:shape>
            <v:line style="position:absolute" from="707,1576" to="9125,1576" stroked="true" strokeweight=".75pt" strokecolor="#d9d9d9">
              <v:stroke dashstyle="solid"/>
            </v:line>
            <v:shape style="position:absolute;left:368;top:1718;width:1426;height:746" type="#_x0000_t75" stroked="false">
              <v:imagedata r:id="rId55" o:title=""/>
            </v:shape>
            <v:shape style="position:absolute;left:1928;top:1733;width:548;height:550" type="#_x0000_t75" stroked="false">
              <v:imagedata r:id="rId56" o:title=""/>
            </v:shape>
            <v:shape style="position:absolute;left:2629;top:1720;width:2654;height:1065" type="#_x0000_t75" stroked="false">
              <v:imagedata r:id="rId57" o:title=""/>
            </v:shape>
            <v:shape style="position:absolute;left:5623;top:1719;width:1082;height:780" type="#_x0000_t75" stroked="false">
              <v:imagedata r:id="rId58" o:title=""/>
            </v:shape>
            <v:shape style="position:absolute;left:6990;top:1709;width:1118;height:831" type="#_x0000_t75" stroked="false">
              <v:imagedata r:id="rId59" o:title=""/>
            </v:shape>
            <v:shape style="position:absolute;left:8377;top:1741;width:432;height:406" coordorigin="8377,1742" coordsize="432,406" path="m8432,2052l8419,2052,8438,2136,8438,2140,8439,2140,8439,2142,8439,2142,8440,2144,8441,2144,8441,2146,8443,2148,8449,2148,8466,2132,8450,2132,8432,2052xm8488,2096l8485,2096,8450,2132,8466,2132,8493,2106,8493,2104,8494,2104,8493,2102,8493,2102,8492,2100,8491,2100,8489,2098,8488,2096xm8502,2096l8496,2096,8497,2098,8501,2098,8502,2096xm8466,1992l8461,1992,8460,1994,8459,1994,8458,1996,8457,1996,8456,1998,8455,1998,8454,2000,8453,2000,8453,2002,8452,2002,8452,2004,8453,2004,8496,2096,8503,2096,8504,2094,8505,2094,8506,2092,8507,2092,8507,2090,8507,2090,8507,2088,8507,2088,8495,2064,8506,2054,8490,2054,8467,2006,8496,2006,8466,1992xm8423,2034l8420,2034,8419,2036,8378,2076,8377,2078,8378,2078,8378,2080,8379,2080,8381,2082,8382,2084,8386,2084,8419,2052,8432,2052,8431,2048,8431,2046,8430,2044,8430,2044,8430,2042,8430,2042,8429,2040,8428,2040,8427,2038,8425,2036,8424,2036,8423,2034xm8496,2006l8467,2006,8515,2030,8490,2054,8506,2054,8525,2036,8558,2036,8556,2034,8496,2006xm8559,2036l8525,2036,8549,2046,8552,2046,8554,2044,8555,2044,8556,2042,8557,2042,8558,2040,8559,2038,8560,2038,8559,2036xm8556,1914l8545,1914,8543,1916,8540,1916,8536,1918,8531,1922,8529,1924,8522,1930,8519,1936,8517,1940,8514,1946,8514,1952,8514,1958,8515,1964,8516,1970,8519,1976,8523,1982,8527,1988,8539,2000,8545,2006,8551,2008,8557,2012,8562,2012,8574,2014,8579,2012,8584,2010,8590,2008,8595,2004,8600,2000,8569,2000,8565,1998,8561,1998,8556,1994,8552,1992,8538,1980,8535,1976,8529,1966,8528,1962,8527,1952,8527,1948,8528,1944,8530,1940,8532,1938,8535,1934,8538,1932,8541,1928,8547,1926,8549,1926,8552,1924,8559,1924,8560,1922,8561,1922,8561,1920,8561,1920,8560,1918,8557,1916,8556,1914xm8609,1966l8603,1966,8603,1968,8602,1972,8601,1976,8600,1980,8599,1982,8597,1984,8595,1988,8589,1994,8585,1996,8581,1998,8577,2000,8600,2000,8602,1998,8604,1994,8608,1990,8609,1986,8611,1982,8612,1980,8613,1976,8613,1974,8613,1972,8613,1972,8613,1970,8612,1970,8611,1968,8610,1968,8609,1966xm8625,1972l8623,1972,8624,1974,8625,1974,8625,1972xm8591,1866l8587,1866,8586,1868,8584,1870,8583,1870,8581,1874,8579,1874,8578,1876,8578,1878,8578,1878,8621,1970,8622,1972,8626,1972,8628,1970,8629,1970,8630,1968,8631,1968,8632,1966,8632,1966,8632,1962,8621,1940,8631,1930,8616,1930,8592,1882,8626,1882,8591,1866xm8607,1964l8604,1964,8604,1966,8607,1966,8607,1964xm8626,1882l8592,1882,8641,1904,8616,1930,8631,1930,8651,1910,8684,1910,8682,1908,8626,1882xm8684,1910l8651,1910,8675,1922,8676,1922,8677,1920,8678,1920,8680,1918,8682,1918,8683,1916,8684,1914,8685,1914,8685,1912,8684,1910xm8553,1912l8551,1912,8549,1914,8553,1914,8553,1912xm8683,1798l8658,1798,8656,1800,8653,1802,8651,1804,8650,1804,8648,1806,8629,1826,8628,1826,8628,1828,8628,1830,8629,1830,8697,1898,8697,1900,8698,1900,8699,1898,8701,1898,8702,1896,8703,1896,8704,1894,8705,1894,8706,1892,8706,1892,8706,1890,8706,1888,8680,1864,8687,1856,8672,1856,8643,1826,8652,1818,8654,1816,8658,1814,8660,1812,8662,1810,8696,1810,8695,1808,8691,1806,8688,1802,8686,1800,8683,1798xm8696,1810l8673,1810,8682,1816,8684,1818,8686,1820,8687,1822,8689,1828,8689,1834,8688,1836,8687,1838,8686,1842,8684,1844,8672,1856,8687,1856,8693,1850,8696,1846,8698,1842,8700,1838,8701,1834,8702,1824,8701,1820,8699,1816,8697,1812,8696,1810xm8749,1848l8747,1848,8747,1850,8749,1850,8749,1848xm8715,1742l8712,1742,8711,1744,8709,1744,8708,1746,8707,1748,8704,1750,8703,1752,8702,1752,8702,1754,8702,1756,8745,1846,8746,1848,8751,1848,8752,1846,8753,1846,8754,1844,8755,1844,8756,1842,8756,1842,8756,1838,8756,1838,8745,1816,8755,1806,8739,1806,8716,1758,8748,1758,8715,1742xm8748,1758l8716,1758,8764,1780,8739,1806,8755,1806,8775,1786,8806,1786,8748,1758xm8677,1796l8667,1796,8661,1798,8680,1798,8677,1796xm8808,1786l8775,1786,8798,1796,8799,1798,8801,1798,8801,1796,8803,1796,8804,1794,8806,1794,8807,1792,8808,1792,8809,1790,8809,1788,8808,1786xe" filled="true" fillcolor="#585858" stroked="false">
              <v:path arrowok="t"/>
              <v:fill type="solid"/>
            </v:shape>
            <v:shape style="position:absolute;left:130;top:136;width:430;height:72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2,500</w:t>
                    </w:r>
                  </w:p>
                  <w:p>
                    <w:pPr>
                      <w:spacing w:before="5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2,000</w:t>
                    </w:r>
                  </w:p>
                  <w:p>
                    <w:pPr>
                      <w:spacing w:line="216" w:lineRule="exact" w:before="5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1,500</w:t>
                    </w:r>
                  </w:p>
                </w:txbxContent>
              </v:textbox>
              <w10:wrap type="none"/>
            </v:shape>
            <v:shape style="position:absolute;left:5063;top:333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1,788</w:t>
                    </w:r>
                  </w:p>
                </w:txbxContent>
              </v:textbox>
              <w10:wrap type="none"/>
            </v:shape>
            <v:shape style="position:absolute;left:7869;top:194;width:43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2,042</w:t>
                    </w:r>
                  </w:p>
                </w:txbxContent>
              </v:textbox>
              <w10:wrap type="none"/>
            </v:shape>
            <v:shape style="position:absolute;left:4361;top:699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1,113</w:t>
                    </w:r>
                  </w:p>
                </w:txbxContent>
              </v:textbox>
              <w10:wrap type="none"/>
            </v:shape>
            <v:shape style="position:absolute;left:130;top:950;width:430;height:72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1,000</w:t>
                    </w:r>
                  </w:p>
                  <w:p>
                    <w:pPr>
                      <w:spacing w:before="51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500</w:t>
                    </w:r>
                  </w:p>
                  <w:p>
                    <w:pPr>
                      <w:spacing w:line="216" w:lineRule="exact" w:before="52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20;top:111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342</w:t>
                    </w:r>
                  </w:p>
                </w:txbxContent>
              </v:textbox>
              <w10:wrap type="none"/>
            </v:shape>
            <v:shape style="position:absolute;left:1622;top:105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450</w:t>
                    </w:r>
                  </w:p>
                </w:txbxContent>
              </v:textbox>
              <w10:wrap type="none"/>
            </v:shape>
            <v:shape style="position:absolute;left:2323;top:1121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334</w:t>
                    </w:r>
                  </w:p>
                </w:txbxContent>
              </v:textbox>
              <w10:wrap type="none"/>
            </v:shape>
            <v:shape style="position:absolute;left:3116;top:130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726;top:124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101</w:t>
                    </w:r>
                  </w:p>
                </w:txbxContent>
              </v:textbox>
              <w10:wrap type="none"/>
            </v:shape>
            <v:shape style="position:absolute;left:5832;top:119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201</w:t>
                    </w:r>
                  </w:p>
                </w:txbxContent>
              </v:textbox>
              <w10:wrap type="none"/>
            </v:shape>
            <v:shape style="position:absolute;left:6533;top:121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160</w:t>
                    </w:r>
                  </w:p>
                </w:txbxContent>
              </v:textbox>
              <w10:wrap type="none"/>
            </v:shape>
            <v:shape style="position:absolute;left:7235;top:119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202</w:t>
                    </w:r>
                  </w:p>
                </w:txbxContent>
              </v:textbox>
              <w10:wrap type="none"/>
            </v:shape>
            <v:shape style="position:absolute;left:8638;top:1239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117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18"/>
        </w:rPr>
      </w:pPr>
    </w:p>
    <w:p>
      <w:pPr>
        <w:spacing w:before="0"/>
        <w:ind w:left="32" w:right="980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Sistema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Registro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Educación</w:t>
      </w:r>
      <w:r>
        <w:rPr>
          <w:spacing w:val="-2"/>
          <w:sz w:val="16"/>
        </w:rPr>
        <w:t> </w:t>
      </w:r>
      <w:r>
        <w:rPr>
          <w:sz w:val="16"/>
        </w:rPr>
        <w:t>Extraescolar,</w:t>
      </w:r>
      <w:r>
        <w:rPr>
          <w:spacing w:val="-1"/>
          <w:sz w:val="16"/>
        </w:rPr>
        <w:t> </w:t>
      </w:r>
      <w:r>
        <w:rPr>
          <w:sz w:val="16"/>
        </w:rPr>
        <w:t>SIREEX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30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diciembre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2021,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8:00</w:t>
      </w:r>
      <w:r>
        <w:rPr>
          <w:spacing w:val="-2"/>
          <w:sz w:val="16"/>
        </w:rPr>
        <w:t> </w:t>
      </w:r>
      <w:r>
        <w:rPr>
          <w:sz w:val="16"/>
        </w:rPr>
        <w:t>horas</w:t>
      </w:r>
    </w:p>
    <w:p>
      <w:pPr>
        <w:pStyle w:val="BodyText"/>
        <w:spacing w:before="12"/>
        <w:rPr>
          <w:sz w:val="23"/>
        </w:rPr>
      </w:pPr>
    </w:p>
    <w:p>
      <w:pPr>
        <w:spacing w:line="240" w:lineRule="auto" w:before="0"/>
        <w:ind w:left="300" w:right="1099" w:firstLine="0"/>
        <w:jc w:val="both"/>
        <w:rPr>
          <w:sz w:val="24"/>
        </w:rPr>
      </w:pPr>
      <w:r>
        <w:rPr>
          <w:sz w:val="24"/>
        </w:rPr>
        <w:t>De los estudiantes inscritos en SIREEX en el 2021, en academias de Cursos libres, el 86% tenía</w:t>
      </w:r>
      <w:r>
        <w:rPr>
          <w:spacing w:val="1"/>
          <w:sz w:val="24"/>
        </w:rPr>
        <w:t> </w:t>
      </w:r>
      <w:r>
        <w:rPr>
          <w:sz w:val="24"/>
        </w:rPr>
        <w:t>entre 13 y 29 años, el 9% entre 30 y 59 años y el 5% de los estudiantes inscritos son menores de</w:t>
      </w:r>
      <w:r>
        <w:rPr>
          <w:spacing w:val="-52"/>
          <w:sz w:val="24"/>
        </w:rPr>
        <w:t> </w:t>
      </w:r>
      <w:r>
        <w:rPr>
          <w:sz w:val="24"/>
        </w:rPr>
        <w:t>doce años;</w:t>
      </w:r>
      <w:r>
        <w:rPr>
          <w:spacing w:val="-2"/>
          <w:sz w:val="24"/>
        </w:rPr>
        <w:t> </w:t>
      </w:r>
      <w:r>
        <w:rPr>
          <w:sz w:val="24"/>
        </w:rPr>
        <w:t>también</w:t>
      </w:r>
      <w:r>
        <w:rPr>
          <w:spacing w:val="-1"/>
          <w:sz w:val="24"/>
        </w:rPr>
        <w:t> </w:t>
      </w:r>
      <w:r>
        <w:rPr>
          <w:sz w:val="24"/>
        </w:rPr>
        <w:t>inscribieron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siete</w:t>
      </w:r>
      <w:r>
        <w:rPr>
          <w:spacing w:val="-3"/>
          <w:sz w:val="24"/>
        </w:rPr>
        <w:t> </w:t>
      </w:r>
      <w:r>
        <w:rPr>
          <w:sz w:val="24"/>
        </w:rPr>
        <w:t>personas</w:t>
      </w:r>
      <w:r>
        <w:rPr>
          <w:spacing w:val="1"/>
          <w:sz w:val="24"/>
        </w:rPr>
        <w:t> </w:t>
      </w:r>
      <w:r>
        <w:rPr>
          <w:sz w:val="24"/>
        </w:rPr>
        <w:t>adultas</w:t>
      </w:r>
      <w:r>
        <w:rPr>
          <w:spacing w:val="-1"/>
          <w:sz w:val="24"/>
        </w:rPr>
        <w:t> </w:t>
      </w:r>
      <w:r>
        <w:rPr>
          <w:sz w:val="24"/>
        </w:rPr>
        <w:t>mayores inscritas.</w:t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595" w:right="0" w:firstLine="0"/>
        <w:jc w:val="left"/>
        <w:rPr>
          <w:sz w:val="20"/>
        </w:rPr>
      </w:pPr>
      <w:bookmarkStart w:name="_bookmark96" w:id="127"/>
      <w:bookmarkEnd w:id="127"/>
      <w:r>
        <w:rPr/>
      </w:r>
      <w:r>
        <w:rPr>
          <w:sz w:val="20"/>
        </w:rPr>
        <w:t>Tabla</w:t>
      </w:r>
      <w:r>
        <w:rPr>
          <w:spacing w:val="-3"/>
          <w:sz w:val="20"/>
        </w:rPr>
        <w:t> </w:t>
      </w:r>
      <w:r>
        <w:rPr>
          <w:sz w:val="20"/>
        </w:rPr>
        <w:t>9</w:t>
      </w:r>
      <w:r>
        <w:rPr>
          <w:spacing w:val="-2"/>
          <w:sz w:val="20"/>
        </w:rPr>
        <w:t> </w:t>
      </w:r>
      <w:r>
        <w:rPr>
          <w:sz w:val="20"/>
        </w:rPr>
        <w:t>Estudiantes</w:t>
      </w:r>
      <w:r>
        <w:rPr>
          <w:spacing w:val="-4"/>
          <w:sz w:val="20"/>
        </w:rPr>
        <w:t> </w:t>
      </w:r>
      <w:r>
        <w:rPr>
          <w:sz w:val="20"/>
        </w:rPr>
        <w:t>inscritos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SIREEX.</w:t>
      </w:r>
      <w:r>
        <w:rPr>
          <w:spacing w:val="-3"/>
          <w:sz w:val="20"/>
        </w:rPr>
        <w:t> </w:t>
      </w:r>
      <w:r>
        <w:rPr>
          <w:sz w:val="20"/>
        </w:rPr>
        <w:t>Academias</w:t>
      </w:r>
      <w:r>
        <w:rPr>
          <w:spacing w:val="-4"/>
          <w:sz w:val="20"/>
        </w:rPr>
        <w:t> </w:t>
      </w:r>
      <w:r>
        <w:rPr>
          <w:sz w:val="20"/>
        </w:rPr>
        <w:t>Cursos</w:t>
      </w:r>
      <w:r>
        <w:rPr>
          <w:spacing w:val="-5"/>
          <w:sz w:val="20"/>
        </w:rPr>
        <w:t> </w:t>
      </w:r>
      <w:r>
        <w:rPr>
          <w:sz w:val="20"/>
        </w:rPr>
        <w:t>Libres.</w:t>
      </w:r>
      <w:r>
        <w:rPr>
          <w:spacing w:val="-2"/>
          <w:sz w:val="20"/>
        </w:rPr>
        <w:t> </w:t>
      </w:r>
      <w:r>
        <w:rPr>
          <w:sz w:val="20"/>
        </w:rPr>
        <w:t>Año</w:t>
      </w:r>
      <w:r>
        <w:rPr>
          <w:spacing w:val="-2"/>
          <w:sz w:val="20"/>
        </w:rPr>
        <w:t> </w:t>
      </w:r>
      <w:r>
        <w:rPr>
          <w:sz w:val="20"/>
        </w:rPr>
        <w:t>2021</w:t>
      </w:r>
    </w:p>
    <w:p>
      <w:pPr>
        <w:pStyle w:val="BodyText"/>
        <w:ind w:left="300"/>
        <w:rPr>
          <w:sz w:val="20"/>
        </w:rPr>
      </w:pPr>
      <w:r>
        <w:rPr>
          <w:sz w:val="20"/>
        </w:rPr>
        <w:pict>
          <v:group style="width:465pt;height:96pt;mso-position-horizontal-relative:char;mso-position-vertical-relative:line" coordorigin="0,0" coordsize="9300,1920">
            <v:rect style="position:absolute;left:0;top:0;width:9300;height:1920" filled="true" fillcolor="#ffffff" stroked="false">
              <v:fill type="solid"/>
            </v:rect>
            <v:shape style="position:absolute;left:1425;top:541;width:6936;height:915" coordorigin="1426,541" coordsize="6936,915" path="m2081,1403l1426,1403,1426,1456,2081,1456,2081,1403xm4174,541l3518,541,3518,1456,4174,1456,4174,541xm6269,1365l5611,1365,5611,1456,6269,1456,6269,1365xm8362,1454l7706,1454,7706,1456,8362,1456,8362,1454xe" filled="true" fillcolor="#5b9bd4" stroked="false">
              <v:path arrowok="t"/>
              <v:fill type="solid"/>
            </v:shape>
            <v:line style="position:absolute" from="707,1456" to="9080,1456" stroked="true" strokeweight=".75pt" strokecolor="#d9d9d9">
              <v:stroke dashstyle="solid"/>
            </v:line>
            <v:shape style="position:absolute;left:130;top:136;width:432;height:799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8,000</w:t>
                    </w:r>
                  </w:p>
                  <w:p>
                    <w:pPr>
                      <w:spacing w:before="8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6,000</w:t>
                    </w:r>
                  </w:p>
                  <w:p>
                    <w:pPr>
                      <w:spacing w:line="216" w:lineRule="exact" w:before="8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4,000</w:t>
                    </w:r>
                  </w:p>
                </w:txbxContent>
              </v:textbox>
              <w10:wrap type="none"/>
            </v:shape>
            <v:shape style="position:absolute;left:3664;top:269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5919</w:t>
                    </w:r>
                  </w:p>
                </w:txbxContent>
              </v:textbox>
              <w10:wrap type="none"/>
            </v:shape>
            <v:shape style="position:absolute;left:130;top:1064;width:430;height:49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2,000</w:t>
                    </w:r>
                  </w:p>
                  <w:p>
                    <w:pPr>
                      <w:spacing w:line="216" w:lineRule="exact" w:before="89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616;top:1130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341</w:t>
                    </w:r>
                  </w:p>
                </w:txbxContent>
              </v:textbox>
              <w10:wrap type="none"/>
            </v:shape>
            <v:shape style="position:absolute;left:5803;top:109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586</w:t>
                    </w:r>
                  </w:p>
                </w:txbxContent>
              </v:textbox>
              <w10:wrap type="none"/>
            </v:shape>
            <v:shape style="position:absolute;left:7988;top:118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292;top:1607;width:7592;height:180" type="#_x0000_t202" filled="false" stroked="false">
              <v:textbox inset="0,0,0,0">
                <w:txbxContent>
                  <w:p>
                    <w:pPr>
                      <w:tabs>
                        <w:tab w:pos="2048" w:val="left" w:leader="none"/>
                        <w:tab w:pos="4141" w:val="left" w:leader="none"/>
                        <w:tab w:pos="5913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 A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12 AÑOS</w:t>
                      <w:tab/>
                      <w:t>13 A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29 AÑOS</w:t>
                      <w:tab/>
                      <w:t>30 A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59 AÑOS</w:t>
                      <w:tab/>
                      <w:t>MAYORES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DE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60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AÑOS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0"/>
        <w:ind w:left="32" w:right="985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Sistema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Registro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Educación</w:t>
      </w:r>
      <w:r>
        <w:rPr>
          <w:spacing w:val="-2"/>
          <w:sz w:val="16"/>
        </w:rPr>
        <w:t> </w:t>
      </w:r>
      <w:r>
        <w:rPr>
          <w:sz w:val="16"/>
        </w:rPr>
        <w:t>Extraescolar,</w:t>
      </w:r>
      <w:r>
        <w:rPr>
          <w:spacing w:val="-1"/>
          <w:sz w:val="16"/>
        </w:rPr>
        <w:t> </w:t>
      </w:r>
      <w:r>
        <w:rPr>
          <w:sz w:val="16"/>
        </w:rPr>
        <w:t>SIREEX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30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diciembre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2021,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8:00</w:t>
      </w:r>
      <w:r>
        <w:rPr>
          <w:spacing w:val="-1"/>
          <w:sz w:val="16"/>
        </w:rPr>
        <w:t> </w:t>
      </w:r>
      <w:r>
        <w:rPr>
          <w:sz w:val="16"/>
        </w:rPr>
        <w:t>horas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pict>
          <v:rect style="position:absolute;margin-left:563.280029pt;margin-top:17.457142pt;width:25.44pt;height:1.464pt;mso-position-horizontal-relative:page;mso-position-vertical-relative:paragraph;z-index:-1558374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311" w:lineRule="exact" w:before="0" w:after="19"/>
        <w:ind w:left="0" w:right="223" w:firstLine="0"/>
        <w:jc w:val="right"/>
        <w:rPr>
          <w:rFonts w:ascii="Arial MT"/>
          <w:sz w:val="28"/>
        </w:rPr>
      </w:pPr>
      <w:r>
        <w:rPr>
          <w:rFonts w:ascii="Arial MT"/>
          <w:sz w:val="28"/>
        </w:rPr>
        <w:t>70</w:t>
      </w:r>
    </w:p>
    <w:p>
      <w:pPr>
        <w:pStyle w:val="BodyText"/>
        <w:spacing w:line="91" w:lineRule="exact"/>
        <w:ind w:left="10125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45pt;height:4.6pt;mso-position-horizontal-relative:char;mso-position-vertical-relative:line" coordorigin="0,0" coordsize="509,92">
            <v:rect style="position:absolute;left:0;top:0;width:509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459136">
            <wp:simplePos x="0" y="0"/>
            <wp:positionH relativeFrom="page">
              <wp:posOffset>0</wp:posOffset>
            </wp:positionH>
            <wp:positionV relativeFrom="page">
              <wp:posOffset>302887</wp:posOffset>
            </wp:positionV>
            <wp:extent cx="7772399" cy="9501333"/>
            <wp:effectExtent l="0" t="0" r="0" b="0"/>
            <wp:wrapNone/>
            <wp:docPr id="18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7"/>
        </w:rPr>
      </w:pPr>
    </w:p>
    <w:p>
      <w:pPr>
        <w:spacing w:before="76"/>
        <w:ind w:left="1653" w:right="682" w:firstLine="0"/>
        <w:jc w:val="center"/>
        <w:rPr>
          <w:rFonts w:ascii="Arial MT" w:hAnsi="Arial MT"/>
          <w:sz w:val="58"/>
        </w:rPr>
      </w:pPr>
      <w:r>
        <w:rPr/>
        <w:drawing>
          <wp:anchor distT="0" distB="0" distL="0" distR="0" allowOverlap="1" layoutInCell="1" locked="0" behindDoc="1" simplePos="0" relativeHeight="474459648">
            <wp:simplePos x="0" y="0"/>
            <wp:positionH relativeFrom="page">
              <wp:posOffset>1104900</wp:posOffset>
            </wp:positionH>
            <wp:positionV relativeFrom="paragraph">
              <wp:posOffset>-438180</wp:posOffset>
            </wp:positionV>
            <wp:extent cx="4020692" cy="854456"/>
            <wp:effectExtent l="0" t="0" r="0" b="0"/>
            <wp:wrapNone/>
            <wp:docPr id="18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0692" cy="85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color w:val="EC7C30"/>
          <w:sz w:val="72"/>
        </w:rPr>
        <w:t>A</w:t>
      </w:r>
      <w:r>
        <w:rPr>
          <w:rFonts w:ascii="Arial MT" w:hAnsi="Arial MT"/>
          <w:color w:val="EC7C30"/>
          <w:sz w:val="58"/>
        </w:rPr>
        <w:t>NÁLISIS DE</w:t>
      </w:r>
      <w:r>
        <w:rPr>
          <w:rFonts w:ascii="Arial MT" w:hAnsi="Arial MT"/>
          <w:color w:val="EC7C30"/>
          <w:spacing w:val="1"/>
          <w:sz w:val="58"/>
        </w:rPr>
        <w:t> </w:t>
      </w:r>
      <w:r>
        <w:rPr>
          <w:rFonts w:ascii="Arial MT" w:hAnsi="Arial MT"/>
          <w:color w:val="EC7C30"/>
          <w:sz w:val="72"/>
        </w:rPr>
        <w:t>C</w:t>
      </w:r>
      <w:r>
        <w:rPr>
          <w:rFonts w:ascii="Arial MT" w:hAnsi="Arial MT"/>
          <w:color w:val="EC7C30"/>
          <w:sz w:val="58"/>
        </w:rPr>
        <w:t>OBERTURA</w:t>
      </w:r>
    </w:p>
    <w:p>
      <w:pPr>
        <w:spacing w:before="132"/>
        <w:ind w:left="6462" w:right="0" w:firstLine="0"/>
        <w:jc w:val="left"/>
        <w:rPr>
          <w:rFonts w:ascii="Arial MT"/>
          <w:sz w:val="58"/>
        </w:rPr>
      </w:pPr>
      <w:r>
        <w:rPr>
          <w:rFonts w:ascii="Arial MT"/>
          <w:color w:val="EC7C30"/>
          <w:sz w:val="58"/>
        </w:rPr>
        <w:t>Y</w:t>
      </w:r>
      <w:r>
        <w:rPr>
          <w:rFonts w:ascii="Arial MT"/>
          <w:color w:val="EC7C30"/>
          <w:spacing w:val="1"/>
          <w:sz w:val="58"/>
        </w:rPr>
        <w:t> </w:t>
      </w:r>
      <w:r>
        <w:rPr>
          <w:rFonts w:ascii="Arial MT"/>
          <w:color w:val="EC7C30"/>
          <w:sz w:val="58"/>
        </w:rPr>
        <w:t>EQUIDAD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1"/>
        </w:rPr>
      </w:pPr>
      <w:r>
        <w:rPr/>
        <w:pict>
          <v:rect style="position:absolute;margin-left:563.280029pt;margin-top:14.314565pt;width:25.44pt;height:1.464pt;mso-position-horizontal-relative:page;mso-position-vertical-relative:paragraph;z-index:-1558220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223"/>
      </w:pPr>
      <w:r>
        <w:rPr/>
        <w:t>71</w:t>
      </w:r>
    </w:p>
    <w:p>
      <w:pPr>
        <w:pStyle w:val="BodyText"/>
        <w:spacing w:line="91" w:lineRule="exact"/>
        <w:ind w:left="10125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45pt;height:4.6pt;mso-position-horizontal-relative:char;mso-position-vertical-relative:line" coordorigin="0,0" coordsize="509,92">
            <v:rect style="position:absolute;left:0;top:0;width:509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group style="position:absolute;margin-left:.000009pt;margin-top:23.849442pt;width:612pt;height:748.15pt;mso-position-horizontal-relative:page;mso-position-vertical-relative:page;z-index:-28856320" coordorigin="0,477" coordsize="12240,14963">
            <v:shape style="position:absolute;left:0;top:476;width:12240;height:14963" type="#_x0000_t75" stroked="false">
              <v:imagedata r:id="rId7" o:title=""/>
            </v:shape>
            <v:shape style="position:absolute;left:11265;top:14610;width:509;height:481" coordorigin="11266,14611" coordsize="509,481" path="m11774,15000l11266,15000,11266,15091,11774,15091,11774,15000xm11774,14611l11266,14611,11266,14640,11774,14640,11774,14611xe" filled="true" fillcolor="#a4a4a4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ind w:left="660" w:firstLine="0"/>
      </w:pPr>
      <w:bookmarkStart w:name="_bookmark97" w:id="128"/>
      <w:bookmarkEnd w:id="128"/>
      <w:r>
        <w:rPr>
          <w:b w:val="0"/>
        </w:rPr>
      </w:r>
      <w:r>
        <w:rPr>
          <w:color w:val="1F4E79"/>
        </w:rPr>
        <w:t>Presentación</w:t>
      </w:r>
    </w:p>
    <w:p>
      <w:pPr>
        <w:pStyle w:val="BodyText"/>
        <w:spacing w:before="6"/>
        <w:rPr>
          <w:b/>
          <w:sz w:val="29"/>
        </w:rPr>
      </w:pPr>
    </w:p>
    <w:p>
      <w:pPr>
        <w:spacing w:before="0"/>
        <w:ind w:left="300" w:right="1095" w:firstLine="0"/>
        <w:jc w:val="both"/>
        <w:rPr>
          <w:sz w:val="24"/>
        </w:rPr>
      </w:pPr>
      <w:r>
        <w:rPr>
          <w:sz w:val="24"/>
        </w:rPr>
        <w:t>La educación es uno de los elementos que más influye en el avance y progreso de un país, y su</w:t>
      </w:r>
      <w:r>
        <w:rPr>
          <w:spacing w:val="1"/>
          <w:sz w:val="24"/>
        </w:rPr>
        <w:t> </w:t>
      </w:r>
      <w:r>
        <w:rPr>
          <w:sz w:val="24"/>
        </w:rPr>
        <w:t>calidad y cobertura son factores que claramente tienen una incidencia, formando parte de uno</w:t>
      </w:r>
      <w:r>
        <w:rPr>
          <w:spacing w:val="1"/>
          <w:sz w:val="24"/>
        </w:rPr>
        <w:t> </w:t>
      </w:r>
      <w:r>
        <w:rPr>
          <w:sz w:val="24"/>
        </w:rPr>
        <w:t>de los</w:t>
      </w:r>
      <w:r>
        <w:rPr>
          <w:spacing w:val="-3"/>
          <w:sz w:val="24"/>
        </w:rPr>
        <w:t> </w:t>
      </w:r>
      <w:r>
        <w:rPr>
          <w:sz w:val="24"/>
        </w:rPr>
        <w:t>factores multidimensionales que</w:t>
      </w:r>
      <w:r>
        <w:rPr>
          <w:spacing w:val="-3"/>
          <w:sz w:val="24"/>
        </w:rPr>
        <w:t> </w:t>
      </w:r>
      <w:r>
        <w:rPr>
          <w:sz w:val="24"/>
        </w:rPr>
        <w:t>explican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parte el</w:t>
      </w:r>
      <w:r>
        <w:rPr>
          <w:spacing w:val="-3"/>
          <w:sz w:val="24"/>
        </w:rPr>
        <w:t> </w:t>
      </w:r>
      <w:r>
        <w:rPr>
          <w:sz w:val="24"/>
        </w:rPr>
        <w:t>desarrollo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los territorios.</w:t>
      </w:r>
    </w:p>
    <w:p>
      <w:pPr>
        <w:pStyle w:val="BodyText"/>
        <w:spacing w:before="11"/>
        <w:rPr>
          <w:sz w:val="23"/>
        </w:rPr>
      </w:pPr>
    </w:p>
    <w:p>
      <w:pPr>
        <w:spacing w:line="240" w:lineRule="auto" w:before="0"/>
        <w:ind w:left="300" w:right="1095" w:firstLine="0"/>
        <w:jc w:val="both"/>
        <w:rPr>
          <w:sz w:val="24"/>
        </w:rPr>
      </w:pPr>
      <w:r>
        <w:rPr>
          <w:sz w:val="24"/>
        </w:rPr>
        <w:t>El propósito del presente documento es analizar la información documental y estadística sobre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cobertura,</w:t>
      </w:r>
      <w:r>
        <w:rPr>
          <w:spacing w:val="-5"/>
          <w:sz w:val="24"/>
        </w:rPr>
        <w:t> </w:t>
      </w:r>
      <w:r>
        <w:rPr>
          <w:sz w:val="24"/>
        </w:rPr>
        <w:t>con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4"/>
          <w:sz w:val="24"/>
        </w:rPr>
        <w:t> </w:t>
      </w:r>
      <w:r>
        <w:rPr>
          <w:sz w:val="24"/>
        </w:rPr>
        <w:t>énfasis</w:t>
      </w:r>
      <w:r>
        <w:rPr>
          <w:spacing w:val="-3"/>
          <w:sz w:val="24"/>
        </w:rPr>
        <w:t> </w:t>
      </w:r>
      <w:r>
        <w:rPr>
          <w:sz w:val="24"/>
        </w:rPr>
        <w:t>especial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coyuntura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Equidad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Género,</w:t>
      </w:r>
      <w:r>
        <w:rPr>
          <w:spacing w:val="-3"/>
          <w:sz w:val="24"/>
        </w:rPr>
        <w:t> </w:t>
      </w:r>
      <w:r>
        <w:rPr>
          <w:sz w:val="24"/>
        </w:rPr>
        <w:t>Cambio</w:t>
      </w:r>
      <w:r>
        <w:rPr>
          <w:spacing w:val="-4"/>
          <w:sz w:val="24"/>
        </w:rPr>
        <w:t> </w:t>
      </w:r>
      <w:r>
        <w:rPr>
          <w:sz w:val="24"/>
        </w:rPr>
        <w:t>Climático</w:t>
      </w:r>
      <w:r>
        <w:rPr>
          <w:spacing w:val="-51"/>
          <w:sz w:val="24"/>
        </w:rPr>
        <w:t> </w:t>
      </w:r>
      <w:r>
        <w:rPr>
          <w:sz w:val="24"/>
        </w:rPr>
        <w:t>y el Contexto de la Pandemia Covid 19. Para tal efecto se utilizaron los indicadores de tasa bruta</w:t>
      </w:r>
      <w:r>
        <w:rPr>
          <w:spacing w:val="-52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área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niveles</w:t>
      </w:r>
      <w:r>
        <w:rPr>
          <w:spacing w:val="-4"/>
          <w:sz w:val="24"/>
        </w:rPr>
        <w:t> </w:t>
      </w:r>
      <w:r>
        <w:rPr>
          <w:sz w:val="24"/>
        </w:rPr>
        <w:t>educativos</w:t>
      </w:r>
      <w:r>
        <w:rPr>
          <w:spacing w:val="-2"/>
          <w:sz w:val="24"/>
        </w:rPr>
        <w:t> </w:t>
      </w:r>
      <w:r>
        <w:rPr>
          <w:sz w:val="24"/>
        </w:rPr>
        <w:t>(preprimaria,</w:t>
      </w:r>
      <w:r>
        <w:rPr>
          <w:spacing w:val="-5"/>
          <w:sz w:val="24"/>
        </w:rPr>
        <w:t> </w:t>
      </w:r>
      <w:r>
        <w:rPr>
          <w:sz w:val="24"/>
        </w:rPr>
        <w:t>primaria,</w:t>
      </w:r>
      <w:r>
        <w:rPr>
          <w:spacing w:val="-1"/>
          <w:sz w:val="24"/>
        </w:rPr>
        <w:t> </w:t>
      </w:r>
      <w:r>
        <w:rPr>
          <w:sz w:val="24"/>
        </w:rPr>
        <w:t>medio</w:t>
      </w:r>
      <w:r>
        <w:rPr>
          <w:spacing w:val="-3"/>
          <w:sz w:val="24"/>
        </w:rPr>
        <w:t> </w:t>
      </w:r>
      <w:r>
        <w:rPr>
          <w:sz w:val="24"/>
        </w:rPr>
        <w:t>con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ciclos</w:t>
      </w:r>
      <w:r>
        <w:rPr>
          <w:spacing w:val="-3"/>
          <w:sz w:val="24"/>
        </w:rPr>
        <w:t> </w:t>
      </w:r>
      <w:r>
        <w:rPr>
          <w:sz w:val="24"/>
        </w:rPr>
        <w:t>básico y</w:t>
      </w:r>
      <w:r>
        <w:rPr>
          <w:spacing w:val="-4"/>
          <w:sz w:val="24"/>
        </w:rPr>
        <w:t> </w:t>
      </w:r>
      <w:r>
        <w:rPr>
          <w:sz w:val="24"/>
        </w:rPr>
        <w:t>diversificado);</w:t>
      </w:r>
      <w:r>
        <w:rPr>
          <w:spacing w:val="-52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se</w:t>
      </w:r>
      <w:r>
        <w:rPr>
          <w:spacing w:val="-6"/>
          <w:sz w:val="24"/>
        </w:rPr>
        <w:t> </w:t>
      </w:r>
      <w:r>
        <w:rPr>
          <w:sz w:val="24"/>
        </w:rPr>
        <w:t>analiza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equidad</w:t>
      </w:r>
      <w:r>
        <w:rPr>
          <w:spacing w:val="-4"/>
          <w:sz w:val="24"/>
        </w:rPr>
        <w:t> </w:t>
      </w:r>
      <w:r>
        <w:rPr>
          <w:sz w:val="24"/>
        </w:rPr>
        <w:t>por</w:t>
      </w:r>
      <w:r>
        <w:rPr>
          <w:spacing w:val="-6"/>
          <w:sz w:val="24"/>
        </w:rPr>
        <w:t> </w:t>
      </w:r>
      <w:r>
        <w:rPr>
          <w:sz w:val="24"/>
        </w:rPr>
        <w:t>sexo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bajo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criterio</w:t>
      </w:r>
      <w:r>
        <w:rPr>
          <w:spacing w:val="-7"/>
          <w:sz w:val="24"/>
        </w:rPr>
        <w:t> </w:t>
      </w:r>
      <w:r>
        <w:rPr>
          <w:sz w:val="24"/>
        </w:rPr>
        <w:t>Maya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Ladino.</w:t>
      </w:r>
      <w:r>
        <w:rPr>
          <w:spacing w:val="37"/>
          <w:sz w:val="24"/>
        </w:rPr>
        <w:t> </w:t>
      </w:r>
      <w:r>
        <w:rPr>
          <w:sz w:val="24"/>
        </w:rPr>
        <w:t>Para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evaluación</w:t>
      </w:r>
      <w:r>
        <w:rPr>
          <w:spacing w:val="-7"/>
          <w:sz w:val="24"/>
        </w:rPr>
        <w:t> </w:t>
      </w:r>
      <w:r>
        <w:rPr>
          <w:sz w:val="24"/>
        </w:rPr>
        <w:t>del</w:t>
      </w:r>
      <w:r>
        <w:rPr>
          <w:spacing w:val="-6"/>
          <w:sz w:val="24"/>
        </w:rPr>
        <w:t> </w:t>
      </w:r>
      <w:r>
        <w:rPr>
          <w:sz w:val="24"/>
        </w:rPr>
        <w:t>Contexto</w:t>
      </w:r>
      <w:r>
        <w:rPr>
          <w:spacing w:val="-52"/>
          <w:sz w:val="24"/>
        </w:rPr>
        <w:t> </w:t>
      </w:r>
      <w:r>
        <w:rPr>
          <w:sz w:val="24"/>
        </w:rPr>
        <w:t>de la Pandemia Covid 19 se concluyó contrastar las diferencias entre tasas del año 2019 contra</w:t>
      </w:r>
      <w:r>
        <w:rPr>
          <w:spacing w:val="1"/>
          <w:sz w:val="24"/>
        </w:rPr>
        <w:t> </w:t>
      </w:r>
      <w:r>
        <w:rPr>
          <w:sz w:val="24"/>
        </w:rPr>
        <w:t>el año</w:t>
      </w:r>
      <w:r>
        <w:rPr>
          <w:spacing w:val="-2"/>
          <w:sz w:val="24"/>
        </w:rPr>
        <w:t> </w:t>
      </w:r>
      <w:r>
        <w:rPr>
          <w:sz w:val="24"/>
        </w:rPr>
        <w:t>2021,</w:t>
      </w:r>
      <w:r>
        <w:rPr>
          <w:spacing w:val="-1"/>
          <w:sz w:val="24"/>
        </w:rPr>
        <w:t> </w:t>
      </w:r>
      <w:r>
        <w:rPr>
          <w:sz w:val="24"/>
        </w:rPr>
        <w:t>así</w:t>
      </w:r>
      <w:r>
        <w:rPr>
          <w:spacing w:val="-1"/>
          <w:sz w:val="24"/>
        </w:rPr>
        <w:t> </w:t>
      </w:r>
      <w:r>
        <w:rPr>
          <w:sz w:val="24"/>
        </w:rPr>
        <w:t>como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brecha</w:t>
      </w:r>
      <w:r>
        <w:rPr>
          <w:spacing w:val="-3"/>
          <w:sz w:val="24"/>
        </w:rPr>
        <w:t> </w:t>
      </w:r>
      <w:r>
        <w:rPr>
          <w:sz w:val="24"/>
        </w:rPr>
        <w:t>entre</w:t>
      </w:r>
      <w:r>
        <w:rPr>
          <w:spacing w:val="-1"/>
          <w:sz w:val="24"/>
        </w:rPr>
        <w:t> </w:t>
      </w:r>
      <w:r>
        <w:rPr>
          <w:sz w:val="24"/>
        </w:rPr>
        <w:t>hombres y</w:t>
      </w:r>
      <w:r>
        <w:rPr>
          <w:spacing w:val="-6"/>
          <w:sz w:val="24"/>
        </w:rPr>
        <w:t> </w:t>
      </w:r>
      <w:r>
        <w:rPr>
          <w:sz w:val="24"/>
        </w:rPr>
        <w:t>mujeres</w:t>
      </w:r>
      <w:r>
        <w:rPr>
          <w:spacing w:val="-2"/>
          <w:sz w:val="24"/>
        </w:rPr>
        <w:t> </w:t>
      </w:r>
      <w:r>
        <w:rPr>
          <w:sz w:val="24"/>
        </w:rPr>
        <w:t>en ese</w:t>
      </w:r>
      <w:r>
        <w:rPr>
          <w:spacing w:val="1"/>
          <w:sz w:val="24"/>
        </w:rPr>
        <w:t> </w:t>
      </w:r>
      <w:r>
        <w:rPr>
          <w:sz w:val="24"/>
        </w:rPr>
        <w:t>mismo</w:t>
      </w:r>
      <w:r>
        <w:rPr>
          <w:spacing w:val="-2"/>
          <w:sz w:val="24"/>
        </w:rPr>
        <w:t> </w:t>
      </w:r>
      <w:r>
        <w:rPr>
          <w:sz w:val="24"/>
        </w:rPr>
        <w:t>período.</w:t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300" w:right="1096" w:firstLine="0"/>
        <w:jc w:val="both"/>
        <w:rPr>
          <w:sz w:val="24"/>
        </w:rPr>
      </w:pPr>
      <w:r>
        <w:rPr>
          <w:sz w:val="24"/>
        </w:rPr>
        <w:t>Dado el carácter de informe final, se desarrollan 8 secciones fundamentales en el presente</w:t>
      </w:r>
      <w:r>
        <w:rPr>
          <w:spacing w:val="1"/>
          <w:sz w:val="24"/>
        </w:rPr>
        <w:t> </w:t>
      </w:r>
      <w:r>
        <w:rPr>
          <w:sz w:val="24"/>
        </w:rPr>
        <w:t>reporte. Las secciones uno a la cinco presenta los resultados principales de la cobertura por</w:t>
      </w:r>
      <w:r>
        <w:rPr>
          <w:spacing w:val="1"/>
          <w:sz w:val="24"/>
        </w:rPr>
        <w:t> </w:t>
      </w:r>
      <w:r>
        <w:rPr>
          <w:sz w:val="24"/>
        </w:rPr>
        <w:t>niveles</w:t>
      </w:r>
      <w:r>
        <w:rPr>
          <w:spacing w:val="-4"/>
          <w:sz w:val="24"/>
        </w:rPr>
        <w:t> </w:t>
      </w:r>
      <w:r>
        <w:rPr>
          <w:sz w:val="24"/>
        </w:rPr>
        <w:t>educativos,</w:t>
      </w:r>
      <w:r>
        <w:rPr>
          <w:spacing w:val="-4"/>
          <w:sz w:val="24"/>
        </w:rPr>
        <w:t> </w:t>
      </w:r>
      <w:r>
        <w:rPr>
          <w:sz w:val="24"/>
        </w:rPr>
        <w:t>sexo,</w:t>
      </w:r>
      <w:r>
        <w:rPr>
          <w:spacing w:val="-9"/>
          <w:sz w:val="24"/>
        </w:rPr>
        <w:t> </w:t>
      </w:r>
      <w:r>
        <w:rPr>
          <w:sz w:val="24"/>
        </w:rPr>
        <w:t>etnia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área,</w:t>
      </w:r>
      <w:r>
        <w:rPr>
          <w:spacing w:val="-6"/>
          <w:sz w:val="24"/>
        </w:rPr>
        <w:t> </w:t>
      </w:r>
      <w:r>
        <w:rPr>
          <w:sz w:val="24"/>
        </w:rPr>
        <w:t>tanto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nivel</w:t>
      </w:r>
      <w:r>
        <w:rPr>
          <w:spacing w:val="-4"/>
          <w:sz w:val="24"/>
        </w:rPr>
        <w:t> </w:t>
      </w:r>
      <w:r>
        <w:rPr>
          <w:sz w:val="24"/>
        </w:rPr>
        <w:t>departamental</w:t>
      </w:r>
      <w:r>
        <w:rPr>
          <w:spacing w:val="-5"/>
          <w:sz w:val="24"/>
        </w:rPr>
        <w:t> </w:t>
      </w:r>
      <w:r>
        <w:rPr>
          <w:sz w:val="24"/>
        </w:rPr>
        <w:t>como</w:t>
      </w:r>
      <w:r>
        <w:rPr>
          <w:spacing w:val="-3"/>
          <w:sz w:val="24"/>
        </w:rPr>
        <w:t> </w:t>
      </w:r>
      <w:r>
        <w:rPr>
          <w:sz w:val="24"/>
        </w:rPr>
        <w:t>municipal,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analizan</w:t>
      </w:r>
      <w:r>
        <w:rPr>
          <w:spacing w:val="-52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mismos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términos</w:t>
      </w:r>
      <w:r>
        <w:rPr>
          <w:spacing w:val="-11"/>
          <w:sz w:val="24"/>
        </w:rPr>
        <w:t> </w:t>
      </w:r>
      <w:r>
        <w:rPr>
          <w:sz w:val="24"/>
        </w:rPr>
        <w:t>estadísticos,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lo</w:t>
      </w:r>
      <w:r>
        <w:rPr>
          <w:spacing w:val="-6"/>
          <w:sz w:val="24"/>
        </w:rPr>
        <w:t> </w:t>
      </w:r>
      <w:r>
        <w:rPr>
          <w:sz w:val="24"/>
        </w:rPr>
        <w:t>cual</w:t>
      </w:r>
      <w:r>
        <w:rPr>
          <w:spacing w:val="-1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Anexo:</w:t>
      </w:r>
      <w:r>
        <w:rPr>
          <w:spacing w:val="-6"/>
          <w:sz w:val="24"/>
        </w:rPr>
        <w:t> </w:t>
      </w:r>
      <w:r>
        <w:rPr>
          <w:sz w:val="24"/>
        </w:rPr>
        <w:t>SEN</w:t>
      </w:r>
      <w:r>
        <w:rPr>
          <w:spacing w:val="-7"/>
          <w:sz w:val="24"/>
        </w:rPr>
        <w:t> </w:t>
      </w:r>
      <w:r>
        <w:rPr>
          <w:sz w:val="24"/>
        </w:rPr>
        <w:t>-</w:t>
      </w:r>
      <w:r>
        <w:rPr>
          <w:spacing w:val="-8"/>
          <w:sz w:val="24"/>
        </w:rPr>
        <w:t> </w:t>
      </w:r>
      <w:r>
        <w:rPr>
          <w:sz w:val="24"/>
        </w:rPr>
        <w:t>Datos</w:t>
      </w:r>
      <w:r>
        <w:rPr>
          <w:spacing w:val="-8"/>
          <w:sz w:val="24"/>
        </w:rPr>
        <w:t> </w:t>
      </w:r>
      <w:r>
        <w:rPr>
          <w:sz w:val="24"/>
        </w:rPr>
        <w:t>sobre</w:t>
      </w:r>
      <w:r>
        <w:rPr>
          <w:spacing w:val="-6"/>
          <w:sz w:val="24"/>
        </w:rPr>
        <w:t> </w:t>
      </w:r>
      <w:r>
        <w:rPr>
          <w:sz w:val="24"/>
        </w:rPr>
        <w:t>cobertura</w:t>
      </w:r>
      <w:r>
        <w:rPr>
          <w:spacing w:val="-6"/>
          <w:sz w:val="24"/>
        </w:rPr>
        <w:t> </w:t>
      </w:r>
      <w:r>
        <w:rPr>
          <w:sz w:val="24"/>
        </w:rPr>
        <w:t>presenta</w:t>
      </w:r>
      <w:r>
        <w:rPr>
          <w:spacing w:val="-52"/>
          <w:sz w:val="24"/>
        </w:rPr>
        <w:t> </w:t>
      </w:r>
      <w:r>
        <w:rPr>
          <w:sz w:val="24"/>
        </w:rPr>
        <w:t>los</w:t>
      </w:r>
      <w:r>
        <w:rPr>
          <w:spacing w:val="-11"/>
          <w:sz w:val="24"/>
        </w:rPr>
        <w:t> </w:t>
      </w:r>
      <w:r>
        <w:rPr>
          <w:sz w:val="24"/>
        </w:rPr>
        <w:t>detalles.</w:t>
      </w:r>
      <w:r>
        <w:rPr>
          <w:spacing w:val="31"/>
          <w:sz w:val="24"/>
        </w:rPr>
        <w:t> </w:t>
      </w:r>
      <w:r>
        <w:rPr>
          <w:sz w:val="24"/>
        </w:rPr>
        <w:t>En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creación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algunos</w:t>
      </w:r>
      <w:r>
        <w:rPr>
          <w:spacing w:val="-11"/>
          <w:sz w:val="24"/>
        </w:rPr>
        <w:t> </w:t>
      </w:r>
      <w:r>
        <w:rPr>
          <w:sz w:val="24"/>
        </w:rPr>
        <w:t>indicadores</w:t>
      </w:r>
      <w:r>
        <w:rPr>
          <w:spacing w:val="-13"/>
          <w:sz w:val="24"/>
        </w:rPr>
        <w:t> </w:t>
      </w:r>
      <w:r>
        <w:rPr>
          <w:sz w:val="24"/>
        </w:rPr>
        <w:t>debieron</w:t>
      </w:r>
      <w:r>
        <w:rPr>
          <w:spacing w:val="-12"/>
          <w:sz w:val="24"/>
        </w:rPr>
        <w:t> </w:t>
      </w:r>
      <w:r>
        <w:rPr>
          <w:sz w:val="24"/>
        </w:rPr>
        <w:t>estimarse</w:t>
      </w:r>
      <w:r>
        <w:rPr>
          <w:spacing w:val="-10"/>
          <w:sz w:val="24"/>
        </w:rPr>
        <w:t> </w:t>
      </w:r>
      <w:r>
        <w:rPr>
          <w:sz w:val="24"/>
        </w:rPr>
        <w:t>valores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población</w:t>
      </w:r>
      <w:r>
        <w:rPr>
          <w:spacing w:val="-13"/>
          <w:sz w:val="24"/>
        </w:rPr>
        <w:t> </w:t>
      </w:r>
      <w:r>
        <w:rPr>
          <w:sz w:val="24"/>
        </w:rPr>
        <w:t>total,</w:t>
      </w:r>
      <w:r>
        <w:rPr>
          <w:spacing w:val="-51"/>
          <w:sz w:val="24"/>
        </w:rPr>
        <w:t> </w:t>
      </w:r>
      <w:r>
        <w:rPr>
          <w:sz w:val="24"/>
        </w:rPr>
        <w:t>especialmente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cálculo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indicadores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área</w:t>
      </w:r>
      <w:r>
        <w:rPr>
          <w:spacing w:val="-2"/>
          <w:sz w:val="24"/>
        </w:rPr>
        <w:t> </w:t>
      </w:r>
      <w:r>
        <w:rPr>
          <w:sz w:val="24"/>
        </w:rPr>
        <w:t>urbana y</w:t>
      </w:r>
      <w:r>
        <w:rPr>
          <w:spacing w:val="-2"/>
          <w:sz w:val="24"/>
        </w:rPr>
        <w:t> </w:t>
      </w:r>
      <w:r>
        <w:rPr>
          <w:sz w:val="24"/>
        </w:rPr>
        <w:t>rural</w:t>
      </w:r>
      <w:r>
        <w:rPr>
          <w:spacing w:val="-3"/>
          <w:sz w:val="24"/>
        </w:rPr>
        <w:t> </w:t>
      </w:r>
      <w:r>
        <w:rPr>
          <w:sz w:val="24"/>
        </w:rPr>
        <w:t>y por</w:t>
      </w:r>
      <w:r>
        <w:rPr>
          <w:spacing w:val="-1"/>
          <w:sz w:val="24"/>
        </w:rPr>
        <w:t> </w:t>
      </w:r>
      <w:r>
        <w:rPr>
          <w:sz w:val="24"/>
        </w:rPr>
        <w:t>etnia.</w:t>
      </w:r>
    </w:p>
    <w:p>
      <w:pPr>
        <w:pStyle w:val="BodyText"/>
        <w:spacing w:before="11"/>
        <w:rPr>
          <w:sz w:val="23"/>
        </w:rPr>
      </w:pPr>
    </w:p>
    <w:p>
      <w:pPr>
        <w:spacing w:line="240" w:lineRule="auto" w:before="0"/>
        <w:ind w:left="300" w:right="1096" w:firstLine="0"/>
        <w:jc w:val="both"/>
        <w:rPr>
          <w:sz w:val="24"/>
        </w:rPr>
      </w:pPr>
      <w:r>
        <w:rPr>
          <w:sz w:val="24"/>
        </w:rPr>
        <w:t>La sección seis se refiere a la pandemia COVID-19 y sus principales impactos multidimensionales</w:t>
      </w:r>
      <w:r>
        <w:rPr>
          <w:spacing w:val="-53"/>
          <w:sz w:val="24"/>
        </w:rPr>
        <w:t> </w:t>
      </w:r>
      <w:r>
        <w:rPr>
          <w:sz w:val="24"/>
        </w:rPr>
        <w:t>iniciando por el contexto salud. Y, por último, se desagregan los principales indicadores de</w:t>
      </w:r>
      <w:r>
        <w:rPr>
          <w:spacing w:val="1"/>
          <w:sz w:val="24"/>
        </w:rPr>
        <w:t> </w:t>
      </w:r>
      <w:r>
        <w:rPr>
          <w:sz w:val="24"/>
        </w:rPr>
        <w:t>Cobertura:</w:t>
      </w:r>
      <w:r>
        <w:rPr>
          <w:spacing w:val="1"/>
          <w:sz w:val="24"/>
        </w:rPr>
        <w:t> </w:t>
      </w:r>
      <w:r>
        <w:rPr>
          <w:sz w:val="24"/>
        </w:rPr>
        <w:t>Tasa</w:t>
      </w:r>
      <w:r>
        <w:rPr>
          <w:spacing w:val="1"/>
          <w:sz w:val="24"/>
        </w:rPr>
        <w:t> </w:t>
      </w:r>
      <w:r>
        <w:rPr>
          <w:sz w:val="24"/>
        </w:rPr>
        <w:t>Bruta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Tasa</w:t>
      </w:r>
      <w:r>
        <w:rPr>
          <w:spacing w:val="1"/>
          <w:sz w:val="24"/>
        </w:rPr>
        <w:t> </w:t>
      </w:r>
      <w:r>
        <w:rPr>
          <w:sz w:val="24"/>
        </w:rPr>
        <w:t>Neta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nivel</w:t>
      </w:r>
      <w:r>
        <w:rPr>
          <w:spacing w:val="1"/>
          <w:sz w:val="24"/>
        </w:rPr>
        <w:t> </w:t>
      </w:r>
      <w:r>
        <w:rPr>
          <w:sz w:val="24"/>
        </w:rPr>
        <w:t>educativo,</w:t>
      </w:r>
      <w:r>
        <w:rPr>
          <w:spacing w:val="1"/>
          <w:sz w:val="24"/>
        </w:rPr>
        <w:t> </w:t>
      </w:r>
      <w:r>
        <w:rPr>
          <w:sz w:val="24"/>
        </w:rPr>
        <w:t>etnia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sexo</w:t>
      </w:r>
      <w:r>
        <w:rPr>
          <w:spacing w:val="1"/>
          <w:sz w:val="24"/>
        </w:rPr>
        <w:t> </w:t>
      </w:r>
      <w:r>
        <w:rPr>
          <w:sz w:val="24"/>
        </w:rPr>
        <w:t>desde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perspectiva</w:t>
      </w:r>
      <w:r>
        <w:rPr>
          <w:spacing w:val="-52"/>
          <w:sz w:val="24"/>
        </w:rPr>
        <w:t> </w:t>
      </w:r>
      <w:r>
        <w:rPr>
          <w:sz w:val="24"/>
        </w:rPr>
        <w:t>departamental y municipal. En importante mencionar que dentro de este rubro uno de los</w:t>
      </w:r>
      <w:r>
        <w:rPr>
          <w:spacing w:val="1"/>
          <w:sz w:val="24"/>
        </w:rPr>
        <w:t> </w:t>
      </w:r>
      <w:r>
        <w:rPr>
          <w:sz w:val="24"/>
        </w:rPr>
        <w:t>principales</w:t>
      </w:r>
      <w:r>
        <w:rPr>
          <w:spacing w:val="-1"/>
          <w:sz w:val="24"/>
        </w:rPr>
        <w:t> </w:t>
      </w:r>
      <w:r>
        <w:rPr>
          <w:sz w:val="24"/>
        </w:rPr>
        <w:t>hallazgos</w:t>
      </w:r>
      <w:r>
        <w:rPr>
          <w:spacing w:val="-4"/>
          <w:sz w:val="24"/>
        </w:rPr>
        <w:t> </w:t>
      </w:r>
      <w:r>
        <w:rPr>
          <w:sz w:val="24"/>
        </w:rPr>
        <w:t>fue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tasa</w:t>
      </w:r>
      <w:r>
        <w:rPr>
          <w:spacing w:val="-4"/>
          <w:sz w:val="24"/>
        </w:rPr>
        <w:t> </w:t>
      </w:r>
      <w:r>
        <w:rPr>
          <w:sz w:val="24"/>
        </w:rPr>
        <w:t>bruta</w:t>
      </w:r>
      <w:r>
        <w:rPr>
          <w:spacing w:val="-2"/>
          <w:sz w:val="24"/>
        </w:rPr>
        <w:t> </w:t>
      </w:r>
      <w:r>
        <w:rPr>
          <w:sz w:val="24"/>
        </w:rPr>
        <w:t>municipal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registra</w:t>
      </w:r>
      <w:r>
        <w:rPr>
          <w:spacing w:val="-1"/>
          <w:sz w:val="24"/>
        </w:rPr>
        <w:t> </w:t>
      </w:r>
      <w:r>
        <w:rPr>
          <w:sz w:val="24"/>
        </w:rPr>
        <w:t>grandes</w:t>
      </w:r>
      <w:r>
        <w:rPr>
          <w:spacing w:val="-3"/>
          <w:sz w:val="24"/>
        </w:rPr>
        <w:t> </w:t>
      </w:r>
      <w:r>
        <w:rPr>
          <w:sz w:val="24"/>
        </w:rPr>
        <w:t>diferencias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4"/>
          <w:sz w:val="24"/>
        </w:rPr>
        <w:t> </w:t>
      </w:r>
      <w:r>
        <w:rPr>
          <w:sz w:val="24"/>
        </w:rPr>
        <w:t>sexo.</w:t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300" w:right="1098" w:firstLine="0"/>
        <w:jc w:val="both"/>
        <w:rPr>
          <w:sz w:val="24"/>
        </w:rPr>
      </w:pPr>
      <w:r>
        <w:rPr>
          <w:sz w:val="24"/>
        </w:rPr>
        <w:t>En la parte siete se desarrolla lo relacionado a la estrategia de atención por niveles educativos.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cada</w:t>
      </w:r>
      <w:r>
        <w:rPr>
          <w:spacing w:val="-4"/>
          <w:sz w:val="24"/>
        </w:rPr>
        <w:t> </w:t>
      </w:r>
      <w:r>
        <w:rPr>
          <w:sz w:val="24"/>
        </w:rPr>
        <w:t>nivel</w:t>
      </w:r>
      <w:r>
        <w:rPr>
          <w:spacing w:val="-4"/>
          <w:sz w:val="24"/>
        </w:rPr>
        <w:t> </w:t>
      </w: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presentan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marco</w:t>
      </w:r>
      <w:r>
        <w:rPr>
          <w:spacing w:val="-1"/>
          <w:sz w:val="24"/>
        </w:rPr>
        <w:t> </w:t>
      </w:r>
      <w:r>
        <w:rPr>
          <w:sz w:val="24"/>
        </w:rPr>
        <w:t>conceptual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actividades</w:t>
      </w:r>
      <w:r>
        <w:rPr>
          <w:spacing w:val="-4"/>
          <w:sz w:val="24"/>
        </w:rPr>
        <w:t> </w:t>
      </w:r>
      <w:r>
        <w:rPr>
          <w:sz w:val="24"/>
        </w:rPr>
        <w:t>principales</w:t>
      </w:r>
      <w:r>
        <w:rPr>
          <w:spacing w:val="-2"/>
          <w:sz w:val="24"/>
        </w:rPr>
        <w:t> </w:t>
      </w:r>
      <w:r>
        <w:rPr>
          <w:sz w:val="24"/>
        </w:rPr>
        <w:t>recomendadas.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300" w:right="1095" w:firstLine="0"/>
        <w:jc w:val="both"/>
        <w:rPr>
          <w:sz w:val="24"/>
        </w:rPr>
      </w:pPr>
      <w:r>
        <w:rPr>
          <w:sz w:val="24"/>
        </w:rPr>
        <w:t>Dado que los resultados mostrados en la sesión siete son expresiones de distintos diálogos y</w:t>
      </w:r>
      <w:r>
        <w:rPr>
          <w:spacing w:val="1"/>
          <w:sz w:val="24"/>
        </w:rPr>
        <w:t> </w:t>
      </w:r>
      <w:r>
        <w:rPr>
          <w:sz w:val="24"/>
        </w:rPr>
        <w:t>actividades con personal técnico, en el aparto ocho se describen los talleres y las principales</w:t>
      </w:r>
      <w:r>
        <w:rPr>
          <w:spacing w:val="1"/>
          <w:sz w:val="24"/>
        </w:rPr>
        <w:t> </w:t>
      </w:r>
      <w:r>
        <w:rPr>
          <w:sz w:val="24"/>
        </w:rPr>
        <w:t>conclusiones</w:t>
      </w:r>
      <w:r>
        <w:rPr>
          <w:spacing w:val="-1"/>
          <w:sz w:val="24"/>
        </w:rPr>
        <w:t> </w:t>
      </w:r>
      <w:r>
        <w:rPr>
          <w:sz w:val="24"/>
        </w:rPr>
        <w:t>alcanzadas,</w:t>
      </w:r>
      <w:r>
        <w:rPr>
          <w:spacing w:val="-4"/>
          <w:sz w:val="24"/>
        </w:rPr>
        <w:t> </w:t>
      </w:r>
      <w:r>
        <w:rPr>
          <w:sz w:val="24"/>
        </w:rPr>
        <w:t>aún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cuando</w:t>
      </w:r>
      <w:r>
        <w:rPr>
          <w:spacing w:val="-4"/>
          <w:sz w:val="24"/>
        </w:rPr>
        <w:t> </w:t>
      </w:r>
      <w:r>
        <w:rPr>
          <w:sz w:val="24"/>
        </w:rPr>
        <w:t>estas</w:t>
      </w:r>
      <w:r>
        <w:rPr>
          <w:spacing w:val="-4"/>
          <w:sz w:val="24"/>
        </w:rPr>
        <w:t> </w:t>
      </w:r>
      <w:r>
        <w:rPr>
          <w:sz w:val="24"/>
        </w:rPr>
        <w:t>han</w:t>
      </w:r>
      <w:r>
        <w:rPr>
          <w:spacing w:val="-2"/>
          <w:sz w:val="24"/>
        </w:rPr>
        <w:t> </w:t>
      </w:r>
      <w:r>
        <w:rPr>
          <w:sz w:val="24"/>
        </w:rPr>
        <w:t>nutrido</w:t>
      </w:r>
      <w:r>
        <w:rPr>
          <w:spacing w:val="-4"/>
          <w:sz w:val="24"/>
        </w:rPr>
        <w:t> </w:t>
      </w:r>
      <w:r>
        <w:rPr>
          <w:sz w:val="24"/>
        </w:rPr>
        <w:t>distintas</w:t>
      </w:r>
      <w:r>
        <w:rPr>
          <w:spacing w:val="-2"/>
          <w:sz w:val="24"/>
        </w:rPr>
        <w:t> </w:t>
      </w:r>
      <w:r>
        <w:rPr>
          <w:sz w:val="24"/>
        </w:rPr>
        <w:t>partes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presente</w:t>
      </w:r>
      <w:r>
        <w:rPr>
          <w:spacing w:val="-4"/>
          <w:sz w:val="24"/>
        </w:rPr>
        <w:t> </w:t>
      </w:r>
      <w:r>
        <w:rPr>
          <w:sz w:val="24"/>
        </w:rPr>
        <w:t>reporte.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40" w:lineRule="auto" w:before="252" w:after="0"/>
        <w:ind w:right="223"/>
      </w:pPr>
      <w:r>
        <w:rPr/>
        <w:t>72</w:t>
      </w:r>
    </w:p>
    <w:p>
      <w:pPr>
        <w:spacing w:after="0" w:line="240" w:lineRule="auto"/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group style="position:absolute;margin-left:1.3999pt;margin-top:24.348774pt;width:610.6pt;height:748.15pt;mso-position-horizontal-relative:page;mso-position-vertical-relative:page;z-index:-28855808" coordorigin="28,487" coordsize="12212,14963">
            <v:shape style="position:absolute;left:28;top:486;width:12212;height:14963" type="#_x0000_t75" stroked="false">
              <v:imagedata r:id="rId17" o:title=""/>
            </v:shape>
            <v:shape style="position:absolute;left:11277;top:13936;width:509;height:480" coordorigin="11278,13936" coordsize="509,480" path="m11786,14325l11278,14325,11278,14416,11786,14416,11786,14325xm11786,13936l11278,13936,11278,13965,11786,13965,11786,13936xe" filled="true" fillcolor="#a4a4a4" stroked="false">
              <v:path arrowok="t"/>
              <v:fill type="solid"/>
            </v:shape>
            <v:rect style="position:absolute;left:1418;top:12645;width:2881;height:10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8"/>
        </w:rPr>
      </w:pPr>
    </w:p>
    <w:p>
      <w:pPr>
        <w:pStyle w:val="Heading3"/>
        <w:numPr>
          <w:ilvl w:val="0"/>
          <w:numId w:val="7"/>
        </w:numPr>
        <w:tabs>
          <w:tab w:pos="639" w:val="left" w:leader="none"/>
        </w:tabs>
        <w:spacing w:line="240" w:lineRule="auto" w:before="51" w:after="0"/>
        <w:ind w:left="638" w:right="0" w:hanging="361"/>
        <w:jc w:val="left"/>
      </w:pPr>
      <w:bookmarkStart w:name="_bookmark98" w:id="129"/>
      <w:bookmarkEnd w:id="129"/>
      <w:r>
        <w:rPr>
          <w:b w:val="0"/>
        </w:rPr>
      </w:r>
      <w:bookmarkStart w:name="_bookmark98" w:id="130"/>
      <w:bookmarkEnd w:id="130"/>
      <w:r>
        <w:rPr>
          <w:color w:val="1F4E79"/>
        </w:rPr>
        <w:t>C</w:t>
      </w:r>
      <w:r>
        <w:rPr>
          <w:color w:val="1F4E79"/>
        </w:rPr>
        <w:t>obertura</w:t>
      </w:r>
      <w:r>
        <w:rPr>
          <w:color w:val="1F4E79"/>
          <w:spacing w:val="-5"/>
        </w:rPr>
        <w:t> </w:t>
      </w:r>
      <w:r>
        <w:rPr>
          <w:color w:val="1F4E79"/>
        </w:rPr>
        <w:t>y</w:t>
      </w:r>
      <w:r>
        <w:rPr>
          <w:color w:val="1F4E79"/>
          <w:spacing w:val="-5"/>
        </w:rPr>
        <w:t> </w:t>
      </w:r>
      <w:r>
        <w:rPr>
          <w:color w:val="1F4E79"/>
        </w:rPr>
        <w:t>equidad</w:t>
      </w:r>
      <w:r>
        <w:rPr>
          <w:color w:val="1F4E79"/>
          <w:spacing w:val="-4"/>
        </w:rPr>
        <w:t> </w:t>
      </w:r>
      <w:r>
        <w:rPr>
          <w:color w:val="1F4E79"/>
        </w:rPr>
        <w:t>por</w:t>
      </w:r>
      <w:r>
        <w:rPr>
          <w:color w:val="1F4E79"/>
          <w:spacing w:val="-4"/>
        </w:rPr>
        <w:t> </w:t>
      </w:r>
      <w:r>
        <w:rPr>
          <w:color w:val="1F4E79"/>
        </w:rPr>
        <w:t>niveles</w:t>
      </w:r>
      <w:r>
        <w:rPr>
          <w:color w:val="1F4E79"/>
          <w:spacing w:val="-3"/>
        </w:rPr>
        <w:t> </w:t>
      </w:r>
      <w:r>
        <w:rPr>
          <w:color w:val="1F4E79"/>
        </w:rPr>
        <w:t>educativos</w:t>
      </w:r>
      <w:r>
        <w:rPr>
          <w:color w:val="1F4E79"/>
          <w:spacing w:val="-4"/>
        </w:rPr>
        <w:t> </w:t>
      </w:r>
      <w:r>
        <w:rPr>
          <w:color w:val="1F4E79"/>
        </w:rPr>
        <w:t>según</w:t>
      </w:r>
      <w:r>
        <w:rPr>
          <w:color w:val="1F4E79"/>
          <w:spacing w:val="-2"/>
        </w:rPr>
        <w:t> </w:t>
      </w:r>
      <w:r>
        <w:rPr>
          <w:color w:val="1F4E79"/>
        </w:rPr>
        <w:t>departamento</w:t>
      </w:r>
      <w:r>
        <w:rPr>
          <w:color w:val="1F4E79"/>
          <w:spacing w:val="-5"/>
        </w:rPr>
        <w:t> </w:t>
      </w:r>
      <w:r>
        <w:rPr>
          <w:color w:val="1F4E79"/>
        </w:rPr>
        <w:t>y</w:t>
      </w:r>
      <w:r>
        <w:rPr>
          <w:color w:val="1F4E79"/>
          <w:spacing w:val="-4"/>
        </w:rPr>
        <w:t> </w:t>
      </w:r>
      <w:r>
        <w:rPr>
          <w:color w:val="1F4E79"/>
        </w:rPr>
        <w:t>municipio</w:t>
      </w:r>
    </w:p>
    <w:p>
      <w:pPr>
        <w:pStyle w:val="BodyText"/>
        <w:spacing w:before="6"/>
        <w:rPr>
          <w:b/>
          <w:sz w:val="29"/>
        </w:rPr>
      </w:pPr>
    </w:p>
    <w:p>
      <w:pPr>
        <w:spacing w:before="0"/>
        <w:ind w:left="278" w:right="1079" w:firstLine="0"/>
        <w:jc w:val="both"/>
        <w:rPr>
          <w:sz w:val="24"/>
        </w:rPr>
      </w:pPr>
      <w:r>
        <w:rPr>
          <w:sz w:val="24"/>
        </w:rPr>
        <w:t>A continuación, se presentan los principales resultados de las tasas de cobertura para los niveles</w:t>
      </w:r>
      <w:r>
        <w:rPr>
          <w:spacing w:val="-52"/>
          <w:sz w:val="24"/>
        </w:rPr>
        <w:t> </w:t>
      </w:r>
      <w:r>
        <w:rPr>
          <w:sz w:val="24"/>
        </w:rPr>
        <w:t>educativos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nivel</w:t>
      </w:r>
      <w:r>
        <w:rPr>
          <w:spacing w:val="-2"/>
          <w:sz w:val="24"/>
        </w:rPr>
        <w:t> </w:t>
      </w:r>
      <w:r>
        <w:rPr>
          <w:sz w:val="24"/>
        </w:rPr>
        <w:t>departamental y municipal.</w:t>
      </w:r>
    </w:p>
    <w:p>
      <w:pPr>
        <w:pStyle w:val="BodyText"/>
        <w:spacing w:before="6"/>
        <w:rPr>
          <w:sz w:val="29"/>
        </w:rPr>
      </w:pPr>
    </w:p>
    <w:p>
      <w:pPr>
        <w:pStyle w:val="Heading3"/>
        <w:numPr>
          <w:ilvl w:val="1"/>
          <w:numId w:val="7"/>
        </w:numPr>
        <w:tabs>
          <w:tab w:pos="998" w:val="left" w:leader="none"/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99" w:id="131"/>
      <w:bookmarkEnd w:id="131"/>
      <w:r>
        <w:rPr>
          <w:b w:val="0"/>
        </w:rPr>
      </w:r>
      <w:bookmarkStart w:name="_bookmark99" w:id="132"/>
      <w:bookmarkEnd w:id="132"/>
      <w:r>
        <w:rPr>
          <w:color w:val="1F4E79"/>
        </w:rPr>
        <w:t>A</w:t>
      </w:r>
      <w:r>
        <w:rPr>
          <w:color w:val="1F4E79"/>
          <w:spacing w:val="-4"/>
        </w:rPr>
        <w:t> </w:t>
      </w:r>
      <w:r>
        <w:rPr>
          <w:color w:val="1F4E79"/>
        </w:rPr>
        <w:t>nivel</w:t>
      </w:r>
      <w:r>
        <w:rPr>
          <w:color w:val="1F4E79"/>
          <w:spacing w:val="-3"/>
        </w:rPr>
        <w:t> </w:t>
      </w:r>
      <w:r>
        <w:rPr>
          <w:color w:val="1F4E79"/>
        </w:rPr>
        <w:t>departamental</w:t>
      </w:r>
    </w:p>
    <w:p>
      <w:pPr>
        <w:pStyle w:val="BodyText"/>
        <w:rPr>
          <w:b/>
          <w:sz w:val="24"/>
        </w:rPr>
      </w:pPr>
    </w:p>
    <w:p>
      <w:pPr>
        <w:spacing w:line="240" w:lineRule="auto" w:before="187"/>
        <w:ind w:left="278" w:right="1074" w:firstLine="0"/>
        <w:jc w:val="both"/>
        <w:rPr>
          <w:sz w:val="24"/>
        </w:rPr>
      </w:pPr>
      <w:r>
        <w:rPr>
          <w:spacing w:val="-1"/>
          <w:sz w:val="24"/>
        </w:rPr>
        <w:t>En el anexo: </w:t>
      </w:r>
      <w:r>
        <w:rPr>
          <w:i/>
          <w:spacing w:val="-1"/>
          <w:sz w:val="24"/>
        </w:rPr>
        <w:t>SEN - Datos sobre </w:t>
      </w:r>
      <w:r>
        <w:rPr>
          <w:i/>
          <w:sz w:val="24"/>
        </w:rPr>
        <w:t>cobertura </w:t>
      </w:r>
      <w:r>
        <w:rPr>
          <w:sz w:val="24"/>
        </w:rPr>
        <w:t>se encuentran las tasas brutas</w:t>
      </w:r>
      <w:r>
        <w:rPr>
          <w:rFonts w:ascii="Arial MT"/>
          <w:sz w:val="24"/>
          <w:vertAlign w:val="superscript"/>
        </w:rPr>
        <w:t>2</w:t>
      </w:r>
      <w:r>
        <w:rPr>
          <w:rFonts w:ascii="Arial MT"/>
          <w:sz w:val="24"/>
          <w:vertAlign w:val="baseline"/>
        </w:rPr>
        <w:t> </w:t>
      </w:r>
      <w:r>
        <w:rPr>
          <w:sz w:val="24"/>
          <w:vertAlign w:val="baseline"/>
        </w:rPr>
        <w:t>y netas de cobertura 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nivel departamental, municipal, por nivel educativo y sexo. El resumen de los datos se muestra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el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siguiente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cuadro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para la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tasa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bruta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por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nivel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educativo.</w:t>
      </w:r>
    </w:p>
    <w:p>
      <w:pPr>
        <w:pStyle w:val="BodyText"/>
        <w:spacing w:before="2"/>
        <w:rPr>
          <w:sz w:val="20"/>
        </w:rPr>
      </w:pPr>
    </w:p>
    <w:p>
      <w:pPr>
        <w:spacing w:before="1"/>
        <w:ind w:left="278" w:right="0" w:firstLine="0"/>
        <w:jc w:val="left"/>
        <w:rPr>
          <w:b/>
          <w:sz w:val="20"/>
        </w:rPr>
      </w:pPr>
      <w:r>
        <w:rPr>
          <w:b/>
          <w:sz w:val="20"/>
        </w:rPr>
        <w:t>Cuadro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1: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Estadísticas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básicas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la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tasa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bruta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nivel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educativo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y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departamento</w:t>
      </w:r>
    </w:p>
    <w:p>
      <w:pPr>
        <w:spacing w:before="0"/>
        <w:ind w:left="278" w:right="0" w:firstLine="0"/>
        <w:jc w:val="left"/>
        <w:rPr>
          <w:sz w:val="20"/>
        </w:rPr>
      </w:pPr>
      <w:r>
        <w:rPr>
          <w:sz w:val="20"/>
        </w:rPr>
        <w:t>Años</w:t>
      </w:r>
      <w:r>
        <w:rPr>
          <w:spacing w:val="-4"/>
          <w:sz w:val="20"/>
        </w:rPr>
        <w:t> </w:t>
      </w:r>
      <w:r>
        <w:rPr>
          <w:sz w:val="20"/>
        </w:rPr>
        <w:t>2018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2021.</w:t>
      </w:r>
      <w:r>
        <w:rPr>
          <w:spacing w:val="-3"/>
          <w:sz w:val="20"/>
        </w:rPr>
        <w:t> </w:t>
      </w:r>
      <w:r>
        <w:rPr>
          <w:sz w:val="20"/>
        </w:rPr>
        <w:t>Porcentajes.</w:t>
      </w:r>
    </w:p>
    <w:tbl>
      <w:tblPr>
        <w:tblW w:w="0" w:type="auto"/>
        <w:jc w:val="left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4"/>
        <w:gridCol w:w="532"/>
        <w:gridCol w:w="535"/>
        <w:gridCol w:w="532"/>
        <w:gridCol w:w="530"/>
        <w:gridCol w:w="532"/>
        <w:gridCol w:w="532"/>
        <w:gridCol w:w="530"/>
        <w:gridCol w:w="532"/>
        <w:gridCol w:w="532"/>
        <w:gridCol w:w="530"/>
        <w:gridCol w:w="533"/>
        <w:gridCol w:w="532"/>
        <w:gridCol w:w="501"/>
        <w:gridCol w:w="503"/>
        <w:gridCol w:w="501"/>
        <w:gridCol w:w="593"/>
      </w:tblGrid>
      <w:tr>
        <w:trPr>
          <w:trHeight w:val="313" w:hRule="atLeast"/>
        </w:trPr>
        <w:tc>
          <w:tcPr>
            <w:tcW w:w="1334" w:type="dxa"/>
            <w:vMerge w:val="restart"/>
            <w:shd w:val="clear" w:color="auto" w:fill="4F81BC"/>
          </w:tcPr>
          <w:p>
            <w:pPr>
              <w:pStyle w:val="TableParagraph"/>
              <w:spacing w:before="1"/>
              <w:ind w:left="118" w:right="109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Año</w:t>
            </w:r>
          </w:p>
        </w:tc>
        <w:tc>
          <w:tcPr>
            <w:tcW w:w="2129" w:type="dxa"/>
            <w:gridSpan w:val="4"/>
            <w:shd w:val="clear" w:color="auto" w:fill="4F81BC"/>
          </w:tcPr>
          <w:p>
            <w:pPr>
              <w:pStyle w:val="TableParagraph"/>
              <w:spacing w:line="169" w:lineRule="exact"/>
              <w:ind w:left="667"/>
              <w:rPr>
                <w:sz w:val="14"/>
              </w:rPr>
            </w:pPr>
            <w:r>
              <w:rPr>
                <w:color w:val="FFFFFF"/>
                <w:sz w:val="14"/>
              </w:rPr>
              <w:t>PREPRIMARIA</w:t>
            </w:r>
          </w:p>
        </w:tc>
        <w:tc>
          <w:tcPr>
            <w:tcW w:w="2126" w:type="dxa"/>
            <w:gridSpan w:val="4"/>
            <w:shd w:val="clear" w:color="auto" w:fill="4F81BC"/>
          </w:tcPr>
          <w:p>
            <w:pPr>
              <w:pStyle w:val="TableParagraph"/>
              <w:spacing w:line="169" w:lineRule="exact"/>
              <w:ind w:left="757" w:right="741"/>
              <w:jc w:val="center"/>
              <w:rPr>
                <w:sz w:val="14"/>
              </w:rPr>
            </w:pPr>
            <w:r>
              <w:rPr>
                <w:color w:val="FFFFFF"/>
                <w:sz w:val="14"/>
              </w:rPr>
              <w:t>PRIMARIA</w:t>
            </w:r>
          </w:p>
        </w:tc>
        <w:tc>
          <w:tcPr>
            <w:tcW w:w="2127" w:type="dxa"/>
            <w:gridSpan w:val="4"/>
            <w:shd w:val="clear" w:color="auto" w:fill="4F81BC"/>
          </w:tcPr>
          <w:p>
            <w:pPr>
              <w:pStyle w:val="TableParagraph"/>
              <w:spacing w:line="169" w:lineRule="exact"/>
              <w:ind w:left="838" w:right="814"/>
              <w:jc w:val="center"/>
              <w:rPr>
                <w:sz w:val="14"/>
              </w:rPr>
            </w:pPr>
            <w:r>
              <w:rPr>
                <w:color w:val="FFFFFF"/>
                <w:sz w:val="14"/>
              </w:rPr>
              <w:t>BASICO</w:t>
            </w:r>
          </w:p>
        </w:tc>
        <w:tc>
          <w:tcPr>
            <w:tcW w:w="2098" w:type="dxa"/>
            <w:gridSpan w:val="4"/>
            <w:shd w:val="clear" w:color="auto" w:fill="4F81BC"/>
          </w:tcPr>
          <w:p>
            <w:pPr>
              <w:pStyle w:val="TableParagraph"/>
              <w:spacing w:line="169" w:lineRule="exact"/>
              <w:ind w:left="615"/>
              <w:rPr>
                <w:sz w:val="14"/>
              </w:rPr>
            </w:pPr>
            <w:r>
              <w:rPr>
                <w:color w:val="FFFFFF"/>
                <w:sz w:val="14"/>
              </w:rPr>
              <w:t>DIVERSIFICADO</w:t>
            </w:r>
          </w:p>
        </w:tc>
      </w:tr>
      <w:tr>
        <w:trPr>
          <w:trHeight w:val="316" w:hRule="atLeast"/>
        </w:trPr>
        <w:tc>
          <w:tcPr>
            <w:tcW w:w="1334" w:type="dxa"/>
            <w:vMerge/>
            <w:tcBorders>
              <w:top w:val="nil"/>
            </w:tcBorders>
            <w:shd w:val="clear" w:color="auto" w:fill="4F81B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60" w:right="82"/>
              <w:jc w:val="center"/>
              <w:rPr>
                <w:sz w:val="14"/>
              </w:rPr>
            </w:pPr>
            <w:r>
              <w:rPr>
                <w:sz w:val="14"/>
              </w:rPr>
              <w:t>2018</w:t>
            </w:r>
          </w:p>
        </w:tc>
        <w:tc>
          <w:tcPr>
            <w:tcW w:w="535" w:type="dxa"/>
          </w:tcPr>
          <w:p>
            <w:pPr>
              <w:pStyle w:val="TableParagraph"/>
              <w:spacing w:line="169" w:lineRule="exact"/>
              <w:ind w:left="108"/>
              <w:rPr>
                <w:sz w:val="14"/>
              </w:rPr>
            </w:pPr>
            <w:r>
              <w:rPr>
                <w:sz w:val="14"/>
              </w:rPr>
              <w:t>2019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59" w:right="82"/>
              <w:jc w:val="center"/>
              <w:rPr>
                <w:sz w:val="14"/>
              </w:rPr>
            </w:pPr>
            <w:r>
              <w:rPr>
                <w:sz w:val="14"/>
              </w:rPr>
              <w:t>2020</w:t>
            </w:r>
          </w:p>
        </w:tc>
        <w:tc>
          <w:tcPr>
            <w:tcW w:w="530" w:type="dxa"/>
          </w:tcPr>
          <w:p>
            <w:pPr>
              <w:pStyle w:val="TableParagraph"/>
              <w:spacing w:line="169" w:lineRule="exact"/>
              <w:ind w:left="56" w:right="76"/>
              <w:jc w:val="center"/>
              <w:rPr>
                <w:sz w:val="14"/>
              </w:rPr>
            </w:pPr>
            <w:r>
              <w:rPr>
                <w:sz w:val="14"/>
              </w:rPr>
              <w:t>2021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110"/>
              <w:rPr>
                <w:sz w:val="14"/>
              </w:rPr>
            </w:pPr>
            <w:r>
              <w:rPr>
                <w:sz w:val="14"/>
              </w:rPr>
              <w:t>2018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111"/>
              <w:rPr>
                <w:sz w:val="14"/>
              </w:rPr>
            </w:pPr>
            <w:r>
              <w:rPr>
                <w:sz w:val="14"/>
              </w:rPr>
              <w:t>2019</w:t>
            </w:r>
          </w:p>
        </w:tc>
        <w:tc>
          <w:tcPr>
            <w:tcW w:w="530" w:type="dxa"/>
          </w:tcPr>
          <w:p>
            <w:pPr>
              <w:pStyle w:val="TableParagraph"/>
              <w:spacing w:line="169" w:lineRule="exact"/>
              <w:ind w:left="61" w:right="76"/>
              <w:jc w:val="center"/>
              <w:rPr>
                <w:sz w:val="14"/>
              </w:rPr>
            </w:pPr>
            <w:r>
              <w:rPr>
                <w:sz w:val="14"/>
              </w:rPr>
              <w:t>2020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113"/>
              <w:rPr>
                <w:sz w:val="14"/>
              </w:rPr>
            </w:pPr>
            <w:r>
              <w:rPr>
                <w:sz w:val="14"/>
              </w:rPr>
              <w:t>2021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114"/>
              <w:rPr>
                <w:sz w:val="14"/>
              </w:rPr>
            </w:pPr>
            <w:r>
              <w:rPr>
                <w:sz w:val="14"/>
              </w:rPr>
              <w:t>2018</w:t>
            </w:r>
          </w:p>
        </w:tc>
        <w:tc>
          <w:tcPr>
            <w:tcW w:w="530" w:type="dxa"/>
          </w:tcPr>
          <w:p>
            <w:pPr>
              <w:pStyle w:val="TableParagraph"/>
              <w:spacing w:line="169" w:lineRule="exact"/>
              <w:ind w:left="65" w:right="76"/>
              <w:jc w:val="center"/>
              <w:rPr>
                <w:sz w:val="14"/>
              </w:rPr>
            </w:pPr>
            <w:r>
              <w:rPr>
                <w:sz w:val="14"/>
              </w:rPr>
              <w:t>2019</w:t>
            </w:r>
          </w:p>
        </w:tc>
        <w:tc>
          <w:tcPr>
            <w:tcW w:w="533" w:type="dxa"/>
          </w:tcPr>
          <w:p>
            <w:pPr>
              <w:pStyle w:val="TableParagraph"/>
              <w:spacing w:line="169" w:lineRule="exact"/>
              <w:ind w:left="115"/>
              <w:rPr>
                <w:sz w:val="14"/>
              </w:rPr>
            </w:pPr>
            <w:r>
              <w:rPr>
                <w:sz w:val="14"/>
              </w:rPr>
              <w:t>2020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115"/>
              <w:rPr>
                <w:sz w:val="14"/>
              </w:rPr>
            </w:pPr>
            <w:r>
              <w:rPr>
                <w:sz w:val="14"/>
              </w:rPr>
              <w:t>2021</w:t>
            </w:r>
          </w:p>
        </w:tc>
        <w:tc>
          <w:tcPr>
            <w:tcW w:w="501" w:type="dxa"/>
          </w:tcPr>
          <w:p>
            <w:pPr>
              <w:pStyle w:val="TableParagraph"/>
              <w:spacing w:line="169" w:lineRule="exact"/>
              <w:ind w:left="92" w:right="74"/>
              <w:jc w:val="center"/>
              <w:rPr>
                <w:sz w:val="14"/>
              </w:rPr>
            </w:pPr>
            <w:r>
              <w:rPr>
                <w:sz w:val="14"/>
              </w:rPr>
              <w:t>2018</w:t>
            </w:r>
          </w:p>
        </w:tc>
        <w:tc>
          <w:tcPr>
            <w:tcW w:w="503" w:type="dxa"/>
          </w:tcPr>
          <w:p>
            <w:pPr>
              <w:pStyle w:val="TableParagraph"/>
              <w:spacing w:line="169" w:lineRule="exact"/>
              <w:ind w:left="117"/>
              <w:rPr>
                <w:sz w:val="14"/>
              </w:rPr>
            </w:pPr>
            <w:r>
              <w:rPr>
                <w:sz w:val="14"/>
              </w:rPr>
              <w:t>2019</w:t>
            </w:r>
          </w:p>
        </w:tc>
        <w:tc>
          <w:tcPr>
            <w:tcW w:w="501" w:type="dxa"/>
          </w:tcPr>
          <w:p>
            <w:pPr>
              <w:pStyle w:val="TableParagraph"/>
              <w:spacing w:line="169" w:lineRule="exact"/>
              <w:ind w:left="118"/>
              <w:rPr>
                <w:sz w:val="14"/>
              </w:rPr>
            </w:pPr>
            <w:r>
              <w:rPr>
                <w:sz w:val="14"/>
              </w:rPr>
              <w:t>2020</w:t>
            </w:r>
          </w:p>
        </w:tc>
        <w:tc>
          <w:tcPr>
            <w:tcW w:w="593" w:type="dxa"/>
          </w:tcPr>
          <w:p>
            <w:pPr>
              <w:pStyle w:val="TableParagraph"/>
              <w:spacing w:line="169" w:lineRule="exact"/>
              <w:ind w:left="118"/>
              <w:rPr>
                <w:sz w:val="14"/>
              </w:rPr>
            </w:pPr>
            <w:r>
              <w:rPr>
                <w:sz w:val="14"/>
              </w:rPr>
              <w:t>2021</w:t>
            </w:r>
          </w:p>
        </w:tc>
      </w:tr>
      <w:tr>
        <w:trPr>
          <w:trHeight w:val="299" w:hRule="atLeast"/>
        </w:trPr>
        <w:tc>
          <w:tcPr>
            <w:tcW w:w="1334" w:type="dxa"/>
          </w:tcPr>
          <w:p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PROMEDIO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20" w:right="82"/>
              <w:jc w:val="center"/>
              <w:rPr>
                <w:sz w:val="14"/>
              </w:rPr>
            </w:pPr>
            <w:r>
              <w:rPr>
                <w:sz w:val="14"/>
              </w:rPr>
              <w:t>91%</w:t>
            </w:r>
          </w:p>
        </w:tc>
        <w:tc>
          <w:tcPr>
            <w:tcW w:w="535" w:type="dxa"/>
          </w:tcPr>
          <w:p>
            <w:pPr>
              <w:pStyle w:val="TableParagraph"/>
              <w:spacing w:line="169" w:lineRule="exact"/>
              <w:ind w:left="108"/>
              <w:rPr>
                <w:sz w:val="14"/>
              </w:rPr>
            </w:pPr>
            <w:r>
              <w:rPr>
                <w:sz w:val="14"/>
              </w:rPr>
              <w:t>88%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18" w:right="82"/>
              <w:jc w:val="center"/>
              <w:rPr>
                <w:sz w:val="14"/>
              </w:rPr>
            </w:pPr>
            <w:r>
              <w:rPr>
                <w:sz w:val="14"/>
              </w:rPr>
              <w:t>85%</w:t>
            </w:r>
          </w:p>
        </w:tc>
        <w:tc>
          <w:tcPr>
            <w:tcW w:w="530" w:type="dxa"/>
          </w:tcPr>
          <w:p>
            <w:pPr>
              <w:pStyle w:val="TableParagraph"/>
              <w:spacing w:line="169" w:lineRule="exact"/>
              <w:ind w:left="16" w:right="76"/>
              <w:jc w:val="center"/>
              <w:rPr>
                <w:sz w:val="14"/>
              </w:rPr>
            </w:pPr>
            <w:r>
              <w:rPr>
                <w:sz w:val="14"/>
              </w:rPr>
              <w:t>93%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110"/>
              <w:rPr>
                <w:sz w:val="14"/>
              </w:rPr>
            </w:pPr>
            <w:r>
              <w:rPr>
                <w:sz w:val="14"/>
              </w:rPr>
              <w:t>109%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111"/>
              <w:rPr>
                <w:sz w:val="14"/>
              </w:rPr>
            </w:pPr>
            <w:r>
              <w:rPr>
                <w:sz w:val="14"/>
              </w:rPr>
              <w:t>108%</w:t>
            </w:r>
          </w:p>
        </w:tc>
        <w:tc>
          <w:tcPr>
            <w:tcW w:w="530" w:type="dxa"/>
          </w:tcPr>
          <w:p>
            <w:pPr>
              <w:pStyle w:val="TableParagraph"/>
              <w:spacing w:line="169" w:lineRule="exact"/>
              <w:ind w:left="86" w:right="75"/>
              <w:jc w:val="center"/>
              <w:rPr>
                <w:sz w:val="14"/>
              </w:rPr>
            </w:pPr>
            <w:r>
              <w:rPr>
                <w:sz w:val="14"/>
              </w:rPr>
              <w:t>108%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113"/>
              <w:rPr>
                <w:sz w:val="14"/>
              </w:rPr>
            </w:pPr>
            <w:r>
              <w:rPr>
                <w:sz w:val="14"/>
              </w:rPr>
              <w:t>110%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114"/>
              <w:rPr>
                <w:sz w:val="14"/>
              </w:rPr>
            </w:pPr>
            <w:r>
              <w:rPr>
                <w:sz w:val="14"/>
              </w:rPr>
              <w:t>72%</w:t>
            </w:r>
          </w:p>
        </w:tc>
        <w:tc>
          <w:tcPr>
            <w:tcW w:w="530" w:type="dxa"/>
          </w:tcPr>
          <w:p>
            <w:pPr>
              <w:pStyle w:val="TableParagraph"/>
              <w:spacing w:line="169" w:lineRule="exact"/>
              <w:ind w:left="24" w:right="76"/>
              <w:jc w:val="center"/>
              <w:rPr>
                <w:sz w:val="14"/>
              </w:rPr>
            </w:pPr>
            <w:r>
              <w:rPr>
                <w:sz w:val="14"/>
              </w:rPr>
              <w:t>70%</w:t>
            </w:r>
          </w:p>
        </w:tc>
        <w:tc>
          <w:tcPr>
            <w:tcW w:w="533" w:type="dxa"/>
          </w:tcPr>
          <w:p>
            <w:pPr>
              <w:pStyle w:val="TableParagraph"/>
              <w:spacing w:line="169" w:lineRule="exact"/>
              <w:ind w:left="115"/>
              <w:rPr>
                <w:sz w:val="14"/>
              </w:rPr>
            </w:pPr>
            <w:r>
              <w:rPr>
                <w:sz w:val="14"/>
              </w:rPr>
              <w:t>65%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115"/>
              <w:rPr>
                <w:sz w:val="14"/>
              </w:rPr>
            </w:pPr>
            <w:r>
              <w:rPr>
                <w:sz w:val="14"/>
              </w:rPr>
              <w:t>68%</w:t>
            </w:r>
          </w:p>
        </w:tc>
        <w:tc>
          <w:tcPr>
            <w:tcW w:w="501" w:type="dxa"/>
          </w:tcPr>
          <w:p>
            <w:pPr>
              <w:pStyle w:val="TableParagraph"/>
              <w:spacing w:line="169" w:lineRule="exact"/>
              <w:ind w:left="55" w:right="74"/>
              <w:jc w:val="center"/>
              <w:rPr>
                <w:sz w:val="14"/>
              </w:rPr>
            </w:pPr>
            <w:r>
              <w:rPr>
                <w:sz w:val="14"/>
              </w:rPr>
              <w:t>28%</w:t>
            </w:r>
          </w:p>
        </w:tc>
        <w:tc>
          <w:tcPr>
            <w:tcW w:w="503" w:type="dxa"/>
          </w:tcPr>
          <w:p>
            <w:pPr>
              <w:pStyle w:val="TableParagraph"/>
              <w:spacing w:line="169" w:lineRule="exact"/>
              <w:ind w:left="117"/>
              <w:rPr>
                <w:sz w:val="14"/>
              </w:rPr>
            </w:pPr>
            <w:r>
              <w:rPr>
                <w:sz w:val="14"/>
              </w:rPr>
              <w:t>29%</w:t>
            </w:r>
          </w:p>
        </w:tc>
        <w:tc>
          <w:tcPr>
            <w:tcW w:w="501" w:type="dxa"/>
          </w:tcPr>
          <w:p>
            <w:pPr>
              <w:pStyle w:val="TableParagraph"/>
              <w:spacing w:line="169" w:lineRule="exact"/>
              <w:ind w:left="118"/>
              <w:rPr>
                <w:sz w:val="14"/>
              </w:rPr>
            </w:pPr>
            <w:r>
              <w:rPr>
                <w:sz w:val="14"/>
              </w:rPr>
              <w:t>29%</w:t>
            </w:r>
          </w:p>
        </w:tc>
        <w:tc>
          <w:tcPr>
            <w:tcW w:w="593" w:type="dxa"/>
          </w:tcPr>
          <w:p>
            <w:pPr>
              <w:pStyle w:val="TableParagraph"/>
              <w:spacing w:line="169" w:lineRule="exact"/>
              <w:ind w:left="118"/>
              <w:rPr>
                <w:sz w:val="14"/>
              </w:rPr>
            </w:pPr>
            <w:r>
              <w:rPr>
                <w:sz w:val="14"/>
              </w:rPr>
              <w:t>28%</w:t>
            </w:r>
          </w:p>
        </w:tc>
      </w:tr>
      <w:tr>
        <w:trPr>
          <w:trHeight w:val="486" w:hRule="atLeast"/>
        </w:trPr>
        <w:tc>
          <w:tcPr>
            <w:tcW w:w="1334" w:type="dxa"/>
          </w:tcPr>
          <w:p>
            <w:pPr>
              <w:pStyle w:val="TableParagraph"/>
              <w:spacing w:line="24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DESVIACION</w:t>
            </w:r>
          </w:p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ESTANDAR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20" w:right="82"/>
              <w:jc w:val="center"/>
              <w:rPr>
                <w:sz w:val="14"/>
              </w:rPr>
            </w:pPr>
            <w:r>
              <w:rPr>
                <w:sz w:val="14"/>
              </w:rPr>
              <w:t>19%</w:t>
            </w:r>
          </w:p>
        </w:tc>
        <w:tc>
          <w:tcPr>
            <w:tcW w:w="535" w:type="dxa"/>
          </w:tcPr>
          <w:p>
            <w:pPr>
              <w:pStyle w:val="TableParagraph"/>
              <w:spacing w:line="169" w:lineRule="exact"/>
              <w:ind w:left="108"/>
              <w:rPr>
                <w:sz w:val="14"/>
              </w:rPr>
            </w:pPr>
            <w:r>
              <w:rPr>
                <w:sz w:val="14"/>
              </w:rPr>
              <w:t>19%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18" w:right="82"/>
              <w:jc w:val="center"/>
              <w:rPr>
                <w:sz w:val="14"/>
              </w:rPr>
            </w:pPr>
            <w:r>
              <w:rPr>
                <w:sz w:val="14"/>
              </w:rPr>
              <w:t>18%</w:t>
            </w:r>
          </w:p>
        </w:tc>
        <w:tc>
          <w:tcPr>
            <w:tcW w:w="530" w:type="dxa"/>
          </w:tcPr>
          <w:p>
            <w:pPr>
              <w:pStyle w:val="TableParagraph"/>
              <w:spacing w:line="169" w:lineRule="exact"/>
              <w:ind w:left="16" w:right="76"/>
              <w:jc w:val="center"/>
              <w:rPr>
                <w:sz w:val="14"/>
              </w:rPr>
            </w:pPr>
            <w:r>
              <w:rPr>
                <w:sz w:val="14"/>
              </w:rPr>
              <w:t>20%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110"/>
              <w:rPr>
                <w:sz w:val="14"/>
              </w:rPr>
            </w:pPr>
            <w:r>
              <w:rPr>
                <w:sz w:val="14"/>
              </w:rPr>
              <w:t>5%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111"/>
              <w:rPr>
                <w:sz w:val="14"/>
              </w:rPr>
            </w:pPr>
            <w:r>
              <w:rPr>
                <w:sz w:val="14"/>
              </w:rPr>
              <w:t>6%</w:t>
            </w:r>
          </w:p>
        </w:tc>
        <w:tc>
          <w:tcPr>
            <w:tcW w:w="530" w:type="dxa"/>
          </w:tcPr>
          <w:p>
            <w:pPr>
              <w:pStyle w:val="TableParagraph"/>
              <w:spacing w:line="169" w:lineRule="exact"/>
              <w:ind w:left="86" w:right="214"/>
              <w:jc w:val="center"/>
              <w:rPr>
                <w:sz w:val="14"/>
              </w:rPr>
            </w:pPr>
            <w:r>
              <w:rPr>
                <w:sz w:val="14"/>
              </w:rPr>
              <w:t>5%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113"/>
              <w:rPr>
                <w:sz w:val="14"/>
              </w:rPr>
            </w:pPr>
            <w:r>
              <w:rPr>
                <w:sz w:val="14"/>
              </w:rPr>
              <w:t>5%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114"/>
              <w:rPr>
                <w:sz w:val="14"/>
              </w:rPr>
            </w:pPr>
            <w:r>
              <w:rPr>
                <w:sz w:val="14"/>
              </w:rPr>
              <w:t>20%</w:t>
            </w:r>
          </w:p>
        </w:tc>
        <w:tc>
          <w:tcPr>
            <w:tcW w:w="530" w:type="dxa"/>
          </w:tcPr>
          <w:p>
            <w:pPr>
              <w:pStyle w:val="TableParagraph"/>
              <w:spacing w:line="169" w:lineRule="exact"/>
              <w:ind w:left="24" w:right="76"/>
              <w:jc w:val="center"/>
              <w:rPr>
                <w:sz w:val="14"/>
              </w:rPr>
            </w:pPr>
            <w:r>
              <w:rPr>
                <w:sz w:val="14"/>
              </w:rPr>
              <w:t>20%</w:t>
            </w:r>
          </w:p>
        </w:tc>
        <w:tc>
          <w:tcPr>
            <w:tcW w:w="533" w:type="dxa"/>
          </w:tcPr>
          <w:p>
            <w:pPr>
              <w:pStyle w:val="TableParagraph"/>
              <w:spacing w:line="169" w:lineRule="exact"/>
              <w:ind w:left="115"/>
              <w:rPr>
                <w:sz w:val="14"/>
              </w:rPr>
            </w:pPr>
            <w:r>
              <w:rPr>
                <w:sz w:val="14"/>
              </w:rPr>
              <w:t>28%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115"/>
              <w:rPr>
                <w:sz w:val="14"/>
              </w:rPr>
            </w:pPr>
            <w:r>
              <w:rPr>
                <w:sz w:val="14"/>
              </w:rPr>
              <w:t>26%</w:t>
            </w:r>
          </w:p>
        </w:tc>
        <w:tc>
          <w:tcPr>
            <w:tcW w:w="501" w:type="dxa"/>
          </w:tcPr>
          <w:p>
            <w:pPr>
              <w:pStyle w:val="TableParagraph"/>
              <w:spacing w:line="169" w:lineRule="exact"/>
              <w:ind w:left="55" w:right="74"/>
              <w:jc w:val="center"/>
              <w:rPr>
                <w:sz w:val="14"/>
              </w:rPr>
            </w:pPr>
            <w:r>
              <w:rPr>
                <w:sz w:val="14"/>
              </w:rPr>
              <w:t>29%</w:t>
            </w:r>
          </w:p>
        </w:tc>
        <w:tc>
          <w:tcPr>
            <w:tcW w:w="503" w:type="dxa"/>
          </w:tcPr>
          <w:p>
            <w:pPr>
              <w:pStyle w:val="TableParagraph"/>
              <w:spacing w:line="169" w:lineRule="exact"/>
              <w:ind w:left="117"/>
              <w:rPr>
                <w:sz w:val="14"/>
              </w:rPr>
            </w:pPr>
            <w:r>
              <w:rPr>
                <w:sz w:val="14"/>
              </w:rPr>
              <w:t>29%</w:t>
            </w:r>
          </w:p>
        </w:tc>
        <w:tc>
          <w:tcPr>
            <w:tcW w:w="501" w:type="dxa"/>
          </w:tcPr>
          <w:p>
            <w:pPr>
              <w:pStyle w:val="TableParagraph"/>
              <w:spacing w:line="169" w:lineRule="exact"/>
              <w:ind w:left="118"/>
              <w:rPr>
                <w:sz w:val="14"/>
              </w:rPr>
            </w:pPr>
            <w:r>
              <w:rPr>
                <w:sz w:val="14"/>
              </w:rPr>
              <w:t>29%</w:t>
            </w:r>
          </w:p>
        </w:tc>
        <w:tc>
          <w:tcPr>
            <w:tcW w:w="593" w:type="dxa"/>
          </w:tcPr>
          <w:p>
            <w:pPr>
              <w:pStyle w:val="TableParagraph"/>
              <w:spacing w:line="169" w:lineRule="exact"/>
              <w:ind w:left="118"/>
              <w:rPr>
                <w:sz w:val="14"/>
              </w:rPr>
            </w:pPr>
            <w:r>
              <w:rPr>
                <w:sz w:val="14"/>
              </w:rPr>
              <w:t>27%</w:t>
            </w:r>
          </w:p>
        </w:tc>
      </w:tr>
      <w:tr>
        <w:trPr>
          <w:trHeight w:val="302" w:hRule="atLeast"/>
        </w:trPr>
        <w:tc>
          <w:tcPr>
            <w:tcW w:w="1334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MINIMO</w:t>
            </w:r>
          </w:p>
        </w:tc>
        <w:tc>
          <w:tcPr>
            <w:tcW w:w="532" w:type="dxa"/>
          </w:tcPr>
          <w:p>
            <w:pPr>
              <w:pStyle w:val="TableParagraph"/>
              <w:spacing w:before="1"/>
              <w:ind w:left="20" w:right="82"/>
              <w:jc w:val="center"/>
              <w:rPr>
                <w:sz w:val="14"/>
              </w:rPr>
            </w:pPr>
            <w:r>
              <w:rPr>
                <w:sz w:val="14"/>
              </w:rPr>
              <w:t>51%</w:t>
            </w:r>
          </w:p>
        </w:tc>
        <w:tc>
          <w:tcPr>
            <w:tcW w:w="535" w:type="dxa"/>
          </w:tcPr>
          <w:p>
            <w:pPr>
              <w:pStyle w:val="TableParagraph"/>
              <w:spacing w:before="1"/>
              <w:ind w:left="108"/>
              <w:rPr>
                <w:sz w:val="14"/>
              </w:rPr>
            </w:pPr>
            <w:r>
              <w:rPr>
                <w:sz w:val="14"/>
              </w:rPr>
              <w:t>48%</w:t>
            </w:r>
          </w:p>
        </w:tc>
        <w:tc>
          <w:tcPr>
            <w:tcW w:w="532" w:type="dxa"/>
          </w:tcPr>
          <w:p>
            <w:pPr>
              <w:pStyle w:val="TableParagraph"/>
              <w:spacing w:before="1"/>
              <w:ind w:left="18" w:right="82"/>
              <w:jc w:val="center"/>
              <w:rPr>
                <w:sz w:val="14"/>
              </w:rPr>
            </w:pPr>
            <w:r>
              <w:rPr>
                <w:sz w:val="14"/>
              </w:rPr>
              <w:t>47%</w:t>
            </w:r>
          </w:p>
        </w:tc>
        <w:tc>
          <w:tcPr>
            <w:tcW w:w="530" w:type="dxa"/>
          </w:tcPr>
          <w:p>
            <w:pPr>
              <w:pStyle w:val="TableParagraph"/>
              <w:spacing w:before="1"/>
              <w:ind w:left="16" w:right="76"/>
              <w:jc w:val="center"/>
              <w:rPr>
                <w:sz w:val="14"/>
              </w:rPr>
            </w:pPr>
            <w:r>
              <w:rPr>
                <w:sz w:val="14"/>
              </w:rPr>
              <w:t>53%</w:t>
            </w:r>
          </w:p>
        </w:tc>
        <w:tc>
          <w:tcPr>
            <w:tcW w:w="532" w:type="dxa"/>
          </w:tcPr>
          <w:p>
            <w:pPr>
              <w:pStyle w:val="TableParagraph"/>
              <w:spacing w:before="1"/>
              <w:ind w:left="110"/>
              <w:rPr>
                <w:sz w:val="14"/>
              </w:rPr>
            </w:pPr>
            <w:r>
              <w:rPr>
                <w:sz w:val="14"/>
              </w:rPr>
              <w:t>98%</w:t>
            </w:r>
          </w:p>
        </w:tc>
        <w:tc>
          <w:tcPr>
            <w:tcW w:w="532" w:type="dxa"/>
          </w:tcPr>
          <w:p>
            <w:pPr>
              <w:pStyle w:val="TableParagraph"/>
              <w:spacing w:before="1"/>
              <w:ind w:left="111"/>
              <w:rPr>
                <w:sz w:val="14"/>
              </w:rPr>
            </w:pPr>
            <w:r>
              <w:rPr>
                <w:sz w:val="14"/>
              </w:rPr>
              <w:t>99%</w:t>
            </w:r>
          </w:p>
        </w:tc>
        <w:tc>
          <w:tcPr>
            <w:tcW w:w="530" w:type="dxa"/>
          </w:tcPr>
          <w:p>
            <w:pPr>
              <w:pStyle w:val="TableParagraph"/>
              <w:spacing w:before="1"/>
              <w:ind w:left="20" w:right="76"/>
              <w:jc w:val="center"/>
              <w:rPr>
                <w:sz w:val="14"/>
              </w:rPr>
            </w:pPr>
            <w:r>
              <w:rPr>
                <w:sz w:val="14"/>
              </w:rPr>
              <w:t>98%</w:t>
            </w:r>
          </w:p>
        </w:tc>
        <w:tc>
          <w:tcPr>
            <w:tcW w:w="532" w:type="dxa"/>
          </w:tcPr>
          <w:p>
            <w:pPr>
              <w:pStyle w:val="TableParagraph"/>
              <w:spacing w:before="1"/>
              <w:ind w:left="113"/>
              <w:rPr>
                <w:sz w:val="14"/>
              </w:rPr>
            </w:pPr>
            <w:r>
              <w:rPr>
                <w:sz w:val="14"/>
              </w:rPr>
              <w:t>100%</w:t>
            </w:r>
          </w:p>
        </w:tc>
        <w:tc>
          <w:tcPr>
            <w:tcW w:w="532" w:type="dxa"/>
          </w:tcPr>
          <w:p>
            <w:pPr>
              <w:pStyle w:val="TableParagraph"/>
              <w:spacing w:before="1"/>
              <w:ind w:left="114"/>
              <w:rPr>
                <w:sz w:val="14"/>
              </w:rPr>
            </w:pPr>
            <w:r>
              <w:rPr>
                <w:sz w:val="14"/>
              </w:rPr>
              <w:t>11%</w:t>
            </w:r>
          </w:p>
        </w:tc>
        <w:tc>
          <w:tcPr>
            <w:tcW w:w="530" w:type="dxa"/>
          </w:tcPr>
          <w:p>
            <w:pPr>
              <w:pStyle w:val="TableParagraph"/>
              <w:spacing w:before="1"/>
              <w:ind w:left="24" w:right="76"/>
              <w:jc w:val="center"/>
              <w:rPr>
                <w:sz w:val="14"/>
              </w:rPr>
            </w:pPr>
            <w:r>
              <w:rPr>
                <w:sz w:val="14"/>
              </w:rPr>
              <w:t>10%</w:t>
            </w:r>
          </w:p>
        </w:tc>
        <w:tc>
          <w:tcPr>
            <w:tcW w:w="533" w:type="dxa"/>
          </w:tcPr>
          <w:p>
            <w:pPr>
              <w:pStyle w:val="TableParagraph"/>
              <w:spacing w:before="1"/>
              <w:ind w:left="115"/>
              <w:rPr>
                <w:sz w:val="14"/>
              </w:rPr>
            </w:pPr>
            <w:r>
              <w:rPr>
                <w:sz w:val="14"/>
              </w:rPr>
              <w:t>9%</w:t>
            </w:r>
          </w:p>
        </w:tc>
        <w:tc>
          <w:tcPr>
            <w:tcW w:w="532" w:type="dxa"/>
          </w:tcPr>
          <w:p>
            <w:pPr>
              <w:pStyle w:val="TableParagraph"/>
              <w:spacing w:before="1"/>
              <w:ind w:left="115"/>
              <w:rPr>
                <w:sz w:val="14"/>
              </w:rPr>
            </w:pPr>
            <w:r>
              <w:rPr>
                <w:sz w:val="14"/>
              </w:rPr>
              <w:t>7%</w:t>
            </w:r>
          </w:p>
        </w:tc>
        <w:tc>
          <w:tcPr>
            <w:tcW w:w="501" w:type="dxa"/>
          </w:tcPr>
          <w:p>
            <w:pPr>
              <w:pStyle w:val="TableParagraph"/>
              <w:spacing w:before="1"/>
              <w:ind w:left="88" w:right="74"/>
              <w:jc w:val="center"/>
              <w:rPr>
                <w:sz w:val="14"/>
              </w:rPr>
            </w:pPr>
            <w:r>
              <w:rPr>
                <w:sz w:val="14"/>
              </w:rPr>
              <w:t>0.2%</w:t>
            </w:r>
          </w:p>
        </w:tc>
        <w:tc>
          <w:tcPr>
            <w:tcW w:w="503" w:type="dxa"/>
          </w:tcPr>
          <w:p>
            <w:pPr>
              <w:pStyle w:val="TableParagraph"/>
              <w:spacing w:before="1"/>
              <w:ind w:left="117"/>
              <w:rPr>
                <w:sz w:val="14"/>
              </w:rPr>
            </w:pPr>
            <w:r>
              <w:rPr>
                <w:sz w:val="14"/>
              </w:rPr>
              <w:t>0.2%</w:t>
            </w:r>
          </w:p>
        </w:tc>
        <w:tc>
          <w:tcPr>
            <w:tcW w:w="501" w:type="dxa"/>
          </w:tcPr>
          <w:p>
            <w:pPr>
              <w:pStyle w:val="TableParagraph"/>
              <w:spacing w:before="1"/>
              <w:ind w:left="118"/>
              <w:rPr>
                <w:sz w:val="14"/>
              </w:rPr>
            </w:pPr>
            <w:r>
              <w:rPr>
                <w:sz w:val="14"/>
              </w:rPr>
              <w:t>0.1%</w:t>
            </w:r>
          </w:p>
        </w:tc>
        <w:tc>
          <w:tcPr>
            <w:tcW w:w="593" w:type="dxa"/>
          </w:tcPr>
          <w:p>
            <w:pPr>
              <w:pStyle w:val="TableParagraph"/>
              <w:spacing w:before="1"/>
              <w:ind w:left="118"/>
              <w:rPr>
                <w:sz w:val="14"/>
              </w:rPr>
            </w:pPr>
            <w:r>
              <w:rPr>
                <w:sz w:val="14"/>
              </w:rPr>
              <w:t>0.1%</w:t>
            </w:r>
          </w:p>
        </w:tc>
      </w:tr>
      <w:tr>
        <w:trPr>
          <w:trHeight w:val="299" w:hRule="atLeast"/>
        </w:trPr>
        <w:tc>
          <w:tcPr>
            <w:tcW w:w="1334" w:type="dxa"/>
          </w:tcPr>
          <w:p>
            <w:pPr>
              <w:pStyle w:val="TableParagraph"/>
              <w:spacing w:line="244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MEDIANA</w:t>
            </w:r>
          </w:p>
        </w:tc>
        <w:tc>
          <w:tcPr>
            <w:tcW w:w="532" w:type="dxa"/>
          </w:tcPr>
          <w:p>
            <w:pPr>
              <w:pStyle w:val="TableParagraph"/>
              <w:spacing w:line="170" w:lineRule="exact"/>
              <w:ind w:left="20" w:right="82"/>
              <w:jc w:val="center"/>
              <w:rPr>
                <w:sz w:val="14"/>
              </w:rPr>
            </w:pPr>
            <w:r>
              <w:rPr>
                <w:sz w:val="14"/>
              </w:rPr>
              <w:t>95%</w:t>
            </w:r>
          </w:p>
        </w:tc>
        <w:tc>
          <w:tcPr>
            <w:tcW w:w="535" w:type="dxa"/>
          </w:tcPr>
          <w:p>
            <w:pPr>
              <w:pStyle w:val="TableParagraph"/>
              <w:spacing w:line="170" w:lineRule="exact"/>
              <w:ind w:left="108"/>
              <w:rPr>
                <w:sz w:val="14"/>
              </w:rPr>
            </w:pPr>
            <w:r>
              <w:rPr>
                <w:sz w:val="14"/>
              </w:rPr>
              <w:t>93%</w:t>
            </w:r>
          </w:p>
        </w:tc>
        <w:tc>
          <w:tcPr>
            <w:tcW w:w="532" w:type="dxa"/>
          </w:tcPr>
          <w:p>
            <w:pPr>
              <w:pStyle w:val="TableParagraph"/>
              <w:spacing w:line="170" w:lineRule="exact"/>
              <w:ind w:left="18" w:right="82"/>
              <w:jc w:val="center"/>
              <w:rPr>
                <w:sz w:val="14"/>
              </w:rPr>
            </w:pPr>
            <w:r>
              <w:rPr>
                <w:sz w:val="14"/>
              </w:rPr>
              <w:t>92%</w:t>
            </w:r>
          </w:p>
        </w:tc>
        <w:tc>
          <w:tcPr>
            <w:tcW w:w="530" w:type="dxa"/>
          </w:tcPr>
          <w:p>
            <w:pPr>
              <w:pStyle w:val="TableParagraph"/>
              <w:spacing w:line="170" w:lineRule="exact"/>
              <w:ind w:left="16" w:right="76"/>
              <w:jc w:val="center"/>
              <w:rPr>
                <w:sz w:val="14"/>
              </w:rPr>
            </w:pPr>
            <w:r>
              <w:rPr>
                <w:sz w:val="14"/>
              </w:rPr>
              <w:t>97%</w:t>
            </w:r>
          </w:p>
        </w:tc>
        <w:tc>
          <w:tcPr>
            <w:tcW w:w="532" w:type="dxa"/>
          </w:tcPr>
          <w:p>
            <w:pPr>
              <w:pStyle w:val="TableParagraph"/>
              <w:spacing w:line="170" w:lineRule="exact"/>
              <w:ind w:left="110"/>
              <w:rPr>
                <w:sz w:val="14"/>
              </w:rPr>
            </w:pPr>
            <w:r>
              <w:rPr>
                <w:sz w:val="14"/>
              </w:rPr>
              <w:t>110%</w:t>
            </w:r>
          </w:p>
        </w:tc>
        <w:tc>
          <w:tcPr>
            <w:tcW w:w="532" w:type="dxa"/>
          </w:tcPr>
          <w:p>
            <w:pPr>
              <w:pStyle w:val="TableParagraph"/>
              <w:spacing w:line="170" w:lineRule="exact"/>
              <w:ind w:left="111"/>
              <w:rPr>
                <w:sz w:val="14"/>
              </w:rPr>
            </w:pPr>
            <w:r>
              <w:rPr>
                <w:sz w:val="14"/>
              </w:rPr>
              <w:t>108%</w:t>
            </w:r>
          </w:p>
        </w:tc>
        <w:tc>
          <w:tcPr>
            <w:tcW w:w="530" w:type="dxa"/>
          </w:tcPr>
          <w:p>
            <w:pPr>
              <w:pStyle w:val="TableParagraph"/>
              <w:spacing w:line="170" w:lineRule="exact"/>
              <w:ind w:left="86" w:right="75"/>
              <w:jc w:val="center"/>
              <w:rPr>
                <w:sz w:val="14"/>
              </w:rPr>
            </w:pPr>
            <w:r>
              <w:rPr>
                <w:sz w:val="14"/>
              </w:rPr>
              <w:t>108%</w:t>
            </w:r>
          </w:p>
        </w:tc>
        <w:tc>
          <w:tcPr>
            <w:tcW w:w="532" w:type="dxa"/>
          </w:tcPr>
          <w:p>
            <w:pPr>
              <w:pStyle w:val="TableParagraph"/>
              <w:spacing w:line="170" w:lineRule="exact"/>
              <w:ind w:left="113"/>
              <w:rPr>
                <w:sz w:val="14"/>
              </w:rPr>
            </w:pPr>
            <w:r>
              <w:rPr>
                <w:sz w:val="14"/>
              </w:rPr>
              <w:t>109%</w:t>
            </w:r>
          </w:p>
        </w:tc>
        <w:tc>
          <w:tcPr>
            <w:tcW w:w="532" w:type="dxa"/>
          </w:tcPr>
          <w:p>
            <w:pPr>
              <w:pStyle w:val="TableParagraph"/>
              <w:spacing w:line="170" w:lineRule="exact"/>
              <w:ind w:left="114"/>
              <w:rPr>
                <w:sz w:val="14"/>
              </w:rPr>
            </w:pPr>
            <w:r>
              <w:rPr>
                <w:sz w:val="14"/>
              </w:rPr>
              <w:t>66%</w:t>
            </w:r>
          </w:p>
        </w:tc>
        <w:tc>
          <w:tcPr>
            <w:tcW w:w="530" w:type="dxa"/>
          </w:tcPr>
          <w:p>
            <w:pPr>
              <w:pStyle w:val="TableParagraph"/>
              <w:spacing w:line="170" w:lineRule="exact"/>
              <w:ind w:left="24" w:right="76"/>
              <w:jc w:val="center"/>
              <w:rPr>
                <w:sz w:val="14"/>
              </w:rPr>
            </w:pPr>
            <w:r>
              <w:rPr>
                <w:sz w:val="14"/>
              </w:rPr>
              <w:t>63%</w:t>
            </w:r>
          </w:p>
        </w:tc>
        <w:tc>
          <w:tcPr>
            <w:tcW w:w="533" w:type="dxa"/>
          </w:tcPr>
          <w:p>
            <w:pPr>
              <w:pStyle w:val="TableParagraph"/>
              <w:spacing w:line="170" w:lineRule="exact"/>
              <w:ind w:left="115"/>
              <w:rPr>
                <w:sz w:val="14"/>
              </w:rPr>
            </w:pPr>
            <w:r>
              <w:rPr>
                <w:sz w:val="14"/>
              </w:rPr>
              <w:t>62%</w:t>
            </w:r>
          </w:p>
        </w:tc>
        <w:tc>
          <w:tcPr>
            <w:tcW w:w="532" w:type="dxa"/>
          </w:tcPr>
          <w:p>
            <w:pPr>
              <w:pStyle w:val="TableParagraph"/>
              <w:spacing w:line="170" w:lineRule="exact"/>
              <w:ind w:left="115"/>
              <w:rPr>
                <w:sz w:val="14"/>
              </w:rPr>
            </w:pPr>
            <w:r>
              <w:rPr>
                <w:sz w:val="14"/>
              </w:rPr>
              <w:t>61%</w:t>
            </w:r>
          </w:p>
        </w:tc>
        <w:tc>
          <w:tcPr>
            <w:tcW w:w="501" w:type="dxa"/>
          </w:tcPr>
          <w:p>
            <w:pPr>
              <w:pStyle w:val="TableParagraph"/>
              <w:spacing w:line="170" w:lineRule="exact"/>
              <w:ind w:left="55" w:right="74"/>
              <w:jc w:val="center"/>
              <w:rPr>
                <w:sz w:val="14"/>
              </w:rPr>
            </w:pPr>
            <w:r>
              <w:rPr>
                <w:sz w:val="14"/>
              </w:rPr>
              <w:t>18%</w:t>
            </w:r>
          </w:p>
        </w:tc>
        <w:tc>
          <w:tcPr>
            <w:tcW w:w="503" w:type="dxa"/>
          </w:tcPr>
          <w:p>
            <w:pPr>
              <w:pStyle w:val="TableParagraph"/>
              <w:spacing w:line="170" w:lineRule="exact"/>
              <w:ind w:left="117"/>
              <w:rPr>
                <w:sz w:val="14"/>
              </w:rPr>
            </w:pPr>
            <w:r>
              <w:rPr>
                <w:sz w:val="14"/>
              </w:rPr>
              <w:t>19%</w:t>
            </w:r>
          </w:p>
        </w:tc>
        <w:tc>
          <w:tcPr>
            <w:tcW w:w="501" w:type="dxa"/>
          </w:tcPr>
          <w:p>
            <w:pPr>
              <w:pStyle w:val="TableParagraph"/>
              <w:spacing w:line="170" w:lineRule="exact"/>
              <w:ind w:left="118"/>
              <w:rPr>
                <w:sz w:val="14"/>
              </w:rPr>
            </w:pPr>
            <w:r>
              <w:rPr>
                <w:sz w:val="14"/>
              </w:rPr>
              <w:t>20%</w:t>
            </w:r>
          </w:p>
        </w:tc>
        <w:tc>
          <w:tcPr>
            <w:tcW w:w="593" w:type="dxa"/>
          </w:tcPr>
          <w:p>
            <w:pPr>
              <w:pStyle w:val="TableParagraph"/>
              <w:spacing w:line="170" w:lineRule="exact"/>
              <w:ind w:left="118"/>
              <w:rPr>
                <w:sz w:val="14"/>
              </w:rPr>
            </w:pPr>
            <w:r>
              <w:rPr>
                <w:sz w:val="14"/>
              </w:rPr>
              <w:t>20%</w:t>
            </w:r>
          </w:p>
        </w:tc>
      </w:tr>
      <w:tr>
        <w:trPr>
          <w:trHeight w:val="340" w:hRule="atLeast"/>
        </w:trPr>
        <w:tc>
          <w:tcPr>
            <w:tcW w:w="1334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MAXIMO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86" w:right="82"/>
              <w:jc w:val="center"/>
              <w:rPr>
                <w:sz w:val="14"/>
              </w:rPr>
            </w:pPr>
            <w:r>
              <w:rPr>
                <w:sz w:val="14"/>
              </w:rPr>
              <w:t>120%</w:t>
            </w:r>
          </w:p>
        </w:tc>
        <w:tc>
          <w:tcPr>
            <w:tcW w:w="535" w:type="dxa"/>
          </w:tcPr>
          <w:p>
            <w:pPr>
              <w:pStyle w:val="TableParagraph"/>
              <w:spacing w:line="169" w:lineRule="exact"/>
              <w:ind w:left="108"/>
              <w:rPr>
                <w:sz w:val="14"/>
              </w:rPr>
            </w:pPr>
            <w:r>
              <w:rPr>
                <w:sz w:val="14"/>
              </w:rPr>
              <w:t>116%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85" w:right="82"/>
              <w:jc w:val="center"/>
              <w:rPr>
                <w:sz w:val="14"/>
              </w:rPr>
            </w:pPr>
            <w:r>
              <w:rPr>
                <w:sz w:val="14"/>
              </w:rPr>
              <w:t>108%</w:t>
            </w:r>
          </w:p>
        </w:tc>
        <w:tc>
          <w:tcPr>
            <w:tcW w:w="530" w:type="dxa"/>
          </w:tcPr>
          <w:p>
            <w:pPr>
              <w:pStyle w:val="TableParagraph"/>
              <w:spacing w:line="169" w:lineRule="exact"/>
              <w:ind w:left="82" w:right="76"/>
              <w:jc w:val="center"/>
              <w:rPr>
                <w:sz w:val="14"/>
              </w:rPr>
            </w:pPr>
            <w:r>
              <w:rPr>
                <w:sz w:val="14"/>
              </w:rPr>
              <w:t>120%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110"/>
              <w:rPr>
                <w:sz w:val="14"/>
              </w:rPr>
            </w:pPr>
            <w:r>
              <w:rPr>
                <w:sz w:val="14"/>
              </w:rPr>
              <w:t>118%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111"/>
              <w:rPr>
                <w:sz w:val="14"/>
              </w:rPr>
            </w:pPr>
            <w:r>
              <w:rPr>
                <w:sz w:val="14"/>
              </w:rPr>
              <w:t>117%</w:t>
            </w:r>
          </w:p>
        </w:tc>
        <w:tc>
          <w:tcPr>
            <w:tcW w:w="530" w:type="dxa"/>
          </w:tcPr>
          <w:p>
            <w:pPr>
              <w:pStyle w:val="TableParagraph"/>
              <w:spacing w:line="169" w:lineRule="exact"/>
              <w:ind w:left="86" w:right="75"/>
              <w:jc w:val="center"/>
              <w:rPr>
                <w:sz w:val="14"/>
              </w:rPr>
            </w:pPr>
            <w:r>
              <w:rPr>
                <w:sz w:val="14"/>
              </w:rPr>
              <w:t>117%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113"/>
              <w:rPr>
                <w:sz w:val="14"/>
              </w:rPr>
            </w:pPr>
            <w:r>
              <w:rPr>
                <w:sz w:val="14"/>
              </w:rPr>
              <w:t>119%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114"/>
              <w:rPr>
                <w:sz w:val="14"/>
              </w:rPr>
            </w:pPr>
            <w:r>
              <w:rPr>
                <w:sz w:val="14"/>
              </w:rPr>
              <w:t>199%</w:t>
            </w:r>
          </w:p>
        </w:tc>
        <w:tc>
          <w:tcPr>
            <w:tcW w:w="530" w:type="dxa"/>
          </w:tcPr>
          <w:p>
            <w:pPr>
              <w:pStyle w:val="TableParagraph"/>
              <w:spacing w:line="169" w:lineRule="exact"/>
              <w:ind w:left="86" w:right="71"/>
              <w:jc w:val="center"/>
              <w:rPr>
                <w:sz w:val="14"/>
              </w:rPr>
            </w:pPr>
            <w:r>
              <w:rPr>
                <w:sz w:val="14"/>
              </w:rPr>
              <w:t>213%</w:t>
            </w:r>
          </w:p>
        </w:tc>
        <w:tc>
          <w:tcPr>
            <w:tcW w:w="533" w:type="dxa"/>
          </w:tcPr>
          <w:p>
            <w:pPr>
              <w:pStyle w:val="TableParagraph"/>
              <w:spacing w:line="169" w:lineRule="exact"/>
              <w:ind w:left="115"/>
              <w:rPr>
                <w:sz w:val="14"/>
              </w:rPr>
            </w:pPr>
            <w:r>
              <w:rPr>
                <w:sz w:val="14"/>
              </w:rPr>
              <w:t>191%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115"/>
              <w:rPr>
                <w:sz w:val="14"/>
              </w:rPr>
            </w:pPr>
            <w:r>
              <w:rPr>
                <w:sz w:val="14"/>
              </w:rPr>
              <w:t>123%</w:t>
            </w:r>
          </w:p>
        </w:tc>
        <w:tc>
          <w:tcPr>
            <w:tcW w:w="501" w:type="dxa"/>
          </w:tcPr>
          <w:p>
            <w:pPr>
              <w:pStyle w:val="TableParagraph"/>
              <w:spacing w:line="169" w:lineRule="exact"/>
              <w:ind w:left="114"/>
              <w:rPr>
                <w:sz w:val="14"/>
              </w:rPr>
            </w:pPr>
            <w:r>
              <w:rPr>
                <w:sz w:val="14"/>
              </w:rPr>
              <w:t>178</w:t>
            </w:r>
          </w:p>
          <w:p>
            <w:pPr>
              <w:pStyle w:val="TableParagraph"/>
              <w:spacing w:line="151" w:lineRule="exact"/>
              <w:ind w:left="11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503" w:type="dxa"/>
          </w:tcPr>
          <w:p>
            <w:pPr>
              <w:pStyle w:val="TableParagraph"/>
              <w:spacing w:line="169" w:lineRule="exact"/>
              <w:ind w:left="117"/>
              <w:rPr>
                <w:sz w:val="14"/>
              </w:rPr>
            </w:pPr>
            <w:r>
              <w:rPr>
                <w:sz w:val="14"/>
              </w:rPr>
              <w:t>187</w:t>
            </w:r>
          </w:p>
          <w:p>
            <w:pPr>
              <w:pStyle w:val="TableParagraph"/>
              <w:spacing w:line="151" w:lineRule="exact"/>
              <w:ind w:left="117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501" w:type="dxa"/>
          </w:tcPr>
          <w:p>
            <w:pPr>
              <w:pStyle w:val="TableParagraph"/>
              <w:spacing w:line="169" w:lineRule="exact"/>
              <w:ind w:left="118"/>
              <w:rPr>
                <w:sz w:val="14"/>
              </w:rPr>
            </w:pPr>
            <w:r>
              <w:rPr>
                <w:sz w:val="14"/>
              </w:rPr>
              <w:t>192</w:t>
            </w:r>
          </w:p>
          <w:p>
            <w:pPr>
              <w:pStyle w:val="TableParagraph"/>
              <w:spacing w:line="151" w:lineRule="exact"/>
              <w:ind w:left="11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593" w:type="dxa"/>
          </w:tcPr>
          <w:p>
            <w:pPr>
              <w:pStyle w:val="TableParagraph"/>
              <w:spacing w:line="169" w:lineRule="exact"/>
              <w:ind w:left="118"/>
              <w:rPr>
                <w:sz w:val="14"/>
              </w:rPr>
            </w:pPr>
            <w:r>
              <w:rPr>
                <w:sz w:val="14"/>
              </w:rPr>
              <w:t>183%</w:t>
            </w:r>
          </w:p>
        </w:tc>
      </w:tr>
      <w:tr>
        <w:trPr>
          <w:trHeight w:val="316" w:hRule="atLeast"/>
        </w:trPr>
        <w:tc>
          <w:tcPr>
            <w:tcW w:w="1334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CV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20" w:right="82"/>
              <w:jc w:val="center"/>
              <w:rPr>
                <w:sz w:val="14"/>
              </w:rPr>
            </w:pPr>
            <w:r>
              <w:rPr>
                <w:sz w:val="14"/>
              </w:rPr>
              <w:t>21%</w:t>
            </w:r>
          </w:p>
        </w:tc>
        <w:tc>
          <w:tcPr>
            <w:tcW w:w="535" w:type="dxa"/>
          </w:tcPr>
          <w:p>
            <w:pPr>
              <w:pStyle w:val="TableParagraph"/>
              <w:spacing w:line="169" w:lineRule="exact"/>
              <w:ind w:left="108"/>
              <w:rPr>
                <w:sz w:val="14"/>
              </w:rPr>
            </w:pPr>
            <w:r>
              <w:rPr>
                <w:sz w:val="14"/>
              </w:rPr>
              <w:t>21%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18" w:right="82"/>
              <w:jc w:val="center"/>
              <w:rPr>
                <w:sz w:val="14"/>
              </w:rPr>
            </w:pPr>
            <w:r>
              <w:rPr>
                <w:sz w:val="14"/>
              </w:rPr>
              <w:t>21%</w:t>
            </w:r>
          </w:p>
        </w:tc>
        <w:tc>
          <w:tcPr>
            <w:tcW w:w="530" w:type="dxa"/>
          </w:tcPr>
          <w:p>
            <w:pPr>
              <w:pStyle w:val="TableParagraph"/>
              <w:spacing w:line="169" w:lineRule="exact"/>
              <w:ind w:left="16" w:right="76"/>
              <w:jc w:val="center"/>
              <w:rPr>
                <w:sz w:val="14"/>
              </w:rPr>
            </w:pPr>
            <w:r>
              <w:rPr>
                <w:sz w:val="14"/>
              </w:rPr>
              <w:t>21%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110"/>
              <w:rPr>
                <w:sz w:val="14"/>
              </w:rPr>
            </w:pPr>
            <w:r>
              <w:rPr>
                <w:sz w:val="14"/>
              </w:rPr>
              <w:t>5%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111"/>
              <w:rPr>
                <w:sz w:val="14"/>
              </w:rPr>
            </w:pPr>
            <w:r>
              <w:rPr>
                <w:sz w:val="14"/>
              </w:rPr>
              <w:t>5%</w:t>
            </w:r>
          </w:p>
        </w:tc>
        <w:tc>
          <w:tcPr>
            <w:tcW w:w="530" w:type="dxa"/>
          </w:tcPr>
          <w:p>
            <w:pPr>
              <w:pStyle w:val="TableParagraph"/>
              <w:spacing w:line="169" w:lineRule="exact"/>
              <w:ind w:left="86" w:right="214"/>
              <w:jc w:val="center"/>
              <w:rPr>
                <w:sz w:val="14"/>
              </w:rPr>
            </w:pPr>
            <w:r>
              <w:rPr>
                <w:sz w:val="14"/>
              </w:rPr>
              <w:t>5%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113"/>
              <w:rPr>
                <w:sz w:val="14"/>
              </w:rPr>
            </w:pPr>
            <w:r>
              <w:rPr>
                <w:sz w:val="14"/>
              </w:rPr>
              <w:t>4%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114"/>
              <w:rPr>
                <w:sz w:val="14"/>
              </w:rPr>
            </w:pPr>
            <w:r>
              <w:rPr>
                <w:sz w:val="14"/>
              </w:rPr>
              <w:t>43%</w:t>
            </w:r>
          </w:p>
        </w:tc>
        <w:tc>
          <w:tcPr>
            <w:tcW w:w="530" w:type="dxa"/>
          </w:tcPr>
          <w:p>
            <w:pPr>
              <w:pStyle w:val="TableParagraph"/>
              <w:spacing w:line="169" w:lineRule="exact"/>
              <w:ind w:left="24" w:right="76"/>
              <w:jc w:val="center"/>
              <w:rPr>
                <w:sz w:val="14"/>
              </w:rPr>
            </w:pPr>
            <w:r>
              <w:rPr>
                <w:sz w:val="14"/>
              </w:rPr>
              <w:t>44%</w:t>
            </w:r>
          </w:p>
        </w:tc>
        <w:tc>
          <w:tcPr>
            <w:tcW w:w="533" w:type="dxa"/>
          </w:tcPr>
          <w:p>
            <w:pPr>
              <w:pStyle w:val="TableParagraph"/>
              <w:spacing w:line="169" w:lineRule="exact"/>
              <w:ind w:left="115"/>
              <w:rPr>
                <w:sz w:val="14"/>
              </w:rPr>
            </w:pPr>
            <w:r>
              <w:rPr>
                <w:sz w:val="14"/>
              </w:rPr>
              <w:t>44%</w:t>
            </w:r>
          </w:p>
        </w:tc>
        <w:tc>
          <w:tcPr>
            <w:tcW w:w="532" w:type="dxa"/>
          </w:tcPr>
          <w:p>
            <w:pPr>
              <w:pStyle w:val="TableParagraph"/>
              <w:spacing w:line="169" w:lineRule="exact"/>
              <w:ind w:left="115"/>
              <w:rPr>
                <w:sz w:val="14"/>
              </w:rPr>
            </w:pPr>
            <w:r>
              <w:rPr>
                <w:sz w:val="14"/>
              </w:rPr>
              <w:t>42%</w:t>
            </w:r>
          </w:p>
        </w:tc>
        <w:tc>
          <w:tcPr>
            <w:tcW w:w="501" w:type="dxa"/>
          </w:tcPr>
          <w:p>
            <w:pPr>
              <w:pStyle w:val="TableParagraph"/>
              <w:spacing w:line="169" w:lineRule="exact"/>
              <w:ind w:left="55" w:right="74"/>
              <w:jc w:val="center"/>
              <w:rPr>
                <w:sz w:val="14"/>
              </w:rPr>
            </w:pPr>
            <w:r>
              <w:rPr>
                <w:sz w:val="14"/>
              </w:rPr>
              <w:t>34%</w:t>
            </w:r>
          </w:p>
        </w:tc>
        <w:tc>
          <w:tcPr>
            <w:tcW w:w="503" w:type="dxa"/>
          </w:tcPr>
          <w:p>
            <w:pPr>
              <w:pStyle w:val="TableParagraph"/>
              <w:spacing w:line="169" w:lineRule="exact"/>
              <w:ind w:left="117"/>
              <w:rPr>
                <w:sz w:val="14"/>
              </w:rPr>
            </w:pPr>
            <w:r>
              <w:rPr>
                <w:sz w:val="14"/>
              </w:rPr>
              <w:t>35%</w:t>
            </w:r>
          </w:p>
        </w:tc>
        <w:tc>
          <w:tcPr>
            <w:tcW w:w="501" w:type="dxa"/>
          </w:tcPr>
          <w:p>
            <w:pPr>
              <w:pStyle w:val="TableParagraph"/>
              <w:spacing w:line="169" w:lineRule="exact"/>
              <w:ind w:left="118"/>
              <w:rPr>
                <w:sz w:val="14"/>
              </w:rPr>
            </w:pPr>
            <w:r>
              <w:rPr>
                <w:sz w:val="14"/>
              </w:rPr>
              <w:t>36%</w:t>
            </w:r>
          </w:p>
        </w:tc>
        <w:tc>
          <w:tcPr>
            <w:tcW w:w="593" w:type="dxa"/>
          </w:tcPr>
          <w:p>
            <w:pPr>
              <w:pStyle w:val="TableParagraph"/>
              <w:spacing w:line="169" w:lineRule="exact"/>
              <w:ind w:left="118"/>
              <w:rPr>
                <w:sz w:val="14"/>
              </w:rPr>
            </w:pPr>
            <w:r>
              <w:rPr>
                <w:sz w:val="14"/>
              </w:rPr>
              <w:t>36%</w:t>
            </w:r>
          </w:p>
        </w:tc>
      </w:tr>
    </w:tbl>
    <w:p>
      <w:pPr>
        <w:spacing w:before="1"/>
        <w:ind w:left="278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datos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Anexo:</w:t>
      </w:r>
      <w:r>
        <w:rPr>
          <w:spacing w:val="-3"/>
          <w:sz w:val="20"/>
        </w:rPr>
        <w:t> </w:t>
      </w:r>
      <w:r>
        <w:rPr>
          <w:sz w:val="20"/>
        </w:rPr>
        <w:t>SEN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Datos</w:t>
      </w:r>
      <w:r>
        <w:rPr>
          <w:spacing w:val="-3"/>
          <w:sz w:val="20"/>
        </w:rPr>
        <w:t> </w:t>
      </w:r>
      <w:r>
        <w:rPr>
          <w:sz w:val="20"/>
        </w:rPr>
        <w:t>sobre</w:t>
      </w:r>
      <w:r>
        <w:rPr>
          <w:spacing w:val="-3"/>
          <w:sz w:val="20"/>
        </w:rPr>
        <w:t> </w:t>
      </w:r>
      <w:r>
        <w:rPr>
          <w:sz w:val="20"/>
        </w:rPr>
        <w:t>cobertura.</w:t>
      </w:r>
    </w:p>
    <w:p>
      <w:pPr>
        <w:pStyle w:val="BodyText"/>
        <w:spacing w:before="9"/>
        <w:rPr>
          <w:sz w:val="19"/>
        </w:rPr>
      </w:pPr>
    </w:p>
    <w:p>
      <w:pPr>
        <w:spacing w:line="240" w:lineRule="auto" w:before="0"/>
        <w:ind w:left="278" w:right="1073" w:firstLine="0"/>
        <w:jc w:val="both"/>
        <w:rPr>
          <w:sz w:val="24"/>
        </w:rPr>
      </w:pPr>
      <w:r>
        <w:rPr>
          <w:sz w:val="24"/>
        </w:rPr>
        <w:t>En el caso del nivel pre primaria, la tasa promedio se ubicó en 93% para el año 2021, mostrando</w:t>
      </w:r>
      <w:r>
        <w:rPr>
          <w:spacing w:val="1"/>
          <w:sz w:val="24"/>
        </w:rPr>
        <w:t> </w:t>
      </w:r>
      <w:r>
        <w:rPr>
          <w:sz w:val="24"/>
        </w:rPr>
        <w:t>un incremento de dos puntos porcentuales respecto al valor del año 2018 y de cinco respecto al</w:t>
      </w:r>
      <w:r>
        <w:rPr>
          <w:spacing w:val="1"/>
          <w:sz w:val="24"/>
        </w:rPr>
        <w:t> </w:t>
      </w:r>
      <w:r>
        <w:rPr>
          <w:sz w:val="24"/>
        </w:rPr>
        <w:t>valor</w:t>
      </w:r>
      <w:r>
        <w:rPr>
          <w:spacing w:val="-6"/>
          <w:sz w:val="24"/>
        </w:rPr>
        <w:t> </w:t>
      </w:r>
      <w:r>
        <w:rPr>
          <w:sz w:val="24"/>
        </w:rPr>
        <w:t>del</w:t>
      </w:r>
      <w:r>
        <w:rPr>
          <w:spacing w:val="-7"/>
          <w:sz w:val="24"/>
        </w:rPr>
        <w:t> </w:t>
      </w:r>
      <w:r>
        <w:rPr>
          <w:sz w:val="24"/>
        </w:rPr>
        <w:t>año</w:t>
      </w:r>
      <w:r>
        <w:rPr>
          <w:spacing w:val="-5"/>
          <w:sz w:val="24"/>
        </w:rPr>
        <w:t> </w:t>
      </w:r>
      <w:r>
        <w:rPr>
          <w:sz w:val="24"/>
        </w:rPr>
        <w:t>2019,</w:t>
      </w:r>
      <w:r>
        <w:rPr>
          <w:spacing w:val="-7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este</w:t>
      </w:r>
      <w:r>
        <w:rPr>
          <w:spacing w:val="-7"/>
          <w:sz w:val="24"/>
        </w:rPr>
        <w:t> </w:t>
      </w:r>
      <w:r>
        <w:rPr>
          <w:sz w:val="24"/>
        </w:rPr>
        <w:t>nivel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variabilidad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tasa</w:t>
      </w:r>
      <w:r>
        <w:rPr>
          <w:spacing w:val="-8"/>
          <w:sz w:val="24"/>
        </w:rPr>
        <w:t> </w:t>
      </w:r>
      <w:r>
        <w:rPr>
          <w:sz w:val="24"/>
        </w:rPr>
        <w:t>fue</w:t>
      </w:r>
      <w:r>
        <w:rPr>
          <w:spacing w:val="-5"/>
          <w:sz w:val="24"/>
        </w:rPr>
        <w:t> </w:t>
      </w:r>
      <w:r>
        <w:rPr>
          <w:sz w:val="24"/>
        </w:rPr>
        <w:t>constante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través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años,</w:t>
      </w:r>
      <w:r>
        <w:rPr>
          <w:spacing w:val="-8"/>
          <w:sz w:val="24"/>
        </w:rPr>
        <w:t> </w:t>
      </w:r>
      <w:r>
        <w:rPr>
          <w:sz w:val="24"/>
        </w:rPr>
        <w:t>pues</w:t>
      </w:r>
      <w:r>
        <w:rPr>
          <w:spacing w:val="-51"/>
          <w:sz w:val="24"/>
        </w:rPr>
        <w:t> </w:t>
      </w:r>
      <w:r>
        <w:rPr>
          <w:sz w:val="24"/>
        </w:rPr>
        <w:t>se mantuvo en 21%</w:t>
      </w:r>
      <w:r>
        <w:rPr>
          <w:color w:val="2D74B5"/>
          <w:sz w:val="24"/>
          <w:vertAlign w:val="superscript"/>
        </w:rPr>
        <w:t>3</w:t>
      </w:r>
      <w:r>
        <w:rPr>
          <w:sz w:val="24"/>
          <w:vertAlign w:val="baseline"/>
        </w:rPr>
        <w:t>. El nivel más estable fue la primaria, con 5% de coeficiente de variabilidad y</w:t>
      </w:r>
      <w:r>
        <w:rPr>
          <w:spacing w:val="-52"/>
          <w:sz w:val="24"/>
          <w:vertAlign w:val="baseline"/>
        </w:rPr>
        <w:t> </w:t>
      </w:r>
      <w:r>
        <w:rPr>
          <w:sz w:val="24"/>
          <w:vertAlign w:val="baseline"/>
        </w:rPr>
        <w:t>tasas brutas mayores al 100%, como se ve el porcentaje promedio por departamento aumentó.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Por su parte, en el ciclo básico se mostró un descenso en la tasa bruta promedio departamental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en los años 2018 a 2021, pues se pasó de una tasa del 72% en 2018 a 68% en 2021. El nivel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diversificado promedio departamental se mantuvo con tasas brutas de cobertura alrededor del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28.5%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69" w:after="0"/>
        <w:ind w:left="278" w:right="1074" w:firstLine="0"/>
        <w:jc w:val="left"/>
        <w:rPr>
          <w:color w:val="2D74B5"/>
          <w:sz w:val="16"/>
        </w:rPr>
      </w:pPr>
      <w:r>
        <w:rPr>
          <w:sz w:val="16"/>
        </w:rPr>
        <w:t>La</w:t>
      </w:r>
      <w:r>
        <w:rPr>
          <w:spacing w:val="-8"/>
          <w:sz w:val="16"/>
        </w:rPr>
        <w:t> </w:t>
      </w:r>
      <w:r>
        <w:rPr>
          <w:sz w:val="16"/>
        </w:rPr>
        <w:t>tasa</w:t>
      </w:r>
      <w:r>
        <w:rPr>
          <w:spacing w:val="-8"/>
          <w:sz w:val="16"/>
        </w:rPr>
        <w:t> </w:t>
      </w:r>
      <w:r>
        <w:rPr>
          <w:sz w:val="16"/>
        </w:rPr>
        <w:t>bruta</w:t>
      </w:r>
      <w:r>
        <w:rPr>
          <w:spacing w:val="-7"/>
          <w:sz w:val="16"/>
        </w:rPr>
        <w:t> </w:t>
      </w:r>
      <w:r>
        <w:rPr>
          <w:sz w:val="16"/>
        </w:rPr>
        <w:t>es</w:t>
      </w:r>
      <w:r>
        <w:rPr>
          <w:spacing w:val="-8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razón</w:t>
      </w:r>
      <w:r>
        <w:rPr>
          <w:spacing w:val="-6"/>
          <w:sz w:val="16"/>
        </w:rPr>
        <w:t> </w:t>
      </w:r>
      <w:r>
        <w:rPr>
          <w:sz w:val="16"/>
        </w:rPr>
        <w:t>entre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7"/>
          <w:sz w:val="16"/>
        </w:rPr>
        <w:t> </w:t>
      </w:r>
      <w:r>
        <w:rPr>
          <w:sz w:val="16"/>
        </w:rPr>
        <w:t>población</w:t>
      </w:r>
      <w:r>
        <w:rPr>
          <w:spacing w:val="-8"/>
          <w:sz w:val="16"/>
        </w:rPr>
        <w:t> </w:t>
      </w:r>
      <w:r>
        <w:rPr>
          <w:sz w:val="16"/>
        </w:rPr>
        <w:t>de</w:t>
      </w:r>
      <w:r>
        <w:rPr>
          <w:spacing w:val="-8"/>
          <w:sz w:val="16"/>
        </w:rPr>
        <w:t> </w:t>
      </w:r>
      <w:r>
        <w:rPr>
          <w:sz w:val="16"/>
        </w:rPr>
        <w:t>alumnos</w:t>
      </w:r>
      <w:r>
        <w:rPr>
          <w:spacing w:val="-8"/>
          <w:sz w:val="16"/>
        </w:rPr>
        <w:t> </w:t>
      </w:r>
      <w:r>
        <w:rPr>
          <w:sz w:val="16"/>
        </w:rPr>
        <w:t>de</w:t>
      </w:r>
      <w:r>
        <w:rPr>
          <w:spacing w:val="-8"/>
          <w:sz w:val="16"/>
        </w:rPr>
        <w:t> </w:t>
      </w:r>
      <w:r>
        <w:rPr>
          <w:sz w:val="16"/>
        </w:rPr>
        <w:t>todas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7"/>
          <w:sz w:val="16"/>
        </w:rPr>
        <w:t> </w:t>
      </w:r>
      <w:r>
        <w:rPr>
          <w:sz w:val="16"/>
        </w:rPr>
        <w:t>edades</w:t>
      </w:r>
      <w:r>
        <w:rPr>
          <w:spacing w:val="-6"/>
          <w:sz w:val="16"/>
        </w:rPr>
        <w:t> </w:t>
      </w:r>
      <w:r>
        <w:rPr>
          <w:sz w:val="16"/>
        </w:rPr>
        <w:t>inscritos,</w:t>
      </w:r>
      <w:r>
        <w:rPr>
          <w:spacing w:val="-7"/>
          <w:sz w:val="16"/>
        </w:rPr>
        <w:t> </w:t>
      </w:r>
      <w:r>
        <w:rPr>
          <w:sz w:val="16"/>
        </w:rPr>
        <w:t>sin</w:t>
      </w:r>
      <w:r>
        <w:rPr>
          <w:spacing w:val="-5"/>
          <w:sz w:val="16"/>
        </w:rPr>
        <w:t> </w:t>
      </w:r>
      <w:r>
        <w:rPr>
          <w:sz w:val="16"/>
        </w:rPr>
        <w:t>importar</w:t>
      </w:r>
      <w:r>
        <w:rPr>
          <w:spacing w:val="-9"/>
          <w:sz w:val="16"/>
        </w:rPr>
        <w:t> </w:t>
      </w:r>
      <w:r>
        <w:rPr>
          <w:sz w:val="16"/>
        </w:rPr>
        <w:t>si</w:t>
      </w:r>
      <w:r>
        <w:rPr>
          <w:spacing w:val="-6"/>
          <w:sz w:val="16"/>
        </w:rPr>
        <w:t> </w:t>
      </w:r>
      <w:r>
        <w:rPr>
          <w:sz w:val="16"/>
        </w:rPr>
        <w:t>esta</w:t>
      </w:r>
      <w:r>
        <w:rPr>
          <w:spacing w:val="-5"/>
          <w:sz w:val="16"/>
        </w:rPr>
        <w:t> </w:t>
      </w:r>
      <w:r>
        <w:rPr>
          <w:sz w:val="16"/>
        </w:rPr>
        <w:t>edad</w:t>
      </w:r>
      <w:r>
        <w:rPr>
          <w:spacing w:val="-8"/>
          <w:sz w:val="16"/>
        </w:rPr>
        <w:t> </w:t>
      </w:r>
      <w:r>
        <w:rPr>
          <w:sz w:val="16"/>
        </w:rPr>
        <w:t>corresponde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8"/>
          <w:sz w:val="16"/>
        </w:rPr>
        <w:t> </w:t>
      </w:r>
      <w:r>
        <w:rPr>
          <w:sz w:val="16"/>
        </w:rPr>
        <w:t>oficial</w:t>
      </w:r>
      <w:r>
        <w:rPr>
          <w:spacing w:val="-6"/>
          <w:sz w:val="16"/>
        </w:rPr>
        <w:t> </w:t>
      </w:r>
      <w:r>
        <w:rPr>
          <w:sz w:val="16"/>
        </w:rPr>
        <w:t>para</w:t>
      </w:r>
      <w:r>
        <w:rPr>
          <w:spacing w:val="-8"/>
          <w:sz w:val="16"/>
        </w:rPr>
        <w:t> </w:t>
      </w:r>
      <w:r>
        <w:rPr>
          <w:sz w:val="16"/>
        </w:rPr>
        <w:t>dicho</w:t>
      </w:r>
      <w:r>
        <w:rPr>
          <w:spacing w:val="1"/>
          <w:sz w:val="16"/>
        </w:rPr>
        <w:t> </w:t>
      </w:r>
      <w:r>
        <w:rPr>
          <w:sz w:val="16"/>
        </w:rPr>
        <w:t>nivel,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se</w:t>
      </w:r>
      <w:r>
        <w:rPr>
          <w:spacing w:val="-1"/>
          <w:sz w:val="16"/>
        </w:rPr>
        <w:t> </w:t>
      </w:r>
      <w:r>
        <w:rPr>
          <w:sz w:val="16"/>
        </w:rPr>
        <w:t>calcula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forma</w:t>
      </w:r>
      <w:r>
        <w:rPr>
          <w:spacing w:val="-1"/>
          <w:sz w:val="16"/>
        </w:rPr>
        <w:t> </w:t>
      </w:r>
      <w:r>
        <w:rPr>
          <w:sz w:val="16"/>
        </w:rPr>
        <w:t>anual</w:t>
      </w:r>
      <w:r>
        <w:rPr>
          <w:spacing w:val="-1"/>
          <w:sz w:val="16"/>
        </w:rPr>
        <w:t> </w:t>
      </w:r>
      <w:r>
        <w:rPr>
          <w:sz w:val="16"/>
        </w:rPr>
        <w:t>dividido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población</w:t>
      </w:r>
      <w:r>
        <w:rPr>
          <w:color w:val="2D74B5"/>
          <w:sz w:val="16"/>
        </w:rPr>
        <w:t>2</w:t>
      </w:r>
      <w:r>
        <w:rPr>
          <w:sz w:val="16"/>
        </w:rPr>
        <w:t>.</w:t>
      </w:r>
    </w:p>
    <w:p>
      <w:pPr>
        <w:spacing w:line="195" w:lineRule="exact" w:before="0"/>
        <w:ind w:left="278" w:right="0" w:firstLine="0"/>
        <w:jc w:val="left"/>
        <w:rPr>
          <w:sz w:val="16"/>
        </w:rPr>
      </w:pPr>
      <w:r>
        <w:rPr>
          <w:sz w:val="16"/>
        </w:rPr>
        <w:t>Fórmula</w:t>
      </w:r>
      <w:r>
        <w:rPr>
          <w:spacing w:val="-4"/>
          <w:sz w:val="16"/>
        </w:rPr>
        <w:t> </w:t>
      </w:r>
      <w:r>
        <w:rPr>
          <w:sz w:val="16"/>
        </w:rPr>
        <w:t>=</w:t>
      </w:r>
      <w:r>
        <w:rPr>
          <w:spacing w:val="-3"/>
          <w:sz w:val="16"/>
        </w:rPr>
        <w:t> </w:t>
      </w:r>
      <w:r>
        <w:rPr>
          <w:sz w:val="16"/>
        </w:rPr>
        <w:t>Inscritos</w:t>
      </w:r>
      <w:r>
        <w:rPr>
          <w:spacing w:val="-3"/>
          <w:sz w:val="16"/>
        </w:rPr>
        <w:t> </w:t>
      </w:r>
      <w:r>
        <w:rPr>
          <w:sz w:val="16"/>
        </w:rPr>
        <w:t>sin</w:t>
      </w:r>
      <w:r>
        <w:rPr>
          <w:spacing w:val="-3"/>
          <w:sz w:val="16"/>
        </w:rPr>
        <w:t> </w:t>
      </w:r>
      <w:r>
        <w:rPr>
          <w:sz w:val="16"/>
        </w:rPr>
        <w:t>importar</w:t>
      </w:r>
      <w:r>
        <w:rPr>
          <w:spacing w:val="-4"/>
          <w:sz w:val="16"/>
        </w:rPr>
        <w:t> </w:t>
      </w:r>
      <w:r>
        <w:rPr>
          <w:sz w:val="16"/>
        </w:rPr>
        <w:t>edad/</w:t>
      </w:r>
      <w:r>
        <w:rPr>
          <w:spacing w:val="-2"/>
          <w:sz w:val="16"/>
        </w:rPr>
        <w:t> </w:t>
      </w:r>
      <w:r>
        <w:rPr>
          <w:sz w:val="16"/>
        </w:rPr>
        <w:t>Sobre</w:t>
      </w:r>
      <w:r>
        <w:rPr>
          <w:spacing w:val="-3"/>
          <w:sz w:val="16"/>
        </w:rPr>
        <w:t> </w:t>
      </w:r>
      <w:r>
        <w:rPr>
          <w:sz w:val="16"/>
        </w:rPr>
        <w:t>población.</w:t>
      </w:r>
    </w:p>
    <w:p>
      <w:pPr>
        <w:pStyle w:val="ListParagraph"/>
        <w:numPr>
          <w:ilvl w:val="0"/>
          <w:numId w:val="6"/>
        </w:numPr>
        <w:tabs>
          <w:tab w:pos="387" w:val="left" w:leader="none"/>
        </w:tabs>
        <w:spacing w:line="240" w:lineRule="auto" w:before="0" w:after="0"/>
        <w:ind w:left="278" w:right="1076" w:firstLine="0"/>
        <w:jc w:val="left"/>
        <w:rPr>
          <w:color w:val="2D74B5"/>
          <w:sz w:val="16"/>
        </w:rPr>
      </w:pPr>
      <w:r>
        <w:rPr>
          <w:spacing w:val="-1"/>
          <w:sz w:val="16"/>
        </w:rPr>
        <w:t>El</w:t>
      </w:r>
      <w:r>
        <w:rPr>
          <w:spacing w:val="-11"/>
          <w:sz w:val="16"/>
        </w:rPr>
        <w:t> </w:t>
      </w:r>
      <w:r>
        <w:rPr>
          <w:spacing w:val="-1"/>
          <w:sz w:val="16"/>
        </w:rPr>
        <w:t>coeficiente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de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variabilidad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es</w:t>
      </w:r>
      <w:r>
        <w:rPr>
          <w:spacing w:val="-11"/>
          <w:sz w:val="16"/>
        </w:rPr>
        <w:t> </w:t>
      </w:r>
      <w:r>
        <w:rPr>
          <w:spacing w:val="-1"/>
          <w:sz w:val="16"/>
        </w:rPr>
        <w:t>un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indicador</w:t>
      </w:r>
      <w:r>
        <w:rPr>
          <w:spacing w:val="-9"/>
          <w:sz w:val="16"/>
        </w:rPr>
        <w:t> </w:t>
      </w:r>
      <w:r>
        <w:rPr>
          <w:sz w:val="16"/>
        </w:rPr>
        <w:t>estadístico</w:t>
      </w:r>
      <w:r>
        <w:rPr>
          <w:spacing w:val="-9"/>
          <w:sz w:val="16"/>
        </w:rPr>
        <w:t> </w:t>
      </w:r>
      <w:r>
        <w:rPr>
          <w:sz w:val="16"/>
        </w:rPr>
        <w:t>sobre</w:t>
      </w:r>
      <w:r>
        <w:rPr>
          <w:spacing w:val="-10"/>
          <w:sz w:val="16"/>
        </w:rPr>
        <w:t> </w:t>
      </w:r>
      <w:r>
        <w:rPr>
          <w:sz w:val="16"/>
        </w:rPr>
        <w:t>la</w:t>
      </w:r>
      <w:r>
        <w:rPr>
          <w:spacing w:val="-8"/>
          <w:sz w:val="16"/>
        </w:rPr>
        <w:t> </w:t>
      </w:r>
      <w:r>
        <w:rPr>
          <w:sz w:val="16"/>
        </w:rPr>
        <w:t>dispersión</w:t>
      </w:r>
      <w:r>
        <w:rPr>
          <w:spacing w:val="-8"/>
          <w:sz w:val="16"/>
        </w:rPr>
        <w:t> </w:t>
      </w:r>
      <w:r>
        <w:rPr>
          <w:sz w:val="16"/>
        </w:rPr>
        <w:t>y</w:t>
      </w:r>
      <w:r>
        <w:rPr>
          <w:spacing w:val="-9"/>
          <w:sz w:val="16"/>
        </w:rPr>
        <w:t> </w:t>
      </w:r>
      <w:r>
        <w:rPr>
          <w:sz w:val="16"/>
        </w:rPr>
        <w:t>resulta</w:t>
      </w:r>
      <w:r>
        <w:rPr>
          <w:spacing w:val="-8"/>
          <w:sz w:val="16"/>
        </w:rPr>
        <w:t> </w:t>
      </w:r>
      <w:r>
        <w:rPr>
          <w:sz w:val="16"/>
        </w:rPr>
        <w:t>de</w:t>
      </w:r>
      <w:r>
        <w:rPr>
          <w:spacing w:val="-8"/>
          <w:sz w:val="16"/>
        </w:rPr>
        <w:t> </w:t>
      </w:r>
      <w:r>
        <w:rPr>
          <w:sz w:val="16"/>
        </w:rPr>
        <w:t>dividir</w:t>
      </w:r>
      <w:r>
        <w:rPr>
          <w:spacing w:val="-9"/>
          <w:sz w:val="16"/>
        </w:rPr>
        <w:t> </w:t>
      </w:r>
      <w:r>
        <w:rPr>
          <w:sz w:val="16"/>
        </w:rPr>
        <w:t>la</w:t>
      </w:r>
      <w:r>
        <w:rPr>
          <w:spacing w:val="-10"/>
          <w:sz w:val="16"/>
        </w:rPr>
        <w:t> </w:t>
      </w:r>
      <w:r>
        <w:rPr>
          <w:sz w:val="16"/>
        </w:rPr>
        <w:t>variación</w:t>
      </w:r>
      <w:r>
        <w:rPr>
          <w:spacing w:val="-10"/>
          <w:sz w:val="16"/>
        </w:rPr>
        <w:t> </w:t>
      </w:r>
      <w:r>
        <w:rPr>
          <w:sz w:val="16"/>
        </w:rPr>
        <w:t>estándar</w:t>
      </w:r>
      <w:r>
        <w:rPr>
          <w:spacing w:val="-11"/>
          <w:sz w:val="16"/>
        </w:rPr>
        <w:t> </w:t>
      </w:r>
      <w:r>
        <w:rPr>
          <w:sz w:val="16"/>
        </w:rPr>
        <w:t>entre</w:t>
      </w:r>
      <w:r>
        <w:rPr>
          <w:spacing w:val="-10"/>
          <w:sz w:val="16"/>
        </w:rPr>
        <w:t> </w:t>
      </w:r>
      <w:r>
        <w:rPr>
          <w:sz w:val="16"/>
        </w:rPr>
        <w:t>el</w:t>
      </w:r>
      <w:r>
        <w:rPr>
          <w:spacing w:val="-11"/>
          <w:sz w:val="16"/>
        </w:rPr>
        <w:t> </w:t>
      </w:r>
      <w:r>
        <w:rPr>
          <w:sz w:val="16"/>
        </w:rPr>
        <w:t>promedio,</w:t>
      </w:r>
      <w:r>
        <w:rPr>
          <w:spacing w:val="-10"/>
          <w:sz w:val="16"/>
        </w:rPr>
        <w:t> </w:t>
      </w:r>
      <w:r>
        <w:rPr>
          <w:sz w:val="16"/>
        </w:rPr>
        <w:t>expresado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-2"/>
          <w:sz w:val="16"/>
        </w:rPr>
        <w:t> </w:t>
      </w:r>
      <w:r>
        <w:rPr>
          <w:sz w:val="16"/>
        </w:rPr>
        <w:t>porcentaje. La</w:t>
      </w:r>
      <w:r>
        <w:rPr>
          <w:spacing w:val="-1"/>
          <w:sz w:val="16"/>
        </w:rPr>
        <w:t> </w:t>
      </w:r>
      <w:r>
        <w:rPr>
          <w:sz w:val="16"/>
        </w:rPr>
        <w:t>magnitud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variabilidad</w:t>
      </w:r>
      <w:r>
        <w:rPr>
          <w:spacing w:val="-1"/>
          <w:sz w:val="16"/>
        </w:rPr>
        <w:t> </w:t>
      </w:r>
      <w:r>
        <w:rPr>
          <w:sz w:val="16"/>
        </w:rPr>
        <w:t>se asocia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un</w:t>
      </w:r>
      <w:r>
        <w:rPr>
          <w:spacing w:val="-1"/>
          <w:sz w:val="16"/>
        </w:rPr>
        <w:t> </w:t>
      </w:r>
      <w:r>
        <w:rPr>
          <w:sz w:val="16"/>
        </w:rPr>
        <w:t>mayor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menor</w:t>
      </w:r>
      <w:r>
        <w:rPr>
          <w:spacing w:val="-2"/>
          <w:sz w:val="16"/>
        </w:rPr>
        <w:t> </w:t>
      </w:r>
      <w:r>
        <w:rPr>
          <w:sz w:val="16"/>
        </w:rPr>
        <w:t>valor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mismo.</w:t>
      </w:r>
    </w:p>
    <w:p>
      <w:pPr>
        <w:pStyle w:val="BodyText"/>
      </w:pPr>
    </w:p>
    <w:p>
      <w:pPr>
        <w:pStyle w:val="Heading1"/>
        <w:spacing w:line="240" w:lineRule="auto" w:before="1" w:after="0"/>
        <w:ind w:right="211"/>
      </w:pPr>
      <w:r>
        <w:rPr/>
        <w:t>73</w:t>
      </w:r>
    </w:p>
    <w:p>
      <w:pPr>
        <w:spacing w:after="0" w:line="240" w:lineRule="auto"/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46425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18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spacing w:before="52"/>
        <w:ind w:left="278" w:right="1073" w:firstLine="0"/>
        <w:jc w:val="both"/>
        <w:rPr>
          <w:sz w:val="24"/>
        </w:rPr>
      </w:pPr>
      <w:r>
        <w:rPr>
          <w:sz w:val="24"/>
        </w:rPr>
        <w:t>Un segundo indicador es la tasa neta, en la tabla uno del Anexo: SEN - Datos sobre cobertura</w:t>
      </w:r>
      <w:r>
        <w:rPr>
          <w:spacing w:val="1"/>
          <w:sz w:val="24"/>
        </w:rPr>
        <w:t> </w:t>
      </w:r>
      <w:r>
        <w:rPr>
          <w:sz w:val="24"/>
        </w:rPr>
        <w:t>también se</w:t>
      </w:r>
      <w:r>
        <w:rPr>
          <w:spacing w:val="-2"/>
          <w:sz w:val="24"/>
        </w:rPr>
        <w:t> </w:t>
      </w:r>
      <w:r>
        <w:rPr>
          <w:sz w:val="24"/>
        </w:rPr>
        <w:t>detallan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resultados a</w:t>
      </w:r>
      <w:r>
        <w:rPr>
          <w:spacing w:val="-2"/>
          <w:sz w:val="24"/>
        </w:rPr>
        <w:t> </w:t>
      </w:r>
      <w:r>
        <w:rPr>
          <w:sz w:val="24"/>
        </w:rPr>
        <w:t>nivel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departamento.</w:t>
      </w:r>
    </w:p>
    <w:p>
      <w:pPr>
        <w:pStyle w:val="BodyText"/>
        <w:spacing w:before="11"/>
        <w:rPr>
          <w:sz w:val="23"/>
        </w:rPr>
      </w:pPr>
    </w:p>
    <w:p>
      <w:pPr>
        <w:spacing w:before="1"/>
        <w:ind w:left="278" w:right="0" w:firstLine="0"/>
        <w:jc w:val="both"/>
        <w:rPr>
          <w:sz w:val="24"/>
        </w:rPr>
      </w:pPr>
      <w:r>
        <w:rPr>
          <w:sz w:val="24"/>
        </w:rPr>
        <w:t>En los</w:t>
      </w:r>
      <w:r>
        <w:rPr>
          <w:spacing w:val="-4"/>
          <w:sz w:val="24"/>
        </w:rPr>
        <w:t> </w:t>
      </w:r>
      <w:r>
        <w:rPr>
          <w:sz w:val="24"/>
        </w:rPr>
        <w:t>mapas</w:t>
      </w:r>
      <w:r>
        <w:rPr>
          <w:spacing w:val="-4"/>
          <w:sz w:val="24"/>
        </w:rPr>
        <w:t> </w:t>
      </w:r>
      <w:r>
        <w:rPr>
          <w:sz w:val="24"/>
        </w:rPr>
        <w:t>siguientes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ejemplifican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datos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tasa</w:t>
      </w:r>
      <w:r>
        <w:rPr>
          <w:spacing w:val="-4"/>
          <w:sz w:val="24"/>
        </w:rPr>
        <w:t> </w:t>
      </w:r>
      <w:r>
        <w:rPr>
          <w:sz w:val="24"/>
        </w:rPr>
        <w:t>de cobertura</w:t>
      </w:r>
      <w:r>
        <w:rPr>
          <w:spacing w:val="-4"/>
          <w:sz w:val="24"/>
        </w:rPr>
        <w:t> </w:t>
      </w:r>
      <w:r>
        <w:rPr>
          <w:sz w:val="24"/>
        </w:rPr>
        <w:t>neta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año</w:t>
      </w:r>
      <w:r>
        <w:rPr>
          <w:spacing w:val="-4"/>
          <w:sz w:val="24"/>
        </w:rPr>
        <w:t> </w:t>
      </w:r>
      <w:r>
        <w:rPr>
          <w:sz w:val="24"/>
        </w:rPr>
        <w:t>2019.</w:t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278" w:right="0" w:firstLine="0"/>
        <w:jc w:val="both"/>
        <w:rPr>
          <w:sz w:val="20"/>
        </w:rPr>
      </w:pPr>
      <w:r>
        <w:rPr>
          <w:b/>
          <w:sz w:val="20"/>
        </w:rPr>
        <w:t>Ilustración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1:</w:t>
      </w:r>
      <w:r>
        <w:rPr>
          <w:b/>
          <w:spacing w:val="-1"/>
          <w:sz w:val="20"/>
        </w:rPr>
        <w:t> </w:t>
      </w:r>
      <w:r>
        <w:rPr>
          <w:sz w:val="20"/>
        </w:rPr>
        <w:t>Mapas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departamento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tasa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cobertura</w:t>
      </w:r>
      <w:r>
        <w:rPr>
          <w:spacing w:val="-2"/>
          <w:sz w:val="20"/>
        </w:rPr>
        <w:t> </w:t>
      </w:r>
      <w:r>
        <w:rPr>
          <w:sz w:val="20"/>
        </w:rPr>
        <w:t>neta.</w:t>
      </w:r>
      <w:r>
        <w:rPr>
          <w:spacing w:val="41"/>
          <w:sz w:val="20"/>
        </w:rPr>
        <w:t> </w:t>
      </w:r>
      <w:r>
        <w:rPr>
          <w:sz w:val="20"/>
        </w:rPr>
        <w:t>2019.</w:t>
      </w:r>
      <w:r>
        <w:rPr>
          <w:spacing w:val="-3"/>
          <w:sz w:val="20"/>
        </w:rPr>
        <w:t> </w:t>
      </w:r>
      <w:r>
        <w:rPr>
          <w:sz w:val="20"/>
        </w:rPr>
        <w:t>Niveles</w:t>
      </w:r>
      <w:r>
        <w:rPr>
          <w:spacing w:val="-1"/>
          <w:sz w:val="20"/>
        </w:rPr>
        <w:t> </w:t>
      </w:r>
      <w:r>
        <w:rPr>
          <w:sz w:val="20"/>
        </w:rPr>
        <w:t>seleccionados.</w:t>
      </w:r>
    </w:p>
    <w:p>
      <w:pPr>
        <w:pStyle w:val="BodyText"/>
        <w:spacing w:before="1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92">
            <wp:simplePos x="0" y="0"/>
            <wp:positionH relativeFrom="page">
              <wp:posOffset>979055</wp:posOffset>
            </wp:positionH>
            <wp:positionV relativeFrom="paragraph">
              <wp:posOffset>117212</wp:posOffset>
            </wp:positionV>
            <wp:extent cx="2619634" cy="2396013"/>
            <wp:effectExtent l="0" t="0" r="0" b="0"/>
            <wp:wrapTopAndBottom/>
            <wp:docPr id="19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634" cy="2396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3">
            <wp:simplePos x="0" y="0"/>
            <wp:positionH relativeFrom="page">
              <wp:posOffset>4070730</wp:posOffset>
            </wp:positionH>
            <wp:positionV relativeFrom="paragraph">
              <wp:posOffset>182490</wp:posOffset>
            </wp:positionV>
            <wp:extent cx="2708339" cy="2396013"/>
            <wp:effectExtent l="0" t="0" r="0" b="0"/>
            <wp:wrapTopAndBottom/>
            <wp:docPr id="193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339" cy="2396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94">
            <wp:simplePos x="0" y="0"/>
            <wp:positionH relativeFrom="page">
              <wp:posOffset>795019</wp:posOffset>
            </wp:positionH>
            <wp:positionV relativeFrom="paragraph">
              <wp:posOffset>116464</wp:posOffset>
            </wp:positionV>
            <wp:extent cx="2802353" cy="2396013"/>
            <wp:effectExtent l="0" t="0" r="0" b="0"/>
            <wp:wrapTopAndBottom/>
            <wp:docPr id="195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353" cy="2396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5">
            <wp:simplePos x="0" y="0"/>
            <wp:positionH relativeFrom="page">
              <wp:posOffset>4070730</wp:posOffset>
            </wp:positionH>
            <wp:positionV relativeFrom="paragraph">
              <wp:posOffset>116464</wp:posOffset>
            </wp:positionV>
            <wp:extent cx="2773959" cy="2396013"/>
            <wp:effectExtent l="0" t="0" r="0" b="0"/>
            <wp:wrapTopAndBottom/>
            <wp:docPr id="19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959" cy="2396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78" w:right="0" w:firstLine="0"/>
        <w:jc w:val="both"/>
        <w:rPr>
          <w:sz w:val="18"/>
        </w:rPr>
      </w:pPr>
      <w:r>
        <w:rPr>
          <w:sz w:val="18"/>
        </w:rPr>
        <w:t>Fuente:</w:t>
      </w:r>
      <w:r>
        <w:rPr>
          <w:spacing w:val="37"/>
          <w:sz w:val="18"/>
        </w:rPr>
        <w:t> </w:t>
      </w:r>
      <w:r>
        <w:rPr>
          <w:sz w:val="18"/>
        </w:rPr>
        <w:t>Elaboración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2"/>
          <w:sz w:val="18"/>
        </w:rPr>
        <w:t> </w:t>
      </w:r>
      <w:r>
        <w:rPr>
          <w:sz w:val="18"/>
        </w:rPr>
        <w:t>a partir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datos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2"/>
          <w:sz w:val="18"/>
        </w:rPr>
        <w:t> </w:t>
      </w:r>
      <w:r>
        <w:rPr>
          <w:sz w:val="18"/>
        </w:rPr>
        <w:t>Anexo:</w:t>
      </w:r>
      <w:r>
        <w:rPr>
          <w:spacing w:val="-2"/>
          <w:sz w:val="18"/>
        </w:rPr>
        <w:t> </w:t>
      </w:r>
      <w:r>
        <w:rPr>
          <w:sz w:val="18"/>
        </w:rPr>
        <w:t>SEN</w:t>
      </w:r>
      <w:r>
        <w:rPr>
          <w:spacing w:val="-3"/>
          <w:sz w:val="18"/>
        </w:rPr>
        <w:t> </w:t>
      </w:r>
      <w:r>
        <w:rPr>
          <w:sz w:val="18"/>
        </w:rPr>
        <w:t>-</w:t>
      </w:r>
      <w:r>
        <w:rPr>
          <w:spacing w:val="-1"/>
          <w:sz w:val="18"/>
        </w:rPr>
        <w:t> </w:t>
      </w:r>
      <w:r>
        <w:rPr>
          <w:sz w:val="18"/>
        </w:rPr>
        <w:t>Datos</w:t>
      </w:r>
      <w:r>
        <w:rPr>
          <w:spacing w:val="-3"/>
          <w:sz w:val="18"/>
        </w:rPr>
        <w:t> </w:t>
      </w:r>
      <w:r>
        <w:rPr>
          <w:sz w:val="18"/>
        </w:rPr>
        <w:t>sobre</w:t>
      </w:r>
      <w:r>
        <w:rPr>
          <w:spacing w:val="-3"/>
          <w:sz w:val="18"/>
        </w:rPr>
        <w:t> </w:t>
      </w:r>
      <w:r>
        <w:rPr>
          <w:sz w:val="18"/>
        </w:rPr>
        <w:t>cobertura,</w:t>
      </w:r>
      <w:r>
        <w:rPr>
          <w:spacing w:val="-2"/>
          <w:sz w:val="18"/>
        </w:rPr>
        <w:t> </w:t>
      </w:r>
      <w:r>
        <w:rPr>
          <w:sz w:val="18"/>
        </w:rPr>
        <w:t>tabla</w:t>
      </w:r>
      <w:r>
        <w:rPr>
          <w:spacing w:val="-2"/>
          <w:sz w:val="18"/>
        </w:rPr>
        <w:t> </w:t>
      </w:r>
      <w:r>
        <w:rPr>
          <w:sz w:val="18"/>
        </w:rPr>
        <w:t>1.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278" w:right="1072" w:firstLine="0"/>
        <w:jc w:val="both"/>
        <w:rPr>
          <w:sz w:val="24"/>
        </w:rPr>
      </w:pPr>
      <w:r>
        <w:rPr>
          <w:sz w:val="24"/>
        </w:rPr>
        <w:t>Puede apreciarse que las tasas máximas son altas, color morado más fuerte, en los Niveles de</w:t>
      </w:r>
      <w:r>
        <w:rPr>
          <w:spacing w:val="1"/>
          <w:sz w:val="24"/>
        </w:rPr>
        <w:t> </w:t>
      </w:r>
      <w:r>
        <w:rPr>
          <w:sz w:val="24"/>
        </w:rPr>
        <w:t>preprimaria y primaria, y concentradas en departamentos como El Progreso, Izabal, Jutiapa,</w:t>
      </w:r>
      <w:r>
        <w:rPr>
          <w:spacing w:val="1"/>
          <w:sz w:val="24"/>
        </w:rPr>
        <w:t> </w:t>
      </w:r>
      <w:r>
        <w:rPr>
          <w:sz w:val="24"/>
        </w:rPr>
        <w:t>Escuintla y Petén. Mientras en el nivel medio los valores se concentran en el departamento de</w:t>
      </w:r>
      <w:r>
        <w:rPr>
          <w:spacing w:val="1"/>
          <w:sz w:val="24"/>
        </w:rPr>
        <w:t> </w:t>
      </w:r>
      <w:r>
        <w:rPr>
          <w:sz w:val="24"/>
        </w:rPr>
        <w:t>Guatemala.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  <w:r>
        <w:rPr/>
        <w:pict>
          <v:rect style="position:absolute;margin-left:563.880005pt;margin-top:10.445748pt;width:25.44pt;height:1.4399pt;mso-position-horizontal-relative:page;mso-position-vertical-relative:paragraph;z-index:-1557708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ind w:right="211"/>
      </w:pPr>
      <w:r>
        <w:rPr/>
        <w:t>74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467840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19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spacing w:before="52"/>
        <w:ind w:left="278" w:right="0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continuación,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puede</w:t>
      </w:r>
      <w:r>
        <w:rPr>
          <w:spacing w:val="-1"/>
          <w:sz w:val="24"/>
        </w:rPr>
        <w:t> </w:t>
      </w:r>
      <w:r>
        <w:rPr>
          <w:sz w:val="24"/>
        </w:rPr>
        <w:t>ver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distribución</w:t>
      </w:r>
      <w:r>
        <w:rPr>
          <w:spacing w:val="-2"/>
          <w:sz w:val="24"/>
        </w:rPr>
        <w:t> </w:t>
      </w:r>
      <w:r>
        <w:rPr>
          <w:sz w:val="24"/>
        </w:rPr>
        <w:t>con los</w:t>
      </w:r>
      <w:r>
        <w:rPr>
          <w:spacing w:val="-1"/>
          <w:sz w:val="24"/>
        </w:rPr>
        <w:t> </w:t>
      </w:r>
      <w:r>
        <w:rPr>
          <w:sz w:val="24"/>
        </w:rPr>
        <w:t>datos</w:t>
      </w:r>
      <w:r>
        <w:rPr>
          <w:spacing w:val="-4"/>
          <w:sz w:val="24"/>
        </w:rPr>
        <w:t> </w:t>
      </w:r>
      <w:r>
        <w:rPr>
          <w:sz w:val="24"/>
        </w:rPr>
        <w:t>disponibles</w:t>
      </w:r>
      <w:r>
        <w:rPr>
          <w:spacing w:val="-4"/>
          <w:sz w:val="24"/>
        </w:rPr>
        <w:t> </w:t>
      </w:r>
      <w:r>
        <w:rPr>
          <w:sz w:val="24"/>
        </w:rPr>
        <w:t>hasta</w:t>
      </w:r>
      <w:r>
        <w:rPr>
          <w:spacing w:val="-2"/>
          <w:sz w:val="24"/>
        </w:rPr>
        <w:t> </w:t>
      </w:r>
      <w:r>
        <w:rPr>
          <w:sz w:val="24"/>
        </w:rPr>
        <w:t>junio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2021.</w:t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278" w:right="0" w:firstLine="0"/>
        <w:jc w:val="left"/>
        <w:rPr>
          <w:sz w:val="20"/>
        </w:rPr>
      </w:pPr>
      <w:r>
        <w:rPr>
          <w:b/>
          <w:sz w:val="20"/>
        </w:rPr>
        <w:t>Ilustración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2:</w:t>
      </w:r>
      <w:r>
        <w:rPr>
          <w:b/>
          <w:spacing w:val="-1"/>
          <w:sz w:val="20"/>
        </w:rPr>
        <w:t> </w:t>
      </w:r>
      <w:r>
        <w:rPr>
          <w:sz w:val="20"/>
        </w:rPr>
        <w:t>Mapas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departamento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tasa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cobertura</w:t>
      </w:r>
      <w:r>
        <w:rPr>
          <w:spacing w:val="-2"/>
          <w:sz w:val="20"/>
        </w:rPr>
        <w:t> </w:t>
      </w:r>
      <w:r>
        <w:rPr>
          <w:sz w:val="20"/>
        </w:rPr>
        <w:t>neta</w:t>
      </w:r>
      <w:r>
        <w:rPr>
          <w:spacing w:val="-2"/>
          <w:sz w:val="20"/>
        </w:rPr>
        <w:t> </w:t>
      </w:r>
      <w:r>
        <w:rPr>
          <w:sz w:val="20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99">
            <wp:simplePos x="0" y="0"/>
            <wp:positionH relativeFrom="page">
              <wp:posOffset>900430</wp:posOffset>
            </wp:positionH>
            <wp:positionV relativeFrom="paragraph">
              <wp:posOffset>169891</wp:posOffset>
            </wp:positionV>
            <wp:extent cx="2519975" cy="2674620"/>
            <wp:effectExtent l="0" t="0" r="0" b="0"/>
            <wp:wrapTopAndBottom/>
            <wp:docPr id="20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7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0">
            <wp:simplePos x="0" y="0"/>
            <wp:positionH relativeFrom="page">
              <wp:posOffset>4094734</wp:posOffset>
            </wp:positionH>
            <wp:positionV relativeFrom="paragraph">
              <wp:posOffset>169891</wp:posOffset>
            </wp:positionV>
            <wp:extent cx="2480922" cy="2563177"/>
            <wp:effectExtent l="0" t="0" r="0" b="0"/>
            <wp:wrapTopAndBottom/>
            <wp:docPr id="20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922" cy="2563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01">
            <wp:simplePos x="0" y="0"/>
            <wp:positionH relativeFrom="page">
              <wp:posOffset>900430</wp:posOffset>
            </wp:positionH>
            <wp:positionV relativeFrom="paragraph">
              <wp:posOffset>177202</wp:posOffset>
            </wp:positionV>
            <wp:extent cx="2611856" cy="2618898"/>
            <wp:effectExtent l="0" t="0" r="0" b="0"/>
            <wp:wrapTopAndBottom/>
            <wp:docPr id="20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856" cy="2618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2">
            <wp:simplePos x="0" y="0"/>
            <wp:positionH relativeFrom="page">
              <wp:posOffset>4142232</wp:posOffset>
            </wp:positionH>
            <wp:positionV relativeFrom="paragraph">
              <wp:posOffset>281596</wp:posOffset>
            </wp:positionV>
            <wp:extent cx="2589246" cy="2507456"/>
            <wp:effectExtent l="0" t="0" r="0" b="0"/>
            <wp:wrapTopAndBottom/>
            <wp:docPr id="20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246" cy="2507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6"/>
        </w:rPr>
      </w:pPr>
    </w:p>
    <w:p>
      <w:pPr>
        <w:spacing w:line="195" w:lineRule="exact" w:before="1"/>
        <w:ind w:left="278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31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Anexo:</w:t>
      </w:r>
      <w:r>
        <w:rPr>
          <w:spacing w:val="-2"/>
          <w:sz w:val="16"/>
        </w:rPr>
        <w:t> </w:t>
      </w:r>
      <w:r>
        <w:rPr>
          <w:sz w:val="16"/>
        </w:rPr>
        <w:t>SEN</w:t>
      </w:r>
      <w:r>
        <w:rPr>
          <w:spacing w:val="-2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sobre</w:t>
      </w:r>
      <w:r>
        <w:rPr>
          <w:spacing w:val="-2"/>
          <w:sz w:val="16"/>
        </w:rPr>
        <w:t> </w:t>
      </w:r>
      <w:r>
        <w:rPr>
          <w:sz w:val="16"/>
        </w:rPr>
        <w:t>cobertura,</w:t>
      </w:r>
      <w:r>
        <w:rPr>
          <w:spacing w:val="-2"/>
          <w:sz w:val="16"/>
        </w:rPr>
        <w:t> </w:t>
      </w:r>
      <w:r>
        <w:rPr>
          <w:sz w:val="16"/>
        </w:rPr>
        <w:t>tabla</w:t>
      </w:r>
      <w:r>
        <w:rPr>
          <w:spacing w:val="-3"/>
          <w:sz w:val="16"/>
        </w:rPr>
        <w:t> </w:t>
      </w:r>
      <w:r>
        <w:rPr>
          <w:sz w:val="16"/>
        </w:rPr>
        <w:t>1.</w:t>
      </w:r>
    </w:p>
    <w:p>
      <w:pPr>
        <w:pStyle w:val="BodyText"/>
        <w:ind w:left="278" w:right="1061"/>
      </w:pPr>
      <w:r>
        <w:rPr/>
        <w:t>Los</w:t>
      </w:r>
      <w:r>
        <w:rPr>
          <w:spacing w:val="-8"/>
        </w:rPr>
        <w:t> </w:t>
      </w:r>
      <w:r>
        <w:rPr/>
        <w:t>datos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Anexo:</w:t>
      </w:r>
      <w:r>
        <w:rPr>
          <w:spacing w:val="-6"/>
        </w:rPr>
        <w:t> </w:t>
      </w:r>
      <w:r>
        <w:rPr/>
        <w:t>SEN</w:t>
      </w:r>
      <w:r>
        <w:rPr>
          <w:spacing w:val="-7"/>
        </w:rPr>
        <w:t> </w:t>
      </w:r>
      <w:r>
        <w:rPr/>
        <w:t>-</w:t>
      </w:r>
      <w:r>
        <w:rPr>
          <w:spacing w:val="-11"/>
        </w:rPr>
        <w:t> </w:t>
      </w:r>
      <w:r>
        <w:rPr/>
        <w:t>Datos</w:t>
      </w:r>
      <w:r>
        <w:rPr>
          <w:spacing w:val="-7"/>
        </w:rPr>
        <w:t> </w:t>
      </w:r>
      <w:r>
        <w:rPr/>
        <w:t>sobre</w:t>
      </w:r>
      <w:r>
        <w:rPr>
          <w:spacing w:val="-5"/>
        </w:rPr>
        <w:t> </w:t>
      </w:r>
      <w:r>
        <w:rPr/>
        <w:t>cobertura</w:t>
      </w:r>
      <w:r>
        <w:rPr>
          <w:spacing w:val="-6"/>
        </w:rPr>
        <w:t> </w:t>
      </w:r>
      <w:r>
        <w:rPr/>
        <w:t>presentan</w:t>
      </w:r>
      <w:r>
        <w:rPr>
          <w:spacing w:val="-6"/>
        </w:rPr>
        <w:t> </w:t>
      </w:r>
      <w:r>
        <w:rPr/>
        <w:t>también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datos</w:t>
      </w:r>
      <w:r>
        <w:rPr>
          <w:spacing w:val="-8"/>
        </w:rPr>
        <w:t> </w:t>
      </w:r>
      <w:r>
        <w:rPr/>
        <w:t>para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tasa</w:t>
      </w:r>
      <w:r>
        <w:rPr>
          <w:spacing w:val="-8"/>
        </w:rPr>
        <w:t> </w:t>
      </w:r>
      <w:r>
        <w:rPr/>
        <w:t>neta,</w:t>
      </w:r>
      <w:r>
        <w:rPr>
          <w:spacing w:val="-5"/>
        </w:rPr>
        <w:t> </w:t>
      </w:r>
      <w:r>
        <w:rPr/>
        <w:t>los</w:t>
      </w:r>
      <w:r>
        <w:rPr>
          <w:spacing w:val="-8"/>
        </w:rPr>
        <w:t> </w:t>
      </w:r>
      <w:r>
        <w:rPr/>
        <w:t>cuales</w:t>
      </w:r>
      <w:r>
        <w:rPr>
          <w:spacing w:val="-46"/>
        </w:rPr>
        <w:t> </w:t>
      </w:r>
      <w:r>
        <w:rPr/>
        <w:t>en</w:t>
      </w:r>
      <w:r>
        <w:rPr>
          <w:spacing w:val="-1"/>
        </w:rPr>
        <w:t> </w:t>
      </w:r>
      <w:r>
        <w:rPr/>
        <w:t>términos del departamento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muestran</w:t>
      </w:r>
      <w:r>
        <w:rPr>
          <w:spacing w:val="-4"/>
        </w:rPr>
        <w:t> </w:t>
      </w:r>
      <w:r>
        <w:rPr/>
        <w:t>a continuación.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rect style="position:absolute;margin-left:563.880005pt;margin-top:9.082765pt;width:25.44pt;height:1.4399pt;mso-position-horizontal-relative:page;mso-position-vertical-relative:paragraph;z-index:-1557350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ind w:right="211"/>
      </w:pPr>
      <w:r>
        <w:rPr/>
        <w:t>75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471424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20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spacing w:before="59"/>
        <w:ind w:left="278" w:right="0" w:firstLine="0"/>
        <w:jc w:val="left"/>
        <w:rPr>
          <w:sz w:val="20"/>
        </w:rPr>
      </w:pPr>
      <w:r>
        <w:rPr>
          <w:b/>
          <w:sz w:val="20"/>
        </w:rPr>
        <w:t>Ilustración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3:</w:t>
      </w:r>
      <w:r>
        <w:rPr>
          <w:b/>
          <w:spacing w:val="-1"/>
          <w:sz w:val="20"/>
        </w:rPr>
        <w:t> </w:t>
      </w:r>
      <w:r>
        <w:rPr>
          <w:sz w:val="20"/>
        </w:rPr>
        <w:t>Mapas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departamento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tasa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cobertura</w:t>
      </w:r>
      <w:r>
        <w:rPr>
          <w:spacing w:val="-2"/>
          <w:sz w:val="20"/>
        </w:rPr>
        <w:t> </w:t>
      </w:r>
      <w:r>
        <w:rPr>
          <w:sz w:val="20"/>
        </w:rPr>
        <w:t>neta</w:t>
      </w:r>
      <w:r>
        <w:rPr>
          <w:spacing w:val="-2"/>
          <w:sz w:val="20"/>
        </w:rPr>
        <w:t> </w:t>
      </w:r>
      <w:r>
        <w:rPr>
          <w:sz w:val="20"/>
        </w:rPr>
        <w:t>2021.</w:t>
      </w:r>
      <w:r>
        <w:rPr>
          <w:spacing w:val="-3"/>
          <w:sz w:val="20"/>
        </w:rPr>
        <w:t> </w:t>
      </w:r>
      <w:r>
        <w:rPr>
          <w:sz w:val="20"/>
        </w:rPr>
        <w:t>Niveles</w:t>
      </w:r>
      <w:r>
        <w:rPr>
          <w:spacing w:val="-5"/>
          <w:sz w:val="20"/>
        </w:rPr>
        <w:t> </w:t>
      </w:r>
      <w:r>
        <w:rPr>
          <w:sz w:val="20"/>
        </w:rPr>
        <w:t>seleccionados.</w:t>
      </w: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06">
            <wp:simplePos x="0" y="0"/>
            <wp:positionH relativeFrom="page">
              <wp:posOffset>928369</wp:posOffset>
            </wp:positionH>
            <wp:positionV relativeFrom="paragraph">
              <wp:posOffset>137411</wp:posOffset>
            </wp:positionV>
            <wp:extent cx="2480854" cy="2300954"/>
            <wp:effectExtent l="0" t="0" r="0" b="0"/>
            <wp:wrapTopAndBottom/>
            <wp:docPr id="21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854" cy="2300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7">
            <wp:simplePos x="0" y="0"/>
            <wp:positionH relativeFrom="page">
              <wp:posOffset>4652264</wp:posOffset>
            </wp:positionH>
            <wp:positionV relativeFrom="paragraph">
              <wp:posOffset>351533</wp:posOffset>
            </wp:positionV>
            <wp:extent cx="2203776" cy="1988248"/>
            <wp:effectExtent l="0" t="0" r="0" b="0"/>
            <wp:wrapTopAndBottom/>
            <wp:docPr id="213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776" cy="1988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8">
            <wp:simplePos x="0" y="0"/>
            <wp:positionH relativeFrom="page">
              <wp:posOffset>1277747</wp:posOffset>
            </wp:positionH>
            <wp:positionV relativeFrom="paragraph">
              <wp:posOffset>2600957</wp:posOffset>
            </wp:positionV>
            <wp:extent cx="2020347" cy="1393316"/>
            <wp:effectExtent l="0" t="0" r="0" b="0"/>
            <wp:wrapTopAndBottom/>
            <wp:docPr id="215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347" cy="1393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9">
            <wp:simplePos x="0" y="0"/>
            <wp:positionH relativeFrom="page">
              <wp:posOffset>4814061</wp:posOffset>
            </wp:positionH>
            <wp:positionV relativeFrom="paragraph">
              <wp:posOffset>2642105</wp:posOffset>
            </wp:positionV>
            <wp:extent cx="1893748" cy="1371600"/>
            <wp:effectExtent l="0" t="0" r="0" b="0"/>
            <wp:wrapTopAndBottom/>
            <wp:docPr id="217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74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1"/>
        <w:ind w:left="278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41"/>
          <w:sz w:val="20"/>
        </w:rPr>
        <w:t> </w:t>
      </w:r>
      <w:r>
        <w:rPr>
          <w:sz w:val="20"/>
        </w:rPr>
        <w:t>Elaboración</w:t>
      </w:r>
      <w:r>
        <w:rPr>
          <w:spacing w:val="-1"/>
          <w:sz w:val="20"/>
        </w:rPr>
        <w:t> </w:t>
      </w:r>
      <w:r>
        <w:rPr>
          <w:sz w:val="20"/>
        </w:rPr>
        <w:t>propia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partir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3"/>
          <w:sz w:val="20"/>
        </w:rPr>
        <w:t> </w:t>
      </w:r>
      <w:r>
        <w:rPr>
          <w:sz w:val="20"/>
        </w:rPr>
        <w:t>datos</w:t>
      </w:r>
      <w:r>
        <w:rPr>
          <w:spacing w:val="-3"/>
          <w:sz w:val="20"/>
        </w:rPr>
        <w:t> </w:t>
      </w:r>
      <w:r>
        <w:rPr>
          <w:sz w:val="20"/>
        </w:rPr>
        <w:t>del Anexo: SEN</w:t>
      </w:r>
      <w:r>
        <w:rPr>
          <w:spacing w:val="1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Datos</w:t>
      </w:r>
      <w:r>
        <w:rPr>
          <w:spacing w:val="-3"/>
          <w:sz w:val="20"/>
        </w:rPr>
        <w:t> </w:t>
      </w:r>
      <w:r>
        <w:rPr>
          <w:sz w:val="20"/>
        </w:rPr>
        <w:t>sobre</w:t>
      </w:r>
      <w:r>
        <w:rPr>
          <w:spacing w:val="-2"/>
          <w:sz w:val="20"/>
        </w:rPr>
        <w:t> </w:t>
      </w:r>
      <w:r>
        <w:rPr>
          <w:sz w:val="20"/>
        </w:rPr>
        <w:t>cobertura,</w:t>
      </w:r>
      <w:r>
        <w:rPr>
          <w:spacing w:val="-2"/>
          <w:sz w:val="20"/>
        </w:rPr>
        <w:t> </w:t>
      </w:r>
      <w:r>
        <w:rPr>
          <w:sz w:val="20"/>
        </w:rPr>
        <w:t>tabla</w:t>
      </w:r>
      <w:r>
        <w:rPr>
          <w:spacing w:val="-1"/>
          <w:sz w:val="20"/>
        </w:rPr>
        <w:t> </w:t>
      </w:r>
      <w:r>
        <w:rPr>
          <w:sz w:val="20"/>
        </w:rPr>
        <w:t>1.</w:t>
      </w:r>
    </w:p>
    <w:p>
      <w:pPr>
        <w:pStyle w:val="BodyText"/>
        <w:spacing w:before="4"/>
        <w:rPr>
          <w:sz w:val="29"/>
        </w:rPr>
      </w:pPr>
    </w:p>
    <w:p>
      <w:pPr>
        <w:pStyle w:val="Heading3"/>
        <w:numPr>
          <w:ilvl w:val="1"/>
          <w:numId w:val="7"/>
        </w:numPr>
        <w:tabs>
          <w:tab w:pos="998" w:val="left" w:leader="none"/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100" w:id="133"/>
      <w:bookmarkEnd w:id="133"/>
      <w:r>
        <w:rPr>
          <w:b w:val="0"/>
        </w:rPr>
      </w:r>
      <w:bookmarkStart w:name="_bookmark100" w:id="134"/>
      <w:bookmarkEnd w:id="134"/>
      <w:r>
        <w:rPr>
          <w:color w:val="1F4E79"/>
        </w:rPr>
        <w:t>A</w:t>
      </w:r>
      <w:r>
        <w:rPr>
          <w:color w:val="1F4E79"/>
          <w:spacing w:val="-4"/>
        </w:rPr>
        <w:t> </w:t>
      </w:r>
      <w:r>
        <w:rPr>
          <w:color w:val="1F4E79"/>
        </w:rPr>
        <w:t>nivel</w:t>
      </w:r>
      <w:r>
        <w:rPr>
          <w:color w:val="1F4E79"/>
          <w:spacing w:val="-3"/>
        </w:rPr>
        <w:t> </w:t>
      </w:r>
      <w:r>
        <w:rPr>
          <w:color w:val="1F4E79"/>
        </w:rPr>
        <w:t>Municipal</w:t>
      </w:r>
    </w:p>
    <w:p>
      <w:pPr>
        <w:pStyle w:val="BodyText"/>
        <w:rPr>
          <w:b/>
          <w:sz w:val="24"/>
        </w:rPr>
      </w:pPr>
    </w:p>
    <w:p>
      <w:pPr>
        <w:spacing w:before="187"/>
        <w:ind w:left="278" w:right="1071" w:firstLine="0"/>
        <w:jc w:val="both"/>
        <w:rPr>
          <w:sz w:val="24"/>
        </w:rPr>
      </w:pPr>
      <w:r>
        <w:rPr>
          <w:sz w:val="24"/>
        </w:rPr>
        <w:t>Al igual que los datos previos, los datos a nivel municipal se muestran en el Anexo: SEN - Datos</w:t>
      </w:r>
      <w:r>
        <w:rPr>
          <w:spacing w:val="1"/>
          <w:sz w:val="24"/>
        </w:rPr>
        <w:t> </w:t>
      </w:r>
      <w:r>
        <w:rPr>
          <w:sz w:val="24"/>
        </w:rPr>
        <w:t>sobre cobertura en la hoja 1. En el cuadro 2 se sintetizan las estadísticas descriptivas de la tasa</w:t>
      </w:r>
      <w:r>
        <w:rPr>
          <w:spacing w:val="1"/>
          <w:sz w:val="24"/>
        </w:rPr>
        <w:t> </w:t>
      </w:r>
      <w:r>
        <w:rPr>
          <w:sz w:val="24"/>
        </w:rPr>
        <w:t>bruta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nivel</w:t>
      </w:r>
      <w:r>
        <w:rPr>
          <w:spacing w:val="-2"/>
          <w:sz w:val="24"/>
        </w:rPr>
        <w:t> </w:t>
      </w:r>
      <w:r>
        <w:rPr>
          <w:sz w:val="24"/>
        </w:rPr>
        <w:t>municipal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nivel</w:t>
      </w:r>
      <w:r>
        <w:rPr>
          <w:spacing w:val="-3"/>
          <w:sz w:val="24"/>
        </w:rPr>
        <w:t> </w:t>
      </w:r>
      <w:r>
        <w:rPr>
          <w:sz w:val="24"/>
        </w:rPr>
        <w:t>educativo,</w:t>
      </w:r>
      <w:r>
        <w:rPr>
          <w:spacing w:val="-2"/>
          <w:sz w:val="24"/>
        </w:rPr>
        <w:t> </w:t>
      </w:r>
      <w:r>
        <w:rPr>
          <w:sz w:val="24"/>
        </w:rPr>
        <w:t>de ella</w:t>
      </w:r>
      <w:r>
        <w:rPr>
          <w:spacing w:val="-1"/>
          <w:sz w:val="24"/>
        </w:rPr>
        <w:t> </w:t>
      </w:r>
      <w:r>
        <w:rPr>
          <w:sz w:val="24"/>
        </w:rPr>
        <w:t>se puede extraer</w:t>
      </w:r>
      <w:r>
        <w:rPr>
          <w:spacing w:val="-2"/>
          <w:sz w:val="24"/>
        </w:rPr>
        <w:t> </w:t>
      </w:r>
      <w:r>
        <w:rPr>
          <w:sz w:val="24"/>
        </w:rPr>
        <w:t>lo siguiente: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7"/>
        </w:numPr>
        <w:tabs>
          <w:tab w:pos="999" w:val="left" w:leader="none"/>
        </w:tabs>
        <w:spacing w:line="240" w:lineRule="auto" w:before="0" w:after="0"/>
        <w:ind w:left="998" w:right="1078" w:hanging="360"/>
        <w:jc w:val="both"/>
        <w:rPr>
          <w:sz w:val="24"/>
        </w:rPr>
      </w:pP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niveles</w:t>
      </w:r>
      <w:r>
        <w:rPr>
          <w:spacing w:val="1"/>
          <w:sz w:val="24"/>
        </w:rPr>
        <w:t> </w:t>
      </w:r>
      <w:r>
        <w:rPr>
          <w:sz w:val="24"/>
        </w:rPr>
        <w:t>básico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diversificado</w:t>
      </w:r>
      <w:r>
        <w:rPr>
          <w:spacing w:val="1"/>
          <w:sz w:val="24"/>
        </w:rPr>
        <w:t> </w:t>
      </w:r>
      <w:r>
        <w:rPr>
          <w:sz w:val="24"/>
        </w:rPr>
        <w:t>presentan</w:t>
      </w:r>
      <w:r>
        <w:rPr>
          <w:spacing w:val="1"/>
          <w:sz w:val="24"/>
        </w:rPr>
        <w:t> </w:t>
      </w:r>
      <w:r>
        <w:rPr>
          <w:sz w:val="24"/>
        </w:rPr>
        <w:t>tasas</w:t>
      </w:r>
      <w:r>
        <w:rPr>
          <w:spacing w:val="1"/>
          <w:sz w:val="24"/>
        </w:rPr>
        <w:t> </w:t>
      </w:r>
      <w:r>
        <w:rPr>
          <w:sz w:val="24"/>
        </w:rPr>
        <w:t>promedio</w:t>
      </w:r>
      <w:r>
        <w:rPr>
          <w:spacing w:val="1"/>
          <w:sz w:val="24"/>
        </w:rPr>
        <w:t> </w:t>
      </w:r>
      <w:r>
        <w:rPr>
          <w:sz w:val="24"/>
        </w:rPr>
        <w:t>municipal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cobertura</w:t>
      </w:r>
      <w:r>
        <w:rPr>
          <w:spacing w:val="-52"/>
          <w:sz w:val="24"/>
        </w:rPr>
        <w:t> </w:t>
      </w:r>
      <w:r>
        <w:rPr>
          <w:sz w:val="24"/>
        </w:rPr>
        <w:t>bastante</w:t>
      </w:r>
      <w:r>
        <w:rPr>
          <w:spacing w:val="1"/>
          <w:sz w:val="24"/>
        </w:rPr>
        <w:t> </w:t>
      </w:r>
      <w:r>
        <w:rPr>
          <w:sz w:val="24"/>
        </w:rPr>
        <w:t>bajas</w:t>
      </w:r>
      <w:r>
        <w:rPr>
          <w:spacing w:val="1"/>
          <w:sz w:val="24"/>
        </w:rPr>
        <w:t> </w:t>
      </w:r>
      <w:r>
        <w:rPr>
          <w:sz w:val="24"/>
        </w:rPr>
        <w:t>respecto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tasas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otros</w:t>
      </w:r>
      <w:r>
        <w:rPr>
          <w:spacing w:val="1"/>
          <w:sz w:val="24"/>
        </w:rPr>
        <w:t> </w:t>
      </w:r>
      <w:r>
        <w:rPr>
          <w:sz w:val="24"/>
        </w:rPr>
        <w:t>niveles,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ejemplo,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promedio</w:t>
      </w:r>
      <w:r>
        <w:rPr>
          <w:spacing w:val="1"/>
          <w:sz w:val="24"/>
        </w:rPr>
        <w:t> </w:t>
      </w:r>
      <w:r>
        <w:rPr>
          <w:sz w:val="24"/>
        </w:rPr>
        <w:t>municipal en diversificado para el año 2021 fue de 28% un punto porcentual menos que</w:t>
      </w:r>
      <w:r>
        <w:rPr>
          <w:spacing w:val="1"/>
          <w:sz w:val="24"/>
        </w:rPr>
        <w:t> </w:t>
      </w:r>
      <w:r>
        <w:rPr>
          <w:sz w:val="24"/>
        </w:rPr>
        <w:t>antes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pandemia.</w:t>
      </w:r>
    </w:p>
    <w:p>
      <w:pPr>
        <w:pStyle w:val="ListParagraph"/>
        <w:numPr>
          <w:ilvl w:val="2"/>
          <w:numId w:val="7"/>
        </w:numPr>
        <w:tabs>
          <w:tab w:pos="999" w:val="left" w:leader="none"/>
        </w:tabs>
        <w:spacing w:line="242" w:lineRule="auto" w:before="0" w:after="0"/>
        <w:ind w:left="998" w:right="1078" w:hanging="360"/>
        <w:jc w:val="both"/>
        <w:rPr>
          <w:sz w:val="24"/>
        </w:rPr>
      </w:pPr>
      <w:r>
        <w:rPr>
          <w:sz w:val="24"/>
        </w:rPr>
        <w:t>La variabilidad municipal es diferente entre niveles, por ejemplo, el nivel primario tiene</w:t>
      </w:r>
      <w:r>
        <w:rPr>
          <w:spacing w:val="1"/>
          <w:sz w:val="24"/>
        </w:rPr>
        <w:t> </w:t>
      </w:r>
      <w:r>
        <w:rPr>
          <w:sz w:val="24"/>
        </w:rPr>
        <w:t>menor</w:t>
      </w:r>
      <w:r>
        <w:rPr>
          <w:spacing w:val="-2"/>
          <w:sz w:val="24"/>
        </w:rPr>
        <w:t> </w:t>
      </w:r>
      <w:r>
        <w:rPr>
          <w:sz w:val="24"/>
        </w:rPr>
        <w:t>variabilidad</w:t>
      </w:r>
      <w:r>
        <w:rPr>
          <w:spacing w:val="-2"/>
          <w:sz w:val="24"/>
        </w:rPr>
        <w:t> </w:t>
      </w:r>
      <w:r>
        <w:rPr>
          <w:sz w:val="24"/>
        </w:rPr>
        <w:t>(36%</w:t>
      </w:r>
      <w:r>
        <w:rPr>
          <w:spacing w:val="-3"/>
          <w:sz w:val="24"/>
        </w:rPr>
        <w:t> </w:t>
      </w:r>
      <w:r>
        <w:rPr>
          <w:sz w:val="24"/>
        </w:rPr>
        <w:t>para 2021)</w:t>
      </w:r>
      <w:r>
        <w:rPr>
          <w:spacing w:val="-2"/>
          <w:sz w:val="24"/>
        </w:rPr>
        <w:t> </w:t>
      </w:r>
      <w:r>
        <w:rPr>
          <w:sz w:val="24"/>
        </w:rPr>
        <w:t>que el</w:t>
      </w:r>
      <w:r>
        <w:rPr>
          <w:spacing w:val="-2"/>
          <w:sz w:val="24"/>
        </w:rPr>
        <w:t> </w:t>
      </w:r>
      <w:r>
        <w:rPr>
          <w:sz w:val="24"/>
        </w:rPr>
        <w:t>nivel</w:t>
      </w:r>
      <w:r>
        <w:rPr>
          <w:spacing w:val="-3"/>
          <w:sz w:val="24"/>
        </w:rPr>
        <w:t> </w:t>
      </w:r>
      <w:r>
        <w:rPr>
          <w:sz w:val="24"/>
        </w:rPr>
        <w:t>secundario (43% para</w:t>
      </w:r>
      <w:r>
        <w:rPr>
          <w:spacing w:val="-2"/>
          <w:sz w:val="24"/>
        </w:rPr>
        <w:t> </w:t>
      </w:r>
      <w:r>
        <w:rPr>
          <w:sz w:val="24"/>
        </w:rPr>
        <w:t>2021)</w:t>
      </w:r>
    </w:p>
    <w:p>
      <w:pPr>
        <w:pStyle w:val="ListParagraph"/>
        <w:numPr>
          <w:ilvl w:val="2"/>
          <w:numId w:val="7"/>
        </w:numPr>
        <w:tabs>
          <w:tab w:pos="999" w:val="left" w:leader="none"/>
        </w:tabs>
        <w:spacing w:line="240" w:lineRule="auto" w:before="0" w:after="0"/>
        <w:ind w:left="998" w:right="1070" w:hanging="360"/>
        <w:jc w:val="both"/>
        <w:rPr>
          <w:sz w:val="24"/>
        </w:rPr>
      </w:pP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alta</w:t>
      </w:r>
      <w:r>
        <w:rPr>
          <w:spacing w:val="-10"/>
          <w:sz w:val="24"/>
        </w:rPr>
        <w:t> </w:t>
      </w:r>
      <w:r>
        <w:rPr>
          <w:sz w:val="24"/>
        </w:rPr>
        <w:t>dispersión</w:t>
      </w:r>
      <w:r>
        <w:rPr>
          <w:spacing w:val="-7"/>
          <w:sz w:val="24"/>
        </w:rPr>
        <w:t> </w:t>
      </w:r>
      <w:r>
        <w:rPr>
          <w:sz w:val="24"/>
        </w:rPr>
        <w:t>entre</w:t>
      </w:r>
      <w:r>
        <w:rPr>
          <w:spacing w:val="-8"/>
          <w:sz w:val="24"/>
        </w:rPr>
        <w:t> </w:t>
      </w:r>
      <w:r>
        <w:rPr>
          <w:sz w:val="24"/>
        </w:rPr>
        <w:t>niveles</w:t>
      </w:r>
      <w:r>
        <w:rPr>
          <w:spacing w:val="-5"/>
          <w:sz w:val="24"/>
        </w:rPr>
        <w:t> </w:t>
      </w:r>
      <w:r>
        <w:rPr>
          <w:sz w:val="24"/>
        </w:rPr>
        <w:t>implica</w:t>
      </w:r>
      <w:r>
        <w:rPr>
          <w:spacing w:val="-6"/>
          <w:sz w:val="24"/>
        </w:rPr>
        <w:t> </w:t>
      </w:r>
      <w:r>
        <w:rPr>
          <w:sz w:val="24"/>
        </w:rPr>
        <w:t>casos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muy</w:t>
      </w:r>
      <w:r>
        <w:rPr>
          <w:spacing w:val="-6"/>
          <w:sz w:val="24"/>
        </w:rPr>
        <w:t> </w:t>
      </w:r>
      <w:r>
        <w:rPr>
          <w:sz w:val="24"/>
        </w:rPr>
        <w:t>baja</w:t>
      </w:r>
      <w:r>
        <w:rPr>
          <w:spacing w:val="-9"/>
          <w:sz w:val="24"/>
        </w:rPr>
        <w:t> </w:t>
      </w:r>
      <w:r>
        <w:rPr>
          <w:sz w:val="24"/>
        </w:rPr>
        <w:t>tasa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cobertura</w:t>
      </w:r>
      <w:r>
        <w:rPr>
          <w:spacing w:val="-7"/>
          <w:sz w:val="24"/>
        </w:rPr>
        <w:t> </w:t>
      </w:r>
      <w:r>
        <w:rPr>
          <w:sz w:val="24"/>
        </w:rPr>
        <w:t>(7%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2021),</w:t>
      </w:r>
      <w:r>
        <w:rPr>
          <w:spacing w:val="-52"/>
          <w:sz w:val="24"/>
        </w:rPr>
        <w:t> </w:t>
      </w:r>
      <w:r>
        <w:rPr>
          <w:sz w:val="24"/>
        </w:rPr>
        <w:t>por ejemplo.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  <w:r>
        <w:rPr/>
        <w:pict>
          <v:rect style="position:absolute;margin-left:563.880005pt;margin-top:16.6019pt;width:25.44pt;height:1.4399pt;mso-position-horizontal-relative:page;mso-position-vertical-relative:paragraph;z-index:-1556992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ind w:right="211"/>
      </w:pPr>
      <w:r>
        <w:rPr/>
        <w:t>76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475008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21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8"/>
        </w:rPr>
      </w:pPr>
    </w:p>
    <w:p>
      <w:pPr>
        <w:spacing w:line="243" w:lineRule="exact" w:before="59"/>
        <w:ind w:left="278" w:right="0" w:firstLine="0"/>
        <w:jc w:val="left"/>
        <w:rPr>
          <w:b/>
          <w:sz w:val="20"/>
        </w:rPr>
      </w:pPr>
      <w:r>
        <w:rPr>
          <w:b/>
          <w:sz w:val="20"/>
        </w:rPr>
        <w:t>Cuadro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2: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Estadísticas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básicas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tasa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bruta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nivel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educativo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y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municipio</w:t>
      </w:r>
    </w:p>
    <w:p>
      <w:pPr>
        <w:spacing w:line="243" w:lineRule="exact" w:before="0"/>
        <w:ind w:left="278" w:right="0" w:firstLine="0"/>
        <w:jc w:val="left"/>
        <w:rPr>
          <w:sz w:val="20"/>
        </w:rPr>
      </w:pPr>
      <w:r>
        <w:rPr>
          <w:sz w:val="20"/>
        </w:rPr>
        <w:t>Años</w:t>
      </w:r>
      <w:r>
        <w:rPr>
          <w:spacing w:val="-5"/>
          <w:sz w:val="20"/>
        </w:rPr>
        <w:t> </w:t>
      </w:r>
      <w:r>
        <w:rPr>
          <w:sz w:val="20"/>
        </w:rPr>
        <w:t>2018-2021.</w:t>
      </w:r>
      <w:r>
        <w:rPr>
          <w:spacing w:val="-3"/>
          <w:sz w:val="20"/>
        </w:rPr>
        <w:t> </w:t>
      </w:r>
      <w:r>
        <w:rPr>
          <w:sz w:val="20"/>
        </w:rPr>
        <w:t>Conteos</w:t>
      </w:r>
      <w:r>
        <w:rPr>
          <w:spacing w:val="-5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porcentajes.</w:t>
      </w:r>
    </w:p>
    <w:tbl>
      <w:tblPr>
        <w:tblW w:w="0" w:type="auto"/>
        <w:jc w:val="left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564"/>
        <w:gridCol w:w="569"/>
        <w:gridCol w:w="559"/>
        <w:gridCol w:w="554"/>
        <w:gridCol w:w="573"/>
        <w:gridCol w:w="559"/>
        <w:gridCol w:w="551"/>
        <w:gridCol w:w="474"/>
        <w:gridCol w:w="464"/>
        <w:gridCol w:w="459"/>
        <w:gridCol w:w="448"/>
        <w:gridCol w:w="471"/>
        <w:gridCol w:w="507"/>
        <w:gridCol w:w="478"/>
        <w:gridCol w:w="456"/>
        <w:gridCol w:w="467"/>
      </w:tblGrid>
      <w:tr>
        <w:trPr>
          <w:trHeight w:val="304" w:hRule="atLeast"/>
        </w:trPr>
        <w:tc>
          <w:tcPr>
            <w:tcW w:w="1394" w:type="dxa"/>
            <w:vMerge w:val="restart"/>
            <w:tcBorders>
              <w:left w:val="nil"/>
              <w:bottom w:val="nil"/>
            </w:tcBorders>
            <w:shd w:val="clear" w:color="auto" w:fill="4F81BC"/>
          </w:tcPr>
          <w:p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AÑO</w:t>
            </w:r>
          </w:p>
        </w:tc>
        <w:tc>
          <w:tcPr>
            <w:tcW w:w="2246" w:type="dxa"/>
            <w:gridSpan w:val="4"/>
            <w:tcBorders>
              <w:bottom w:val="nil"/>
            </w:tcBorders>
            <w:shd w:val="clear" w:color="auto" w:fill="4F81BC"/>
          </w:tcPr>
          <w:p>
            <w:pPr>
              <w:pStyle w:val="TableParagraph"/>
              <w:spacing w:line="194" w:lineRule="exact"/>
              <w:ind w:left="65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PREPRIMARIA</w:t>
            </w:r>
          </w:p>
        </w:tc>
        <w:tc>
          <w:tcPr>
            <w:tcW w:w="2157" w:type="dxa"/>
            <w:gridSpan w:val="4"/>
            <w:tcBorders>
              <w:bottom w:val="nil"/>
            </w:tcBorders>
            <w:shd w:val="clear" w:color="auto" w:fill="4F81BC"/>
          </w:tcPr>
          <w:p>
            <w:pPr>
              <w:pStyle w:val="TableParagraph"/>
              <w:spacing w:line="194" w:lineRule="exact"/>
              <w:ind w:left="39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PRIMARIA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NIÑOS</w:t>
            </w:r>
          </w:p>
        </w:tc>
        <w:tc>
          <w:tcPr>
            <w:tcW w:w="1842" w:type="dxa"/>
            <w:gridSpan w:val="4"/>
            <w:tcBorders>
              <w:bottom w:val="nil"/>
            </w:tcBorders>
            <w:shd w:val="clear" w:color="auto" w:fill="4F81BC"/>
          </w:tcPr>
          <w:p>
            <w:pPr>
              <w:pStyle w:val="TableParagraph"/>
              <w:spacing w:line="194" w:lineRule="exact"/>
              <w:ind w:left="664" w:right="62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BASICO</w:t>
            </w:r>
          </w:p>
        </w:tc>
        <w:tc>
          <w:tcPr>
            <w:tcW w:w="1908" w:type="dxa"/>
            <w:gridSpan w:val="4"/>
            <w:tcBorders>
              <w:bottom w:val="nil"/>
            </w:tcBorders>
            <w:shd w:val="clear" w:color="auto" w:fill="4F81BC"/>
          </w:tcPr>
          <w:p>
            <w:pPr>
              <w:pStyle w:val="TableParagraph"/>
              <w:spacing w:line="194" w:lineRule="exact"/>
              <w:ind w:left="46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DIVERSIFICADO</w:t>
            </w:r>
          </w:p>
        </w:tc>
      </w:tr>
      <w:tr>
        <w:trPr>
          <w:trHeight w:val="284" w:hRule="atLeast"/>
        </w:trPr>
        <w:tc>
          <w:tcPr>
            <w:tcW w:w="1394" w:type="dxa"/>
            <w:vMerge/>
            <w:tcBorders>
              <w:top w:val="nil"/>
              <w:left w:val="nil"/>
              <w:bottom w:val="nil"/>
            </w:tcBorders>
            <w:shd w:val="clear" w:color="auto" w:fill="4F81B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13" w:lineRule="exact"/>
              <w:ind w:left="152" w:right="13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2018</w:t>
            </w:r>
          </w:p>
        </w:tc>
        <w:tc>
          <w:tcPr>
            <w:tcW w:w="56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13" w:lineRule="exact"/>
              <w:ind w:right="167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2019</w:t>
            </w:r>
          </w:p>
        </w:tc>
        <w:tc>
          <w:tcPr>
            <w:tcW w:w="5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13" w:lineRule="exact"/>
              <w:ind w:right="162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2020</w:t>
            </w:r>
          </w:p>
        </w:tc>
        <w:tc>
          <w:tcPr>
            <w:tcW w:w="554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13" w:lineRule="exact"/>
              <w:ind w:right="159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2021</w:t>
            </w:r>
          </w:p>
        </w:tc>
        <w:tc>
          <w:tcPr>
            <w:tcW w:w="5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13" w:lineRule="exact"/>
              <w:ind w:left="160" w:right="13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2018</w:t>
            </w:r>
          </w:p>
        </w:tc>
        <w:tc>
          <w:tcPr>
            <w:tcW w:w="5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13" w:lineRule="exact"/>
              <w:ind w:left="184"/>
              <w:rPr>
                <w:b/>
                <w:sz w:val="10"/>
              </w:rPr>
            </w:pPr>
            <w:r>
              <w:rPr>
                <w:b/>
                <w:sz w:val="10"/>
              </w:rPr>
              <w:t>2019</w:t>
            </w:r>
          </w:p>
        </w:tc>
        <w:tc>
          <w:tcPr>
            <w:tcW w:w="55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13" w:lineRule="exact"/>
              <w:ind w:left="147" w:right="127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2020</w:t>
            </w:r>
          </w:p>
        </w:tc>
        <w:tc>
          <w:tcPr>
            <w:tcW w:w="474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13" w:lineRule="exact"/>
              <w:ind w:left="110" w:right="88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2021</w:t>
            </w:r>
          </w:p>
        </w:tc>
        <w:tc>
          <w:tcPr>
            <w:tcW w:w="464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13" w:lineRule="exact"/>
              <w:ind w:left="106" w:right="8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2018</w:t>
            </w:r>
          </w:p>
        </w:tc>
        <w:tc>
          <w:tcPr>
            <w:tcW w:w="4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13" w:lineRule="exact"/>
              <w:ind w:left="105" w:right="77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2019</w:t>
            </w:r>
          </w:p>
        </w:tc>
        <w:tc>
          <w:tcPr>
            <w:tcW w:w="44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13" w:lineRule="exact"/>
              <w:ind w:left="135"/>
              <w:rPr>
                <w:b/>
                <w:sz w:val="10"/>
              </w:rPr>
            </w:pPr>
            <w:r>
              <w:rPr>
                <w:b/>
                <w:sz w:val="10"/>
              </w:rPr>
              <w:t>2020</w:t>
            </w:r>
          </w:p>
        </w:tc>
        <w:tc>
          <w:tcPr>
            <w:tcW w:w="47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13" w:lineRule="exact"/>
              <w:ind w:left="148"/>
              <w:rPr>
                <w:b/>
                <w:sz w:val="10"/>
              </w:rPr>
            </w:pPr>
            <w:r>
              <w:rPr>
                <w:b/>
                <w:sz w:val="10"/>
              </w:rPr>
              <w:t>2021</w:t>
            </w:r>
          </w:p>
        </w:tc>
        <w:tc>
          <w:tcPr>
            <w:tcW w:w="507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13" w:lineRule="exact"/>
              <w:ind w:left="136" w:right="9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2018</w:t>
            </w:r>
          </w:p>
        </w:tc>
        <w:tc>
          <w:tcPr>
            <w:tcW w:w="47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13" w:lineRule="exact"/>
              <w:ind w:right="109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2019</w:t>
            </w:r>
          </w:p>
        </w:tc>
        <w:tc>
          <w:tcPr>
            <w:tcW w:w="456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13" w:lineRule="exact"/>
              <w:ind w:left="146"/>
              <w:rPr>
                <w:b/>
                <w:sz w:val="10"/>
              </w:rPr>
            </w:pPr>
            <w:r>
              <w:rPr>
                <w:b/>
                <w:sz w:val="10"/>
              </w:rPr>
              <w:t>2020</w:t>
            </w:r>
          </w:p>
        </w:tc>
        <w:tc>
          <w:tcPr>
            <w:tcW w:w="467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113" w:lineRule="exact"/>
              <w:ind w:left="154"/>
              <w:rPr>
                <w:b/>
                <w:sz w:val="10"/>
              </w:rPr>
            </w:pPr>
            <w:r>
              <w:rPr>
                <w:b/>
                <w:sz w:val="10"/>
              </w:rPr>
              <w:t>2021</w:t>
            </w:r>
          </w:p>
        </w:tc>
      </w:tr>
      <w:tr>
        <w:trPr>
          <w:trHeight w:val="277" w:hRule="atLeast"/>
        </w:trPr>
        <w:tc>
          <w:tcPr>
            <w:tcW w:w="1394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Cobertura</w:t>
            </w:r>
          </w:p>
        </w:tc>
        <w:tc>
          <w:tcPr>
            <w:tcW w:w="564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54" w:right="135"/>
              <w:jc w:val="center"/>
              <w:rPr>
                <w:sz w:val="10"/>
              </w:rPr>
            </w:pPr>
            <w:r>
              <w:rPr>
                <w:sz w:val="10"/>
              </w:rPr>
              <w:t>339</w:t>
            </w:r>
          </w:p>
        </w:tc>
        <w:tc>
          <w:tcPr>
            <w:tcW w:w="56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right="191"/>
              <w:jc w:val="right"/>
              <w:rPr>
                <w:sz w:val="10"/>
              </w:rPr>
            </w:pPr>
            <w:r>
              <w:rPr>
                <w:sz w:val="10"/>
              </w:rPr>
              <w:t>339</w:t>
            </w:r>
          </w:p>
        </w:tc>
        <w:tc>
          <w:tcPr>
            <w:tcW w:w="5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right="186"/>
              <w:jc w:val="right"/>
              <w:rPr>
                <w:sz w:val="10"/>
              </w:rPr>
            </w:pPr>
            <w:r>
              <w:rPr>
                <w:sz w:val="10"/>
              </w:rPr>
              <w:t>339</w:t>
            </w:r>
          </w:p>
        </w:tc>
        <w:tc>
          <w:tcPr>
            <w:tcW w:w="554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right="183"/>
              <w:jc w:val="right"/>
              <w:rPr>
                <w:sz w:val="10"/>
              </w:rPr>
            </w:pPr>
            <w:r>
              <w:rPr>
                <w:sz w:val="10"/>
              </w:rPr>
              <w:t>339</w:t>
            </w:r>
          </w:p>
        </w:tc>
        <w:tc>
          <w:tcPr>
            <w:tcW w:w="5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60" w:right="138"/>
              <w:jc w:val="center"/>
              <w:rPr>
                <w:sz w:val="10"/>
              </w:rPr>
            </w:pPr>
            <w:r>
              <w:rPr>
                <w:sz w:val="10"/>
              </w:rPr>
              <w:t>339</w:t>
            </w:r>
          </w:p>
        </w:tc>
        <w:tc>
          <w:tcPr>
            <w:tcW w:w="5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210"/>
              <w:rPr>
                <w:sz w:val="10"/>
              </w:rPr>
            </w:pPr>
            <w:r>
              <w:rPr>
                <w:sz w:val="10"/>
              </w:rPr>
              <w:t>339</w:t>
            </w:r>
          </w:p>
        </w:tc>
        <w:tc>
          <w:tcPr>
            <w:tcW w:w="55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49" w:right="127"/>
              <w:jc w:val="center"/>
              <w:rPr>
                <w:sz w:val="10"/>
              </w:rPr>
            </w:pPr>
            <w:r>
              <w:rPr>
                <w:sz w:val="10"/>
              </w:rPr>
              <w:t>339</w:t>
            </w:r>
          </w:p>
        </w:tc>
        <w:tc>
          <w:tcPr>
            <w:tcW w:w="474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12" w:right="87"/>
              <w:jc w:val="center"/>
              <w:rPr>
                <w:sz w:val="10"/>
              </w:rPr>
            </w:pPr>
            <w:r>
              <w:rPr>
                <w:sz w:val="10"/>
              </w:rPr>
              <w:t>339</w:t>
            </w:r>
          </w:p>
        </w:tc>
        <w:tc>
          <w:tcPr>
            <w:tcW w:w="464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08" w:right="81"/>
              <w:jc w:val="center"/>
              <w:rPr>
                <w:sz w:val="10"/>
              </w:rPr>
            </w:pPr>
            <w:r>
              <w:rPr>
                <w:sz w:val="10"/>
              </w:rPr>
              <w:t>339</w:t>
            </w:r>
          </w:p>
        </w:tc>
        <w:tc>
          <w:tcPr>
            <w:tcW w:w="4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07" w:right="76"/>
              <w:jc w:val="center"/>
              <w:rPr>
                <w:sz w:val="10"/>
              </w:rPr>
            </w:pPr>
            <w:r>
              <w:rPr>
                <w:sz w:val="10"/>
              </w:rPr>
              <w:t>339</w:t>
            </w:r>
          </w:p>
        </w:tc>
        <w:tc>
          <w:tcPr>
            <w:tcW w:w="44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61"/>
              <w:rPr>
                <w:sz w:val="10"/>
              </w:rPr>
            </w:pPr>
            <w:r>
              <w:rPr>
                <w:sz w:val="10"/>
              </w:rPr>
              <w:t>339</w:t>
            </w:r>
          </w:p>
        </w:tc>
        <w:tc>
          <w:tcPr>
            <w:tcW w:w="47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74"/>
              <w:rPr>
                <w:sz w:val="10"/>
              </w:rPr>
            </w:pPr>
            <w:r>
              <w:rPr>
                <w:sz w:val="10"/>
              </w:rPr>
              <w:t>339</w:t>
            </w:r>
          </w:p>
        </w:tc>
        <w:tc>
          <w:tcPr>
            <w:tcW w:w="507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36" w:right="95"/>
              <w:jc w:val="center"/>
              <w:rPr>
                <w:sz w:val="10"/>
              </w:rPr>
            </w:pPr>
            <w:r>
              <w:rPr>
                <w:sz w:val="10"/>
              </w:rPr>
              <w:t>326</w:t>
            </w:r>
          </w:p>
        </w:tc>
        <w:tc>
          <w:tcPr>
            <w:tcW w:w="47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right="136"/>
              <w:jc w:val="right"/>
              <w:rPr>
                <w:sz w:val="10"/>
              </w:rPr>
            </w:pPr>
            <w:r>
              <w:rPr>
                <w:sz w:val="10"/>
              </w:rPr>
              <w:t>326</w:t>
            </w:r>
          </w:p>
        </w:tc>
        <w:tc>
          <w:tcPr>
            <w:tcW w:w="456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73"/>
              <w:rPr>
                <w:sz w:val="10"/>
              </w:rPr>
            </w:pPr>
            <w:r>
              <w:rPr>
                <w:sz w:val="10"/>
              </w:rPr>
              <w:t>325</w:t>
            </w:r>
          </w:p>
        </w:tc>
        <w:tc>
          <w:tcPr>
            <w:tcW w:w="467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80"/>
              <w:rPr>
                <w:sz w:val="10"/>
              </w:rPr>
            </w:pPr>
            <w:r>
              <w:rPr>
                <w:sz w:val="10"/>
              </w:rPr>
              <w:t>324</w:t>
            </w:r>
          </w:p>
        </w:tc>
      </w:tr>
      <w:tr>
        <w:trPr>
          <w:trHeight w:val="277" w:hRule="atLeast"/>
        </w:trPr>
        <w:tc>
          <w:tcPr>
            <w:tcW w:w="139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Promedio</w:t>
            </w:r>
          </w:p>
        </w:tc>
        <w:tc>
          <w:tcPr>
            <w:tcW w:w="564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51" w:right="135"/>
              <w:jc w:val="center"/>
              <w:rPr>
                <w:sz w:val="10"/>
              </w:rPr>
            </w:pPr>
            <w:r>
              <w:rPr>
                <w:sz w:val="10"/>
              </w:rPr>
              <w:t>91%</w:t>
            </w:r>
          </w:p>
        </w:tc>
        <w:tc>
          <w:tcPr>
            <w:tcW w:w="56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right="182"/>
              <w:jc w:val="right"/>
              <w:rPr>
                <w:sz w:val="10"/>
              </w:rPr>
            </w:pPr>
            <w:r>
              <w:rPr>
                <w:sz w:val="10"/>
              </w:rPr>
              <w:t>88%</w:t>
            </w:r>
          </w:p>
        </w:tc>
        <w:tc>
          <w:tcPr>
            <w:tcW w:w="5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right="177"/>
              <w:jc w:val="right"/>
              <w:rPr>
                <w:sz w:val="10"/>
              </w:rPr>
            </w:pPr>
            <w:r>
              <w:rPr>
                <w:sz w:val="10"/>
              </w:rPr>
              <w:t>86%</w:t>
            </w:r>
          </w:p>
        </w:tc>
        <w:tc>
          <w:tcPr>
            <w:tcW w:w="554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right="174"/>
              <w:jc w:val="right"/>
              <w:rPr>
                <w:sz w:val="10"/>
              </w:rPr>
            </w:pPr>
            <w:r>
              <w:rPr>
                <w:sz w:val="10"/>
              </w:rPr>
              <w:t>95%</w:t>
            </w:r>
          </w:p>
        </w:tc>
        <w:tc>
          <w:tcPr>
            <w:tcW w:w="5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60" w:right="139"/>
              <w:jc w:val="center"/>
              <w:rPr>
                <w:sz w:val="10"/>
              </w:rPr>
            </w:pPr>
            <w:r>
              <w:rPr>
                <w:sz w:val="10"/>
              </w:rPr>
              <w:t>107%</w:t>
            </w:r>
          </w:p>
        </w:tc>
        <w:tc>
          <w:tcPr>
            <w:tcW w:w="5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74"/>
              <w:rPr>
                <w:sz w:val="10"/>
              </w:rPr>
            </w:pPr>
            <w:r>
              <w:rPr>
                <w:sz w:val="10"/>
              </w:rPr>
              <w:t>106%</w:t>
            </w:r>
          </w:p>
        </w:tc>
        <w:tc>
          <w:tcPr>
            <w:tcW w:w="55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49" w:right="127"/>
              <w:jc w:val="center"/>
              <w:rPr>
                <w:sz w:val="10"/>
              </w:rPr>
            </w:pPr>
            <w:r>
              <w:rPr>
                <w:sz w:val="10"/>
              </w:rPr>
              <w:t>106%</w:t>
            </w:r>
          </w:p>
        </w:tc>
        <w:tc>
          <w:tcPr>
            <w:tcW w:w="474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12" w:right="88"/>
              <w:jc w:val="center"/>
              <w:rPr>
                <w:sz w:val="10"/>
              </w:rPr>
            </w:pPr>
            <w:r>
              <w:rPr>
                <w:sz w:val="10"/>
              </w:rPr>
              <w:t>108%</w:t>
            </w:r>
          </w:p>
        </w:tc>
        <w:tc>
          <w:tcPr>
            <w:tcW w:w="464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05" w:right="81"/>
              <w:jc w:val="center"/>
              <w:rPr>
                <w:sz w:val="10"/>
              </w:rPr>
            </w:pPr>
            <w:r>
              <w:rPr>
                <w:sz w:val="10"/>
              </w:rPr>
              <w:t>69%</w:t>
            </w:r>
          </w:p>
        </w:tc>
        <w:tc>
          <w:tcPr>
            <w:tcW w:w="4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05" w:right="77"/>
              <w:jc w:val="center"/>
              <w:rPr>
                <w:sz w:val="10"/>
              </w:rPr>
            </w:pPr>
            <w:r>
              <w:rPr>
                <w:sz w:val="10"/>
              </w:rPr>
              <w:t>67%</w:t>
            </w:r>
          </w:p>
        </w:tc>
        <w:tc>
          <w:tcPr>
            <w:tcW w:w="44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49"/>
              <w:rPr>
                <w:sz w:val="10"/>
              </w:rPr>
            </w:pPr>
            <w:r>
              <w:rPr>
                <w:sz w:val="10"/>
              </w:rPr>
              <w:t>65%</w:t>
            </w:r>
          </w:p>
        </w:tc>
        <w:tc>
          <w:tcPr>
            <w:tcW w:w="47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62"/>
              <w:rPr>
                <w:sz w:val="10"/>
              </w:rPr>
            </w:pPr>
            <w:r>
              <w:rPr>
                <w:sz w:val="10"/>
              </w:rPr>
              <w:t>62%</w:t>
            </w:r>
          </w:p>
        </w:tc>
        <w:tc>
          <w:tcPr>
            <w:tcW w:w="507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36" w:right="93"/>
              <w:jc w:val="center"/>
              <w:rPr>
                <w:sz w:val="10"/>
              </w:rPr>
            </w:pPr>
            <w:r>
              <w:rPr>
                <w:sz w:val="10"/>
              </w:rPr>
              <w:t>29%</w:t>
            </w:r>
          </w:p>
        </w:tc>
        <w:tc>
          <w:tcPr>
            <w:tcW w:w="47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right="124"/>
              <w:jc w:val="right"/>
              <w:rPr>
                <w:sz w:val="10"/>
              </w:rPr>
            </w:pPr>
            <w:r>
              <w:rPr>
                <w:sz w:val="10"/>
              </w:rPr>
              <w:t>29%</w:t>
            </w:r>
          </w:p>
        </w:tc>
        <w:tc>
          <w:tcPr>
            <w:tcW w:w="456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61"/>
              <w:rPr>
                <w:sz w:val="10"/>
              </w:rPr>
            </w:pPr>
            <w:r>
              <w:rPr>
                <w:sz w:val="10"/>
              </w:rPr>
              <w:t>30%</w:t>
            </w:r>
          </w:p>
        </w:tc>
        <w:tc>
          <w:tcPr>
            <w:tcW w:w="467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ind w:left="168"/>
              <w:rPr>
                <w:sz w:val="10"/>
              </w:rPr>
            </w:pPr>
            <w:r>
              <w:rPr>
                <w:sz w:val="10"/>
              </w:rPr>
              <w:t>28%</w:t>
            </w:r>
          </w:p>
        </w:tc>
      </w:tr>
      <w:tr>
        <w:trPr>
          <w:trHeight w:val="488" w:hRule="atLeast"/>
        </w:trPr>
        <w:tc>
          <w:tcPr>
            <w:tcW w:w="1394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240" w:lineRule="atLeast"/>
              <w:ind w:left="107" w:right="37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Desviación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estándar</w:t>
            </w:r>
          </w:p>
        </w:tc>
        <w:tc>
          <w:tcPr>
            <w:tcW w:w="564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51" w:right="135"/>
              <w:jc w:val="center"/>
              <w:rPr>
                <w:sz w:val="10"/>
              </w:rPr>
            </w:pPr>
            <w:r>
              <w:rPr>
                <w:sz w:val="10"/>
              </w:rPr>
              <w:t>32%</w:t>
            </w:r>
          </w:p>
        </w:tc>
        <w:tc>
          <w:tcPr>
            <w:tcW w:w="56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right="182"/>
              <w:jc w:val="right"/>
              <w:rPr>
                <w:sz w:val="10"/>
              </w:rPr>
            </w:pPr>
            <w:r>
              <w:rPr>
                <w:sz w:val="10"/>
              </w:rPr>
              <w:t>31%</w:t>
            </w:r>
          </w:p>
        </w:tc>
        <w:tc>
          <w:tcPr>
            <w:tcW w:w="5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right="177"/>
              <w:jc w:val="right"/>
              <w:rPr>
                <w:sz w:val="10"/>
              </w:rPr>
            </w:pPr>
            <w:r>
              <w:rPr>
                <w:sz w:val="10"/>
              </w:rPr>
              <w:t>31%</w:t>
            </w:r>
          </w:p>
        </w:tc>
        <w:tc>
          <w:tcPr>
            <w:tcW w:w="554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right="174"/>
              <w:jc w:val="right"/>
              <w:rPr>
                <w:sz w:val="10"/>
              </w:rPr>
            </w:pPr>
            <w:r>
              <w:rPr>
                <w:sz w:val="10"/>
              </w:rPr>
              <w:t>34%</w:t>
            </w:r>
          </w:p>
        </w:tc>
        <w:tc>
          <w:tcPr>
            <w:tcW w:w="5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60" w:right="136"/>
              <w:jc w:val="center"/>
              <w:rPr>
                <w:sz w:val="10"/>
              </w:rPr>
            </w:pPr>
            <w:r>
              <w:rPr>
                <w:sz w:val="10"/>
              </w:rPr>
              <w:t>10%</w:t>
            </w:r>
          </w:p>
        </w:tc>
        <w:tc>
          <w:tcPr>
            <w:tcW w:w="5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98"/>
              <w:rPr>
                <w:sz w:val="10"/>
              </w:rPr>
            </w:pPr>
            <w:r>
              <w:rPr>
                <w:sz w:val="10"/>
              </w:rPr>
              <w:t>10%</w:t>
            </w:r>
          </w:p>
        </w:tc>
        <w:tc>
          <w:tcPr>
            <w:tcW w:w="55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46" w:right="127"/>
              <w:jc w:val="center"/>
              <w:rPr>
                <w:sz w:val="10"/>
              </w:rPr>
            </w:pPr>
            <w:r>
              <w:rPr>
                <w:sz w:val="10"/>
              </w:rPr>
              <w:t>10%</w:t>
            </w:r>
          </w:p>
        </w:tc>
        <w:tc>
          <w:tcPr>
            <w:tcW w:w="474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10" w:right="88"/>
              <w:jc w:val="center"/>
              <w:rPr>
                <w:sz w:val="10"/>
              </w:rPr>
            </w:pPr>
            <w:r>
              <w:rPr>
                <w:sz w:val="10"/>
              </w:rPr>
              <w:t>10%</w:t>
            </w:r>
          </w:p>
        </w:tc>
        <w:tc>
          <w:tcPr>
            <w:tcW w:w="464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05" w:right="81"/>
              <w:jc w:val="center"/>
              <w:rPr>
                <w:sz w:val="10"/>
              </w:rPr>
            </w:pPr>
            <w:r>
              <w:rPr>
                <w:sz w:val="10"/>
              </w:rPr>
              <w:t>30%</w:t>
            </w:r>
          </w:p>
        </w:tc>
        <w:tc>
          <w:tcPr>
            <w:tcW w:w="4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05" w:right="77"/>
              <w:jc w:val="center"/>
              <w:rPr>
                <w:sz w:val="10"/>
              </w:rPr>
            </w:pPr>
            <w:r>
              <w:rPr>
                <w:sz w:val="10"/>
              </w:rPr>
              <w:t>30%</w:t>
            </w:r>
          </w:p>
        </w:tc>
        <w:tc>
          <w:tcPr>
            <w:tcW w:w="44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49"/>
              <w:rPr>
                <w:sz w:val="10"/>
              </w:rPr>
            </w:pPr>
            <w:r>
              <w:rPr>
                <w:sz w:val="10"/>
              </w:rPr>
              <w:t>29%</w:t>
            </w:r>
          </w:p>
        </w:tc>
        <w:tc>
          <w:tcPr>
            <w:tcW w:w="47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62"/>
              <w:rPr>
                <w:sz w:val="10"/>
              </w:rPr>
            </w:pPr>
            <w:r>
              <w:rPr>
                <w:sz w:val="10"/>
              </w:rPr>
              <w:t>27%</w:t>
            </w:r>
          </w:p>
        </w:tc>
        <w:tc>
          <w:tcPr>
            <w:tcW w:w="507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36" w:right="93"/>
              <w:jc w:val="center"/>
              <w:rPr>
                <w:sz w:val="10"/>
              </w:rPr>
            </w:pPr>
            <w:r>
              <w:rPr>
                <w:sz w:val="10"/>
              </w:rPr>
              <w:t>29%</w:t>
            </w:r>
          </w:p>
        </w:tc>
        <w:tc>
          <w:tcPr>
            <w:tcW w:w="47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right="124"/>
              <w:jc w:val="right"/>
              <w:rPr>
                <w:sz w:val="10"/>
              </w:rPr>
            </w:pPr>
            <w:r>
              <w:rPr>
                <w:sz w:val="10"/>
              </w:rPr>
              <w:t>29%</w:t>
            </w:r>
          </w:p>
        </w:tc>
        <w:tc>
          <w:tcPr>
            <w:tcW w:w="456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61"/>
              <w:rPr>
                <w:sz w:val="10"/>
              </w:rPr>
            </w:pPr>
            <w:r>
              <w:rPr>
                <w:sz w:val="10"/>
              </w:rPr>
              <w:t>29%</w:t>
            </w:r>
          </w:p>
        </w:tc>
        <w:tc>
          <w:tcPr>
            <w:tcW w:w="467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68"/>
              <w:rPr>
                <w:sz w:val="10"/>
              </w:rPr>
            </w:pPr>
            <w:r>
              <w:rPr>
                <w:sz w:val="10"/>
              </w:rPr>
              <w:t>27%</w:t>
            </w:r>
          </w:p>
        </w:tc>
      </w:tr>
      <w:tr>
        <w:trPr>
          <w:trHeight w:val="277" w:hRule="atLeast"/>
        </w:trPr>
        <w:tc>
          <w:tcPr>
            <w:tcW w:w="139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Mínima</w:t>
            </w:r>
          </w:p>
        </w:tc>
        <w:tc>
          <w:tcPr>
            <w:tcW w:w="564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51" w:right="135"/>
              <w:jc w:val="center"/>
              <w:rPr>
                <w:sz w:val="10"/>
              </w:rPr>
            </w:pPr>
            <w:r>
              <w:rPr>
                <w:sz w:val="10"/>
              </w:rPr>
              <w:t>17%</w:t>
            </w:r>
          </w:p>
        </w:tc>
        <w:tc>
          <w:tcPr>
            <w:tcW w:w="56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right="182"/>
              <w:jc w:val="right"/>
              <w:rPr>
                <w:sz w:val="10"/>
              </w:rPr>
            </w:pPr>
            <w:r>
              <w:rPr>
                <w:sz w:val="10"/>
              </w:rPr>
              <w:t>19%</w:t>
            </w:r>
          </w:p>
        </w:tc>
        <w:tc>
          <w:tcPr>
            <w:tcW w:w="5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right="177"/>
              <w:jc w:val="right"/>
              <w:rPr>
                <w:sz w:val="10"/>
              </w:rPr>
            </w:pPr>
            <w:r>
              <w:rPr>
                <w:sz w:val="10"/>
              </w:rPr>
              <w:t>16%</w:t>
            </w:r>
          </w:p>
        </w:tc>
        <w:tc>
          <w:tcPr>
            <w:tcW w:w="554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right="174"/>
              <w:jc w:val="right"/>
              <w:rPr>
                <w:sz w:val="10"/>
              </w:rPr>
            </w:pPr>
            <w:r>
              <w:rPr>
                <w:sz w:val="10"/>
              </w:rPr>
              <w:t>20%</w:t>
            </w:r>
          </w:p>
        </w:tc>
        <w:tc>
          <w:tcPr>
            <w:tcW w:w="5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60" w:right="136"/>
              <w:jc w:val="center"/>
              <w:rPr>
                <w:sz w:val="10"/>
              </w:rPr>
            </w:pPr>
            <w:r>
              <w:rPr>
                <w:sz w:val="10"/>
              </w:rPr>
              <w:t>78%</w:t>
            </w:r>
          </w:p>
        </w:tc>
        <w:tc>
          <w:tcPr>
            <w:tcW w:w="5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98"/>
              <w:rPr>
                <w:sz w:val="10"/>
              </w:rPr>
            </w:pPr>
            <w:r>
              <w:rPr>
                <w:sz w:val="10"/>
              </w:rPr>
              <w:t>77%</w:t>
            </w:r>
          </w:p>
        </w:tc>
        <w:tc>
          <w:tcPr>
            <w:tcW w:w="55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46" w:right="127"/>
              <w:jc w:val="center"/>
              <w:rPr>
                <w:sz w:val="10"/>
              </w:rPr>
            </w:pPr>
            <w:r>
              <w:rPr>
                <w:sz w:val="10"/>
              </w:rPr>
              <w:t>78%</w:t>
            </w:r>
          </w:p>
        </w:tc>
        <w:tc>
          <w:tcPr>
            <w:tcW w:w="474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10" w:right="88"/>
              <w:jc w:val="center"/>
              <w:rPr>
                <w:sz w:val="10"/>
              </w:rPr>
            </w:pPr>
            <w:r>
              <w:rPr>
                <w:sz w:val="10"/>
              </w:rPr>
              <w:t>83%</w:t>
            </w:r>
          </w:p>
        </w:tc>
        <w:tc>
          <w:tcPr>
            <w:tcW w:w="464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05" w:right="81"/>
              <w:jc w:val="center"/>
              <w:rPr>
                <w:sz w:val="10"/>
              </w:rPr>
            </w:pPr>
            <w:r>
              <w:rPr>
                <w:sz w:val="10"/>
              </w:rPr>
              <w:t>11%</w:t>
            </w:r>
          </w:p>
        </w:tc>
        <w:tc>
          <w:tcPr>
            <w:tcW w:w="4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05" w:right="77"/>
              <w:jc w:val="center"/>
              <w:rPr>
                <w:sz w:val="10"/>
              </w:rPr>
            </w:pPr>
            <w:r>
              <w:rPr>
                <w:sz w:val="10"/>
              </w:rPr>
              <w:t>10%</w:t>
            </w:r>
          </w:p>
        </w:tc>
        <w:tc>
          <w:tcPr>
            <w:tcW w:w="44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75"/>
              <w:rPr>
                <w:sz w:val="10"/>
              </w:rPr>
            </w:pPr>
            <w:r>
              <w:rPr>
                <w:sz w:val="10"/>
              </w:rPr>
              <w:t>9%</w:t>
            </w:r>
          </w:p>
        </w:tc>
        <w:tc>
          <w:tcPr>
            <w:tcW w:w="47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89"/>
              <w:rPr>
                <w:sz w:val="10"/>
              </w:rPr>
            </w:pPr>
            <w:r>
              <w:rPr>
                <w:sz w:val="10"/>
              </w:rPr>
              <w:t>7%</w:t>
            </w:r>
          </w:p>
        </w:tc>
        <w:tc>
          <w:tcPr>
            <w:tcW w:w="507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36" w:right="96"/>
              <w:jc w:val="center"/>
              <w:rPr>
                <w:sz w:val="10"/>
              </w:rPr>
            </w:pPr>
            <w:r>
              <w:rPr>
                <w:sz w:val="10"/>
              </w:rPr>
              <w:t>0%</w:t>
            </w:r>
          </w:p>
        </w:tc>
        <w:tc>
          <w:tcPr>
            <w:tcW w:w="47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right="151"/>
              <w:jc w:val="right"/>
              <w:rPr>
                <w:sz w:val="10"/>
              </w:rPr>
            </w:pPr>
            <w:r>
              <w:rPr>
                <w:sz w:val="10"/>
              </w:rPr>
              <w:t>0%</w:t>
            </w:r>
          </w:p>
        </w:tc>
        <w:tc>
          <w:tcPr>
            <w:tcW w:w="456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87"/>
              <w:rPr>
                <w:sz w:val="10"/>
              </w:rPr>
            </w:pPr>
            <w:r>
              <w:rPr>
                <w:sz w:val="10"/>
              </w:rPr>
              <w:t>0%</w:t>
            </w:r>
          </w:p>
        </w:tc>
        <w:tc>
          <w:tcPr>
            <w:tcW w:w="467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ind w:left="194"/>
              <w:rPr>
                <w:sz w:val="10"/>
              </w:rPr>
            </w:pPr>
            <w:r>
              <w:rPr>
                <w:sz w:val="10"/>
              </w:rPr>
              <w:t>0%</w:t>
            </w:r>
          </w:p>
        </w:tc>
      </w:tr>
      <w:tr>
        <w:trPr>
          <w:trHeight w:val="278" w:hRule="atLeast"/>
        </w:trPr>
        <w:tc>
          <w:tcPr>
            <w:tcW w:w="1394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Mediana</w:t>
            </w:r>
          </w:p>
        </w:tc>
        <w:tc>
          <w:tcPr>
            <w:tcW w:w="564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151" w:right="135"/>
              <w:jc w:val="center"/>
              <w:rPr>
                <w:sz w:val="10"/>
              </w:rPr>
            </w:pPr>
            <w:r>
              <w:rPr>
                <w:sz w:val="10"/>
              </w:rPr>
              <w:t>91%</w:t>
            </w:r>
          </w:p>
        </w:tc>
        <w:tc>
          <w:tcPr>
            <w:tcW w:w="56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right="182"/>
              <w:jc w:val="right"/>
              <w:rPr>
                <w:sz w:val="10"/>
              </w:rPr>
            </w:pPr>
            <w:r>
              <w:rPr>
                <w:sz w:val="10"/>
              </w:rPr>
              <w:t>88%</w:t>
            </w:r>
          </w:p>
        </w:tc>
        <w:tc>
          <w:tcPr>
            <w:tcW w:w="5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right="177"/>
              <w:jc w:val="right"/>
              <w:rPr>
                <w:sz w:val="10"/>
              </w:rPr>
            </w:pPr>
            <w:r>
              <w:rPr>
                <w:sz w:val="10"/>
              </w:rPr>
              <w:t>84%</w:t>
            </w:r>
          </w:p>
        </w:tc>
        <w:tc>
          <w:tcPr>
            <w:tcW w:w="554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right="174"/>
              <w:jc w:val="right"/>
              <w:rPr>
                <w:sz w:val="10"/>
              </w:rPr>
            </w:pPr>
            <w:r>
              <w:rPr>
                <w:sz w:val="10"/>
              </w:rPr>
              <w:t>93%</w:t>
            </w:r>
          </w:p>
        </w:tc>
        <w:tc>
          <w:tcPr>
            <w:tcW w:w="5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160" w:right="139"/>
              <w:jc w:val="center"/>
              <w:rPr>
                <w:sz w:val="10"/>
              </w:rPr>
            </w:pPr>
            <w:r>
              <w:rPr>
                <w:sz w:val="10"/>
              </w:rPr>
              <w:t>106%</w:t>
            </w:r>
          </w:p>
        </w:tc>
        <w:tc>
          <w:tcPr>
            <w:tcW w:w="5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174"/>
              <w:rPr>
                <w:sz w:val="10"/>
              </w:rPr>
            </w:pPr>
            <w:r>
              <w:rPr>
                <w:sz w:val="10"/>
              </w:rPr>
              <w:t>105%</w:t>
            </w:r>
          </w:p>
        </w:tc>
        <w:tc>
          <w:tcPr>
            <w:tcW w:w="55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149" w:right="127"/>
              <w:jc w:val="center"/>
              <w:rPr>
                <w:sz w:val="10"/>
              </w:rPr>
            </w:pPr>
            <w:r>
              <w:rPr>
                <w:sz w:val="10"/>
              </w:rPr>
              <w:t>105%</w:t>
            </w:r>
          </w:p>
        </w:tc>
        <w:tc>
          <w:tcPr>
            <w:tcW w:w="474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112" w:right="88"/>
              <w:jc w:val="center"/>
              <w:rPr>
                <w:sz w:val="10"/>
              </w:rPr>
            </w:pPr>
            <w:r>
              <w:rPr>
                <w:sz w:val="10"/>
              </w:rPr>
              <w:t>107%</w:t>
            </w:r>
          </w:p>
        </w:tc>
        <w:tc>
          <w:tcPr>
            <w:tcW w:w="464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105" w:right="81"/>
              <w:jc w:val="center"/>
              <w:rPr>
                <w:sz w:val="10"/>
              </w:rPr>
            </w:pPr>
            <w:r>
              <w:rPr>
                <w:sz w:val="10"/>
              </w:rPr>
              <w:t>67%</w:t>
            </w:r>
          </w:p>
        </w:tc>
        <w:tc>
          <w:tcPr>
            <w:tcW w:w="4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105" w:right="77"/>
              <w:jc w:val="center"/>
              <w:rPr>
                <w:sz w:val="10"/>
              </w:rPr>
            </w:pPr>
            <w:r>
              <w:rPr>
                <w:sz w:val="10"/>
              </w:rPr>
              <w:t>64%</w:t>
            </w:r>
          </w:p>
        </w:tc>
        <w:tc>
          <w:tcPr>
            <w:tcW w:w="44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149"/>
              <w:rPr>
                <w:sz w:val="10"/>
              </w:rPr>
            </w:pPr>
            <w:r>
              <w:rPr>
                <w:sz w:val="10"/>
              </w:rPr>
              <w:t>62%</w:t>
            </w:r>
          </w:p>
        </w:tc>
        <w:tc>
          <w:tcPr>
            <w:tcW w:w="47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162"/>
              <w:rPr>
                <w:sz w:val="10"/>
              </w:rPr>
            </w:pPr>
            <w:r>
              <w:rPr>
                <w:sz w:val="10"/>
              </w:rPr>
              <w:t>61%</w:t>
            </w:r>
          </w:p>
        </w:tc>
        <w:tc>
          <w:tcPr>
            <w:tcW w:w="507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136" w:right="93"/>
              <w:jc w:val="center"/>
              <w:rPr>
                <w:sz w:val="10"/>
              </w:rPr>
            </w:pPr>
            <w:r>
              <w:rPr>
                <w:sz w:val="10"/>
              </w:rPr>
              <w:t>19%</w:t>
            </w:r>
          </w:p>
        </w:tc>
        <w:tc>
          <w:tcPr>
            <w:tcW w:w="47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right="124"/>
              <w:jc w:val="right"/>
              <w:rPr>
                <w:sz w:val="10"/>
              </w:rPr>
            </w:pPr>
            <w:r>
              <w:rPr>
                <w:sz w:val="10"/>
              </w:rPr>
              <w:t>20%</w:t>
            </w:r>
          </w:p>
        </w:tc>
        <w:tc>
          <w:tcPr>
            <w:tcW w:w="456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161"/>
              <w:rPr>
                <w:sz w:val="10"/>
              </w:rPr>
            </w:pPr>
            <w:r>
              <w:rPr>
                <w:sz w:val="10"/>
              </w:rPr>
              <w:t>21%</w:t>
            </w:r>
          </w:p>
        </w:tc>
        <w:tc>
          <w:tcPr>
            <w:tcW w:w="467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168"/>
              <w:rPr>
                <w:sz w:val="10"/>
              </w:rPr>
            </w:pPr>
            <w:r>
              <w:rPr>
                <w:sz w:val="10"/>
              </w:rPr>
              <w:t>20%</w:t>
            </w:r>
          </w:p>
        </w:tc>
      </w:tr>
      <w:tr>
        <w:trPr>
          <w:trHeight w:val="277" w:hRule="atLeast"/>
        </w:trPr>
        <w:tc>
          <w:tcPr>
            <w:tcW w:w="139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Máxima</w:t>
            </w:r>
          </w:p>
        </w:tc>
        <w:tc>
          <w:tcPr>
            <w:tcW w:w="564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54" w:right="135"/>
              <w:jc w:val="center"/>
              <w:rPr>
                <w:sz w:val="10"/>
              </w:rPr>
            </w:pPr>
            <w:r>
              <w:rPr>
                <w:sz w:val="10"/>
              </w:rPr>
              <w:t>185%</w:t>
            </w:r>
          </w:p>
        </w:tc>
        <w:tc>
          <w:tcPr>
            <w:tcW w:w="56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right="156"/>
              <w:jc w:val="right"/>
              <w:rPr>
                <w:sz w:val="10"/>
              </w:rPr>
            </w:pPr>
            <w:r>
              <w:rPr>
                <w:sz w:val="10"/>
              </w:rPr>
              <w:t>192%</w:t>
            </w:r>
          </w:p>
        </w:tc>
        <w:tc>
          <w:tcPr>
            <w:tcW w:w="5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right="151"/>
              <w:jc w:val="right"/>
              <w:rPr>
                <w:sz w:val="10"/>
              </w:rPr>
            </w:pPr>
            <w:r>
              <w:rPr>
                <w:sz w:val="10"/>
              </w:rPr>
              <w:t>183%</w:t>
            </w:r>
          </w:p>
        </w:tc>
        <w:tc>
          <w:tcPr>
            <w:tcW w:w="554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right="148"/>
              <w:jc w:val="right"/>
              <w:rPr>
                <w:sz w:val="10"/>
              </w:rPr>
            </w:pPr>
            <w:r>
              <w:rPr>
                <w:sz w:val="10"/>
              </w:rPr>
              <w:t>209%</w:t>
            </w:r>
          </w:p>
        </w:tc>
        <w:tc>
          <w:tcPr>
            <w:tcW w:w="5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60" w:right="139"/>
              <w:jc w:val="center"/>
              <w:rPr>
                <w:sz w:val="10"/>
              </w:rPr>
            </w:pPr>
            <w:r>
              <w:rPr>
                <w:sz w:val="10"/>
              </w:rPr>
              <w:t>141%</w:t>
            </w:r>
          </w:p>
        </w:tc>
        <w:tc>
          <w:tcPr>
            <w:tcW w:w="5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74"/>
              <w:rPr>
                <w:sz w:val="10"/>
              </w:rPr>
            </w:pPr>
            <w:r>
              <w:rPr>
                <w:sz w:val="10"/>
              </w:rPr>
              <w:t>140%</w:t>
            </w:r>
          </w:p>
        </w:tc>
        <w:tc>
          <w:tcPr>
            <w:tcW w:w="55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49" w:right="127"/>
              <w:jc w:val="center"/>
              <w:rPr>
                <w:sz w:val="10"/>
              </w:rPr>
            </w:pPr>
            <w:r>
              <w:rPr>
                <w:sz w:val="10"/>
              </w:rPr>
              <w:t>141%</w:t>
            </w:r>
          </w:p>
        </w:tc>
        <w:tc>
          <w:tcPr>
            <w:tcW w:w="474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12" w:right="88"/>
              <w:jc w:val="center"/>
              <w:rPr>
                <w:sz w:val="10"/>
              </w:rPr>
            </w:pPr>
            <w:r>
              <w:rPr>
                <w:sz w:val="10"/>
              </w:rPr>
              <w:t>144%</w:t>
            </w:r>
          </w:p>
        </w:tc>
        <w:tc>
          <w:tcPr>
            <w:tcW w:w="464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08" w:right="81"/>
              <w:jc w:val="center"/>
              <w:rPr>
                <w:sz w:val="10"/>
              </w:rPr>
            </w:pPr>
            <w:r>
              <w:rPr>
                <w:sz w:val="10"/>
              </w:rPr>
              <w:t>200%</w:t>
            </w:r>
          </w:p>
        </w:tc>
        <w:tc>
          <w:tcPr>
            <w:tcW w:w="4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07" w:right="77"/>
              <w:jc w:val="center"/>
              <w:rPr>
                <w:sz w:val="10"/>
              </w:rPr>
            </w:pPr>
            <w:r>
              <w:rPr>
                <w:sz w:val="10"/>
              </w:rPr>
              <w:t>213%</w:t>
            </w:r>
          </w:p>
        </w:tc>
        <w:tc>
          <w:tcPr>
            <w:tcW w:w="44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25"/>
              <w:rPr>
                <w:sz w:val="10"/>
              </w:rPr>
            </w:pPr>
            <w:r>
              <w:rPr>
                <w:sz w:val="10"/>
              </w:rPr>
              <w:t>192%</w:t>
            </w:r>
          </w:p>
        </w:tc>
        <w:tc>
          <w:tcPr>
            <w:tcW w:w="47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38"/>
              <w:rPr>
                <w:sz w:val="10"/>
              </w:rPr>
            </w:pPr>
            <w:r>
              <w:rPr>
                <w:sz w:val="10"/>
              </w:rPr>
              <w:t>180%</w:t>
            </w:r>
          </w:p>
        </w:tc>
        <w:tc>
          <w:tcPr>
            <w:tcW w:w="507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36" w:right="96"/>
              <w:jc w:val="center"/>
              <w:rPr>
                <w:sz w:val="10"/>
              </w:rPr>
            </w:pPr>
            <w:r>
              <w:rPr>
                <w:sz w:val="10"/>
              </w:rPr>
              <w:t>179%</w:t>
            </w:r>
          </w:p>
        </w:tc>
        <w:tc>
          <w:tcPr>
            <w:tcW w:w="47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right="100"/>
              <w:jc w:val="right"/>
              <w:rPr>
                <w:sz w:val="10"/>
              </w:rPr>
            </w:pPr>
            <w:r>
              <w:rPr>
                <w:sz w:val="10"/>
              </w:rPr>
              <w:t>188%</w:t>
            </w:r>
          </w:p>
        </w:tc>
        <w:tc>
          <w:tcPr>
            <w:tcW w:w="456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37"/>
              <w:rPr>
                <w:sz w:val="10"/>
              </w:rPr>
            </w:pPr>
            <w:r>
              <w:rPr>
                <w:sz w:val="10"/>
              </w:rPr>
              <w:t>192%</w:t>
            </w:r>
          </w:p>
        </w:tc>
        <w:tc>
          <w:tcPr>
            <w:tcW w:w="467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ind w:left="144"/>
              <w:rPr>
                <w:sz w:val="10"/>
              </w:rPr>
            </w:pPr>
            <w:r>
              <w:rPr>
                <w:sz w:val="10"/>
              </w:rPr>
              <w:t>172%</w:t>
            </w:r>
          </w:p>
        </w:tc>
      </w:tr>
      <w:tr>
        <w:trPr>
          <w:trHeight w:val="294" w:hRule="atLeast"/>
        </w:trPr>
        <w:tc>
          <w:tcPr>
            <w:tcW w:w="1394" w:type="dxa"/>
            <w:tcBorders>
              <w:top w:val="single" w:sz="8" w:space="0" w:color="4F81BC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CV</w:t>
            </w:r>
          </w:p>
        </w:tc>
        <w:tc>
          <w:tcPr>
            <w:tcW w:w="564" w:type="dxa"/>
            <w:tcBorders>
              <w:top w:val="single" w:sz="8" w:space="0" w:color="4F81BC"/>
            </w:tcBorders>
          </w:tcPr>
          <w:p>
            <w:pPr>
              <w:pStyle w:val="TableParagraph"/>
              <w:spacing w:before="2"/>
              <w:ind w:left="151" w:right="135"/>
              <w:jc w:val="center"/>
              <w:rPr>
                <w:sz w:val="10"/>
              </w:rPr>
            </w:pPr>
            <w:r>
              <w:rPr>
                <w:sz w:val="10"/>
              </w:rPr>
              <w:t>35%</w:t>
            </w:r>
          </w:p>
        </w:tc>
        <w:tc>
          <w:tcPr>
            <w:tcW w:w="569" w:type="dxa"/>
            <w:tcBorders>
              <w:top w:val="single" w:sz="8" w:space="0" w:color="4F81BC"/>
            </w:tcBorders>
          </w:tcPr>
          <w:p>
            <w:pPr>
              <w:pStyle w:val="TableParagraph"/>
              <w:spacing w:before="2"/>
              <w:ind w:right="182"/>
              <w:jc w:val="right"/>
              <w:rPr>
                <w:sz w:val="10"/>
              </w:rPr>
            </w:pPr>
            <w:r>
              <w:rPr>
                <w:sz w:val="10"/>
              </w:rPr>
              <w:t>35%</w:t>
            </w:r>
          </w:p>
        </w:tc>
        <w:tc>
          <w:tcPr>
            <w:tcW w:w="559" w:type="dxa"/>
            <w:tcBorders>
              <w:top w:val="single" w:sz="8" w:space="0" w:color="4F81BC"/>
            </w:tcBorders>
          </w:tcPr>
          <w:p>
            <w:pPr>
              <w:pStyle w:val="TableParagraph"/>
              <w:spacing w:before="2"/>
              <w:ind w:right="177"/>
              <w:jc w:val="right"/>
              <w:rPr>
                <w:sz w:val="10"/>
              </w:rPr>
            </w:pPr>
            <w:r>
              <w:rPr>
                <w:sz w:val="10"/>
              </w:rPr>
              <w:t>36%</w:t>
            </w:r>
          </w:p>
        </w:tc>
        <w:tc>
          <w:tcPr>
            <w:tcW w:w="554" w:type="dxa"/>
            <w:tcBorders>
              <w:top w:val="single" w:sz="8" w:space="0" w:color="4F81BC"/>
            </w:tcBorders>
          </w:tcPr>
          <w:p>
            <w:pPr>
              <w:pStyle w:val="TableParagraph"/>
              <w:spacing w:before="2"/>
              <w:ind w:right="174"/>
              <w:jc w:val="right"/>
              <w:rPr>
                <w:sz w:val="10"/>
              </w:rPr>
            </w:pPr>
            <w:r>
              <w:rPr>
                <w:sz w:val="10"/>
              </w:rPr>
              <w:t>36%</w:t>
            </w:r>
          </w:p>
        </w:tc>
        <w:tc>
          <w:tcPr>
            <w:tcW w:w="573" w:type="dxa"/>
            <w:tcBorders>
              <w:top w:val="single" w:sz="8" w:space="0" w:color="4F81BC"/>
            </w:tcBorders>
          </w:tcPr>
          <w:p>
            <w:pPr>
              <w:pStyle w:val="TableParagraph"/>
              <w:spacing w:before="2"/>
              <w:ind w:left="160" w:right="139"/>
              <w:jc w:val="center"/>
              <w:rPr>
                <w:sz w:val="10"/>
              </w:rPr>
            </w:pPr>
            <w:r>
              <w:rPr>
                <w:sz w:val="10"/>
              </w:rPr>
              <w:t>9%</w:t>
            </w:r>
          </w:p>
        </w:tc>
        <w:tc>
          <w:tcPr>
            <w:tcW w:w="559" w:type="dxa"/>
            <w:tcBorders>
              <w:top w:val="single" w:sz="8" w:space="0" w:color="4F81BC"/>
            </w:tcBorders>
          </w:tcPr>
          <w:p>
            <w:pPr>
              <w:pStyle w:val="TableParagraph"/>
              <w:spacing w:before="2"/>
              <w:ind w:left="198"/>
              <w:rPr>
                <w:sz w:val="10"/>
              </w:rPr>
            </w:pPr>
            <w:r>
              <w:rPr>
                <w:sz w:val="10"/>
              </w:rPr>
              <w:t>10%</w:t>
            </w:r>
          </w:p>
        </w:tc>
        <w:tc>
          <w:tcPr>
            <w:tcW w:w="551" w:type="dxa"/>
            <w:tcBorders>
              <w:top w:val="single" w:sz="8" w:space="0" w:color="4F81BC"/>
            </w:tcBorders>
          </w:tcPr>
          <w:p>
            <w:pPr>
              <w:pStyle w:val="TableParagraph"/>
              <w:spacing w:before="2"/>
              <w:ind w:left="146" w:right="127"/>
              <w:jc w:val="center"/>
              <w:rPr>
                <w:sz w:val="10"/>
              </w:rPr>
            </w:pPr>
            <w:r>
              <w:rPr>
                <w:sz w:val="10"/>
              </w:rPr>
              <w:t>10%</w:t>
            </w:r>
          </w:p>
        </w:tc>
        <w:tc>
          <w:tcPr>
            <w:tcW w:w="474" w:type="dxa"/>
            <w:tcBorders>
              <w:top w:val="single" w:sz="8" w:space="0" w:color="4F81BC"/>
            </w:tcBorders>
          </w:tcPr>
          <w:p>
            <w:pPr>
              <w:pStyle w:val="TableParagraph"/>
              <w:spacing w:before="2"/>
              <w:ind w:left="110" w:right="88"/>
              <w:jc w:val="center"/>
              <w:rPr>
                <w:sz w:val="10"/>
              </w:rPr>
            </w:pPr>
            <w:r>
              <w:rPr>
                <w:sz w:val="10"/>
              </w:rPr>
              <w:t>10%</w:t>
            </w:r>
          </w:p>
        </w:tc>
        <w:tc>
          <w:tcPr>
            <w:tcW w:w="464" w:type="dxa"/>
            <w:tcBorders>
              <w:top w:val="single" w:sz="8" w:space="0" w:color="4F81BC"/>
            </w:tcBorders>
          </w:tcPr>
          <w:p>
            <w:pPr>
              <w:pStyle w:val="TableParagraph"/>
              <w:spacing w:before="2"/>
              <w:ind w:left="105" w:right="81"/>
              <w:jc w:val="center"/>
              <w:rPr>
                <w:sz w:val="10"/>
              </w:rPr>
            </w:pPr>
            <w:r>
              <w:rPr>
                <w:sz w:val="10"/>
              </w:rPr>
              <w:t>43%</w:t>
            </w:r>
          </w:p>
        </w:tc>
        <w:tc>
          <w:tcPr>
            <w:tcW w:w="459" w:type="dxa"/>
            <w:tcBorders>
              <w:top w:val="single" w:sz="8" w:space="0" w:color="4F81BC"/>
            </w:tcBorders>
          </w:tcPr>
          <w:p>
            <w:pPr>
              <w:pStyle w:val="TableParagraph"/>
              <w:spacing w:before="2"/>
              <w:ind w:left="105" w:right="77"/>
              <w:jc w:val="center"/>
              <w:rPr>
                <w:sz w:val="10"/>
              </w:rPr>
            </w:pPr>
            <w:r>
              <w:rPr>
                <w:sz w:val="10"/>
              </w:rPr>
              <w:t>44%</w:t>
            </w:r>
          </w:p>
        </w:tc>
        <w:tc>
          <w:tcPr>
            <w:tcW w:w="448" w:type="dxa"/>
            <w:tcBorders>
              <w:top w:val="single" w:sz="8" w:space="0" w:color="4F81BC"/>
            </w:tcBorders>
          </w:tcPr>
          <w:p>
            <w:pPr>
              <w:pStyle w:val="TableParagraph"/>
              <w:spacing w:before="2"/>
              <w:ind w:left="149"/>
              <w:rPr>
                <w:sz w:val="10"/>
              </w:rPr>
            </w:pPr>
            <w:r>
              <w:rPr>
                <w:sz w:val="10"/>
              </w:rPr>
              <w:t>44%</w:t>
            </w:r>
          </w:p>
        </w:tc>
        <w:tc>
          <w:tcPr>
            <w:tcW w:w="471" w:type="dxa"/>
            <w:tcBorders>
              <w:top w:val="single" w:sz="8" w:space="0" w:color="4F81BC"/>
            </w:tcBorders>
          </w:tcPr>
          <w:p>
            <w:pPr>
              <w:pStyle w:val="TableParagraph"/>
              <w:spacing w:before="2"/>
              <w:ind w:left="162"/>
              <w:rPr>
                <w:sz w:val="10"/>
              </w:rPr>
            </w:pPr>
            <w:r>
              <w:rPr>
                <w:sz w:val="10"/>
              </w:rPr>
              <w:t>43%</w:t>
            </w:r>
          </w:p>
        </w:tc>
        <w:tc>
          <w:tcPr>
            <w:tcW w:w="507" w:type="dxa"/>
            <w:tcBorders>
              <w:top w:val="single" w:sz="8" w:space="0" w:color="4F81BC"/>
            </w:tcBorders>
          </w:tcPr>
          <w:p>
            <w:pPr>
              <w:pStyle w:val="TableParagraph"/>
              <w:spacing w:before="2"/>
              <w:ind w:left="136" w:right="96"/>
              <w:jc w:val="center"/>
              <w:rPr>
                <w:sz w:val="10"/>
              </w:rPr>
            </w:pPr>
            <w:r>
              <w:rPr>
                <w:sz w:val="10"/>
              </w:rPr>
              <w:t>101%</w:t>
            </w:r>
          </w:p>
        </w:tc>
        <w:tc>
          <w:tcPr>
            <w:tcW w:w="478" w:type="dxa"/>
            <w:tcBorders>
              <w:top w:val="single" w:sz="8" w:space="0" w:color="4F81BC"/>
            </w:tcBorders>
          </w:tcPr>
          <w:p>
            <w:pPr>
              <w:pStyle w:val="TableParagraph"/>
              <w:spacing w:before="2"/>
              <w:ind w:right="100"/>
              <w:jc w:val="right"/>
              <w:rPr>
                <w:sz w:val="10"/>
              </w:rPr>
            </w:pPr>
            <w:r>
              <w:rPr>
                <w:sz w:val="10"/>
              </w:rPr>
              <w:t>101%</w:t>
            </w:r>
          </w:p>
        </w:tc>
        <w:tc>
          <w:tcPr>
            <w:tcW w:w="456" w:type="dxa"/>
            <w:tcBorders>
              <w:top w:val="single" w:sz="8" w:space="0" w:color="4F81BC"/>
            </w:tcBorders>
          </w:tcPr>
          <w:p>
            <w:pPr>
              <w:pStyle w:val="TableParagraph"/>
              <w:spacing w:before="2"/>
              <w:ind w:left="161"/>
              <w:rPr>
                <w:sz w:val="10"/>
              </w:rPr>
            </w:pPr>
            <w:r>
              <w:rPr>
                <w:sz w:val="10"/>
              </w:rPr>
              <w:t>98%</w:t>
            </w:r>
          </w:p>
        </w:tc>
        <w:tc>
          <w:tcPr>
            <w:tcW w:w="467" w:type="dxa"/>
            <w:tcBorders>
              <w:top w:val="single" w:sz="8" w:space="0" w:color="4F81BC"/>
            </w:tcBorders>
          </w:tcPr>
          <w:p>
            <w:pPr>
              <w:pStyle w:val="TableParagraph"/>
              <w:spacing w:before="2"/>
              <w:ind w:left="168"/>
              <w:rPr>
                <w:sz w:val="10"/>
              </w:rPr>
            </w:pPr>
            <w:r>
              <w:rPr>
                <w:sz w:val="10"/>
              </w:rPr>
              <w:t>95%</w:t>
            </w:r>
          </w:p>
        </w:tc>
      </w:tr>
    </w:tbl>
    <w:p>
      <w:pPr>
        <w:spacing w:before="1"/>
        <w:ind w:left="278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Anexo: SEN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Datos</w:t>
      </w:r>
      <w:r>
        <w:rPr>
          <w:spacing w:val="-5"/>
          <w:sz w:val="20"/>
        </w:rPr>
        <w:t> </w:t>
      </w:r>
      <w:r>
        <w:rPr>
          <w:sz w:val="20"/>
        </w:rPr>
        <w:t>sobre</w:t>
      </w:r>
      <w:r>
        <w:rPr>
          <w:spacing w:val="-3"/>
          <w:sz w:val="20"/>
        </w:rPr>
        <w:t> </w:t>
      </w:r>
      <w:r>
        <w:rPr>
          <w:sz w:val="20"/>
        </w:rPr>
        <w:t>cobertura.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278" w:right="1061" w:firstLine="0"/>
        <w:jc w:val="left"/>
        <w:rPr>
          <w:sz w:val="24"/>
        </w:rPr>
      </w:pPr>
      <w:r>
        <w:rPr>
          <w:sz w:val="24"/>
        </w:rPr>
        <w:t>Para</w:t>
      </w:r>
      <w:r>
        <w:rPr>
          <w:spacing w:val="6"/>
          <w:sz w:val="24"/>
        </w:rPr>
        <w:t> </w:t>
      </w:r>
      <w:r>
        <w:rPr>
          <w:sz w:val="24"/>
        </w:rPr>
        <w:t>ejemplificar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mejor</w:t>
      </w:r>
      <w:r>
        <w:rPr>
          <w:spacing w:val="7"/>
          <w:sz w:val="24"/>
        </w:rPr>
        <w:t> </w:t>
      </w:r>
      <w:r>
        <w:rPr>
          <w:sz w:val="24"/>
        </w:rPr>
        <w:t>forma</w:t>
      </w:r>
      <w:r>
        <w:rPr>
          <w:spacing w:val="6"/>
          <w:sz w:val="24"/>
        </w:rPr>
        <w:t> </w:t>
      </w:r>
      <w:r>
        <w:rPr>
          <w:sz w:val="24"/>
        </w:rPr>
        <w:t>la</w:t>
      </w:r>
      <w:r>
        <w:rPr>
          <w:spacing w:val="3"/>
          <w:sz w:val="24"/>
        </w:rPr>
        <w:t> </w:t>
      </w:r>
      <w:r>
        <w:rPr>
          <w:sz w:val="24"/>
        </w:rPr>
        <w:t>dispersión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la</w:t>
      </w:r>
      <w:r>
        <w:rPr>
          <w:spacing w:val="3"/>
          <w:sz w:val="24"/>
        </w:rPr>
        <w:t> </w:t>
      </w:r>
      <w:r>
        <w:rPr>
          <w:sz w:val="24"/>
        </w:rPr>
        <w:t>tasa</w:t>
      </w:r>
      <w:r>
        <w:rPr>
          <w:spacing w:val="6"/>
          <w:sz w:val="24"/>
        </w:rPr>
        <w:t> </w:t>
      </w:r>
      <w:r>
        <w:rPr>
          <w:sz w:val="24"/>
        </w:rPr>
        <w:t>bruta;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continuación,</w:t>
      </w:r>
      <w:r>
        <w:rPr>
          <w:spacing w:val="7"/>
          <w:sz w:val="24"/>
        </w:rPr>
        <w:t> </w:t>
      </w:r>
      <w:r>
        <w:rPr>
          <w:sz w:val="24"/>
        </w:rPr>
        <w:t>se</w:t>
      </w:r>
      <w:r>
        <w:rPr>
          <w:spacing w:val="6"/>
          <w:sz w:val="24"/>
        </w:rPr>
        <w:t> </w:t>
      </w:r>
      <w:r>
        <w:rPr>
          <w:sz w:val="24"/>
        </w:rPr>
        <w:t>muestran</w:t>
      </w:r>
      <w:r>
        <w:rPr>
          <w:spacing w:val="8"/>
          <w:sz w:val="24"/>
        </w:rPr>
        <w:t> </w:t>
      </w:r>
      <w:r>
        <w:rPr>
          <w:sz w:val="24"/>
        </w:rPr>
        <w:t>los</w:t>
      </w:r>
      <w:r>
        <w:rPr>
          <w:spacing w:val="-52"/>
          <w:sz w:val="24"/>
        </w:rPr>
        <w:t> </w:t>
      </w:r>
      <w:r>
        <w:rPr>
          <w:sz w:val="24"/>
        </w:rPr>
        <w:t>mapas a</w:t>
      </w:r>
      <w:r>
        <w:rPr>
          <w:spacing w:val="-2"/>
          <w:sz w:val="24"/>
        </w:rPr>
        <w:t> </w:t>
      </w:r>
      <w:r>
        <w:rPr>
          <w:sz w:val="24"/>
        </w:rPr>
        <w:t>nivel</w:t>
      </w:r>
      <w:r>
        <w:rPr>
          <w:spacing w:val="-2"/>
          <w:sz w:val="24"/>
        </w:rPr>
        <w:t> </w:t>
      </w:r>
      <w:r>
        <w:rPr>
          <w:sz w:val="24"/>
        </w:rPr>
        <w:t>municipal.</w:t>
      </w:r>
    </w:p>
    <w:p>
      <w:pPr>
        <w:pStyle w:val="BodyText"/>
        <w:rPr>
          <w:sz w:val="20"/>
        </w:rPr>
      </w:pPr>
    </w:p>
    <w:p>
      <w:pPr>
        <w:spacing w:before="0"/>
        <w:ind w:left="278" w:right="0" w:firstLine="0"/>
        <w:jc w:val="left"/>
        <w:rPr>
          <w:sz w:val="20"/>
        </w:rPr>
      </w:pPr>
      <w:r>
        <w:rPr>
          <w:b/>
          <w:sz w:val="20"/>
        </w:rPr>
        <w:t>Ilustración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4:</w:t>
      </w:r>
      <w:r>
        <w:rPr>
          <w:b/>
          <w:spacing w:val="-1"/>
          <w:sz w:val="20"/>
        </w:rPr>
        <w:t> </w:t>
      </w:r>
      <w:r>
        <w:rPr>
          <w:sz w:val="20"/>
        </w:rPr>
        <w:t>Mapas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departamento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tasa</w:t>
      </w:r>
      <w:r>
        <w:rPr>
          <w:spacing w:val="-1"/>
          <w:sz w:val="20"/>
        </w:rPr>
        <w:t> </w:t>
      </w:r>
      <w:r>
        <w:rPr>
          <w:sz w:val="20"/>
        </w:rPr>
        <w:t>bruta</w:t>
      </w:r>
      <w:r>
        <w:rPr>
          <w:spacing w:val="-2"/>
          <w:sz w:val="20"/>
        </w:rPr>
        <w:t> </w:t>
      </w:r>
      <w:r>
        <w:rPr>
          <w:sz w:val="20"/>
        </w:rPr>
        <w:t>2019</w:t>
      </w:r>
      <w:r>
        <w:rPr>
          <w:spacing w:val="-3"/>
          <w:sz w:val="20"/>
        </w:rPr>
        <w:t> </w:t>
      </w:r>
      <w:r>
        <w:rPr>
          <w:sz w:val="20"/>
        </w:rPr>
        <w:t>y 2021.</w:t>
      </w: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13">
            <wp:simplePos x="0" y="0"/>
            <wp:positionH relativeFrom="page">
              <wp:posOffset>914400</wp:posOffset>
            </wp:positionH>
            <wp:positionV relativeFrom="paragraph">
              <wp:posOffset>177687</wp:posOffset>
            </wp:positionV>
            <wp:extent cx="2903838" cy="2330958"/>
            <wp:effectExtent l="0" t="0" r="0" b="0"/>
            <wp:wrapTopAndBottom/>
            <wp:docPr id="221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838" cy="233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4">
            <wp:simplePos x="0" y="0"/>
            <wp:positionH relativeFrom="page">
              <wp:posOffset>4148963</wp:posOffset>
            </wp:positionH>
            <wp:positionV relativeFrom="paragraph">
              <wp:posOffset>177687</wp:posOffset>
            </wp:positionV>
            <wp:extent cx="2890848" cy="2243137"/>
            <wp:effectExtent l="0" t="0" r="0" b="0"/>
            <wp:wrapTopAndBottom/>
            <wp:docPr id="223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848" cy="2243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5">
            <wp:simplePos x="0" y="0"/>
            <wp:positionH relativeFrom="page">
              <wp:posOffset>1258493</wp:posOffset>
            </wp:positionH>
            <wp:positionV relativeFrom="paragraph">
              <wp:posOffset>2684680</wp:posOffset>
            </wp:positionV>
            <wp:extent cx="1882847" cy="1090422"/>
            <wp:effectExtent l="0" t="0" r="0" b="0"/>
            <wp:wrapTopAndBottom/>
            <wp:docPr id="22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847" cy="1090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6">
            <wp:simplePos x="0" y="0"/>
            <wp:positionH relativeFrom="page">
              <wp:posOffset>4493005</wp:posOffset>
            </wp:positionH>
            <wp:positionV relativeFrom="paragraph">
              <wp:posOffset>2919046</wp:posOffset>
            </wp:positionV>
            <wp:extent cx="1570115" cy="884301"/>
            <wp:effectExtent l="0" t="0" r="0" b="0"/>
            <wp:wrapTopAndBottom/>
            <wp:docPr id="227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115" cy="884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11"/>
        <w:rPr>
          <w:sz w:val="16"/>
        </w:rPr>
      </w:pPr>
    </w:p>
    <w:p>
      <w:pPr>
        <w:spacing w:before="0"/>
        <w:ind w:left="552" w:right="0" w:firstLine="0"/>
        <w:jc w:val="left"/>
        <w:rPr>
          <w:sz w:val="18"/>
        </w:rPr>
      </w:pPr>
      <w:r>
        <w:rPr>
          <w:sz w:val="18"/>
        </w:rPr>
        <w:t>Fuente:</w:t>
      </w:r>
      <w:r>
        <w:rPr>
          <w:spacing w:val="37"/>
          <w:sz w:val="18"/>
        </w:rPr>
        <w:t> </w:t>
      </w:r>
      <w:r>
        <w:rPr>
          <w:sz w:val="18"/>
        </w:rPr>
        <w:t>Elaboración</w:t>
      </w:r>
      <w:r>
        <w:rPr>
          <w:spacing w:val="-2"/>
          <w:sz w:val="18"/>
        </w:rPr>
        <w:t> </w:t>
      </w:r>
      <w:r>
        <w:rPr>
          <w:sz w:val="18"/>
        </w:rPr>
        <w:t>propia</w:t>
      </w:r>
      <w:r>
        <w:rPr>
          <w:spacing w:val="-3"/>
          <w:sz w:val="18"/>
        </w:rPr>
        <w:t> </w:t>
      </w:r>
      <w:r>
        <w:rPr>
          <w:sz w:val="18"/>
        </w:rPr>
        <w:t>a partir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los</w:t>
      </w:r>
      <w:r>
        <w:rPr>
          <w:spacing w:val="-2"/>
          <w:sz w:val="18"/>
        </w:rPr>
        <w:t> </w:t>
      </w:r>
      <w:r>
        <w:rPr>
          <w:sz w:val="18"/>
        </w:rPr>
        <w:t>datos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1"/>
          <w:sz w:val="18"/>
        </w:rPr>
        <w:t> </w:t>
      </w:r>
      <w:r>
        <w:rPr>
          <w:sz w:val="18"/>
        </w:rPr>
        <w:t>Anexo: SEN</w:t>
      </w:r>
      <w:r>
        <w:rPr>
          <w:spacing w:val="-2"/>
          <w:sz w:val="18"/>
        </w:rPr>
        <w:t> </w:t>
      </w:r>
      <w:r>
        <w:rPr>
          <w:sz w:val="18"/>
        </w:rPr>
        <w:t>-</w:t>
      </w:r>
      <w:r>
        <w:rPr>
          <w:spacing w:val="-1"/>
          <w:sz w:val="18"/>
        </w:rPr>
        <w:t> </w:t>
      </w:r>
      <w:r>
        <w:rPr>
          <w:sz w:val="18"/>
        </w:rPr>
        <w:t>Datos</w:t>
      </w:r>
      <w:r>
        <w:rPr>
          <w:spacing w:val="-3"/>
          <w:sz w:val="18"/>
        </w:rPr>
        <w:t> </w:t>
      </w:r>
      <w:r>
        <w:rPr>
          <w:sz w:val="18"/>
        </w:rPr>
        <w:t>sobre</w:t>
      </w:r>
      <w:r>
        <w:rPr>
          <w:spacing w:val="-3"/>
          <w:sz w:val="18"/>
        </w:rPr>
        <w:t> </w:t>
      </w:r>
      <w:r>
        <w:rPr>
          <w:sz w:val="18"/>
        </w:rPr>
        <w:t>cobertura,</w:t>
      </w:r>
      <w:r>
        <w:rPr>
          <w:spacing w:val="-2"/>
          <w:sz w:val="18"/>
        </w:rPr>
        <w:t> </w:t>
      </w:r>
      <w:r>
        <w:rPr>
          <w:sz w:val="18"/>
        </w:rPr>
        <w:t>tabla</w:t>
      </w:r>
      <w:r>
        <w:rPr>
          <w:spacing w:val="1"/>
          <w:sz w:val="18"/>
        </w:rPr>
        <w:t> </w:t>
      </w:r>
      <w:r>
        <w:rPr>
          <w:sz w:val="18"/>
        </w:rPr>
        <w:t>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  <w:r>
        <w:rPr/>
        <w:pict>
          <v:rect style="position:absolute;margin-left:563.880005pt;margin-top:19.275084pt;width:25.44pt;height:1.4399pt;mso-position-horizontal-relative:page;mso-position-vertical-relative:paragraph;z-index:-1556633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ind w:right="211"/>
      </w:pPr>
      <w:r>
        <w:rPr/>
        <w:t>77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478592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22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3"/>
        </w:rPr>
      </w:pPr>
    </w:p>
    <w:p>
      <w:pPr>
        <w:spacing w:before="52"/>
        <w:ind w:left="278" w:right="1061" w:firstLine="0"/>
        <w:jc w:val="left"/>
        <w:rPr>
          <w:sz w:val="24"/>
        </w:rPr>
      </w:pPr>
      <w:r>
        <w:rPr>
          <w:sz w:val="24"/>
        </w:rPr>
        <w:t>Los</w:t>
      </w:r>
      <w:r>
        <w:rPr>
          <w:spacing w:val="12"/>
          <w:sz w:val="24"/>
        </w:rPr>
        <w:t> </w:t>
      </w:r>
      <w:r>
        <w:rPr>
          <w:sz w:val="24"/>
        </w:rPr>
        <w:t>datos</w:t>
      </w:r>
      <w:r>
        <w:rPr>
          <w:spacing w:val="11"/>
          <w:sz w:val="24"/>
        </w:rPr>
        <w:t> </w:t>
      </w:r>
      <w:r>
        <w:rPr>
          <w:sz w:val="24"/>
        </w:rPr>
        <w:t>de</w:t>
      </w:r>
      <w:r>
        <w:rPr>
          <w:spacing w:val="11"/>
          <w:sz w:val="24"/>
        </w:rPr>
        <w:t> </w:t>
      </w:r>
      <w:r>
        <w:rPr>
          <w:sz w:val="24"/>
        </w:rPr>
        <w:t>tasa</w:t>
      </w:r>
      <w:r>
        <w:rPr>
          <w:spacing w:val="10"/>
          <w:sz w:val="24"/>
        </w:rPr>
        <w:t> </w:t>
      </w:r>
      <w:r>
        <w:rPr>
          <w:sz w:val="24"/>
        </w:rPr>
        <w:t>neta</w:t>
      </w:r>
      <w:r>
        <w:rPr>
          <w:spacing w:val="10"/>
          <w:sz w:val="24"/>
        </w:rPr>
        <w:t> </w:t>
      </w:r>
      <w:r>
        <w:rPr>
          <w:sz w:val="24"/>
        </w:rPr>
        <w:t>se</w:t>
      </w:r>
      <w:r>
        <w:rPr>
          <w:spacing w:val="13"/>
          <w:sz w:val="24"/>
        </w:rPr>
        <w:t> </w:t>
      </w:r>
      <w:r>
        <w:rPr>
          <w:sz w:val="24"/>
        </w:rPr>
        <w:t>presentan</w:t>
      </w:r>
      <w:r>
        <w:rPr>
          <w:spacing w:val="12"/>
          <w:sz w:val="24"/>
        </w:rPr>
        <w:t> </w:t>
      </w:r>
      <w:r>
        <w:rPr>
          <w:sz w:val="24"/>
        </w:rPr>
        <w:t>en</w:t>
      </w:r>
      <w:r>
        <w:rPr>
          <w:spacing w:val="11"/>
          <w:sz w:val="24"/>
        </w:rPr>
        <w:t> </w:t>
      </w:r>
      <w:r>
        <w:rPr>
          <w:sz w:val="24"/>
        </w:rPr>
        <w:t>el</w:t>
      </w:r>
      <w:r>
        <w:rPr>
          <w:spacing w:val="18"/>
          <w:sz w:val="24"/>
        </w:rPr>
        <w:t> </w:t>
      </w:r>
      <w:r>
        <w:rPr>
          <w:sz w:val="24"/>
        </w:rPr>
        <w:t>Anexo:</w:t>
      </w:r>
      <w:r>
        <w:rPr>
          <w:spacing w:val="12"/>
          <w:sz w:val="24"/>
        </w:rPr>
        <w:t> </w:t>
      </w:r>
      <w:r>
        <w:rPr>
          <w:sz w:val="24"/>
        </w:rPr>
        <w:t>SEN</w:t>
      </w:r>
      <w:r>
        <w:rPr>
          <w:spacing w:val="12"/>
          <w:sz w:val="24"/>
        </w:rPr>
        <w:t> </w:t>
      </w:r>
      <w:r>
        <w:rPr>
          <w:sz w:val="24"/>
        </w:rPr>
        <w:t>-</w:t>
      </w:r>
      <w:r>
        <w:rPr>
          <w:spacing w:val="11"/>
          <w:sz w:val="24"/>
        </w:rPr>
        <w:t> </w:t>
      </w:r>
      <w:r>
        <w:rPr>
          <w:sz w:val="24"/>
        </w:rPr>
        <w:t>Datos</w:t>
      </w:r>
      <w:r>
        <w:rPr>
          <w:spacing w:val="13"/>
          <w:sz w:val="24"/>
        </w:rPr>
        <w:t> </w:t>
      </w:r>
      <w:r>
        <w:rPr>
          <w:sz w:val="24"/>
        </w:rPr>
        <w:t>sobre</w:t>
      </w:r>
      <w:r>
        <w:rPr>
          <w:spacing w:val="11"/>
          <w:sz w:val="24"/>
        </w:rPr>
        <w:t> </w:t>
      </w:r>
      <w:r>
        <w:rPr>
          <w:sz w:val="24"/>
        </w:rPr>
        <w:t>cobertura,</w:t>
      </w:r>
      <w:r>
        <w:rPr>
          <w:spacing w:val="10"/>
          <w:sz w:val="24"/>
        </w:rPr>
        <w:t> </w:t>
      </w:r>
      <w:r>
        <w:rPr>
          <w:sz w:val="24"/>
        </w:rPr>
        <w:t>para</w:t>
      </w:r>
      <w:r>
        <w:rPr>
          <w:spacing w:val="11"/>
          <w:sz w:val="24"/>
        </w:rPr>
        <w:t> </w:t>
      </w:r>
      <w:r>
        <w:rPr>
          <w:sz w:val="24"/>
        </w:rPr>
        <w:t>efectos</w:t>
      </w:r>
      <w:r>
        <w:rPr>
          <w:spacing w:val="11"/>
          <w:sz w:val="24"/>
        </w:rPr>
        <w:t> </w:t>
      </w:r>
      <w:r>
        <w:rPr>
          <w:sz w:val="24"/>
        </w:rPr>
        <w:t>de</w:t>
      </w:r>
      <w:r>
        <w:rPr>
          <w:spacing w:val="-51"/>
          <w:sz w:val="24"/>
        </w:rPr>
        <w:t> </w:t>
      </w:r>
      <w:r>
        <w:rPr>
          <w:sz w:val="24"/>
        </w:rPr>
        <w:t>ilustración se</w:t>
      </w:r>
      <w:r>
        <w:rPr>
          <w:spacing w:val="-2"/>
          <w:sz w:val="24"/>
        </w:rPr>
        <w:t> </w:t>
      </w:r>
      <w:r>
        <w:rPr>
          <w:sz w:val="24"/>
        </w:rPr>
        <w:t>muestran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datos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tasa</w:t>
      </w:r>
      <w:r>
        <w:rPr>
          <w:spacing w:val="-3"/>
          <w:sz w:val="24"/>
        </w:rPr>
        <w:t> </w:t>
      </w:r>
      <w:r>
        <w:rPr>
          <w:sz w:val="24"/>
        </w:rPr>
        <w:t>neta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dos</w:t>
      </w:r>
      <w:r>
        <w:rPr>
          <w:spacing w:val="-2"/>
          <w:sz w:val="24"/>
        </w:rPr>
        <w:t> </w:t>
      </w:r>
      <w:r>
        <w:rPr>
          <w:sz w:val="24"/>
        </w:rPr>
        <w:t>niveles</w:t>
      </w:r>
      <w:r>
        <w:rPr>
          <w:spacing w:val="-3"/>
          <w:sz w:val="24"/>
        </w:rPr>
        <w:t> </w:t>
      </w:r>
      <w:r>
        <w:rPr>
          <w:sz w:val="24"/>
        </w:rPr>
        <w:t>en el año</w:t>
      </w:r>
      <w:r>
        <w:rPr>
          <w:spacing w:val="-2"/>
          <w:sz w:val="24"/>
        </w:rPr>
        <w:t> </w:t>
      </w:r>
      <w:r>
        <w:rPr>
          <w:sz w:val="24"/>
        </w:rPr>
        <w:t>2021.</w:t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278" w:right="0" w:firstLine="0"/>
        <w:jc w:val="left"/>
        <w:rPr>
          <w:sz w:val="20"/>
        </w:rPr>
      </w:pPr>
      <w:r>
        <w:rPr>
          <w:sz w:val="20"/>
        </w:rPr>
        <w:t>Ilustración</w:t>
      </w:r>
      <w:r>
        <w:rPr>
          <w:spacing w:val="-3"/>
          <w:sz w:val="20"/>
        </w:rPr>
        <w:t> </w:t>
      </w:r>
      <w:r>
        <w:rPr>
          <w:sz w:val="20"/>
        </w:rPr>
        <w:t>5:</w:t>
      </w:r>
      <w:r>
        <w:rPr>
          <w:spacing w:val="-4"/>
          <w:sz w:val="20"/>
        </w:rPr>
        <w:t> </w:t>
      </w:r>
      <w:r>
        <w:rPr>
          <w:sz w:val="20"/>
        </w:rPr>
        <w:t>Tasa</w:t>
      </w:r>
      <w:r>
        <w:rPr>
          <w:spacing w:val="-2"/>
          <w:sz w:val="20"/>
        </w:rPr>
        <w:t> </w:t>
      </w:r>
      <w:r>
        <w:rPr>
          <w:sz w:val="20"/>
        </w:rPr>
        <w:t>neta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municipio,</w:t>
      </w:r>
      <w:r>
        <w:rPr>
          <w:spacing w:val="-2"/>
          <w:sz w:val="20"/>
        </w:rPr>
        <w:t> </w:t>
      </w:r>
      <w:r>
        <w:rPr>
          <w:sz w:val="20"/>
        </w:rPr>
        <w:t>niveles</w:t>
      </w:r>
      <w:r>
        <w:rPr>
          <w:spacing w:val="-5"/>
          <w:sz w:val="20"/>
        </w:rPr>
        <w:t> </w:t>
      </w:r>
      <w:r>
        <w:rPr>
          <w:sz w:val="20"/>
        </w:rPr>
        <w:t>seleccionados.</w:t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20">
            <wp:simplePos x="0" y="0"/>
            <wp:positionH relativeFrom="page">
              <wp:posOffset>900430</wp:posOffset>
            </wp:positionH>
            <wp:positionV relativeFrom="paragraph">
              <wp:posOffset>134329</wp:posOffset>
            </wp:positionV>
            <wp:extent cx="2305798" cy="2950368"/>
            <wp:effectExtent l="0" t="0" r="0" b="0"/>
            <wp:wrapTopAndBottom/>
            <wp:docPr id="231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798" cy="295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1">
            <wp:simplePos x="0" y="0"/>
            <wp:positionH relativeFrom="page">
              <wp:posOffset>4543044</wp:posOffset>
            </wp:positionH>
            <wp:positionV relativeFrom="paragraph">
              <wp:posOffset>184367</wp:posOffset>
            </wp:positionV>
            <wp:extent cx="2754293" cy="2894171"/>
            <wp:effectExtent l="0" t="0" r="0" b="0"/>
            <wp:wrapTopAndBottom/>
            <wp:docPr id="233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293" cy="2894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22">
            <wp:simplePos x="0" y="0"/>
            <wp:positionH relativeFrom="page">
              <wp:posOffset>1500377</wp:posOffset>
            </wp:positionH>
            <wp:positionV relativeFrom="paragraph">
              <wp:posOffset>295267</wp:posOffset>
            </wp:positionV>
            <wp:extent cx="1969643" cy="1682210"/>
            <wp:effectExtent l="0" t="0" r="0" b="0"/>
            <wp:wrapTopAndBottom/>
            <wp:docPr id="235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643" cy="168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3">
            <wp:simplePos x="0" y="0"/>
            <wp:positionH relativeFrom="page">
              <wp:posOffset>4928742</wp:posOffset>
            </wp:positionH>
            <wp:positionV relativeFrom="paragraph">
              <wp:posOffset>195064</wp:posOffset>
            </wp:positionV>
            <wp:extent cx="1924583" cy="1771650"/>
            <wp:effectExtent l="0" t="0" r="0" b="0"/>
            <wp:wrapTopAndBottom/>
            <wp:docPr id="237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583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7"/>
        </w:rPr>
      </w:pPr>
    </w:p>
    <w:p>
      <w:pPr>
        <w:spacing w:before="0"/>
        <w:ind w:left="278" w:right="0" w:firstLine="0"/>
        <w:jc w:val="left"/>
        <w:rPr>
          <w:sz w:val="18"/>
        </w:rPr>
      </w:pPr>
      <w:r>
        <w:rPr>
          <w:sz w:val="18"/>
        </w:rPr>
        <w:t>Fuente:</w:t>
      </w:r>
      <w:r>
        <w:rPr>
          <w:spacing w:val="37"/>
          <w:sz w:val="18"/>
        </w:rPr>
        <w:t> </w:t>
      </w:r>
      <w:r>
        <w:rPr>
          <w:sz w:val="18"/>
        </w:rPr>
        <w:t>Elaboración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2"/>
          <w:sz w:val="18"/>
        </w:rPr>
        <w:t> </w:t>
      </w:r>
      <w:r>
        <w:rPr>
          <w:sz w:val="18"/>
        </w:rPr>
        <w:t>a partir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los datos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1"/>
          <w:sz w:val="18"/>
        </w:rPr>
        <w:t> </w:t>
      </w:r>
      <w:r>
        <w:rPr>
          <w:sz w:val="18"/>
        </w:rPr>
        <w:t>Anexo:</w:t>
      </w:r>
      <w:r>
        <w:rPr>
          <w:spacing w:val="-1"/>
          <w:sz w:val="18"/>
        </w:rPr>
        <w:t> </w:t>
      </w:r>
      <w:r>
        <w:rPr>
          <w:sz w:val="18"/>
        </w:rPr>
        <w:t>SEN</w:t>
      </w:r>
      <w:r>
        <w:rPr>
          <w:spacing w:val="-2"/>
          <w:sz w:val="18"/>
        </w:rPr>
        <w:t> </w:t>
      </w:r>
      <w:r>
        <w:rPr>
          <w:sz w:val="18"/>
        </w:rPr>
        <w:t>- Datos</w:t>
      </w:r>
      <w:r>
        <w:rPr>
          <w:spacing w:val="-2"/>
          <w:sz w:val="18"/>
        </w:rPr>
        <w:t> </w:t>
      </w:r>
      <w:r>
        <w:rPr>
          <w:sz w:val="18"/>
        </w:rPr>
        <w:t>sobre</w:t>
      </w:r>
      <w:r>
        <w:rPr>
          <w:spacing w:val="-4"/>
          <w:sz w:val="18"/>
        </w:rPr>
        <w:t> </w:t>
      </w:r>
      <w:r>
        <w:rPr>
          <w:sz w:val="18"/>
        </w:rPr>
        <w:t>cobertura,</w:t>
      </w:r>
      <w:r>
        <w:rPr>
          <w:spacing w:val="-2"/>
          <w:sz w:val="18"/>
        </w:rPr>
        <w:t> </w:t>
      </w:r>
      <w:r>
        <w:rPr>
          <w:sz w:val="18"/>
        </w:rPr>
        <w:t>tabla</w:t>
      </w:r>
      <w:r>
        <w:rPr>
          <w:spacing w:val="-2"/>
          <w:sz w:val="18"/>
        </w:rPr>
        <w:t> </w:t>
      </w:r>
      <w:r>
        <w:rPr>
          <w:sz w:val="18"/>
        </w:rPr>
        <w:t>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  <w:r>
        <w:rPr/>
        <w:pict>
          <v:rect style="position:absolute;margin-left:563.880005pt;margin-top:14.124107pt;width:25.44pt;height:1.4399pt;mso-position-horizontal-relative:page;mso-position-vertical-relative:paragraph;z-index:-1556275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ind w:right="211"/>
      </w:pPr>
      <w:r>
        <w:rPr/>
        <w:t>78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480128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23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0"/>
          <w:numId w:val="7"/>
        </w:numPr>
        <w:tabs>
          <w:tab w:pos="639" w:val="left" w:leader="none"/>
        </w:tabs>
        <w:spacing w:line="240" w:lineRule="auto" w:before="52" w:after="0"/>
        <w:ind w:left="638" w:right="0" w:hanging="361"/>
        <w:jc w:val="left"/>
      </w:pPr>
      <w:bookmarkStart w:name="_bookmark101" w:id="135"/>
      <w:bookmarkEnd w:id="135"/>
      <w:r>
        <w:rPr>
          <w:b w:val="0"/>
        </w:rPr>
      </w:r>
      <w:bookmarkStart w:name="_bookmark101" w:id="136"/>
      <w:bookmarkEnd w:id="136"/>
      <w:r>
        <w:rPr>
          <w:color w:val="1F4E79"/>
        </w:rPr>
        <w:t>E</w:t>
      </w:r>
      <w:r>
        <w:rPr>
          <w:color w:val="1F4E79"/>
        </w:rPr>
        <w:t>quidad</w:t>
      </w:r>
      <w:r>
        <w:rPr>
          <w:color w:val="1F4E79"/>
          <w:spacing w:val="-2"/>
        </w:rPr>
        <w:t> </w:t>
      </w:r>
      <w:r>
        <w:rPr>
          <w:color w:val="1F4E79"/>
        </w:rPr>
        <w:t>de</w:t>
      </w:r>
      <w:r>
        <w:rPr>
          <w:color w:val="1F4E79"/>
          <w:spacing w:val="-5"/>
        </w:rPr>
        <w:t> </w:t>
      </w:r>
      <w:r>
        <w:rPr>
          <w:color w:val="1F4E79"/>
        </w:rPr>
        <w:t>la</w:t>
      </w:r>
      <w:r>
        <w:rPr>
          <w:color w:val="1F4E79"/>
          <w:spacing w:val="-3"/>
        </w:rPr>
        <w:t> </w:t>
      </w:r>
      <w:r>
        <w:rPr>
          <w:color w:val="1F4E79"/>
        </w:rPr>
        <w:t>cobertura</w:t>
      </w:r>
      <w:r>
        <w:rPr>
          <w:color w:val="1F4E79"/>
          <w:spacing w:val="-6"/>
        </w:rPr>
        <w:t> </w:t>
      </w:r>
      <w:r>
        <w:rPr>
          <w:color w:val="1F4E79"/>
        </w:rPr>
        <w:t>por</w:t>
      </w:r>
      <w:r>
        <w:rPr>
          <w:color w:val="1F4E79"/>
          <w:spacing w:val="-2"/>
        </w:rPr>
        <w:t> </w:t>
      </w:r>
      <w:r>
        <w:rPr>
          <w:color w:val="1F4E79"/>
        </w:rPr>
        <w:t>sexo</w:t>
      </w:r>
      <w:r>
        <w:rPr>
          <w:color w:val="1F4E79"/>
          <w:spacing w:val="-2"/>
        </w:rPr>
        <w:t> </w:t>
      </w:r>
      <w:r>
        <w:rPr>
          <w:color w:val="1F4E79"/>
        </w:rPr>
        <w:t>a</w:t>
      </w:r>
      <w:r>
        <w:rPr>
          <w:color w:val="1F4E79"/>
          <w:spacing w:val="-3"/>
        </w:rPr>
        <w:t> </w:t>
      </w:r>
      <w:r>
        <w:rPr>
          <w:color w:val="1F4E79"/>
        </w:rPr>
        <w:t>nivel</w:t>
      </w:r>
      <w:r>
        <w:rPr>
          <w:color w:val="1F4E79"/>
          <w:spacing w:val="-2"/>
        </w:rPr>
        <w:t> </w:t>
      </w:r>
      <w:r>
        <w:rPr>
          <w:color w:val="1F4E79"/>
        </w:rPr>
        <w:t>departamental</w:t>
      </w:r>
      <w:r>
        <w:rPr>
          <w:color w:val="1F4E79"/>
          <w:spacing w:val="-1"/>
        </w:rPr>
        <w:t> </w:t>
      </w:r>
      <w:r>
        <w:rPr>
          <w:color w:val="1F4E79"/>
        </w:rPr>
        <w:t>y</w:t>
      </w:r>
      <w:r>
        <w:rPr>
          <w:color w:val="1F4E79"/>
          <w:spacing w:val="-3"/>
        </w:rPr>
        <w:t> </w:t>
      </w:r>
      <w:r>
        <w:rPr>
          <w:color w:val="1F4E79"/>
        </w:rPr>
        <w:t>municipal</w:t>
      </w:r>
    </w:p>
    <w:p>
      <w:pPr>
        <w:pStyle w:val="BodyText"/>
        <w:spacing w:before="6"/>
        <w:rPr>
          <w:b/>
          <w:sz w:val="29"/>
        </w:rPr>
      </w:pPr>
    </w:p>
    <w:p>
      <w:pPr>
        <w:spacing w:before="0"/>
        <w:ind w:left="278" w:right="1076" w:firstLine="0"/>
        <w:jc w:val="both"/>
        <w:rPr>
          <w:sz w:val="24"/>
        </w:rPr>
      </w:pPr>
      <w:r>
        <w:rPr>
          <w:sz w:val="24"/>
        </w:rPr>
        <w:t>La brecha en la tasa de cobertura entre sexos se define en términos cuantitativos como la</w:t>
      </w:r>
      <w:r>
        <w:rPr>
          <w:spacing w:val="1"/>
          <w:sz w:val="24"/>
        </w:rPr>
        <w:t> </w:t>
      </w:r>
      <w:r>
        <w:rPr>
          <w:sz w:val="24"/>
        </w:rPr>
        <w:t>diferencia simple entre las respectivas tasas entre mujeres y hombres. A nivel departamental en</w:t>
      </w:r>
      <w:r>
        <w:rPr>
          <w:spacing w:val="-52"/>
          <w:sz w:val="24"/>
        </w:rPr>
        <w:t> </w:t>
      </w:r>
      <w:r>
        <w:rPr>
          <w:sz w:val="24"/>
        </w:rPr>
        <w:t>promedio hay una brecha de 2% en los municipios con mayor cobertura; en tanto, en las zonas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tasas mínimas.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278" w:right="1072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nivel</w:t>
      </w:r>
      <w:r>
        <w:rPr>
          <w:spacing w:val="-11"/>
          <w:sz w:val="24"/>
        </w:rPr>
        <w:t> </w:t>
      </w:r>
      <w:r>
        <w:rPr>
          <w:sz w:val="24"/>
        </w:rPr>
        <w:t>municipal,</w:t>
      </w:r>
      <w:r>
        <w:rPr>
          <w:spacing w:val="-13"/>
          <w:sz w:val="24"/>
        </w:rPr>
        <w:t> </w:t>
      </w:r>
      <w:r>
        <w:rPr>
          <w:sz w:val="24"/>
        </w:rPr>
        <w:t>los</w:t>
      </w:r>
      <w:r>
        <w:rPr>
          <w:spacing w:val="-10"/>
          <w:sz w:val="24"/>
        </w:rPr>
        <w:t> </w:t>
      </w:r>
      <w:r>
        <w:rPr>
          <w:sz w:val="24"/>
        </w:rPr>
        <w:t>datos</w:t>
      </w:r>
      <w:r>
        <w:rPr>
          <w:spacing w:val="-11"/>
          <w:sz w:val="24"/>
        </w:rPr>
        <w:t> </w:t>
      </w:r>
      <w:r>
        <w:rPr>
          <w:sz w:val="24"/>
        </w:rPr>
        <w:t>por</w:t>
      </w:r>
      <w:r>
        <w:rPr>
          <w:spacing w:val="-11"/>
          <w:sz w:val="24"/>
        </w:rPr>
        <w:t> </w:t>
      </w:r>
      <w:r>
        <w:rPr>
          <w:sz w:val="24"/>
        </w:rPr>
        <w:t>sexo</w:t>
      </w:r>
      <w:r>
        <w:rPr>
          <w:spacing w:val="-12"/>
          <w:sz w:val="24"/>
        </w:rPr>
        <w:t> </w:t>
      </w:r>
      <w:r>
        <w:rPr>
          <w:sz w:val="24"/>
        </w:rPr>
        <w:t>se</w:t>
      </w:r>
      <w:r>
        <w:rPr>
          <w:spacing w:val="-9"/>
          <w:sz w:val="24"/>
        </w:rPr>
        <w:t> </w:t>
      </w:r>
      <w:r>
        <w:rPr>
          <w:sz w:val="24"/>
        </w:rPr>
        <w:t>presentan</w:t>
      </w:r>
      <w:r>
        <w:rPr>
          <w:spacing w:val="-12"/>
          <w:sz w:val="24"/>
        </w:rPr>
        <w:t> </w:t>
      </w:r>
      <w:r>
        <w:rPr>
          <w:sz w:val="24"/>
        </w:rPr>
        <w:t>en</w:t>
      </w:r>
      <w:r>
        <w:rPr>
          <w:spacing w:val="-10"/>
          <w:sz w:val="24"/>
        </w:rPr>
        <w:t> </w:t>
      </w:r>
      <w:r>
        <w:rPr>
          <w:sz w:val="24"/>
        </w:rPr>
        <w:t>el</w:t>
      </w:r>
      <w:r>
        <w:rPr>
          <w:spacing w:val="-9"/>
          <w:sz w:val="24"/>
        </w:rPr>
        <w:t> </w:t>
      </w:r>
      <w:r>
        <w:rPr>
          <w:sz w:val="24"/>
        </w:rPr>
        <w:t>Anexo:</w:t>
      </w:r>
      <w:r>
        <w:rPr>
          <w:spacing w:val="-11"/>
          <w:sz w:val="24"/>
        </w:rPr>
        <w:t> </w:t>
      </w:r>
      <w:r>
        <w:rPr>
          <w:sz w:val="24"/>
        </w:rPr>
        <w:t>SEN</w:t>
      </w:r>
      <w:r>
        <w:rPr>
          <w:spacing w:val="-12"/>
          <w:sz w:val="24"/>
        </w:rPr>
        <w:t> </w:t>
      </w:r>
      <w:r>
        <w:rPr>
          <w:sz w:val="24"/>
        </w:rPr>
        <w:t>-</w:t>
      </w:r>
      <w:r>
        <w:rPr>
          <w:spacing w:val="-10"/>
          <w:sz w:val="24"/>
        </w:rPr>
        <w:t> </w:t>
      </w:r>
      <w:r>
        <w:rPr>
          <w:sz w:val="24"/>
        </w:rPr>
        <w:t>Datos</w:t>
      </w:r>
      <w:r>
        <w:rPr>
          <w:spacing w:val="-13"/>
          <w:sz w:val="24"/>
        </w:rPr>
        <w:t> </w:t>
      </w:r>
      <w:r>
        <w:rPr>
          <w:sz w:val="24"/>
        </w:rPr>
        <w:t>sobre</w:t>
      </w:r>
      <w:r>
        <w:rPr>
          <w:spacing w:val="-11"/>
          <w:sz w:val="24"/>
        </w:rPr>
        <w:t> </w:t>
      </w:r>
      <w:r>
        <w:rPr>
          <w:sz w:val="24"/>
        </w:rPr>
        <w:t>cobertura,</w:t>
      </w:r>
      <w:r>
        <w:rPr>
          <w:spacing w:val="-13"/>
          <w:sz w:val="24"/>
        </w:rPr>
        <w:t> </w:t>
      </w:r>
      <w:r>
        <w:rPr>
          <w:sz w:val="24"/>
        </w:rPr>
        <w:t>tanto</w:t>
      </w:r>
      <w:r>
        <w:rPr>
          <w:spacing w:val="-52"/>
          <w:sz w:val="24"/>
        </w:rPr>
        <w:t> </w:t>
      </w:r>
      <w:r>
        <w:rPr>
          <w:sz w:val="24"/>
        </w:rPr>
        <w:t>para hombres como para mujeres en las tasas brutas y netas de cobertura. Para analizar dichos</w:t>
      </w:r>
      <w:r>
        <w:rPr>
          <w:spacing w:val="1"/>
          <w:sz w:val="24"/>
        </w:rPr>
        <w:t> </w:t>
      </w:r>
      <w:r>
        <w:rPr>
          <w:sz w:val="24"/>
        </w:rPr>
        <w:t>datos</w:t>
      </w:r>
      <w:r>
        <w:rPr>
          <w:spacing w:val="-3"/>
          <w:sz w:val="24"/>
        </w:rPr>
        <w:t> </w:t>
      </w:r>
      <w:r>
        <w:rPr>
          <w:sz w:val="24"/>
        </w:rPr>
        <w:t>se realiza</w:t>
      </w:r>
      <w:r>
        <w:rPr>
          <w:spacing w:val="-2"/>
          <w:sz w:val="24"/>
        </w:rPr>
        <w:t> </w:t>
      </w:r>
      <w:r>
        <w:rPr>
          <w:sz w:val="24"/>
        </w:rPr>
        <w:t>el recuento</w:t>
      </w:r>
      <w:r>
        <w:rPr>
          <w:spacing w:val="-2"/>
          <w:sz w:val="24"/>
        </w:rPr>
        <w:t> </w:t>
      </w:r>
      <w:r>
        <w:rPr>
          <w:sz w:val="24"/>
        </w:rPr>
        <w:t>estadístico</w:t>
      </w:r>
      <w:r>
        <w:rPr>
          <w:spacing w:val="-2"/>
          <w:sz w:val="24"/>
        </w:rPr>
        <w:t> </w:t>
      </w:r>
      <w:r>
        <w:rPr>
          <w:sz w:val="24"/>
        </w:rPr>
        <w:t>como se</w:t>
      </w:r>
      <w:r>
        <w:rPr>
          <w:spacing w:val="-1"/>
          <w:sz w:val="24"/>
        </w:rPr>
        <w:t> </w:t>
      </w:r>
      <w:r>
        <w:rPr>
          <w:sz w:val="24"/>
        </w:rPr>
        <w:t>muestra</w:t>
      </w:r>
      <w:r>
        <w:rPr>
          <w:spacing w:val="-2"/>
          <w:sz w:val="24"/>
        </w:rPr>
        <w:t> </w:t>
      </w:r>
      <w:r>
        <w:rPr>
          <w:sz w:val="24"/>
        </w:rPr>
        <w:t>en el</w:t>
      </w:r>
      <w:r>
        <w:rPr>
          <w:spacing w:val="-2"/>
          <w:sz w:val="24"/>
        </w:rPr>
        <w:t> </w:t>
      </w:r>
      <w:r>
        <w:rPr>
          <w:sz w:val="24"/>
        </w:rPr>
        <w:t>cuadro</w:t>
      </w:r>
      <w:r>
        <w:rPr>
          <w:spacing w:val="1"/>
          <w:sz w:val="24"/>
        </w:rPr>
        <w:t> </w:t>
      </w:r>
      <w:r>
        <w:rPr>
          <w:sz w:val="24"/>
        </w:rPr>
        <w:t>3.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278" w:right="0" w:firstLine="0"/>
        <w:jc w:val="both"/>
        <w:rPr>
          <w:b/>
          <w:sz w:val="22"/>
        </w:rPr>
      </w:pPr>
      <w:r>
        <w:rPr>
          <w:b/>
          <w:sz w:val="22"/>
        </w:rPr>
        <w:t>Cuadro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3:</w:t>
      </w:r>
      <w:r>
        <w:rPr>
          <w:b/>
          <w:spacing w:val="47"/>
          <w:sz w:val="22"/>
        </w:rPr>
        <w:t> </w:t>
      </w:r>
      <w:r>
        <w:rPr>
          <w:b/>
          <w:sz w:val="22"/>
        </w:rPr>
        <w:t>Estadísticas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tasa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cobertura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nivel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educativo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según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hombres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y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mujeres</w:t>
      </w:r>
    </w:p>
    <w:p>
      <w:pPr>
        <w:pStyle w:val="BodyText"/>
        <w:spacing w:before="1"/>
        <w:ind w:left="278"/>
        <w:jc w:val="both"/>
      </w:pPr>
      <w:r>
        <w:rPr/>
        <w:t>2018-2021.</w:t>
      </w:r>
      <w:r>
        <w:rPr>
          <w:spacing w:val="44"/>
        </w:rPr>
        <w:t> </w:t>
      </w:r>
      <w:r>
        <w:rPr/>
        <w:t>Número de</w:t>
      </w:r>
      <w:r>
        <w:rPr>
          <w:spacing w:val="-3"/>
        </w:rPr>
        <w:t> </w:t>
      </w:r>
      <w:r>
        <w:rPr/>
        <w:t>municipios</w:t>
      </w:r>
      <w:r>
        <w:rPr>
          <w:spacing w:val="-2"/>
        </w:rPr>
        <w:t> </w:t>
      </w:r>
      <w:r>
        <w:rPr/>
        <w:t>y porcentajes</w:t>
      </w:r>
      <w:r>
        <w:rPr>
          <w:spacing w:val="-3"/>
        </w:rPr>
        <w:t> </w:t>
      </w:r>
      <w:r>
        <w:rPr/>
        <w:t>según</w:t>
      </w:r>
      <w:r>
        <w:rPr>
          <w:spacing w:val="-2"/>
        </w:rPr>
        <w:t> </w:t>
      </w:r>
      <w:r>
        <w:rPr/>
        <w:t>cada</w:t>
      </w:r>
      <w:r>
        <w:rPr>
          <w:spacing w:val="-1"/>
        </w:rPr>
        <w:t> </w:t>
      </w:r>
      <w:r>
        <w:rPr/>
        <w:t>indicador.</w:t>
      </w:r>
    </w:p>
    <w:p>
      <w:pPr>
        <w:pStyle w:val="BodyText"/>
        <w:rPr>
          <w:sz w:val="24"/>
        </w:rPr>
      </w:pPr>
    </w:p>
    <w:tbl>
      <w:tblPr>
        <w:tblW w:w="0" w:type="auto"/>
        <w:jc w:val="left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6"/>
        <w:gridCol w:w="455"/>
        <w:gridCol w:w="454"/>
        <w:gridCol w:w="454"/>
        <w:gridCol w:w="454"/>
        <w:gridCol w:w="454"/>
        <w:gridCol w:w="454"/>
        <w:gridCol w:w="454"/>
        <w:gridCol w:w="454"/>
        <w:gridCol w:w="509"/>
        <w:gridCol w:w="456"/>
        <w:gridCol w:w="454"/>
        <w:gridCol w:w="453"/>
        <w:gridCol w:w="506"/>
        <w:gridCol w:w="453"/>
        <w:gridCol w:w="453"/>
        <w:gridCol w:w="453"/>
      </w:tblGrid>
      <w:tr>
        <w:trPr>
          <w:trHeight w:val="206" w:hRule="atLeast"/>
        </w:trPr>
        <w:tc>
          <w:tcPr>
            <w:tcW w:w="2026" w:type="dxa"/>
            <w:vMerge w:val="restart"/>
            <w:shd w:val="clear" w:color="auto" w:fill="4F81BC"/>
          </w:tcPr>
          <w:p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AÑO</w:t>
            </w:r>
          </w:p>
        </w:tc>
        <w:tc>
          <w:tcPr>
            <w:tcW w:w="1817" w:type="dxa"/>
            <w:gridSpan w:val="4"/>
            <w:shd w:val="clear" w:color="auto" w:fill="4F81BC"/>
          </w:tcPr>
          <w:p>
            <w:pPr>
              <w:pStyle w:val="TableParagraph"/>
              <w:spacing w:line="169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PREPRIMARIA</w:t>
            </w:r>
          </w:p>
        </w:tc>
        <w:tc>
          <w:tcPr>
            <w:tcW w:w="1816" w:type="dxa"/>
            <w:gridSpan w:val="4"/>
            <w:shd w:val="clear" w:color="auto" w:fill="4F81BC"/>
          </w:tcPr>
          <w:p>
            <w:pPr>
              <w:pStyle w:val="TableParagraph"/>
              <w:spacing w:line="169" w:lineRule="exact"/>
              <w:ind w:left="102"/>
              <w:rPr>
                <w:b/>
                <w:sz w:val="14"/>
              </w:rPr>
            </w:pPr>
            <w:r>
              <w:rPr>
                <w:b/>
                <w:sz w:val="14"/>
              </w:rPr>
              <w:t>PRIMARIA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NIÑOS</w:t>
            </w:r>
          </w:p>
        </w:tc>
        <w:tc>
          <w:tcPr>
            <w:tcW w:w="1872" w:type="dxa"/>
            <w:gridSpan w:val="4"/>
            <w:shd w:val="clear" w:color="auto" w:fill="4F81BC"/>
          </w:tcPr>
          <w:p>
            <w:pPr>
              <w:pStyle w:val="TableParagraph"/>
              <w:spacing w:line="169" w:lineRule="exact"/>
              <w:ind w:left="161"/>
              <w:rPr>
                <w:b/>
                <w:sz w:val="14"/>
              </w:rPr>
            </w:pPr>
            <w:r>
              <w:rPr>
                <w:b/>
                <w:sz w:val="14"/>
              </w:rPr>
              <w:t>BASICO</w:t>
            </w:r>
          </w:p>
        </w:tc>
        <w:tc>
          <w:tcPr>
            <w:tcW w:w="1865" w:type="dxa"/>
            <w:gridSpan w:val="4"/>
            <w:tcBorders>
              <w:right w:val="single" w:sz="6" w:space="0" w:color="000000"/>
            </w:tcBorders>
            <w:shd w:val="clear" w:color="auto" w:fill="4F81BC"/>
          </w:tcPr>
          <w:p>
            <w:pPr>
              <w:pStyle w:val="TableParagraph"/>
              <w:spacing w:line="169" w:lineRule="exact"/>
              <w:ind w:left="164"/>
              <w:rPr>
                <w:b/>
                <w:sz w:val="14"/>
              </w:rPr>
            </w:pPr>
            <w:r>
              <w:rPr>
                <w:b/>
                <w:sz w:val="14"/>
              </w:rPr>
              <w:t>DIVERSIFICADO</w:t>
            </w:r>
          </w:p>
        </w:tc>
      </w:tr>
      <w:tr>
        <w:trPr>
          <w:trHeight w:val="205" w:hRule="atLeast"/>
        </w:trPr>
        <w:tc>
          <w:tcPr>
            <w:tcW w:w="2026" w:type="dxa"/>
            <w:vMerge/>
            <w:tcBorders>
              <w:top w:val="nil"/>
            </w:tcBorders>
            <w:shd w:val="clear" w:color="auto" w:fill="4F81B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gridSpan w:val="4"/>
          </w:tcPr>
          <w:p>
            <w:pPr>
              <w:pStyle w:val="TableParagraph"/>
              <w:spacing w:line="169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Hombres</w:t>
            </w:r>
          </w:p>
        </w:tc>
        <w:tc>
          <w:tcPr>
            <w:tcW w:w="1816" w:type="dxa"/>
            <w:gridSpan w:val="4"/>
          </w:tcPr>
          <w:p>
            <w:pPr>
              <w:pStyle w:val="TableParagraph"/>
              <w:spacing w:line="169" w:lineRule="exact"/>
              <w:ind w:left="102"/>
              <w:rPr>
                <w:b/>
                <w:sz w:val="14"/>
              </w:rPr>
            </w:pPr>
            <w:r>
              <w:rPr>
                <w:b/>
                <w:sz w:val="14"/>
              </w:rPr>
              <w:t>Hombres</w:t>
            </w:r>
          </w:p>
        </w:tc>
        <w:tc>
          <w:tcPr>
            <w:tcW w:w="1872" w:type="dxa"/>
            <w:gridSpan w:val="4"/>
          </w:tcPr>
          <w:p>
            <w:pPr>
              <w:pStyle w:val="TableParagraph"/>
              <w:spacing w:line="169" w:lineRule="exact"/>
              <w:ind w:left="161"/>
              <w:rPr>
                <w:b/>
                <w:sz w:val="14"/>
              </w:rPr>
            </w:pPr>
            <w:r>
              <w:rPr>
                <w:b/>
                <w:sz w:val="14"/>
              </w:rPr>
              <w:t>Hombres</w:t>
            </w:r>
          </w:p>
        </w:tc>
        <w:tc>
          <w:tcPr>
            <w:tcW w:w="1865" w:type="dxa"/>
            <w:gridSpan w:val="4"/>
            <w:tcBorders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164"/>
              <w:rPr>
                <w:b/>
                <w:sz w:val="14"/>
              </w:rPr>
            </w:pPr>
            <w:r>
              <w:rPr>
                <w:b/>
                <w:sz w:val="14"/>
              </w:rPr>
              <w:t>Hombres</w:t>
            </w:r>
          </w:p>
        </w:tc>
      </w:tr>
      <w:tr>
        <w:trPr>
          <w:trHeight w:val="342" w:hRule="atLeast"/>
        </w:trPr>
        <w:tc>
          <w:tcPr>
            <w:tcW w:w="2026" w:type="dxa"/>
            <w:vMerge/>
            <w:tcBorders>
              <w:top w:val="nil"/>
            </w:tcBorders>
            <w:shd w:val="clear" w:color="auto" w:fill="4F81B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line="169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201</w:t>
            </w:r>
          </w:p>
          <w:p>
            <w:pPr>
              <w:pStyle w:val="TableParagraph"/>
              <w:spacing w:line="154" w:lineRule="exact"/>
              <w:ind w:left="10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8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6"/>
              <w:rPr>
                <w:b/>
                <w:sz w:val="14"/>
              </w:rPr>
            </w:pPr>
            <w:r>
              <w:rPr>
                <w:b/>
                <w:sz w:val="14"/>
              </w:rPr>
              <w:t>201</w:t>
            </w:r>
          </w:p>
          <w:p>
            <w:pPr>
              <w:pStyle w:val="TableParagraph"/>
              <w:spacing w:line="154" w:lineRule="exact"/>
              <w:ind w:left="10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9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6"/>
              <w:rPr>
                <w:b/>
                <w:sz w:val="14"/>
              </w:rPr>
            </w:pPr>
            <w:r>
              <w:rPr>
                <w:b/>
                <w:sz w:val="14"/>
              </w:rPr>
              <w:t>202</w:t>
            </w:r>
          </w:p>
          <w:p>
            <w:pPr>
              <w:pStyle w:val="TableParagraph"/>
              <w:spacing w:line="154" w:lineRule="exact"/>
              <w:ind w:left="10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3"/>
              <w:rPr>
                <w:b/>
                <w:sz w:val="14"/>
              </w:rPr>
            </w:pPr>
            <w:r>
              <w:rPr>
                <w:b/>
                <w:sz w:val="14"/>
              </w:rPr>
              <w:t>202</w:t>
            </w:r>
          </w:p>
          <w:p>
            <w:pPr>
              <w:pStyle w:val="TableParagraph"/>
              <w:spacing w:line="154" w:lineRule="exact"/>
              <w:ind w:left="103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1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2"/>
              <w:rPr>
                <w:b/>
                <w:sz w:val="14"/>
              </w:rPr>
            </w:pPr>
            <w:r>
              <w:rPr>
                <w:b/>
                <w:sz w:val="14"/>
              </w:rPr>
              <w:t>201</w:t>
            </w:r>
          </w:p>
          <w:p>
            <w:pPr>
              <w:pStyle w:val="TableParagraph"/>
              <w:spacing w:line="154" w:lineRule="exact"/>
              <w:ind w:left="10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8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4"/>
              <w:rPr>
                <w:b/>
                <w:sz w:val="14"/>
              </w:rPr>
            </w:pPr>
            <w:r>
              <w:rPr>
                <w:b/>
                <w:sz w:val="14"/>
              </w:rPr>
              <w:t>201</w:t>
            </w:r>
          </w:p>
          <w:p>
            <w:pPr>
              <w:pStyle w:val="TableParagraph"/>
              <w:spacing w:line="154" w:lineRule="exact"/>
              <w:ind w:left="104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9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4"/>
              <w:rPr>
                <w:b/>
                <w:sz w:val="14"/>
              </w:rPr>
            </w:pPr>
            <w:r>
              <w:rPr>
                <w:b/>
                <w:sz w:val="14"/>
              </w:rPr>
              <w:t>202</w:t>
            </w:r>
          </w:p>
          <w:p>
            <w:pPr>
              <w:pStyle w:val="TableParagraph"/>
              <w:spacing w:line="154" w:lineRule="exact"/>
              <w:ind w:left="104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4"/>
              <w:rPr>
                <w:b/>
                <w:sz w:val="14"/>
              </w:rPr>
            </w:pPr>
            <w:r>
              <w:rPr>
                <w:b/>
                <w:sz w:val="14"/>
              </w:rPr>
              <w:t>202</w:t>
            </w:r>
          </w:p>
          <w:p>
            <w:pPr>
              <w:pStyle w:val="TableParagraph"/>
              <w:spacing w:line="154" w:lineRule="exact"/>
              <w:ind w:left="104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1</w:t>
            </w:r>
          </w:p>
        </w:tc>
        <w:tc>
          <w:tcPr>
            <w:tcW w:w="509" w:type="dxa"/>
          </w:tcPr>
          <w:p>
            <w:pPr>
              <w:pStyle w:val="TableParagraph"/>
              <w:spacing w:line="169" w:lineRule="exact"/>
              <w:ind w:left="83" w:right="9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2018</w:t>
            </w:r>
          </w:p>
        </w:tc>
        <w:tc>
          <w:tcPr>
            <w:tcW w:w="456" w:type="dxa"/>
          </w:tcPr>
          <w:p>
            <w:pPr>
              <w:pStyle w:val="TableParagraph"/>
              <w:spacing w:line="169" w:lineRule="exact"/>
              <w:ind w:left="103"/>
              <w:rPr>
                <w:b/>
                <w:sz w:val="14"/>
              </w:rPr>
            </w:pPr>
            <w:r>
              <w:rPr>
                <w:b/>
                <w:sz w:val="14"/>
              </w:rPr>
              <w:t>201</w:t>
            </w:r>
          </w:p>
          <w:p>
            <w:pPr>
              <w:pStyle w:val="TableParagraph"/>
              <w:spacing w:line="154" w:lineRule="exact"/>
              <w:ind w:left="103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9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1"/>
              <w:rPr>
                <w:b/>
                <w:sz w:val="14"/>
              </w:rPr>
            </w:pPr>
            <w:r>
              <w:rPr>
                <w:b/>
                <w:sz w:val="14"/>
              </w:rPr>
              <w:t>202</w:t>
            </w:r>
          </w:p>
          <w:p>
            <w:pPr>
              <w:pStyle w:val="TableParagraph"/>
              <w:spacing w:line="154" w:lineRule="exact"/>
              <w:ind w:left="10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104"/>
              <w:rPr>
                <w:b/>
                <w:sz w:val="14"/>
              </w:rPr>
            </w:pPr>
            <w:r>
              <w:rPr>
                <w:b/>
                <w:sz w:val="14"/>
              </w:rPr>
              <w:t>202</w:t>
            </w:r>
          </w:p>
          <w:p>
            <w:pPr>
              <w:pStyle w:val="TableParagraph"/>
              <w:spacing w:line="154" w:lineRule="exact"/>
              <w:ind w:left="104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1</w:t>
            </w:r>
          </w:p>
        </w:tc>
        <w:tc>
          <w:tcPr>
            <w:tcW w:w="506" w:type="dxa"/>
          </w:tcPr>
          <w:p>
            <w:pPr>
              <w:pStyle w:val="TableParagraph"/>
              <w:spacing w:line="169" w:lineRule="exact"/>
              <w:ind w:left="104"/>
              <w:rPr>
                <w:b/>
                <w:sz w:val="14"/>
              </w:rPr>
            </w:pPr>
            <w:r>
              <w:rPr>
                <w:b/>
                <w:sz w:val="14"/>
              </w:rPr>
              <w:t>2018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105"/>
              <w:rPr>
                <w:b/>
                <w:sz w:val="14"/>
              </w:rPr>
            </w:pPr>
            <w:r>
              <w:rPr>
                <w:b/>
                <w:sz w:val="14"/>
              </w:rPr>
              <w:t>201</w:t>
            </w:r>
          </w:p>
          <w:p>
            <w:pPr>
              <w:pStyle w:val="TableParagraph"/>
              <w:spacing w:line="154" w:lineRule="exact"/>
              <w:ind w:left="10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9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105"/>
              <w:rPr>
                <w:b/>
                <w:sz w:val="14"/>
              </w:rPr>
            </w:pPr>
            <w:r>
              <w:rPr>
                <w:b/>
                <w:sz w:val="14"/>
              </w:rPr>
              <w:t>202</w:t>
            </w:r>
          </w:p>
          <w:p>
            <w:pPr>
              <w:pStyle w:val="TableParagraph"/>
              <w:spacing w:line="154" w:lineRule="exact"/>
              <w:ind w:left="10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45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106"/>
              <w:rPr>
                <w:b/>
                <w:sz w:val="14"/>
              </w:rPr>
            </w:pPr>
            <w:r>
              <w:rPr>
                <w:b/>
                <w:sz w:val="14"/>
              </w:rPr>
              <w:t>202</w:t>
            </w:r>
          </w:p>
          <w:p>
            <w:pPr>
              <w:pStyle w:val="TableParagraph"/>
              <w:spacing w:line="154" w:lineRule="exact"/>
              <w:ind w:left="10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1</w:t>
            </w:r>
          </w:p>
        </w:tc>
      </w:tr>
      <w:tr>
        <w:trPr>
          <w:trHeight w:val="292" w:hRule="atLeast"/>
        </w:trPr>
        <w:tc>
          <w:tcPr>
            <w:tcW w:w="2026" w:type="dxa"/>
          </w:tcPr>
          <w:p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COBERTURA</w:t>
            </w:r>
          </w:p>
        </w:tc>
        <w:tc>
          <w:tcPr>
            <w:tcW w:w="455" w:type="dxa"/>
          </w:tcPr>
          <w:p>
            <w:pPr>
              <w:pStyle w:val="TableParagraph"/>
              <w:spacing w:line="169" w:lineRule="exact"/>
              <w:ind w:left="107"/>
              <w:rPr>
                <w:sz w:val="14"/>
              </w:rPr>
            </w:pPr>
            <w:r>
              <w:rPr>
                <w:sz w:val="14"/>
              </w:rPr>
              <w:t>339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81" w:right="97"/>
              <w:jc w:val="center"/>
              <w:rPr>
                <w:sz w:val="14"/>
              </w:rPr>
            </w:pPr>
            <w:r>
              <w:rPr>
                <w:sz w:val="14"/>
              </w:rPr>
              <w:t>339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81" w:right="98"/>
              <w:jc w:val="center"/>
              <w:rPr>
                <w:sz w:val="14"/>
              </w:rPr>
            </w:pPr>
            <w:r>
              <w:rPr>
                <w:sz w:val="14"/>
              </w:rPr>
              <w:t>339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3"/>
              <w:rPr>
                <w:sz w:val="14"/>
              </w:rPr>
            </w:pPr>
            <w:r>
              <w:rPr>
                <w:sz w:val="14"/>
              </w:rPr>
              <w:t>339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2"/>
              <w:rPr>
                <w:sz w:val="14"/>
              </w:rPr>
            </w:pPr>
            <w:r>
              <w:rPr>
                <w:sz w:val="14"/>
              </w:rPr>
              <w:t>339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81" w:right="101"/>
              <w:jc w:val="center"/>
              <w:rPr>
                <w:sz w:val="14"/>
              </w:rPr>
            </w:pPr>
            <w:r>
              <w:rPr>
                <w:sz w:val="14"/>
              </w:rPr>
              <w:t>339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339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81" w:right="101"/>
              <w:jc w:val="center"/>
              <w:rPr>
                <w:sz w:val="14"/>
              </w:rPr>
            </w:pPr>
            <w:r>
              <w:rPr>
                <w:sz w:val="14"/>
              </w:rPr>
              <w:t>339</w:t>
            </w:r>
          </w:p>
        </w:tc>
        <w:tc>
          <w:tcPr>
            <w:tcW w:w="509" w:type="dxa"/>
          </w:tcPr>
          <w:p>
            <w:pPr>
              <w:pStyle w:val="TableParagraph"/>
              <w:spacing w:line="169" w:lineRule="exact"/>
              <w:ind w:left="15" w:right="91"/>
              <w:jc w:val="center"/>
              <w:rPr>
                <w:sz w:val="14"/>
              </w:rPr>
            </w:pPr>
            <w:r>
              <w:rPr>
                <w:sz w:val="14"/>
              </w:rPr>
              <w:t>339</w:t>
            </w:r>
          </w:p>
        </w:tc>
        <w:tc>
          <w:tcPr>
            <w:tcW w:w="456" w:type="dxa"/>
          </w:tcPr>
          <w:p>
            <w:pPr>
              <w:pStyle w:val="TableParagraph"/>
              <w:spacing w:line="169" w:lineRule="exact"/>
              <w:ind w:left="103"/>
              <w:rPr>
                <w:sz w:val="14"/>
              </w:rPr>
            </w:pPr>
            <w:r>
              <w:rPr>
                <w:sz w:val="14"/>
              </w:rPr>
              <w:t>339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77" w:right="103"/>
              <w:jc w:val="center"/>
              <w:rPr>
                <w:sz w:val="14"/>
              </w:rPr>
            </w:pPr>
            <w:r>
              <w:rPr>
                <w:sz w:val="14"/>
              </w:rPr>
              <w:t>339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83" w:right="103"/>
              <w:jc w:val="center"/>
              <w:rPr>
                <w:sz w:val="14"/>
              </w:rPr>
            </w:pPr>
            <w:r>
              <w:rPr>
                <w:sz w:val="14"/>
              </w:rPr>
              <w:t>339</w:t>
            </w:r>
          </w:p>
        </w:tc>
        <w:tc>
          <w:tcPr>
            <w:tcW w:w="506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326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83" w:right="101"/>
              <w:jc w:val="center"/>
              <w:rPr>
                <w:sz w:val="14"/>
              </w:rPr>
            </w:pPr>
            <w:r>
              <w:rPr>
                <w:sz w:val="14"/>
              </w:rPr>
              <w:t>326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105"/>
              <w:rPr>
                <w:sz w:val="14"/>
              </w:rPr>
            </w:pPr>
            <w:r>
              <w:rPr>
                <w:sz w:val="14"/>
              </w:rPr>
              <w:t>324</w:t>
            </w:r>
          </w:p>
        </w:tc>
        <w:tc>
          <w:tcPr>
            <w:tcW w:w="45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106"/>
              <w:rPr>
                <w:sz w:val="14"/>
              </w:rPr>
            </w:pPr>
            <w:r>
              <w:rPr>
                <w:sz w:val="14"/>
              </w:rPr>
              <w:t>324</w:t>
            </w:r>
          </w:p>
        </w:tc>
      </w:tr>
      <w:tr>
        <w:trPr>
          <w:trHeight w:val="340" w:hRule="atLeast"/>
        </w:trPr>
        <w:tc>
          <w:tcPr>
            <w:tcW w:w="2026" w:type="dxa"/>
          </w:tcPr>
          <w:p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PROMEDIO</w:t>
            </w:r>
          </w:p>
        </w:tc>
        <w:tc>
          <w:tcPr>
            <w:tcW w:w="455" w:type="dxa"/>
          </w:tcPr>
          <w:p>
            <w:pPr>
              <w:pStyle w:val="TableParagraph"/>
              <w:spacing w:line="169" w:lineRule="exact"/>
              <w:ind w:left="107"/>
              <w:rPr>
                <w:sz w:val="14"/>
              </w:rPr>
            </w:pPr>
            <w:r>
              <w:rPr>
                <w:sz w:val="14"/>
              </w:rPr>
              <w:t>66</w:t>
            </w:r>
          </w:p>
          <w:p>
            <w:pPr>
              <w:pStyle w:val="TableParagraph"/>
              <w:spacing w:line="151" w:lineRule="exact"/>
              <w:ind w:left="107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6"/>
              <w:rPr>
                <w:sz w:val="14"/>
              </w:rPr>
            </w:pPr>
            <w:r>
              <w:rPr>
                <w:sz w:val="14"/>
              </w:rPr>
              <w:t>63</w:t>
            </w:r>
          </w:p>
          <w:p>
            <w:pPr>
              <w:pStyle w:val="TableParagraph"/>
              <w:spacing w:line="151" w:lineRule="exact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6"/>
              <w:rPr>
                <w:sz w:val="14"/>
              </w:rPr>
            </w:pPr>
            <w:r>
              <w:rPr>
                <w:sz w:val="14"/>
              </w:rPr>
              <w:t>62</w:t>
            </w:r>
          </w:p>
          <w:p>
            <w:pPr>
              <w:pStyle w:val="TableParagraph"/>
              <w:spacing w:line="151" w:lineRule="exact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3"/>
              <w:rPr>
                <w:sz w:val="14"/>
              </w:rPr>
            </w:pPr>
            <w:r>
              <w:rPr>
                <w:sz w:val="14"/>
              </w:rPr>
              <w:t>66</w:t>
            </w:r>
          </w:p>
          <w:p>
            <w:pPr>
              <w:pStyle w:val="TableParagraph"/>
              <w:spacing w:line="151" w:lineRule="exact"/>
              <w:ind w:left="103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2"/>
              <w:rPr>
                <w:sz w:val="14"/>
              </w:rPr>
            </w:pPr>
            <w:r>
              <w:rPr>
                <w:sz w:val="14"/>
              </w:rPr>
              <w:t>91</w:t>
            </w:r>
          </w:p>
          <w:p>
            <w:pPr>
              <w:pStyle w:val="TableParagraph"/>
              <w:spacing w:line="151" w:lineRule="exact"/>
              <w:ind w:left="102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92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92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94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509" w:type="dxa"/>
          </w:tcPr>
          <w:p>
            <w:pPr>
              <w:pStyle w:val="TableParagraph"/>
              <w:spacing w:line="169" w:lineRule="exact"/>
              <w:ind w:left="44" w:right="91"/>
              <w:jc w:val="center"/>
              <w:rPr>
                <w:sz w:val="14"/>
              </w:rPr>
            </w:pPr>
            <w:r>
              <w:rPr>
                <w:sz w:val="14"/>
              </w:rPr>
              <w:t>46%</w:t>
            </w:r>
          </w:p>
        </w:tc>
        <w:tc>
          <w:tcPr>
            <w:tcW w:w="456" w:type="dxa"/>
          </w:tcPr>
          <w:p>
            <w:pPr>
              <w:pStyle w:val="TableParagraph"/>
              <w:spacing w:line="169" w:lineRule="exact"/>
              <w:ind w:left="103"/>
              <w:rPr>
                <w:sz w:val="14"/>
              </w:rPr>
            </w:pPr>
            <w:r>
              <w:rPr>
                <w:sz w:val="14"/>
              </w:rPr>
              <w:t>46</w:t>
            </w:r>
          </w:p>
          <w:p>
            <w:pPr>
              <w:pStyle w:val="TableParagraph"/>
              <w:spacing w:line="151" w:lineRule="exact"/>
              <w:ind w:left="103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1"/>
              <w:rPr>
                <w:sz w:val="14"/>
              </w:rPr>
            </w:pPr>
            <w:r>
              <w:rPr>
                <w:sz w:val="14"/>
              </w:rPr>
              <w:t>46</w:t>
            </w:r>
          </w:p>
          <w:p>
            <w:pPr>
              <w:pStyle w:val="TableParagraph"/>
              <w:spacing w:line="151" w:lineRule="exact"/>
              <w:ind w:left="101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45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19%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105"/>
              <w:rPr>
                <w:sz w:val="14"/>
              </w:rPr>
            </w:pPr>
            <w:r>
              <w:rPr>
                <w:sz w:val="14"/>
              </w:rPr>
              <w:t>19</w:t>
            </w:r>
          </w:p>
          <w:p>
            <w:pPr>
              <w:pStyle w:val="TableParagraph"/>
              <w:spacing w:line="151" w:lineRule="exact"/>
              <w:ind w:left="105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105"/>
              <w:rPr>
                <w:sz w:val="14"/>
              </w:rPr>
            </w:pPr>
            <w:r>
              <w:rPr>
                <w:sz w:val="14"/>
              </w:rPr>
              <w:t>19</w:t>
            </w:r>
          </w:p>
          <w:p>
            <w:pPr>
              <w:pStyle w:val="TableParagraph"/>
              <w:spacing w:line="151" w:lineRule="exact"/>
              <w:ind w:left="105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106"/>
              <w:rPr>
                <w:sz w:val="14"/>
              </w:rPr>
            </w:pPr>
            <w:r>
              <w:rPr>
                <w:sz w:val="14"/>
              </w:rPr>
              <w:t>18</w:t>
            </w:r>
          </w:p>
          <w:p>
            <w:pPr>
              <w:pStyle w:val="TableParagraph"/>
              <w:spacing w:line="151" w:lineRule="exact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</w:tr>
      <w:tr>
        <w:trPr>
          <w:trHeight w:val="588" w:hRule="atLeast"/>
        </w:trPr>
        <w:tc>
          <w:tcPr>
            <w:tcW w:w="2026" w:type="dxa"/>
          </w:tcPr>
          <w:p>
            <w:pPr>
              <w:pStyle w:val="TableParagraph"/>
              <w:spacing w:line="290" w:lineRule="atLeast"/>
              <w:ind w:left="107" w:right="644"/>
              <w:rPr>
                <w:b/>
                <w:sz w:val="24"/>
              </w:rPr>
            </w:pPr>
            <w:r>
              <w:rPr>
                <w:b/>
                <w:sz w:val="24"/>
              </w:rPr>
              <w:t>DESVIACION</w:t>
            </w:r>
            <w:r>
              <w:rPr>
                <w:b/>
                <w:spacing w:val="-52"/>
                <w:sz w:val="24"/>
              </w:rPr>
              <w:t> </w:t>
            </w:r>
            <w:r>
              <w:rPr>
                <w:b/>
                <w:sz w:val="24"/>
              </w:rPr>
              <w:t>ESTANDAR</w:t>
            </w:r>
          </w:p>
        </w:tc>
        <w:tc>
          <w:tcPr>
            <w:tcW w:w="455" w:type="dxa"/>
          </w:tcPr>
          <w:p>
            <w:pPr>
              <w:pStyle w:val="TableParagraph"/>
              <w:spacing w:line="171" w:lineRule="exact" w:before="1"/>
              <w:ind w:left="107"/>
              <w:rPr>
                <w:sz w:val="14"/>
              </w:rPr>
            </w:pPr>
            <w:r>
              <w:rPr>
                <w:sz w:val="14"/>
              </w:rPr>
              <w:t>17</w:t>
            </w:r>
          </w:p>
          <w:p>
            <w:pPr>
              <w:pStyle w:val="TableParagraph"/>
              <w:spacing w:line="171" w:lineRule="exact"/>
              <w:ind w:left="107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71" w:lineRule="exact" w:before="1"/>
              <w:ind w:left="106"/>
              <w:rPr>
                <w:sz w:val="14"/>
              </w:rPr>
            </w:pPr>
            <w:r>
              <w:rPr>
                <w:sz w:val="14"/>
              </w:rPr>
              <w:t>16</w:t>
            </w:r>
          </w:p>
          <w:p>
            <w:pPr>
              <w:pStyle w:val="TableParagraph"/>
              <w:spacing w:line="171" w:lineRule="exact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71" w:lineRule="exact" w:before="1"/>
              <w:ind w:left="106"/>
              <w:rPr>
                <w:sz w:val="14"/>
              </w:rPr>
            </w:pPr>
            <w:r>
              <w:rPr>
                <w:sz w:val="14"/>
              </w:rPr>
              <w:t>17</w:t>
            </w:r>
          </w:p>
          <w:p>
            <w:pPr>
              <w:pStyle w:val="TableParagraph"/>
              <w:spacing w:line="171" w:lineRule="exact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71" w:lineRule="exact" w:before="1"/>
              <w:ind w:left="103"/>
              <w:rPr>
                <w:sz w:val="14"/>
              </w:rPr>
            </w:pPr>
            <w:r>
              <w:rPr>
                <w:sz w:val="14"/>
              </w:rPr>
              <w:t>15</w:t>
            </w:r>
          </w:p>
          <w:p>
            <w:pPr>
              <w:pStyle w:val="TableParagraph"/>
              <w:spacing w:line="171" w:lineRule="exact"/>
              <w:ind w:left="103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before="1"/>
              <w:ind w:left="102"/>
              <w:rPr>
                <w:sz w:val="14"/>
              </w:rPr>
            </w:pPr>
            <w:r>
              <w:rPr>
                <w:sz w:val="14"/>
              </w:rPr>
              <w:t>9%</w:t>
            </w:r>
          </w:p>
        </w:tc>
        <w:tc>
          <w:tcPr>
            <w:tcW w:w="454" w:type="dxa"/>
          </w:tcPr>
          <w:p>
            <w:pPr>
              <w:pStyle w:val="TableParagraph"/>
              <w:spacing w:line="171" w:lineRule="exact" w:before="1"/>
              <w:ind w:left="104"/>
              <w:rPr>
                <w:sz w:val="14"/>
              </w:rPr>
            </w:pPr>
            <w:r>
              <w:rPr>
                <w:sz w:val="14"/>
              </w:rPr>
              <w:t>10</w:t>
            </w:r>
          </w:p>
          <w:p>
            <w:pPr>
              <w:pStyle w:val="TableParagraph"/>
              <w:spacing w:line="17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71" w:lineRule="exact" w:before="1"/>
              <w:ind w:left="104"/>
              <w:rPr>
                <w:sz w:val="14"/>
              </w:rPr>
            </w:pPr>
            <w:r>
              <w:rPr>
                <w:sz w:val="14"/>
              </w:rPr>
              <w:t>10</w:t>
            </w:r>
          </w:p>
          <w:p>
            <w:pPr>
              <w:pStyle w:val="TableParagraph"/>
              <w:spacing w:line="17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71" w:lineRule="exact" w:before="1"/>
              <w:ind w:left="104"/>
              <w:rPr>
                <w:sz w:val="14"/>
              </w:rPr>
            </w:pPr>
            <w:r>
              <w:rPr>
                <w:sz w:val="14"/>
              </w:rPr>
              <w:t>10</w:t>
            </w:r>
          </w:p>
          <w:p>
            <w:pPr>
              <w:pStyle w:val="TableParagraph"/>
              <w:spacing w:line="17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509" w:type="dxa"/>
          </w:tcPr>
          <w:p>
            <w:pPr>
              <w:pStyle w:val="TableParagraph"/>
              <w:spacing w:before="1"/>
              <w:ind w:left="44" w:right="91"/>
              <w:jc w:val="center"/>
              <w:rPr>
                <w:sz w:val="14"/>
              </w:rPr>
            </w:pPr>
            <w:r>
              <w:rPr>
                <w:sz w:val="14"/>
              </w:rPr>
              <w:t>19%</w:t>
            </w:r>
          </w:p>
        </w:tc>
        <w:tc>
          <w:tcPr>
            <w:tcW w:w="456" w:type="dxa"/>
          </w:tcPr>
          <w:p>
            <w:pPr>
              <w:pStyle w:val="TableParagraph"/>
              <w:spacing w:line="171" w:lineRule="exact" w:before="1"/>
              <w:ind w:left="103"/>
              <w:rPr>
                <w:sz w:val="14"/>
              </w:rPr>
            </w:pPr>
            <w:r>
              <w:rPr>
                <w:sz w:val="14"/>
              </w:rPr>
              <w:t>19</w:t>
            </w:r>
          </w:p>
          <w:p>
            <w:pPr>
              <w:pStyle w:val="TableParagraph"/>
              <w:spacing w:line="171" w:lineRule="exact"/>
              <w:ind w:left="103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71" w:lineRule="exact" w:before="1"/>
              <w:ind w:left="101"/>
              <w:rPr>
                <w:sz w:val="14"/>
              </w:rPr>
            </w:pPr>
            <w:r>
              <w:rPr>
                <w:sz w:val="14"/>
              </w:rPr>
              <w:t>19</w:t>
            </w:r>
          </w:p>
          <w:p>
            <w:pPr>
              <w:pStyle w:val="TableParagraph"/>
              <w:spacing w:line="171" w:lineRule="exact"/>
              <w:ind w:left="101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</w:tcPr>
          <w:p>
            <w:pPr>
              <w:pStyle w:val="TableParagraph"/>
              <w:spacing w:line="171" w:lineRule="exact" w:before="1"/>
              <w:ind w:left="104"/>
              <w:rPr>
                <w:sz w:val="14"/>
              </w:rPr>
            </w:pPr>
            <w:r>
              <w:rPr>
                <w:sz w:val="14"/>
              </w:rPr>
              <w:t>19</w:t>
            </w:r>
          </w:p>
          <w:p>
            <w:pPr>
              <w:pStyle w:val="TableParagraph"/>
              <w:spacing w:line="17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1"/>
              <w:ind w:left="104"/>
              <w:rPr>
                <w:sz w:val="14"/>
              </w:rPr>
            </w:pPr>
            <w:r>
              <w:rPr>
                <w:sz w:val="14"/>
              </w:rPr>
              <w:t>19%</w:t>
            </w:r>
          </w:p>
        </w:tc>
        <w:tc>
          <w:tcPr>
            <w:tcW w:w="453" w:type="dxa"/>
          </w:tcPr>
          <w:p>
            <w:pPr>
              <w:pStyle w:val="TableParagraph"/>
              <w:spacing w:line="171" w:lineRule="exact" w:before="1"/>
              <w:ind w:left="105"/>
              <w:rPr>
                <w:sz w:val="14"/>
              </w:rPr>
            </w:pPr>
            <w:r>
              <w:rPr>
                <w:sz w:val="14"/>
              </w:rPr>
              <w:t>19</w:t>
            </w:r>
          </w:p>
          <w:p>
            <w:pPr>
              <w:pStyle w:val="TableParagraph"/>
              <w:spacing w:line="171" w:lineRule="exact"/>
              <w:ind w:left="105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</w:tcPr>
          <w:p>
            <w:pPr>
              <w:pStyle w:val="TableParagraph"/>
              <w:spacing w:line="171" w:lineRule="exact" w:before="1"/>
              <w:ind w:left="105"/>
              <w:rPr>
                <w:sz w:val="14"/>
              </w:rPr>
            </w:pPr>
            <w:r>
              <w:rPr>
                <w:sz w:val="14"/>
              </w:rPr>
              <w:t>19</w:t>
            </w:r>
          </w:p>
          <w:p>
            <w:pPr>
              <w:pStyle w:val="TableParagraph"/>
              <w:spacing w:line="171" w:lineRule="exact"/>
              <w:ind w:left="105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71" w:lineRule="exact" w:before="1"/>
              <w:ind w:left="106"/>
              <w:rPr>
                <w:sz w:val="14"/>
              </w:rPr>
            </w:pPr>
            <w:r>
              <w:rPr>
                <w:sz w:val="14"/>
              </w:rPr>
              <w:t>17</w:t>
            </w:r>
          </w:p>
          <w:p>
            <w:pPr>
              <w:pStyle w:val="TableParagraph"/>
              <w:spacing w:line="171" w:lineRule="exact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</w:tr>
      <w:tr>
        <w:trPr>
          <w:trHeight w:val="340" w:hRule="atLeast"/>
        </w:trPr>
        <w:tc>
          <w:tcPr>
            <w:tcW w:w="2026" w:type="dxa"/>
          </w:tcPr>
          <w:p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MINIMA</w:t>
            </w:r>
          </w:p>
        </w:tc>
        <w:tc>
          <w:tcPr>
            <w:tcW w:w="455" w:type="dxa"/>
          </w:tcPr>
          <w:p>
            <w:pPr>
              <w:pStyle w:val="TableParagraph"/>
              <w:spacing w:line="169" w:lineRule="exact"/>
              <w:ind w:left="107"/>
              <w:rPr>
                <w:sz w:val="14"/>
              </w:rPr>
            </w:pPr>
            <w:r>
              <w:rPr>
                <w:sz w:val="14"/>
              </w:rPr>
              <w:t>17</w:t>
            </w:r>
          </w:p>
          <w:p>
            <w:pPr>
              <w:pStyle w:val="TableParagraph"/>
              <w:spacing w:line="151" w:lineRule="exact"/>
              <w:ind w:left="107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6"/>
              <w:rPr>
                <w:sz w:val="14"/>
              </w:rPr>
            </w:pPr>
            <w:r>
              <w:rPr>
                <w:sz w:val="14"/>
              </w:rPr>
              <w:t>18</w:t>
            </w:r>
          </w:p>
          <w:p>
            <w:pPr>
              <w:pStyle w:val="TableParagraph"/>
              <w:spacing w:line="151" w:lineRule="exact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6"/>
              <w:rPr>
                <w:sz w:val="14"/>
              </w:rPr>
            </w:pPr>
            <w:r>
              <w:rPr>
                <w:sz w:val="14"/>
              </w:rPr>
              <w:t>15</w:t>
            </w:r>
          </w:p>
          <w:p>
            <w:pPr>
              <w:pStyle w:val="TableParagraph"/>
              <w:spacing w:line="151" w:lineRule="exact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3"/>
              <w:rPr>
                <w:sz w:val="14"/>
              </w:rPr>
            </w:pPr>
            <w:r>
              <w:rPr>
                <w:sz w:val="14"/>
              </w:rPr>
              <w:t>17</w:t>
            </w:r>
          </w:p>
          <w:p>
            <w:pPr>
              <w:pStyle w:val="TableParagraph"/>
              <w:spacing w:line="151" w:lineRule="exact"/>
              <w:ind w:left="103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2"/>
              <w:rPr>
                <w:sz w:val="14"/>
              </w:rPr>
            </w:pPr>
            <w:r>
              <w:rPr>
                <w:sz w:val="14"/>
              </w:rPr>
              <w:t>68</w:t>
            </w:r>
          </w:p>
          <w:p>
            <w:pPr>
              <w:pStyle w:val="TableParagraph"/>
              <w:spacing w:line="151" w:lineRule="exact"/>
              <w:ind w:left="102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65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65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65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509" w:type="dxa"/>
          </w:tcPr>
          <w:p>
            <w:pPr>
              <w:pStyle w:val="TableParagraph"/>
              <w:spacing w:line="169" w:lineRule="exact"/>
              <w:ind w:left="83" w:right="203"/>
              <w:jc w:val="center"/>
              <w:rPr>
                <w:sz w:val="14"/>
              </w:rPr>
            </w:pPr>
            <w:r>
              <w:rPr>
                <w:sz w:val="14"/>
              </w:rPr>
              <w:t>8%</w:t>
            </w:r>
          </w:p>
        </w:tc>
        <w:tc>
          <w:tcPr>
            <w:tcW w:w="456" w:type="dxa"/>
          </w:tcPr>
          <w:p>
            <w:pPr>
              <w:pStyle w:val="TableParagraph"/>
              <w:spacing w:line="169" w:lineRule="exact"/>
              <w:ind w:left="103"/>
              <w:rPr>
                <w:sz w:val="14"/>
              </w:rPr>
            </w:pPr>
            <w:r>
              <w:rPr>
                <w:sz w:val="14"/>
              </w:rPr>
              <w:t>6%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33" w:right="103"/>
              <w:jc w:val="center"/>
              <w:rPr>
                <w:sz w:val="14"/>
              </w:rPr>
            </w:pPr>
            <w:r>
              <w:rPr>
                <w:sz w:val="14"/>
              </w:rPr>
              <w:t>6%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40" w:right="104"/>
              <w:jc w:val="center"/>
              <w:rPr>
                <w:sz w:val="14"/>
              </w:rPr>
            </w:pPr>
            <w:r>
              <w:rPr>
                <w:sz w:val="14"/>
              </w:rPr>
              <w:t>6%</w:t>
            </w:r>
          </w:p>
        </w:tc>
        <w:tc>
          <w:tcPr>
            <w:tcW w:w="506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0%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42" w:right="104"/>
              <w:jc w:val="center"/>
              <w:rPr>
                <w:sz w:val="14"/>
              </w:rPr>
            </w:pPr>
            <w:r>
              <w:rPr>
                <w:sz w:val="14"/>
              </w:rPr>
              <w:t>0%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105"/>
              <w:rPr>
                <w:sz w:val="14"/>
              </w:rPr>
            </w:pPr>
            <w:r>
              <w:rPr>
                <w:sz w:val="14"/>
              </w:rPr>
              <w:t>0%</w:t>
            </w:r>
          </w:p>
        </w:tc>
        <w:tc>
          <w:tcPr>
            <w:tcW w:w="45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106"/>
              <w:rPr>
                <w:sz w:val="14"/>
              </w:rPr>
            </w:pPr>
            <w:r>
              <w:rPr>
                <w:sz w:val="14"/>
              </w:rPr>
              <w:t>0%</w:t>
            </w:r>
          </w:p>
        </w:tc>
      </w:tr>
      <w:tr>
        <w:trPr>
          <w:trHeight w:val="342" w:hRule="atLeast"/>
        </w:trPr>
        <w:tc>
          <w:tcPr>
            <w:tcW w:w="2026" w:type="dxa"/>
          </w:tcPr>
          <w:p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MEDIANA</w:t>
            </w:r>
          </w:p>
        </w:tc>
        <w:tc>
          <w:tcPr>
            <w:tcW w:w="455" w:type="dxa"/>
          </w:tcPr>
          <w:p>
            <w:pPr>
              <w:pStyle w:val="TableParagraph"/>
              <w:spacing w:line="169" w:lineRule="exact"/>
              <w:ind w:left="107"/>
              <w:rPr>
                <w:sz w:val="14"/>
              </w:rPr>
            </w:pPr>
            <w:r>
              <w:rPr>
                <w:sz w:val="14"/>
              </w:rPr>
              <w:t>66</w:t>
            </w:r>
          </w:p>
          <w:p>
            <w:pPr>
              <w:pStyle w:val="TableParagraph"/>
              <w:spacing w:line="152" w:lineRule="exact" w:before="2"/>
              <w:ind w:left="107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6"/>
              <w:rPr>
                <w:sz w:val="14"/>
              </w:rPr>
            </w:pPr>
            <w:r>
              <w:rPr>
                <w:sz w:val="14"/>
              </w:rPr>
              <w:t>65</w:t>
            </w:r>
          </w:p>
          <w:p>
            <w:pPr>
              <w:pStyle w:val="TableParagraph"/>
              <w:spacing w:line="152" w:lineRule="exact" w:before="2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6"/>
              <w:rPr>
                <w:sz w:val="14"/>
              </w:rPr>
            </w:pPr>
            <w:r>
              <w:rPr>
                <w:sz w:val="14"/>
              </w:rPr>
              <w:t>63</w:t>
            </w:r>
          </w:p>
          <w:p>
            <w:pPr>
              <w:pStyle w:val="TableParagraph"/>
              <w:spacing w:line="152" w:lineRule="exact" w:before="2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3"/>
              <w:rPr>
                <w:sz w:val="14"/>
              </w:rPr>
            </w:pPr>
            <w:r>
              <w:rPr>
                <w:sz w:val="14"/>
              </w:rPr>
              <w:t>66</w:t>
            </w:r>
          </w:p>
          <w:p>
            <w:pPr>
              <w:pStyle w:val="TableParagraph"/>
              <w:spacing w:line="152" w:lineRule="exact" w:before="2"/>
              <w:ind w:left="103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2"/>
              <w:rPr>
                <w:sz w:val="14"/>
              </w:rPr>
            </w:pPr>
            <w:r>
              <w:rPr>
                <w:sz w:val="14"/>
              </w:rPr>
              <w:t>91</w:t>
            </w:r>
          </w:p>
          <w:p>
            <w:pPr>
              <w:pStyle w:val="TableParagraph"/>
              <w:spacing w:line="152" w:lineRule="exact" w:before="2"/>
              <w:ind w:left="102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91</w:t>
            </w:r>
          </w:p>
          <w:p>
            <w:pPr>
              <w:pStyle w:val="TableParagraph"/>
              <w:spacing w:line="152" w:lineRule="exact" w:before="2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91</w:t>
            </w:r>
          </w:p>
          <w:p>
            <w:pPr>
              <w:pStyle w:val="TableParagraph"/>
              <w:spacing w:line="152" w:lineRule="exact" w:before="2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93</w:t>
            </w:r>
          </w:p>
          <w:p>
            <w:pPr>
              <w:pStyle w:val="TableParagraph"/>
              <w:spacing w:line="152" w:lineRule="exact" w:before="2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509" w:type="dxa"/>
          </w:tcPr>
          <w:p>
            <w:pPr>
              <w:pStyle w:val="TableParagraph"/>
              <w:spacing w:line="169" w:lineRule="exact"/>
              <w:ind w:left="44" w:right="91"/>
              <w:jc w:val="center"/>
              <w:rPr>
                <w:sz w:val="14"/>
              </w:rPr>
            </w:pPr>
            <w:r>
              <w:rPr>
                <w:sz w:val="14"/>
              </w:rPr>
              <w:t>45%</w:t>
            </w:r>
          </w:p>
        </w:tc>
        <w:tc>
          <w:tcPr>
            <w:tcW w:w="456" w:type="dxa"/>
          </w:tcPr>
          <w:p>
            <w:pPr>
              <w:pStyle w:val="TableParagraph"/>
              <w:spacing w:line="169" w:lineRule="exact"/>
              <w:ind w:left="103"/>
              <w:rPr>
                <w:sz w:val="14"/>
              </w:rPr>
            </w:pPr>
            <w:r>
              <w:rPr>
                <w:sz w:val="14"/>
              </w:rPr>
              <w:t>44</w:t>
            </w:r>
          </w:p>
          <w:p>
            <w:pPr>
              <w:pStyle w:val="TableParagraph"/>
              <w:spacing w:line="152" w:lineRule="exact" w:before="2"/>
              <w:ind w:left="103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1"/>
              <w:rPr>
                <w:sz w:val="14"/>
              </w:rPr>
            </w:pPr>
            <w:r>
              <w:rPr>
                <w:sz w:val="14"/>
              </w:rPr>
              <w:t>44</w:t>
            </w:r>
          </w:p>
          <w:p>
            <w:pPr>
              <w:pStyle w:val="TableParagraph"/>
              <w:spacing w:line="152" w:lineRule="exact" w:before="2"/>
              <w:ind w:left="101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43</w:t>
            </w:r>
          </w:p>
          <w:p>
            <w:pPr>
              <w:pStyle w:val="TableParagraph"/>
              <w:spacing w:line="152" w:lineRule="exact" w:before="2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13%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105"/>
              <w:rPr>
                <w:sz w:val="14"/>
              </w:rPr>
            </w:pPr>
            <w:r>
              <w:rPr>
                <w:sz w:val="14"/>
              </w:rPr>
              <w:t>13</w:t>
            </w:r>
          </w:p>
          <w:p>
            <w:pPr>
              <w:pStyle w:val="TableParagraph"/>
              <w:spacing w:line="152" w:lineRule="exact" w:before="2"/>
              <w:ind w:left="105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105"/>
              <w:rPr>
                <w:sz w:val="14"/>
              </w:rPr>
            </w:pPr>
            <w:r>
              <w:rPr>
                <w:sz w:val="14"/>
              </w:rPr>
              <w:t>13</w:t>
            </w:r>
          </w:p>
          <w:p>
            <w:pPr>
              <w:pStyle w:val="TableParagraph"/>
              <w:spacing w:line="152" w:lineRule="exact" w:before="2"/>
              <w:ind w:left="105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106"/>
              <w:rPr>
                <w:sz w:val="14"/>
              </w:rPr>
            </w:pPr>
            <w:r>
              <w:rPr>
                <w:sz w:val="14"/>
              </w:rPr>
              <w:t>13</w:t>
            </w:r>
          </w:p>
          <w:p>
            <w:pPr>
              <w:pStyle w:val="TableParagraph"/>
              <w:spacing w:line="152" w:lineRule="exact" w:before="2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</w:tr>
      <w:tr>
        <w:trPr>
          <w:trHeight w:val="340" w:hRule="atLeast"/>
        </w:trPr>
        <w:tc>
          <w:tcPr>
            <w:tcW w:w="2026" w:type="dxa"/>
          </w:tcPr>
          <w:p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MAXIMA</w:t>
            </w:r>
          </w:p>
        </w:tc>
        <w:tc>
          <w:tcPr>
            <w:tcW w:w="455" w:type="dxa"/>
          </w:tcPr>
          <w:p>
            <w:pPr>
              <w:pStyle w:val="TableParagraph"/>
              <w:spacing w:line="169" w:lineRule="exact"/>
              <w:ind w:left="107"/>
              <w:rPr>
                <w:sz w:val="14"/>
              </w:rPr>
            </w:pPr>
            <w:r>
              <w:rPr>
                <w:sz w:val="14"/>
              </w:rPr>
              <w:t>113</w:t>
            </w:r>
          </w:p>
          <w:p>
            <w:pPr>
              <w:pStyle w:val="TableParagraph"/>
              <w:spacing w:line="151" w:lineRule="exact"/>
              <w:ind w:left="107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6"/>
              <w:rPr>
                <w:sz w:val="14"/>
              </w:rPr>
            </w:pPr>
            <w:r>
              <w:rPr>
                <w:sz w:val="14"/>
              </w:rPr>
              <w:t>108</w:t>
            </w:r>
          </w:p>
          <w:p>
            <w:pPr>
              <w:pStyle w:val="TableParagraph"/>
              <w:spacing w:line="151" w:lineRule="exact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6"/>
              <w:rPr>
                <w:sz w:val="14"/>
              </w:rPr>
            </w:pPr>
            <w:r>
              <w:rPr>
                <w:sz w:val="14"/>
              </w:rPr>
              <w:t>103</w:t>
            </w:r>
          </w:p>
          <w:p>
            <w:pPr>
              <w:pStyle w:val="TableParagraph"/>
              <w:spacing w:line="151" w:lineRule="exact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3"/>
              <w:rPr>
                <w:sz w:val="14"/>
              </w:rPr>
            </w:pPr>
            <w:r>
              <w:rPr>
                <w:sz w:val="14"/>
              </w:rPr>
              <w:t>107</w:t>
            </w:r>
          </w:p>
          <w:p>
            <w:pPr>
              <w:pStyle w:val="TableParagraph"/>
              <w:spacing w:line="151" w:lineRule="exact"/>
              <w:ind w:left="103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2"/>
              <w:rPr>
                <w:sz w:val="14"/>
              </w:rPr>
            </w:pPr>
            <w:r>
              <w:rPr>
                <w:sz w:val="14"/>
              </w:rPr>
              <w:t>124</w:t>
            </w:r>
          </w:p>
          <w:p>
            <w:pPr>
              <w:pStyle w:val="TableParagraph"/>
              <w:spacing w:line="151" w:lineRule="exact"/>
              <w:ind w:left="102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131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134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131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509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116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6" w:type="dxa"/>
          </w:tcPr>
          <w:p>
            <w:pPr>
              <w:pStyle w:val="TableParagraph"/>
              <w:spacing w:line="169" w:lineRule="exact"/>
              <w:ind w:left="103"/>
              <w:rPr>
                <w:sz w:val="14"/>
              </w:rPr>
            </w:pPr>
            <w:r>
              <w:rPr>
                <w:sz w:val="14"/>
              </w:rPr>
              <w:t>122</w:t>
            </w:r>
          </w:p>
          <w:p>
            <w:pPr>
              <w:pStyle w:val="TableParagraph"/>
              <w:spacing w:line="151" w:lineRule="exact"/>
              <w:ind w:left="103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1"/>
              <w:rPr>
                <w:sz w:val="14"/>
              </w:rPr>
            </w:pPr>
            <w:r>
              <w:rPr>
                <w:sz w:val="14"/>
              </w:rPr>
              <w:t>120</w:t>
            </w:r>
          </w:p>
          <w:p>
            <w:pPr>
              <w:pStyle w:val="TableParagraph"/>
              <w:spacing w:line="151" w:lineRule="exact"/>
              <w:ind w:left="101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120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113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105"/>
              <w:rPr>
                <w:sz w:val="14"/>
              </w:rPr>
            </w:pPr>
            <w:r>
              <w:rPr>
                <w:sz w:val="14"/>
              </w:rPr>
              <w:t>118</w:t>
            </w:r>
          </w:p>
          <w:p>
            <w:pPr>
              <w:pStyle w:val="TableParagraph"/>
              <w:spacing w:line="151" w:lineRule="exact"/>
              <w:ind w:left="105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105"/>
              <w:rPr>
                <w:sz w:val="14"/>
              </w:rPr>
            </w:pPr>
            <w:r>
              <w:rPr>
                <w:sz w:val="14"/>
              </w:rPr>
              <w:t>123</w:t>
            </w:r>
          </w:p>
          <w:p>
            <w:pPr>
              <w:pStyle w:val="TableParagraph"/>
              <w:spacing w:line="151" w:lineRule="exact"/>
              <w:ind w:left="105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106"/>
              <w:rPr>
                <w:sz w:val="14"/>
              </w:rPr>
            </w:pPr>
            <w:r>
              <w:rPr>
                <w:sz w:val="14"/>
              </w:rPr>
              <w:t>107</w:t>
            </w:r>
          </w:p>
          <w:p>
            <w:pPr>
              <w:pStyle w:val="TableParagraph"/>
              <w:spacing w:line="151" w:lineRule="exact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</w:tr>
      <w:tr>
        <w:trPr>
          <w:trHeight w:val="342" w:hRule="atLeast"/>
        </w:trPr>
        <w:tc>
          <w:tcPr>
            <w:tcW w:w="2026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CV</w:t>
            </w:r>
          </w:p>
        </w:tc>
        <w:tc>
          <w:tcPr>
            <w:tcW w:w="455" w:type="dxa"/>
          </w:tcPr>
          <w:p>
            <w:pPr>
              <w:pStyle w:val="TableParagraph"/>
              <w:spacing w:line="171" w:lineRule="exact" w:before="1"/>
              <w:ind w:left="107"/>
              <w:rPr>
                <w:sz w:val="14"/>
              </w:rPr>
            </w:pPr>
            <w:r>
              <w:rPr>
                <w:sz w:val="14"/>
              </w:rPr>
              <w:t>26</w:t>
            </w:r>
          </w:p>
          <w:p>
            <w:pPr>
              <w:pStyle w:val="TableParagraph"/>
              <w:spacing w:line="151" w:lineRule="exact"/>
              <w:ind w:left="107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71" w:lineRule="exact" w:before="1"/>
              <w:ind w:left="106"/>
              <w:rPr>
                <w:sz w:val="14"/>
              </w:rPr>
            </w:pPr>
            <w:r>
              <w:rPr>
                <w:sz w:val="14"/>
              </w:rPr>
              <w:t>26</w:t>
            </w:r>
          </w:p>
          <w:p>
            <w:pPr>
              <w:pStyle w:val="TableParagraph"/>
              <w:spacing w:line="151" w:lineRule="exact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71" w:lineRule="exact" w:before="1"/>
              <w:ind w:left="106"/>
              <w:rPr>
                <w:sz w:val="14"/>
              </w:rPr>
            </w:pPr>
            <w:r>
              <w:rPr>
                <w:sz w:val="14"/>
              </w:rPr>
              <w:t>27</w:t>
            </w:r>
          </w:p>
          <w:p>
            <w:pPr>
              <w:pStyle w:val="TableParagraph"/>
              <w:spacing w:line="151" w:lineRule="exact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71" w:lineRule="exact" w:before="1"/>
              <w:ind w:left="103"/>
              <w:rPr>
                <w:sz w:val="14"/>
              </w:rPr>
            </w:pPr>
            <w:r>
              <w:rPr>
                <w:sz w:val="14"/>
              </w:rPr>
              <w:t>23</w:t>
            </w:r>
          </w:p>
          <w:p>
            <w:pPr>
              <w:pStyle w:val="TableParagraph"/>
              <w:spacing w:line="151" w:lineRule="exact"/>
              <w:ind w:left="103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71" w:lineRule="exact" w:before="1"/>
              <w:ind w:left="102"/>
              <w:rPr>
                <w:sz w:val="14"/>
              </w:rPr>
            </w:pPr>
            <w:r>
              <w:rPr>
                <w:sz w:val="14"/>
              </w:rPr>
              <w:t>10</w:t>
            </w:r>
          </w:p>
          <w:p>
            <w:pPr>
              <w:pStyle w:val="TableParagraph"/>
              <w:spacing w:line="151" w:lineRule="exact"/>
              <w:ind w:left="102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71" w:lineRule="exact" w:before="1"/>
              <w:ind w:left="104"/>
              <w:rPr>
                <w:sz w:val="14"/>
              </w:rPr>
            </w:pPr>
            <w:r>
              <w:rPr>
                <w:sz w:val="14"/>
              </w:rPr>
              <w:t>11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71" w:lineRule="exact" w:before="1"/>
              <w:ind w:left="104"/>
              <w:rPr>
                <w:sz w:val="14"/>
              </w:rPr>
            </w:pPr>
            <w:r>
              <w:rPr>
                <w:sz w:val="14"/>
              </w:rPr>
              <w:t>11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71" w:lineRule="exact" w:before="1"/>
              <w:ind w:left="104"/>
              <w:rPr>
                <w:sz w:val="14"/>
              </w:rPr>
            </w:pPr>
            <w:r>
              <w:rPr>
                <w:sz w:val="14"/>
              </w:rPr>
              <w:t>10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509" w:type="dxa"/>
          </w:tcPr>
          <w:p>
            <w:pPr>
              <w:pStyle w:val="TableParagraph"/>
              <w:spacing w:before="1"/>
              <w:ind w:left="44" w:right="91"/>
              <w:jc w:val="center"/>
              <w:rPr>
                <w:sz w:val="14"/>
              </w:rPr>
            </w:pPr>
            <w:r>
              <w:rPr>
                <w:sz w:val="14"/>
              </w:rPr>
              <w:t>40%</w:t>
            </w:r>
          </w:p>
        </w:tc>
        <w:tc>
          <w:tcPr>
            <w:tcW w:w="456" w:type="dxa"/>
          </w:tcPr>
          <w:p>
            <w:pPr>
              <w:pStyle w:val="TableParagraph"/>
              <w:spacing w:line="171" w:lineRule="exact" w:before="1"/>
              <w:ind w:left="103"/>
              <w:rPr>
                <w:sz w:val="14"/>
              </w:rPr>
            </w:pPr>
            <w:r>
              <w:rPr>
                <w:sz w:val="14"/>
              </w:rPr>
              <w:t>41</w:t>
            </w:r>
          </w:p>
          <w:p>
            <w:pPr>
              <w:pStyle w:val="TableParagraph"/>
              <w:spacing w:line="151" w:lineRule="exact"/>
              <w:ind w:left="103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71" w:lineRule="exact" w:before="1"/>
              <w:ind w:left="101"/>
              <w:rPr>
                <w:sz w:val="14"/>
              </w:rPr>
            </w:pPr>
            <w:r>
              <w:rPr>
                <w:sz w:val="14"/>
              </w:rPr>
              <w:t>41</w:t>
            </w:r>
          </w:p>
          <w:p>
            <w:pPr>
              <w:pStyle w:val="TableParagraph"/>
              <w:spacing w:line="151" w:lineRule="exact"/>
              <w:ind w:left="101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</w:tcPr>
          <w:p>
            <w:pPr>
              <w:pStyle w:val="TableParagraph"/>
              <w:spacing w:line="171" w:lineRule="exact" w:before="1"/>
              <w:ind w:left="104"/>
              <w:rPr>
                <w:sz w:val="14"/>
              </w:rPr>
            </w:pPr>
            <w:r>
              <w:rPr>
                <w:sz w:val="14"/>
              </w:rPr>
              <w:t>42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line="171" w:lineRule="exact" w:before="1"/>
              <w:ind w:left="104"/>
              <w:rPr>
                <w:sz w:val="14"/>
              </w:rPr>
            </w:pPr>
            <w:r>
              <w:rPr>
                <w:sz w:val="14"/>
              </w:rPr>
              <w:t>101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</w:tcPr>
          <w:p>
            <w:pPr>
              <w:pStyle w:val="TableParagraph"/>
              <w:spacing w:line="171" w:lineRule="exact" w:before="1"/>
              <w:ind w:left="105"/>
              <w:rPr>
                <w:sz w:val="14"/>
              </w:rPr>
            </w:pPr>
            <w:r>
              <w:rPr>
                <w:sz w:val="14"/>
              </w:rPr>
              <w:t>101</w:t>
            </w:r>
          </w:p>
          <w:p>
            <w:pPr>
              <w:pStyle w:val="TableParagraph"/>
              <w:spacing w:line="151" w:lineRule="exact"/>
              <w:ind w:left="105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</w:tcPr>
          <w:p>
            <w:pPr>
              <w:pStyle w:val="TableParagraph"/>
              <w:spacing w:line="171" w:lineRule="exact" w:before="1"/>
              <w:ind w:left="105"/>
              <w:rPr>
                <w:sz w:val="14"/>
              </w:rPr>
            </w:pPr>
            <w:r>
              <w:rPr>
                <w:sz w:val="14"/>
              </w:rPr>
              <w:t>99</w:t>
            </w:r>
          </w:p>
          <w:p>
            <w:pPr>
              <w:pStyle w:val="TableParagraph"/>
              <w:spacing w:line="151" w:lineRule="exact"/>
              <w:ind w:left="105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71" w:lineRule="exact" w:before="1"/>
              <w:ind w:left="106"/>
              <w:rPr>
                <w:sz w:val="14"/>
              </w:rPr>
            </w:pPr>
            <w:r>
              <w:rPr>
                <w:sz w:val="14"/>
              </w:rPr>
              <w:t>96</w:t>
            </w:r>
          </w:p>
          <w:p>
            <w:pPr>
              <w:pStyle w:val="TableParagraph"/>
              <w:spacing w:line="151" w:lineRule="exact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</w:tr>
      <w:tr>
        <w:trPr>
          <w:trHeight w:val="206" w:hRule="atLeast"/>
        </w:trPr>
        <w:tc>
          <w:tcPr>
            <w:tcW w:w="2026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7" w:type="dxa"/>
            <w:gridSpan w:val="4"/>
          </w:tcPr>
          <w:p>
            <w:pPr>
              <w:pStyle w:val="TableParagraph"/>
              <w:spacing w:line="169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Mujeres</w:t>
            </w:r>
          </w:p>
        </w:tc>
        <w:tc>
          <w:tcPr>
            <w:tcW w:w="1816" w:type="dxa"/>
            <w:gridSpan w:val="4"/>
          </w:tcPr>
          <w:p>
            <w:pPr>
              <w:pStyle w:val="TableParagraph"/>
              <w:spacing w:line="169" w:lineRule="exact"/>
              <w:ind w:left="102"/>
              <w:rPr>
                <w:b/>
                <w:sz w:val="14"/>
              </w:rPr>
            </w:pPr>
            <w:r>
              <w:rPr>
                <w:b/>
                <w:sz w:val="14"/>
              </w:rPr>
              <w:t>Mujeres</w:t>
            </w:r>
          </w:p>
        </w:tc>
        <w:tc>
          <w:tcPr>
            <w:tcW w:w="1872" w:type="dxa"/>
            <w:gridSpan w:val="4"/>
          </w:tcPr>
          <w:p>
            <w:pPr>
              <w:pStyle w:val="TableParagraph"/>
              <w:spacing w:line="169" w:lineRule="exact"/>
              <w:ind w:left="161"/>
              <w:rPr>
                <w:b/>
                <w:sz w:val="14"/>
              </w:rPr>
            </w:pPr>
            <w:r>
              <w:rPr>
                <w:b/>
                <w:sz w:val="14"/>
              </w:rPr>
              <w:t>Mujeres</w:t>
            </w:r>
          </w:p>
        </w:tc>
        <w:tc>
          <w:tcPr>
            <w:tcW w:w="1865" w:type="dxa"/>
            <w:gridSpan w:val="4"/>
            <w:tcBorders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164"/>
              <w:rPr>
                <w:b/>
                <w:sz w:val="14"/>
              </w:rPr>
            </w:pPr>
            <w:r>
              <w:rPr>
                <w:b/>
                <w:sz w:val="14"/>
              </w:rPr>
              <w:t>Mujeres</w:t>
            </w:r>
          </w:p>
        </w:tc>
      </w:tr>
      <w:tr>
        <w:trPr>
          <w:trHeight w:val="342" w:hRule="atLeast"/>
        </w:trPr>
        <w:tc>
          <w:tcPr>
            <w:tcW w:w="20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line="169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201</w:t>
            </w:r>
          </w:p>
          <w:p>
            <w:pPr>
              <w:pStyle w:val="TableParagraph"/>
              <w:spacing w:line="154" w:lineRule="exact"/>
              <w:ind w:left="10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8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6"/>
              <w:rPr>
                <w:b/>
                <w:sz w:val="14"/>
              </w:rPr>
            </w:pPr>
            <w:r>
              <w:rPr>
                <w:b/>
                <w:sz w:val="14"/>
              </w:rPr>
              <w:t>201</w:t>
            </w:r>
          </w:p>
          <w:p>
            <w:pPr>
              <w:pStyle w:val="TableParagraph"/>
              <w:spacing w:line="154" w:lineRule="exact"/>
              <w:ind w:left="10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9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6"/>
              <w:rPr>
                <w:b/>
                <w:sz w:val="14"/>
              </w:rPr>
            </w:pPr>
            <w:r>
              <w:rPr>
                <w:b/>
                <w:sz w:val="14"/>
              </w:rPr>
              <w:t>202</w:t>
            </w:r>
          </w:p>
          <w:p>
            <w:pPr>
              <w:pStyle w:val="TableParagraph"/>
              <w:spacing w:line="154" w:lineRule="exact"/>
              <w:ind w:left="10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3"/>
              <w:rPr>
                <w:b/>
                <w:sz w:val="14"/>
              </w:rPr>
            </w:pPr>
            <w:r>
              <w:rPr>
                <w:b/>
                <w:sz w:val="14"/>
              </w:rPr>
              <w:t>202</w:t>
            </w:r>
          </w:p>
          <w:p>
            <w:pPr>
              <w:pStyle w:val="TableParagraph"/>
              <w:spacing w:line="154" w:lineRule="exact"/>
              <w:ind w:left="103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1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2"/>
              <w:rPr>
                <w:b/>
                <w:sz w:val="14"/>
              </w:rPr>
            </w:pPr>
            <w:r>
              <w:rPr>
                <w:b/>
                <w:sz w:val="14"/>
              </w:rPr>
              <w:t>201</w:t>
            </w:r>
          </w:p>
          <w:p>
            <w:pPr>
              <w:pStyle w:val="TableParagraph"/>
              <w:spacing w:line="154" w:lineRule="exact"/>
              <w:ind w:left="10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8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4"/>
              <w:rPr>
                <w:b/>
                <w:sz w:val="14"/>
              </w:rPr>
            </w:pPr>
            <w:r>
              <w:rPr>
                <w:b/>
                <w:sz w:val="14"/>
              </w:rPr>
              <w:t>201</w:t>
            </w:r>
          </w:p>
          <w:p>
            <w:pPr>
              <w:pStyle w:val="TableParagraph"/>
              <w:spacing w:line="154" w:lineRule="exact"/>
              <w:ind w:left="104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9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4"/>
              <w:rPr>
                <w:b/>
                <w:sz w:val="14"/>
              </w:rPr>
            </w:pPr>
            <w:r>
              <w:rPr>
                <w:b/>
                <w:sz w:val="14"/>
              </w:rPr>
              <w:t>202</w:t>
            </w:r>
          </w:p>
          <w:p>
            <w:pPr>
              <w:pStyle w:val="TableParagraph"/>
              <w:spacing w:line="154" w:lineRule="exact"/>
              <w:ind w:left="104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4"/>
              <w:rPr>
                <w:b/>
                <w:sz w:val="14"/>
              </w:rPr>
            </w:pPr>
            <w:r>
              <w:rPr>
                <w:b/>
                <w:sz w:val="14"/>
              </w:rPr>
              <w:t>202</w:t>
            </w:r>
          </w:p>
          <w:p>
            <w:pPr>
              <w:pStyle w:val="TableParagraph"/>
              <w:spacing w:line="154" w:lineRule="exact"/>
              <w:ind w:left="104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1</w:t>
            </w:r>
          </w:p>
        </w:tc>
        <w:tc>
          <w:tcPr>
            <w:tcW w:w="509" w:type="dxa"/>
          </w:tcPr>
          <w:p>
            <w:pPr>
              <w:pStyle w:val="TableParagraph"/>
              <w:spacing w:line="169" w:lineRule="exact"/>
              <w:ind w:left="83" w:right="9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2018</w:t>
            </w:r>
          </w:p>
        </w:tc>
        <w:tc>
          <w:tcPr>
            <w:tcW w:w="456" w:type="dxa"/>
          </w:tcPr>
          <w:p>
            <w:pPr>
              <w:pStyle w:val="TableParagraph"/>
              <w:spacing w:line="169" w:lineRule="exact"/>
              <w:ind w:left="103"/>
              <w:rPr>
                <w:b/>
                <w:sz w:val="14"/>
              </w:rPr>
            </w:pPr>
            <w:r>
              <w:rPr>
                <w:b/>
                <w:sz w:val="14"/>
              </w:rPr>
              <w:t>201</w:t>
            </w:r>
          </w:p>
          <w:p>
            <w:pPr>
              <w:pStyle w:val="TableParagraph"/>
              <w:spacing w:line="154" w:lineRule="exact"/>
              <w:ind w:left="103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9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1"/>
              <w:rPr>
                <w:b/>
                <w:sz w:val="14"/>
              </w:rPr>
            </w:pPr>
            <w:r>
              <w:rPr>
                <w:b/>
                <w:sz w:val="14"/>
              </w:rPr>
              <w:t>202</w:t>
            </w:r>
          </w:p>
          <w:p>
            <w:pPr>
              <w:pStyle w:val="TableParagraph"/>
              <w:spacing w:line="154" w:lineRule="exact"/>
              <w:ind w:left="10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104"/>
              <w:rPr>
                <w:b/>
                <w:sz w:val="14"/>
              </w:rPr>
            </w:pPr>
            <w:r>
              <w:rPr>
                <w:b/>
                <w:sz w:val="14"/>
              </w:rPr>
              <w:t>202</w:t>
            </w:r>
          </w:p>
          <w:p>
            <w:pPr>
              <w:pStyle w:val="TableParagraph"/>
              <w:spacing w:line="154" w:lineRule="exact"/>
              <w:ind w:left="104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1</w:t>
            </w:r>
          </w:p>
        </w:tc>
        <w:tc>
          <w:tcPr>
            <w:tcW w:w="506" w:type="dxa"/>
          </w:tcPr>
          <w:p>
            <w:pPr>
              <w:pStyle w:val="TableParagraph"/>
              <w:spacing w:line="169" w:lineRule="exact"/>
              <w:ind w:left="104"/>
              <w:rPr>
                <w:b/>
                <w:sz w:val="14"/>
              </w:rPr>
            </w:pPr>
            <w:r>
              <w:rPr>
                <w:b/>
                <w:sz w:val="14"/>
              </w:rPr>
              <w:t>2018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105"/>
              <w:rPr>
                <w:b/>
                <w:sz w:val="14"/>
              </w:rPr>
            </w:pPr>
            <w:r>
              <w:rPr>
                <w:b/>
                <w:sz w:val="14"/>
              </w:rPr>
              <w:t>201</w:t>
            </w:r>
          </w:p>
          <w:p>
            <w:pPr>
              <w:pStyle w:val="TableParagraph"/>
              <w:spacing w:line="154" w:lineRule="exact"/>
              <w:ind w:left="10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9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105"/>
              <w:rPr>
                <w:b/>
                <w:sz w:val="14"/>
              </w:rPr>
            </w:pPr>
            <w:r>
              <w:rPr>
                <w:b/>
                <w:sz w:val="14"/>
              </w:rPr>
              <w:t>202</w:t>
            </w:r>
          </w:p>
          <w:p>
            <w:pPr>
              <w:pStyle w:val="TableParagraph"/>
              <w:spacing w:line="154" w:lineRule="exact"/>
              <w:ind w:left="10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45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106"/>
              <w:rPr>
                <w:b/>
                <w:sz w:val="14"/>
              </w:rPr>
            </w:pPr>
            <w:r>
              <w:rPr>
                <w:b/>
                <w:sz w:val="14"/>
              </w:rPr>
              <w:t>202</w:t>
            </w:r>
          </w:p>
          <w:p>
            <w:pPr>
              <w:pStyle w:val="TableParagraph"/>
              <w:spacing w:line="154" w:lineRule="exact"/>
              <w:ind w:left="10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1</w:t>
            </w:r>
          </w:p>
        </w:tc>
      </w:tr>
      <w:tr>
        <w:trPr>
          <w:trHeight w:val="292" w:hRule="atLeast"/>
        </w:trPr>
        <w:tc>
          <w:tcPr>
            <w:tcW w:w="2026" w:type="dxa"/>
          </w:tcPr>
          <w:p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COBERTURA</w:t>
            </w:r>
          </w:p>
        </w:tc>
        <w:tc>
          <w:tcPr>
            <w:tcW w:w="455" w:type="dxa"/>
          </w:tcPr>
          <w:p>
            <w:pPr>
              <w:pStyle w:val="TableParagraph"/>
              <w:spacing w:line="169" w:lineRule="exact"/>
              <w:ind w:left="107"/>
              <w:rPr>
                <w:sz w:val="14"/>
              </w:rPr>
            </w:pPr>
            <w:r>
              <w:rPr>
                <w:sz w:val="14"/>
              </w:rPr>
              <w:t>339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81" w:right="97"/>
              <w:jc w:val="center"/>
              <w:rPr>
                <w:sz w:val="14"/>
              </w:rPr>
            </w:pPr>
            <w:r>
              <w:rPr>
                <w:sz w:val="14"/>
              </w:rPr>
              <w:t>339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81" w:right="98"/>
              <w:jc w:val="center"/>
              <w:rPr>
                <w:sz w:val="14"/>
              </w:rPr>
            </w:pPr>
            <w:r>
              <w:rPr>
                <w:sz w:val="14"/>
              </w:rPr>
              <w:t>339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3"/>
              <w:rPr>
                <w:sz w:val="14"/>
              </w:rPr>
            </w:pPr>
            <w:r>
              <w:rPr>
                <w:sz w:val="14"/>
              </w:rPr>
              <w:t>339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2"/>
              <w:rPr>
                <w:sz w:val="14"/>
              </w:rPr>
            </w:pPr>
            <w:r>
              <w:rPr>
                <w:sz w:val="14"/>
              </w:rPr>
              <w:t>339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81" w:right="101"/>
              <w:jc w:val="center"/>
              <w:rPr>
                <w:sz w:val="14"/>
              </w:rPr>
            </w:pPr>
            <w:r>
              <w:rPr>
                <w:sz w:val="14"/>
              </w:rPr>
              <w:t>339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339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81" w:right="101"/>
              <w:jc w:val="center"/>
              <w:rPr>
                <w:sz w:val="14"/>
              </w:rPr>
            </w:pPr>
            <w:r>
              <w:rPr>
                <w:sz w:val="14"/>
              </w:rPr>
              <w:t>339</w:t>
            </w:r>
          </w:p>
        </w:tc>
        <w:tc>
          <w:tcPr>
            <w:tcW w:w="509" w:type="dxa"/>
          </w:tcPr>
          <w:p>
            <w:pPr>
              <w:pStyle w:val="TableParagraph"/>
              <w:spacing w:line="169" w:lineRule="exact"/>
              <w:ind w:left="15" w:right="91"/>
              <w:jc w:val="center"/>
              <w:rPr>
                <w:sz w:val="14"/>
              </w:rPr>
            </w:pPr>
            <w:r>
              <w:rPr>
                <w:sz w:val="14"/>
              </w:rPr>
              <w:t>339</w:t>
            </w:r>
          </w:p>
        </w:tc>
        <w:tc>
          <w:tcPr>
            <w:tcW w:w="456" w:type="dxa"/>
          </w:tcPr>
          <w:p>
            <w:pPr>
              <w:pStyle w:val="TableParagraph"/>
              <w:spacing w:line="169" w:lineRule="exact"/>
              <w:ind w:left="103"/>
              <w:rPr>
                <w:sz w:val="14"/>
              </w:rPr>
            </w:pPr>
            <w:r>
              <w:rPr>
                <w:sz w:val="14"/>
              </w:rPr>
              <w:t>339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77" w:right="103"/>
              <w:jc w:val="center"/>
              <w:rPr>
                <w:sz w:val="14"/>
              </w:rPr>
            </w:pPr>
            <w:r>
              <w:rPr>
                <w:sz w:val="14"/>
              </w:rPr>
              <w:t>339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83" w:right="103"/>
              <w:jc w:val="center"/>
              <w:rPr>
                <w:sz w:val="14"/>
              </w:rPr>
            </w:pPr>
            <w:r>
              <w:rPr>
                <w:sz w:val="14"/>
              </w:rPr>
              <w:t>339</w:t>
            </w:r>
          </w:p>
        </w:tc>
        <w:tc>
          <w:tcPr>
            <w:tcW w:w="506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326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83" w:right="101"/>
              <w:jc w:val="center"/>
              <w:rPr>
                <w:sz w:val="14"/>
              </w:rPr>
            </w:pPr>
            <w:r>
              <w:rPr>
                <w:sz w:val="14"/>
              </w:rPr>
              <w:t>326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105"/>
              <w:rPr>
                <w:sz w:val="14"/>
              </w:rPr>
            </w:pPr>
            <w:r>
              <w:rPr>
                <w:sz w:val="14"/>
              </w:rPr>
              <w:t>324</w:t>
            </w:r>
          </w:p>
        </w:tc>
        <w:tc>
          <w:tcPr>
            <w:tcW w:w="45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106"/>
              <w:rPr>
                <w:sz w:val="14"/>
              </w:rPr>
            </w:pPr>
            <w:r>
              <w:rPr>
                <w:sz w:val="14"/>
              </w:rPr>
              <w:t>324</w:t>
            </w:r>
          </w:p>
        </w:tc>
      </w:tr>
      <w:tr>
        <w:trPr>
          <w:trHeight w:val="340" w:hRule="atLeast"/>
        </w:trPr>
        <w:tc>
          <w:tcPr>
            <w:tcW w:w="2026" w:type="dxa"/>
          </w:tcPr>
          <w:p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PROMEDIO</w:t>
            </w:r>
          </w:p>
        </w:tc>
        <w:tc>
          <w:tcPr>
            <w:tcW w:w="455" w:type="dxa"/>
          </w:tcPr>
          <w:p>
            <w:pPr>
              <w:pStyle w:val="TableParagraph"/>
              <w:spacing w:line="169" w:lineRule="exact"/>
              <w:ind w:left="107"/>
              <w:rPr>
                <w:sz w:val="14"/>
              </w:rPr>
            </w:pPr>
            <w:r>
              <w:rPr>
                <w:sz w:val="14"/>
              </w:rPr>
              <w:t>66</w:t>
            </w:r>
          </w:p>
          <w:p>
            <w:pPr>
              <w:pStyle w:val="TableParagraph"/>
              <w:spacing w:line="151" w:lineRule="exact"/>
              <w:ind w:left="107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6"/>
              <w:rPr>
                <w:sz w:val="14"/>
              </w:rPr>
            </w:pPr>
            <w:r>
              <w:rPr>
                <w:sz w:val="14"/>
              </w:rPr>
              <w:t>64</w:t>
            </w:r>
          </w:p>
          <w:p>
            <w:pPr>
              <w:pStyle w:val="TableParagraph"/>
              <w:spacing w:line="151" w:lineRule="exact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6"/>
              <w:rPr>
                <w:sz w:val="14"/>
              </w:rPr>
            </w:pPr>
            <w:r>
              <w:rPr>
                <w:sz w:val="14"/>
              </w:rPr>
              <w:t>63</w:t>
            </w:r>
          </w:p>
          <w:p>
            <w:pPr>
              <w:pStyle w:val="TableParagraph"/>
              <w:spacing w:line="151" w:lineRule="exact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3"/>
              <w:rPr>
                <w:sz w:val="14"/>
              </w:rPr>
            </w:pPr>
            <w:r>
              <w:rPr>
                <w:sz w:val="14"/>
              </w:rPr>
              <w:t>66</w:t>
            </w:r>
          </w:p>
          <w:p>
            <w:pPr>
              <w:pStyle w:val="TableParagraph"/>
              <w:spacing w:line="151" w:lineRule="exact"/>
              <w:ind w:left="103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2"/>
              <w:rPr>
                <w:sz w:val="14"/>
              </w:rPr>
            </w:pPr>
            <w:r>
              <w:rPr>
                <w:sz w:val="14"/>
              </w:rPr>
              <w:t>91</w:t>
            </w:r>
          </w:p>
          <w:p>
            <w:pPr>
              <w:pStyle w:val="TableParagraph"/>
              <w:spacing w:line="151" w:lineRule="exact"/>
              <w:ind w:left="102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92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92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94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509" w:type="dxa"/>
          </w:tcPr>
          <w:p>
            <w:pPr>
              <w:pStyle w:val="TableParagraph"/>
              <w:spacing w:line="169" w:lineRule="exact"/>
              <w:ind w:left="44" w:right="91"/>
              <w:jc w:val="center"/>
              <w:rPr>
                <w:sz w:val="14"/>
              </w:rPr>
            </w:pPr>
            <w:r>
              <w:rPr>
                <w:sz w:val="14"/>
              </w:rPr>
              <w:t>46%</w:t>
            </w:r>
          </w:p>
        </w:tc>
        <w:tc>
          <w:tcPr>
            <w:tcW w:w="456" w:type="dxa"/>
          </w:tcPr>
          <w:p>
            <w:pPr>
              <w:pStyle w:val="TableParagraph"/>
              <w:spacing w:line="169" w:lineRule="exact"/>
              <w:ind w:left="103"/>
              <w:rPr>
                <w:sz w:val="14"/>
              </w:rPr>
            </w:pPr>
            <w:r>
              <w:rPr>
                <w:sz w:val="14"/>
              </w:rPr>
              <w:t>46</w:t>
            </w:r>
          </w:p>
          <w:p>
            <w:pPr>
              <w:pStyle w:val="TableParagraph"/>
              <w:spacing w:line="151" w:lineRule="exact"/>
              <w:ind w:left="103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1"/>
              <w:rPr>
                <w:sz w:val="14"/>
              </w:rPr>
            </w:pPr>
            <w:r>
              <w:rPr>
                <w:sz w:val="14"/>
              </w:rPr>
              <w:t>46</w:t>
            </w:r>
          </w:p>
          <w:p>
            <w:pPr>
              <w:pStyle w:val="TableParagraph"/>
              <w:spacing w:line="151" w:lineRule="exact"/>
              <w:ind w:left="101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46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21%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105"/>
              <w:rPr>
                <w:sz w:val="14"/>
              </w:rPr>
            </w:pPr>
            <w:r>
              <w:rPr>
                <w:sz w:val="14"/>
              </w:rPr>
              <w:t>21</w:t>
            </w:r>
          </w:p>
          <w:p>
            <w:pPr>
              <w:pStyle w:val="TableParagraph"/>
              <w:spacing w:line="151" w:lineRule="exact"/>
              <w:ind w:left="105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105"/>
              <w:rPr>
                <w:sz w:val="14"/>
              </w:rPr>
            </w:pPr>
            <w:r>
              <w:rPr>
                <w:sz w:val="14"/>
              </w:rPr>
              <w:t>21</w:t>
            </w:r>
          </w:p>
          <w:p>
            <w:pPr>
              <w:pStyle w:val="TableParagraph"/>
              <w:spacing w:line="151" w:lineRule="exact"/>
              <w:ind w:left="105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106"/>
              <w:rPr>
                <w:sz w:val="14"/>
              </w:rPr>
            </w:pPr>
            <w:r>
              <w:rPr>
                <w:sz w:val="14"/>
              </w:rPr>
              <w:t>21</w:t>
            </w:r>
          </w:p>
          <w:p>
            <w:pPr>
              <w:pStyle w:val="TableParagraph"/>
              <w:spacing w:line="151" w:lineRule="exact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</w:tr>
      <w:tr>
        <w:trPr>
          <w:trHeight w:val="588" w:hRule="atLeast"/>
        </w:trPr>
        <w:tc>
          <w:tcPr>
            <w:tcW w:w="2026" w:type="dxa"/>
          </w:tcPr>
          <w:p>
            <w:pPr>
              <w:pStyle w:val="TableParagraph"/>
              <w:spacing w:line="290" w:lineRule="atLeast"/>
              <w:ind w:left="107" w:right="644"/>
              <w:rPr>
                <w:b/>
                <w:sz w:val="24"/>
              </w:rPr>
            </w:pPr>
            <w:r>
              <w:rPr>
                <w:b/>
                <w:sz w:val="24"/>
              </w:rPr>
              <w:t>DESVIACION</w:t>
            </w:r>
            <w:r>
              <w:rPr>
                <w:b/>
                <w:spacing w:val="-52"/>
                <w:sz w:val="24"/>
              </w:rPr>
              <w:t> </w:t>
            </w:r>
            <w:r>
              <w:rPr>
                <w:b/>
                <w:sz w:val="24"/>
              </w:rPr>
              <w:t>ESTANDAR</w:t>
            </w:r>
          </w:p>
        </w:tc>
        <w:tc>
          <w:tcPr>
            <w:tcW w:w="455" w:type="dxa"/>
          </w:tcPr>
          <w:p>
            <w:pPr>
              <w:pStyle w:val="TableParagraph"/>
              <w:spacing w:line="171" w:lineRule="exact" w:before="1"/>
              <w:ind w:left="107"/>
              <w:rPr>
                <w:sz w:val="14"/>
              </w:rPr>
            </w:pPr>
            <w:r>
              <w:rPr>
                <w:sz w:val="14"/>
              </w:rPr>
              <w:t>17</w:t>
            </w:r>
          </w:p>
          <w:p>
            <w:pPr>
              <w:pStyle w:val="TableParagraph"/>
              <w:spacing w:line="171" w:lineRule="exact"/>
              <w:ind w:left="107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71" w:lineRule="exact" w:before="1"/>
              <w:ind w:left="106"/>
              <w:rPr>
                <w:sz w:val="14"/>
              </w:rPr>
            </w:pPr>
            <w:r>
              <w:rPr>
                <w:sz w:val="14"/>
              </w:rPr>
              <w:t>17</w:t>
            </w:r>
          </w:p>
          <w:p>
            <w:pPr>
              <w:pStyle w:val="TableParagraph"/>
              <w:spacing w:line="171" w:lineRule="exact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71" w:lineRule="exact" w:before="1"/>
              <w:ind w:left="106"/>
              <w:rPr>
                <w:sz w:val="14"/>
              </w:rPr>
            </w:pPr>
            <w:r>
              <w:rPr>
                <w:sz w:val="14"/>
              </w:rPr>
              <w:t>16</w:t>
            </w:r>
          </w:p>
          <w:p>
            <w:pPr>
              <w:pStyle w:val="TableParagraph"/>
              <w:spacing w:line="171" w:lineRule="exact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71" w:lineRule="exact" w:before="1"/>
              <w:ind w:left="103"/>
              <w:rPr>
                <w:sz w:val="14"/>
              </w:rPr>
            </w:pPr>
            <w:r>
              <w:rPr>
                <w:sz w:val="14"/>
              </w:rPr>
              <w:t>16</w:t>
            </w:r>
          </w:p>
          <w:p>
            <w:pPr>
              <w:pStyle w:val="TableParagraph"/>
              <w:spacing w:line="171" w:lineRule="exact"/>
              <w:ind w:left="103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before="1"/>
              <w:ind w:left="102"/>
              <w:rPr>
                <w:sz w:val="14"/>
              </w:rPr>
            </w:pPr>
            <w:r>
              <w:rPr>
                <w:sz w:val="14"/>
              </w:rPr>
              <w:t>9%</w:t>
            </w:r>
          </w:p>
        </w:tc>
        <w:tc>
          <w:tcPr>
            <w:tcW w:w="454" w:type="dxa"/>
          </w:tcPr>
          <w:p>
            <w:pPr>
              <w:pStyle w:val="TableParagraph"/>
              <w:spacing w:line="171" w:lineRule="exact" w:before="1"/>
              <w:ind w:left="104"/>
              <w:rPr>
                <w:sz w:val="14"/>
              </w:rPr>
            </w:pPr>
            <w:r>
              <w:rPr>
                <w:sz w:val="14"/>
              </w:rPr>
              <w:t>10</w:t>
            </w:r>
          </w:p>
          <w:p>
            <w:pPr>
              <w:pStyle w:val="TableParagraph"/>
              <w:spacing w:line="17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71" w:lineRule="exact" w:before="1"/>
              <w:ind w:left="104"/>
              <w:rPr>
                <w:sz w:val="14"/>
              </w:rPr>
            </w:pPr>
            <w:r>
              <w:rPr>
                <w:sz w:val="14"/>
              </w:rPr>
              <w:t>10</w:t>
            </w:r>
          </w:p>
          <w:p>
            <w:pPr>
              <w:pStyle w:val="TableParagraph"/>
              <w:spacing w:line="17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71" w:lineRule="exact" w:before="1"/>
              <w:ind w:left="104"/>
              <w:rPr>
                <w:sz w:val="14"/>
              </w:rPr>
            </w:pPr>
            <w:r>
              <w:rPr>
                <w:sz w:val="14"/>
              </w:rPr>
              <w:t>10</w:t>
            </w:r>
          </w:p>
          <w:p>
            <w:pPr>
              <w:pStyle w:val="TableParagraph"/>
              <w:spacing w:line="17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509" w:type="dxa"/>
          </w:tcPr>
          <w:p>
            <w:pPr>
              <w:pStyle w:val="TableParagraph"/>
              <w:spacing w:before="1"/>
              <w:ind w:left="44" w:right="91"/>
              <w:jc w:val="center"/>
              <w:rPr>
                <w:sz w:val="14"/>
              </w:rPr>
            </w:pPr>
            <w:r>
              <w:rPr>
                <w:sz w:val="14"/>
              </w:rPr>
              <w:t>21%</w:t>
            </w:r>
          </w:p>
        </w:tc>
        <w:tc>
          <w:tcPr>
            <w:tcW w:w="456" w:type="dxa"/>
          </w:tcPr>
          <w:p>
            <w:pPr>
              <w:pStyle w:val="TableParagraph"/>
              <w:spacing w:line="171" w:lineRule="exact" w:before="1"/>
              <w:ind w:left="103"/>
              <w:rPr>
                <w:sz w:val="14"/>
              </w:rPr>
            </w:pPr>
            <w:r>
              <w:rPr>
                <w:sz w:val="14"/>
              </w:rPr>
              <w:t>21</w:t>
            </w:r>
          </w:p>
          <w:p>
            <w:pPr>
              <w:pStyle w:val="TableParagraph"/>
              <w:spacing w:line="171" w:lineRule="exact"/>
              <w:ind w:left="103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71" w:lineRule="exact" w:before="1"/>
              <w:ind w:left="101"/>
              <w:rPr>
                <w:sz w:val="14"/>
              </w:rPr>
            </w:pPr>
            <w:r>
              <w:rPr>
                <w:sz w:val="14"/>
              </w:rPr>
              <w:t>21</w:t>
            </w:r>
          </w:p>
          <w:p>
            <w:pPr>
              <w:pStyle w:val="TableParagraph"/>
              <w:spacing w:line="171" w:lineRule="exact"/>
              <w:ind w:left="101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</w:tcPr>
          <w:p>
            <w:pPr>
              <w:pStyle w:val="TableParagraph"/>
              <w:spacing w:line="171" w:lineRule="exact" w:before="1"/>
              <w:ind w:left="104"/>
              <w:rPr>
                <w:sz w:val="14"/>
              </w:rPr>
            </w:pPr>
            <w:r>
              <w:rPr>
                <w:sz w:val="14"/>
              </w:rPr>
              <w:t>21</w:t>
            </w:r>
          </w:p>
          <w:p>
            <w:pPr>
              <w:pStyle w:val="TableParagraph"/>
              <w:spacing w:line="17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1"/>
              <w:ind w:left="104"/>
              <w:rPr>
                <w:sz w:val="14"/>
              </w:rPr>
            </w:pPr>
            <w:r>
              <w:rPr>
                <w:sz w:val="14"/>
              </w:rPr>
              <w:t>22%</w:t>
            </w:r>
          </w:p>
        </w:tc>
        <w:tc>
          <w:tcPr>
            <w:tcW w:w="453" w:type="dxa"/>
          </w:tcPr>
          <w:p>
            <w:pPr>
              <w:pStyle w:val="TableParagraph"/>
              <w:spacing w:line="171" w:lineRule="exact" w:before="1"/>
              <w:ind w:left="105"/>
              <w:rPr>
                <w:sz w:val="14"/>
              </w:rPr>
            </w:pPr>
            <w:r>
              <w:rPr>
                <w:sz w:val="14"/>
              </w:rPr>
              <w:t>22</w:t>
            </w:r>
          </w:p>
          <w:p>
            <w:pPr>
              <w:pStyle w:val="TableParagraph"/>
              <w:spacing w:line="171" w:lineRule="exact"/>
              <w:ind w:left="105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</w:tcPr>
          <w:p>
            <w:pPr>
              <w:pStyle w:val="TableParagraph"/>
              <w:spacing w:line="171" w:lineRule="exact" w:before="1"/>
              <w:ind w:left="105"/>
              <w:rPr>
                <w:sz w:val="14"/>
              </w:rPr>
            </w:pPr>
            <w:r>
              <w:rPr>
                <w:sz w:val="14"/>
              </w:rPr>
              <w:t>22</w:t>
            </w:r>
          </w:p>
          <w:p>
            <w:pPr>
              <w:pStyle w:val="TableParagraph"/>
              <w:spacing w:line="171" w:lineRule="exact"/>
              <w:ind w:left="105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71" w:lineRule="exact" w:before="1"/>
              <w:ind w:left="106"/>
              <w:rPr>
                <w:sz w:val="14"/>
              </w:rPr>
            </w:pPr>
            <w:r>
              <w:rPr>
                <w:sz w:val="14"/>
              </w:rPr>
              <w:t>22</w:t>
            </w:r>
          </w:p>
          <w:p>
            <w:pPr>
              <w:pStyle w:val="TableParagraph"/>
              <w:spacing w:line="171" w:lineRule="exact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</w:tr>
      <w:tr>
        <w:trPr>
          <w:trHeight w:val="340" w:hRule="atLeast"/>
        </w:trPr>
        <w:tc>
          <w:tcPr>
            <w:tcW w:w="2026" w:type="dxa"/>
          </w:tcPr>
          <w:p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MINIMA</w:t>
            </w:r>
          </w:p>
        </w:tc>
        <w:tc>
          <w:tcPr>
            <w:tcW w:w="455" w:type="dxa"/>
          </w:tcPr>
          <w:p>
            <w:pPr>
              <w:pStyle w:val="TableParagraph"/>
              <w:spacing w:line="169" w:lineRule="exact"/>
              <w:ind w:left="107"/>
              <w:rPr>
                <w:sz w:val="14"/>
              </w:rPr>
            </w:pPr>
            <w:r>
              <w:rPr>
                <w:sz w:val="14"/>
              </w:rPr>
              <w:t>16</w:t>
            </w:r>
          </w:p>
          <w:p>
            <w:pPr>
              <w:pStyle w:val="TableParagraph"/>
              <w:spacing w:line="151" w:lineRule="exact"/>
              <w:ind w:left="107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6"/>
              <w:rPr>
                <w:sz w:val="14"/>
              </w:rPr>
            </w:pPr>
            <w:r>
              <w:rPr>
                <w:sz w:val="14"/>
              </w:rPr>
              <w:t>17</w:t>
            </w:r>
          </w:p>
          <w:p>
            <w:pPr>
              <w:pStyle w:val="TableParagraph"/>
              <w:spacing w:line="151" w:lineRule="exact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6"/>
              <w:rPr>
                <w:sz w:val="14"/>
              </w:rPr>
            </w:pPr>
            <w:r>
              <w:rPr>
                <w:sz w:val="14"/>
              </w:rPr>
              <w:t>17</w:t>
            </w:r>
          </w:p>
          <w:p>
            <w:pPr>
              <w:pStyle w:val="TableParagraph"/>
              <w:spacing w:line="151" w:lineRule="exact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3"/>
              <w:rPr>
                <w:sz w:val="14"/>
              </w:rPr>
            </w:pPr>
            <w:r>
              <w:rPr>
                <w:sz w:val="14"/>
              </w:rPr>
              <w:t>20</w:t>
            </w:r>
          </w:p>
          <w:p>
            <w:pPr>
              <w:pStyle w:val="TableParagraph"/>
              <w:spacing w:line="151" w:lineRule="exact"/>
              <w:ind w:left="103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2"/>
              <w:rPr>
                <w:sz w:val="14"/>
              </w:rPr>
            </w:pPr>
            <w:r>
              <w:rPr>
                <w:sz w:val="14"/>
              </w:rPr>
              <w:t>67</w:t>
            </w:r>
          </w:p>
          <w:p>
            <w:pPr>
              <w:pStyle w:val="TableParagraph"/>
              <w:spacing w:line="151" w:lineRule="exact"/>
              <w:ind w:left="102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67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69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71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509" w:type="dxa"/>
          </w:tcPr>
          <w:p>
            <w:pPr>
              <w:pStyle w:val="TableParagraph"/>
              <w:spacing w:line="169" w:lineRule="exact"/>
              <w:ind w:left="83" w:right="203"/>
              <w:jc w:val="center"/>
              <w:rPr>
                <w:sz w:val="14"/>
              </w:rPr>
            </w:pPr>
            <w:r>
              <w:rPr>
                <w:sz w:val="14"/>
              </w:rPr>
              <w:t>5%</w:t>
            </w:r>
          </w:p>
        </w:tc>
        <w:tc>
          <w:tcPr>
            <w:tcW w:w="456" w:type="dxa"/>
          </w:tcPr>
          <w:p>
            <w:pPr>
              <w:pStyle w:val="TableParagraph"/>
              <w:spacing w:line="169" w:lineRule="exact"/>
              <w:ind w:left="103"/>
              <w:rPr>
                <w:sz w:val="14"/>
              </w:rPr>
            </w:pPr>
            <w:r>
              <w:rPr>
                <w:sz w:val="14"/>
              </w:rPr>
              <w:t>4%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33" w:right="103"/>
              <w:jc w:val="center"/>
              <w:rPr>
                <w:sz w:val="14"/>
              </w:rPr>
            </w:pPr>
            <w:r>
              <w:rPr>
                <w:sz w:val="14"/>
              </w:rPr>
              <w:t>5%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40" w:right="104"/>
              <w:jc w:val="center"/>
              <w:rPr>
                <w:sz w:val="14"/>
              </w:rPr>
            </w:pPr>
            <w:r>
              <w:rPr>
                <w:sz w:val="14"/>
              </w:rPr>
              <w:t>4%</w:t>
            </w:r>
          </w:p>
        </w:tc>
        <w:tc>
          <w:tcPr>
            <w:tcW w:w="506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0%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42" w:right="104"/>
              <w:jc w:val="center"/>
              <w:rPr>
                <w:sz w:val="14"/>
              </w:rPr>
            </w:pPr>
            <w:r>
              <w:rPr>
                <w:sz w:val="14"/>
              </w:rPr>
              <w:t>0%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105"/>
              <w:rPr>
                <w:sz w:val="14"/>
              </w:rPr>
            </w:pPr>
            <w:r>
              <w:rPr>
                <w:sz w:val="14"/>
              </w:rPr>
              <w:t>0%</w:t>
            </w:r>
          </w:p>
        </w:tc>
        <w:tc>
          <w:tcPr>
            <w:tcW w:w="45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106"/>
              <w:rPr>
                <w:sz w:val="14"/>
              </w:rPr>
            </w:pPr>
            <w:r>
              <w:rPr>
                <w:sz w:val="14"/>
              </w:rPr>
              <w:t>0%</w:t>
            </w:r>
          </w:p>
        </w:tc>
      </w:tr>
      <w:tr>
        <w:trPr>
          <w:trHeight w:val="342" w:hRule="atLeast"/>
        </w:trPr>
        <w:tc>
          <w:tcPr>
            <w:tcW w:w="2026" w:type="dxa"/>
          </w:tcPr>
          <w:p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MEDIANA</w:t>
            </w:r>
          </w:p>
        </w:tc>
        <w:tc>
          <w:tcPr>
            <w:tcW w:w="455" w:type="dxa"/>
          </w:tcPr>
          <w:p>
            <w:pPr>
              <w:pStyle w:val="TableParagraph"/>
              <w:spacing w:line="169" w:lineRule="exact"/>
              <w:ind w:left="107"/>
              <w:rPr>
                <w:sz w:val="14"/>
              </w:rPr>
            </w:pPr>
            <w:r>
              <w:rPr>
                <w:sz w:val="14"/>
              </w:rPr>
              <w:t>66</w:t>
            </w:r>
          </w:p>
          <w:p>
            <w:pPr>
              <w:pStyle w:val="TableParagraph"/>
              <w:spacing w:line="152" w:lineRule="exact" w:before="2"/>
              <w:ind w:left="107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6"/>
              <w:rPr>
                <w:sz w:val="14"/>
              </w:rPr>
            </w:pPr>
            <w:r>
              <w:rPr>
                <w:sz w:val="14"/>
              </w:rPr>
              <w:t>65</w:t>
            </w:r>
          </w:p>
          <w:p>
            <w:pPr>
              <w:pStyle w:val="TableParagraph"/>
              <w:spacing w:line="152" w:lineRule="exact" w:before="2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6"/>
              <w:rPr>
                <w:sz w:val="14"/>
              </w:rPr>
            </w:pPr>
            <w:r>
              <w:rPr>
                <w:sz w:val="14"/>
              </w:rPr>
              <w:t>64</w:t>
            </w:r>
          </w:p>
          <w:p>
            <w:pPr>
              <w:pStyle w:val="TableParagraph"/>
              <w:spacing w:line="152" w:lineRule="exact" w:before="2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3"/>
              <w:rPr>
                <w:sz w:val="14"/>
              </w:rPr>
            </w:pPr>
            <w:r>
              <w:rPr>
                <w:sz w:val="14"/>
              </w:rPr>
              <w:t>67</w:t>
            </w:r>
          </w:p>
          <w:p>
            <w:pPr>
              <w:pStyle w:val="TableParagraph"/>
              <w:spacing w:line="152" w:lineRule="exact" w:before="2"/>
              <w:ind w:left="103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2"/>
              <w:rPr>
                <w:sz w:val="14"/>
              </w:rPr>
            </w:pPr>
            <w:r>
              <w:rPr>
                <w:sz w:val="14"/>
              </w:rPr>
              <w:t>91</w:t>
            </w:r>
          </w:p>
          <w:p>
            <w:pPr>
              <w:pStyle w:val="TableParagraph"/>
              <w:spacing w:line="152" w:lineRule="exact" w:before="2"/>
              <w:ind w:left="102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91</w:t>
            </w:r>
          </w:p>
          <w:p>
            <w:pPr>
              <w:pStyle w:val="TableParagraph"/>
              <w:spacing w:line="152" w:lineRule="exact" w:before="2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93</w:t>
            </w:r>
          </w:p>
          <w:p>
            <w:pPr>
              <w:pStyle w:val="TableParagraph"/>
              <w:spacing w:line="152" w:lineRule="exact" w:before="2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94</w:t>
            </w:r>
          </w:p>
          <w:p>
            <w:pPr>
              <w:pStyle w:val="TableParagraph"/>
              <w:spacing w:line="152" w:lineRule="exact" w:before="2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509" w:type="dxa"/>
          </w:tcPr>
          <w:p>
            <w:pPr>
              <w:pStyle w:val="TableParagraph"/>
              <w:spacing w:line="169" w:lineRule="exact"/>
              <w:ind w:left="44" w:right="91"/>
              <w:jc w:val="center"/>
              <w:rPr>
                <w:sz w:val="14"/>
              </w:rPr>
            </w:pPr>
            <w:r>
              <w:rPr>
                <w:sz w:val="14"/>
              </w:rPr>
              <w:t>44%</w:t>
            </w:r>
          </w:p>
        </w:tc>
        <w:tc>
          <w:tcPr>
            <w:tcW w:w="456" w:type="dxa"/>
          </w:tcPr>
          <w:p>
            <w:pPr>
              <w:pStyle w:val="TableParagraph"/>
              <w:spacing w:line="169" w:lineRule="exact"/>
              <w:ind w:left="103"/>
              <w:rPr>
                <w:sz w:val="14"/>
              </w:rPr>
            </w:pPr>
            <w:r>
              <w:rPr>
                <w:sz w:val="14"/>
              </w:rPr>
              <w:t>44</w:t>
            </w:r>
          </w:p>
          <w:p>
            <w:pPr>
              <w:pStyle w:val="TableParagraph"/>
              <w:spacing w:line="152" w:lineRule="exact" w:before="2"/>
              <w:ind w:left="103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1"/>
              <w:rPr>
                <w:sz w:val="14"/>
              </w:rPr>
            </w:pPr>
            <w:r>
              <w:rPr>
                <w:sz w:val="14"/>
              </w:rPr>
              <w:t>44</w:t>
            </w:r>
          </w:p>
          <w:p>
            <w:pPr>
              <w:pStyle w:val="TableParagraph"/>
              <w:spacing w:line="152" w:lineRule="exact" w:before="2"/>
              <w:ind w:left="101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44</w:t>
            </w:r>
          </w:p>
          <w:p>
            <w:pPr>
              <w:pStyle w:val="TableParagraph"/>
              <w:spacing w:line="152" w:lineRule="exact" w:before="2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13%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105"/>
              <w:rPr>
                <w:sz w:val="14"/>
              </w:rPr>
            </w:pPr>
            <w:r>
              <w:rPr>
                <w:sz w:val="14"/>
              </w:rPr>
              <w:t>13</w:t>
            </w:r>
          </w:p>
          <w:p>
            <w:pPr>
              <w:pStyle w:val="TableParagraph"/>
              <w:spacing w:line="152" w:lineRule="exact" w:before="2"/>
              <w:ind w:left="105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105"/>
              <w:rPr>
                <w:sz w:val="14"/>
              </w:rPr>
            </w:pPr>
            <w:r>
              <w:rPr>
                <w:sz w:val="14"/>
              </w:rPr>
              <w:t>14</w:t>
            </w:r>
          </w:p>
          <w:p>
            <w:pPr>
              <w:pStyle w:val="TableParagraph"/>
              <w:spacing w:line="152" w:lineRule="exact" w:before="2"/>
              <w:ind w:left="105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106"/>
              <w:rPr>
                <w:sz w:val="14"/>
              </w:rPr>
            </w:pPr>
            <w:r>
              <w:rPr>
                <w:sz w:val="14"/>
              </w:rPr>
              <w:t>15</w:t>
            </w:r>
          </w:p>
          <w:p>
            <w:pPr>
              <w:pStyle w:val="TableParagraph"/>
              <w:spacing w:line="152" w:lineRule="exact" w:before="2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</w:tr>
      <w:tr>
        <w:trPr>
          <w:trHeight w:val="340" w:hRule="atLeast"/>
        </w:trPr>
        <w:tc>
          <w:tcPr>
            <w:tcW w:w="2026" w:type="dxa"/>
          </w:tcPr>
          <w:p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MAXIMA</w:t>
            </w:r>
          </w:p>
        </w:tc>
        <w:tc>
          <w:tcPr>
            <w:tcW w:w="455" w:type="dxa"/>
          </w:tcPr>
          <w:p>
            <w:pPr>
              <w:pStyle w:val="TableParagraph"/>
              <w:spacing w:line="169" w:lineRule="exact"/>
              <w:ind w:left="107"/>
              <w:rPr>
                <w:sz w:val="14"/>
              </w:rPr>
            </w:pPr>
            <w:r>
              <w:rPr>
                <w:sz w:val="14"/>
              </w:rPr>
              <w:t>115</w:t>
            </w:r>
          </w:p>
          <w:p>
            <w:pPr>
              <w:pStyle w:val="TableParagraph"/>
              <w:spacing w:line="151" w:lineRule="exact"/>
              <w:ind w:left="107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6"/>
              <w:rPr>
                <w:sz w:val="14"/>
              </w:rPr>
            </w:pPr>
            <w:r>
              <w:rPr>
                <w:sz w:val="14"/>
              </w:rPr>
              <w:t>111</w:t>
            </w:r>
          </w:p>
          <w:p>
            <w:pPr>
              <w:pStyle w:val="TableParagraph"/>
              <w:spacing w:line="151" w:lineRule="exact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6"/>
              <w:rPr>
                <w:sz w:val="14"/>
              </w:rPr>
            </w:pPr>
            <w:r>
              <w:rPr>
                <w:sz w:val="14"/>
              </w:rPr>
              <w:t>105</w:t>
            </w:r>
          </w:p>
          <w:p>
            <w:pPr>
              <w:pStyle w:val="TableParagraph"/>
              <w:spacing w:line="151" w:lineRule="exact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3"/>
              <w:rPr>
                <w:sz w:val="14"/>
              </w:rPr>
            </w:pPr>
            <w:r>
              <w:rPr>
                <w:sz w:val="14"/>
              </w:rPr>
              <w:t>108</w:t>
            </w:r>
          </w:p>
          <w:p>
            <w:pPr>
              <w:pStyle w:val="TableParagraph"/>
              <w:spacing w:line="151" w:lineRule="exact"/>
              <w:ind w:left="103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2"/>
              <w:rPr>
                <w:sz w:val="14"/>
              </w:rPr>
            </w:pPr>
            <w:r>
              <w:rPr>
                <w:sz w:val="14"/>
              </w:rPr>
              <w:t>131</w:t>
            </w:r>
          </w:p>
          <w:p>
            <w:pPr>
              <w:pStyle w:val="TableParagraph"/>
              <w:spacing w:line="151" w:lineRule="exact"/>
              <w:ind w:left="102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133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134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132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509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144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6" w:type="dxa"/>
          </w:tcPr>
          <w:p>
            <w:pPr>
              <w:pStyle w:val="TableParagraph"/>
              <w:spacing w:line="169" w:lineRule="exact"/>
              <w:ind w:left="103"/>
              <w:rPr>
                <w:sz w:val="14"/>
              </w:rPr>
            </w:pPr>
            <w:r>
              <w:rPr>
                <w:sz w:val="14"/>
              </w:rPr>
              <w:t>131</w:t>
            </w:r>
          </w:p>
          <w:p>
            <w:pPr>
              <w:pStyle w:val="TableParagraph"/>
              <w:spacing w:line="151" w:lineRule="exact"/>
              <w:ind w:left="103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69" w:lineRule="exact"/>
              <w:ind w:left="101"/>
              <w:rPr>
                <w:sz w:val="14"/>
              </w:rPr>
            </w:pPr>
            <w:r>
              <w:rPr>
                <w:sz w:val="14"/>
              </w:rPr>
              <w:t>132</w:t>
            </w:r>
          </w:p>
          <w:p>
            <w:pPr>
              <w:pStyle w:val="TableParagraph"/>
              <w:spacing w:line="151" w:lineRule="exact"/>
              <w:ind w:left="101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121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line="169" w:lineRule="exact"/>
              <w:ind w:left="104"/>
              <w:rPr>
                <w:sz w:val="14"/>
              </w:rPr>
            </w:pPr>
            <w:r>
              <w:rPr>
                <w:sz w:val="14"/>
              </w:rPr>
              <w:t>152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105"/>
              <w:rPr>
                <w:sz w:val="14"/>
              </w:rPr>
            </w:pPr>
            <w:r>
              <w:rPr>
                <w:sz w:val="14"/>
              </w:rPr>
              <w:t>154</w:t>
            </w:r>
          </w:p>
          <w:p>
            <w:pPr>
              <w:pStyle w:val="TableParagraph"/>
              <w:spacing w:line="151" w:lineRule="exact"/>
              <w:ind w:left="105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/>
              <w:ind w:left="105"/>
              <w:rPr>
                <w:sz w:val="14"/>
              </w:rPr>
            </w:pPr>
            <w:r>
              <w:rPr>
                <w:sz w:val="14"/>
              </w:rPr>
              <w:t>156</w:t>
            </w:r>
          </w:p>
          <w:p>
            <w:pPr>
              <w:pStyle w:val="TableParagraph"/>
              <w:spacing w:line="151" w:lineRule="exact"/>
              <w:ind w:left="105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106"/>
              <w:rPr>
                <w:sz w:val="14"/>
              </w:rPr>
            </w:pPr>
            <w:r>
              <w:rPr>
                <w:sz w:val="14"/>
              </w:rPr>
              <w:t>151</w:t>
            </w:r>
          </w:p>
          <w:p>
            <w:pPr>
              <w:pStyle w:val="TableParagraph"/>
              <w:spacing w:line="151" w:lineRule="exact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</w:tr>
      <w:tr>
        <w:trPr>
          <w:trHeight w:val="342" w:hRule="atLeast"/>
        </w:trPr>
        <w:tc>
          <w:tcPr>
            <w:tcW w:w="2026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CV</w:t>
            </w:r>
          </w:p>
        </w:tc>
        <w:tc>
          <w:tcPr>
            <w:tcW w:w="455" w:type="dxa"/>
          </w:tcPr>
          <w:p>
            <w:pPr>
              <w:pStyle w:val="TableParagraph"/>
              <w:spacing w:line="171" w:lineRule="exact" w:before="1"/>
              <w:ind w:left="107"/>
              <w:rPr>
                <w:sz w:val="14"/>
              </w:rPr>
            </w:pPr>
            <w:r>
              <w:rPr>
                <w:sz w:val="14"/>
              </w:rPr>
              <w:t>26</w:t>
            </w:r>
          </w:p>
          <w:p>
            <w:pPr>
              <w:pStyle w:val="TableParagraph"/>
              <w:spacing w:line="151" w:lineRule="exact"/>
              <w:ind w:left="107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71" w:lineRule="exact" w:before="1"/>
              <w:ind w:left="106"/>
              <w:rPr>
                <w:sz w:val="14"/>
              </w:rPr>
            </w:pPr>
            <w:r>
              <w:rPr>
                <w:sz w:val="14"/>
              </w:rPr>
              <w:t>26</w:t>
            </w:r>
          </w:p>
          <w:p>
            <w:pPr>
              <w:pStyle w:val="TableParagraph"/>
              <w:spacing w:line="151" w:lineRule="exact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71" w:lineRule="exact" w:before="1"/>
              <w:ind w:left="106"/>
              <w:rPr>
                <w:sz w:val="14"/>
              </w:rPr>
            </w:pPr>
            <w:r>
              <w:rPr>
                <w:sz w:val="14"/>
              </w:rPr>
              <w:t>26</w:t>
            </w:r>
          </w:p>
          <w:p>
            <w:pPr>
              <w:pStyle w:val="TableParagraph"/>
              <w:spacing w:line="151" w:lineRule="exact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71" w:lineRule="exact" w:before="1"/>
              <w:ind w:left="103"/>
              <w:rPr>
                <w:sz w:val="14"/>
              </w:rPr>
            </w:pPr>
            <w:r>
              <w:rPr>
                <w:sz w:val="14"/>
              </w:rPr>
              <w:t>24</w:t>
            </w:r>
          </w:p>
          <w:p>
            <w:pPr>
              <w:pStyle w:val="TableParagraph"/>
              <w:spacing w:line="151" w:lineRule="exact"/>
              <w:ind w:left="103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71" w:lineRule="exact" w:before="1"/>
              <w:ind w:left="102"/>
              <w:rPr>
                <w:sz w:val="14"/>
              </w:rPr>
            </w:pPr>
            <w:r>
              <w:rPr>
                <w:sz w:val="14"/>
              </w:rPr>
              <w:t>10</w:t>
            </w:r>
          </w:p>
          <w:p>
            <w:pPr>
              <w:pStyle w:val="TableParagraph"/>
              <w:spacing w:line="151" w:lineRule="exact"/>
              <w:ind w:left="102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71" w:lineRule="exact" w:before="1"/>
              <w:ind w:left="104"/>
              <w:rPr>
                <w:sz w:val="14"/>
              </w:rPr>
            </w:pPr>
            <w:r>
              <w:rPr>
                <w:sz w:val="14"/>
              </w:rPr>
              <w:t>11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71" w:lineRule="exact" w:before="1"/>
              <w:ind w:left="104"/>
              <w:rPr>
                <w:sz w:val="14"/>
              </w:rPr>
            </w:pPr>
            <w:r>
              <w:rPr>
                <w:sz w:val="14"/>
              </w:rPr>
              <w:t>11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71" w:lineRule="exact" w:before="1"/>
              <w:ind w:left="104"/>
              <w:rPr>
                <w:sz w:val="14"/>
              </w:rPr>
            </w:pPr>
            <w:r>
              <w:rPr>
                <w:sz w:val="14"/>
              </w:rPr>
              <w:t>11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509" w:type="dxa"/>
          </w:tcPr>
          <w:p>
            <w:pPr>
              <w:pStyle w:val="TableParagraph"/>
              <w:spacing w:before="1"/>
              <w:ind w:left="44" w:right="91"/>
              <w:jc w:val="center"/>
              <w:rPr>
                <w:sz w:val="14"/>
              </w:rPr>
            </w:pPr>
            <w:r>
              <w:rPr>
                <w:sz w:val="14"/>
              </w:rPr>
              <w:t>47%</w:t>
            </w:r>
          </w:p>
        </w:tc>
        <w:tc>
          <w:tcPr>
            <w:tcW w:w="456" w:type="dxa"/>
          </w:tcPr>
          <w:p>
            <w:pPr>
              <w:pStyle w:val="TableParagraph"/>
              <w:spacing w:line="171" w:lineRule="exact" w:before="1"/>
              <w:ind w:left="103"/>
              <w:rPr>
                <w:sz w:val="14"/>
              </w:rPr>
            </w:pPr>
            <w:r>
              <w:rPr>
                <w:sz w:val="14"/>
              </w:rPr>
              <w:t>47</w:t>
            </w:r>
          </w:p>
          <w:p>
            <w:pPr>
              <w:pStyle w:val="TableParagraph"/>
              <w:spacing w:line="151" w:lineRule="exact"/>
              <w:ind w:left="103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4" w:type="dxa"/>
          </w:tcPr>
          <w:p>
            <w:pPr>
              <w:pStyle w:val="TableParagraph"/>
              <w:spacing w:line="171" w:lineRule="exact" w:before="1"/>
              <w:ind w:left="101"/>
              <w:rPr>
                <w:sz w:val="14"/>
              </w:rPr>
            </w:pPr>
            <w:r>
              <w:rPr>
                <w:sz w:val="14"/>
              </w:rPr>
              <w:t>46</w:t>
            </w:r>
          </w:p>
          <w:p>
            <w:pPr>
              <w:pStyle w:val="TableParagraph"/>
              <w:spacing w:line="151" w:lineRule="exact"/>
              <w:ind w:left="101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</w:tcPr>
          <w:p>
            <w:pPr>
              <w:pStyle w:val="TableParagraph"/>
              <w:spacing w:line="171" w:lineRule="exact" w:before="1"/>
              <w:ind w:left="104"/>
              <w:rPr>
                <w:sz w:val="14"/>
              </w:rPr>
            </w:pPr>
            <w:r>
              <w:rPr>
                <w:sz w:val="14"/>
              </w:rPr>
              <w:t>46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line="171" w:lineRule="exact" w:before="1"/>
              <w:ind w:left="104"/>
              <w:rPr>
                <w:sz w:val="14"/>
              </w:rPr>
            </w:pPr>
            <w:r>
              <w:rPr>
                <w:sz w:val="14"/>
              </w:rPr>
              <w:t>107</w:t>
            </w:r>
          </w:p>
          <w:p>
            <w:pPr>
              <w:pStyle w:val="TableParagraph"/>
              <w:spacing w:line="151" w:lineRule="exact"/>
              <w:ind w:left="104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</w:tcPr>
          <w:p>
            <w:pPr>
              <w:pStyle w:val="TableParagraph"/>
              <w:spacing w:line="171" w:lineRule="exact" w:before="1"/>
              <w:ind w:left="105"/>
              <w:rPr>
                <w:sz w:val="14"/>
              </w:rPr>
            </w:pPr>
            <w:r>
              <w:rPr>
                <w:sz w:val="14"/>
              </w:rPr>
              <w:t>106</w:t>
            </w:r>
          </w:p>
          <w:p>
            <w:pPr>
              <w:pStyle w:val="TableParagraph"/>
              <w:spacing w:line="151" w:lineRule="exact"/>
              <w:ind w:left="105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</w:tcPr>
          <w:p>
            <w:pPr>
              <w:pStyle w:val="TableParagraph"/>
              <w:spacing w:line="171" w:lineRule="exact" w:before="1"/>
              <w:ind w:left="105"/>
              <w:rPr>
                <w:sz w:val="14"/>
              </w:rPr>
            </w:pPr>
            <w:r>
              <w:rPr>
                <w:sz w:val="14"/>
              </w:rPr>
              <w:t>104</w:t>
            </w:r>
          </w:p>
          <w:p>
            <w:pPr>
              <w:pStyle w:val="TableParagraph"/>
              <w:spacing w:line="151" w:lineRule="exact"/>
              <w:ind w:left="105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45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71" w:lineRule="exact" w:before="1"/>
              <w:ind w:left="106"/>
              <w:rPr>
                <w:sz w:val="14"/>
              </w:rPr>
            </w:pPr>
            <w:r>
              <w:rPr>
                <w:sz w:val="14"/>
              </w:rPr>
              <w:t>101</w:t>
            </w:r>
          </w:p>
          <w:p>
            <w:pPr>
              <w:pStyle w:val="TableParagraph"/>
              <w:spacing w:line="151" w:lineRule="exact"/>
              <w:ind w:left="106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</w:tr>
    </w:tbl>
    <w:p>
      <w:pPr>
        <w:spacing w:before="1"/>
        <w:ind w:left="278" w:right="0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 datos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Anexo:</w:t>
      </w:r>
      <w:r>
        <w:rPr>
          <w:spacing w:val="-3"/>
          <w:sz w:val="20"/>
        </w:rPr>
        <w:t> </w:t>
      </w:r>
      <w:r>
        <w:rPr>
          <w:sz w:val="20"/>
        </w:rPr>
        <w:t>SEN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2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sobre</w:t>
      </w:r>
      <w:r>
        <w:rPr>
          <w:spacing w:val="-3"/>
          <w:sz w:val="20"/>
        </w:rPr>
        <w:t> </w:t>
      </w:r>
      <w:r>
        <w:rPr>
          <w:sz w:val="20"/>
        </w:rPr>
        <w:t>cobertura</w:t>
      </w:r>
      <w:r>
        <w:rPr>
          <w:spacing w:val="1"/>
          <w:sz w:val="20"/>
        </w:rPr>
        <w:t> </w:t>
      </w:r>
      <w:r>
        <w:rPr>
          <w:sz w:val="20"/>
        </w:rPr>
        <w:t>tabla</w:t>
      </w:r>
      <w:r>
        <w:rPr>
          <w:spacing w:val="-2"/>
          <w:sz w:val="20"/>
        </w:rPr>
        <w:t> </w:t>
      </w:r>
      <w:r>
        <w:rPr>
          <w:sz w:val="20"/>
        </w:rPr>
        <w:t>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563.880005pt;margin-top:12.023912pt;width:25.44pt;height:1.4399pt;mso-position-horizontal-relative:page;mso-position-vertical-relative:paragraph;z-index:-1556121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ind w:right="211"/>
      </w:pPr>
      <w:r>
        <w:rPr/>
        <w:t>79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483712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24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spacing w:before="52"/>
        <w:ind w:left="278" w:right="1074" w:firstLine="0"/>
        <w:jc w:val="both"/>
        <w:rPr>
          <w:sz w:val="24"/>
        </w:rPr>
      </w:pP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términos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promedio</w:t>
      </w:r>
      <w:r>
        <w:rPr>
          <w:spacing w:val="-4"/>
          <w:sz w:val="24"/>
        </w:rPr>
        <w:t> </w:t>
      </w:r>
      <w:r>
        <w:rPr>
          <w:sz w:val="24"/>
        </w:rPr>
        <w:t>municipal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brechas</w:t>
      </w:r>
      <w:r>
        <w:rPr>
          <w:spacing w:val="-4"/>
          <w:sz w:val="24"/>
        </w:rPr>
        <w:t> </w:t>
      </w:r>
      <w:r>
        <w:rPr>
          <w:sz w:val="24"/>
        </w:rPr>
        <w:t>rondan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2%,</w:t>
      </w:r>
      <w:r>
        <w:rPr>
          <w:spacing w:val="-4"/>
          <w:sz w:val="24"/>
        </w:rPr>
        <w:t> </w:t>
      </w:r>
      <w:r>
        <w:rPr>
          <w:sz w:val="24"/>
        </w:rPr>
        <w:t>salvo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nivel</w:t>
      </w:r>
      <w:r>
        <w:rPr>
          <w:spacing w:val="-4"/>
          <w:sz w:val="24"/>
        </w:rPr>
        <w:t> </w:t>
      </w:r>
      <w:r>
        <w:rPr>
          <w:sz w:val="24"/>
        </w:rPr>
        <w:t>diversificado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52"/>
          <w:sz w:val="24"/>
        </w:rPr>
        <w:t> </w:t>
      </w:r>
      <w:r>
        <w:rPr>
          <w:sz w:val="24"/>
        </w:rPr>
        <w:t>cual</w:t>
      </w:r>
      <w:r>
        <w:rPr>
          <w:spacing w:val="-9"/>
          <w:sz w:val="24"/>
        </w:rPr>
        <w:t> </w:t>
      </w:r>
      <w:r>
        <w:rPr>
          <w:sz w:val="24"/>
        </w:rPr>
        <w:t>las</w:t>
      </w:r>
      <w:r>
        <w:rPr>
          <w:spacing w:val="-8"/>
          <w:sz w:val="24"/>
        </w:rPr>
        <w:t> </w:t>
      </w:r>
      <w:r>
        <w:rPr>
          <w:sz w:val="24"/>
        </w:rPr>
        <w:t>mujeres</w:t>
      </w:r>
      <w:r>
        <w:rPr>
          <w:spacing w:val="-10"/>
          <w:sz w:val="24"/>
        </w:rPr>
        <w:t> </w:t>
      </w:r>
      <w:r>
        <w:rPr>
          <w:sz w:val="24"/>
        </w:rPr>
        <w:t>tienen</w:t>
      </w:r>
      <w:r>
        <w:rPr>
          <w:spacing w:val="-9"/>
          <w:sz w:val="24"/>
        </w:rPr>
        <w:t> </w:t>
      </w:r>
      <w:r>
        <w:rPr>
          <w:sz w:val="24"/>
        </w:rPr>
        <w:t>una</w:t>
      </w:r>
      <w:r>
        <w:rPr>
          <w:spacing w:val="-10"/>
          <w:sz w:val="24"/>
        </w:rPr>
        <w:t> </w:t>
      </w:r>
      <w:r>
        <w:rPr>
          <w:sz w:val="24"/>
        </w:rPr>
        <w:t>tasa</w:t>
      </w:r>
      <w:r>
        <w:rPr>
          <w:spacing w:val="-10"/>
          <w:sz w:val="24"/>
        </w:rPr>
        <w:t> </w:t>
      </w:r>
      <w:r>
        <w:rPr>
          <w:sz w:val="24"/>
        </w:rPr>
        <w:t>promedio</w:t>
      </w:r>
      <w:r>
        <w:rPr>
          <w:spacing w:val="-10"/>
          <w:sz w:val="24"/>
        </w:rPr>
        <w:t> </w:t>
      </w:r>
      <w:r>
        <w:rPr>
          <w:sz w:val="24"/>
        </w:rPr>
        <w:t>mayor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los</w:t>
      </w:r>
      <w:r>
        <w:rPr>
          <w:spacing w:val="-10"/>
          <w:sz w:val="24"/>
        </w:rPr>
        <w:t> </w:t>
      </w:r>
      <w:r>
        <w:rPr>
          <w:sz w:val="24"/>
        </w:rPr>
        <w:t>hombres</w:t>
      </w:r>
      <w:r>
        <w:rPr>
          <w:spacing w:val="-8"/>
          <w:sz w:val="24"/>
        </w:rPr>
        <w:t> </w:t>
      </w:r>
      <w:r>
        <w:rPr>
          <w:sz w:val="24"/>
        </w:rPr>
        <w:t>(21%</w:t>
      </w:r>
      <w:r>
        <w:rPr>
          <w:spacing w:val="-8"/>
          <w:sz w:val="24"/>
        </w:rPr>
        <w:t> </w:t>
      </w:r>
      <w:r>
        <w:rPr>
          <w:sz w:val="24"/>
        </w:rPr>
        <w:t>versus</w:t>
      </w:r>
      <w:r>
        <w:rPr>
          <w:spacing w:val="-9"/>
          <w:sz w:val="24"/>
        </w:rPr>
        <w:t> </w:t>
      </w:r>
      <w:r>
        <w:rPr>
          <w:sz w:val="24"/>
        </w:rPr>
        <w:t>18%</w:t>
      </w:r>
      <w:r>
        <w:rPr>
          <w:spacing w:val="-11"/>
          <w:sz w:val="24"/>
        </w:rPr>
        <w:t> </w:t>
      </w:r>
      <w:r>
        <w:rPr>
          <w:sz w:val="24"/>
        </w:rPr>
        <w:t>para</w:t>
      </w:r>
      <w:r>
        <w:rPr>
          <w:spacing w:val="-9"/>
          <w:sz w:val="24"/>
        </w:rPr>
        <w:t> </w:t>
      </w:r>
      <w:r>
        <w:rPr>
          <w:sz w:val="24"/>
        </w:rPr>
        <w:t>2021)</w:t>
      </w:r>
      <w:r>
        <w:rPr>
          <w:spacing w:val="-11"/>
          <w:sz w:val="24"/>
        </w:rPr>
        <w:t> </w:t>
      </w:r>
      <w:r>
        <w:rPr>
          <w:sz w:val="24"/>
        </w:rPr>
        <w:t>para</w:t>
      </w:r>
      <w:r>
        <w:rPr>
          <w:spacing w:val="-52"/>
          <w:sz w:val="24"/>
        </w:rPr>
        <w:t> </w:t>
      </w:r>
      <w:r>
        <w:rPr>
          <w:sz w:val="24"/>
        </w:rPr>
        <w:t>el período anual analizado, las brechas por municipio y año son fácilmente determinadas con los</w:t>
      </w:r>
      <w:r>
        <w:rPr>
          <w:spacing w:val="-52"/>
          <w:sz w:val="24"/>
        </w:rPr>
        <w:t> </w:t>
      </w:r>
      <w:r>
        <w:rPr>
          <w:sz w:val="24"/>
        </w:rPr>
        <w:t>datos del Anexo: SEN - Datos sobre cobertura. Para ejemplificar las brechas se muestran los</w:t>
      </w:r>
      <w:r>
        <w:rPr>
          <w:spacing w:val="1"/>
          <w:sz w:val="24"/>
        </w:rPr>
        <w:t> </w:t>
      </w:r>
      <w:r>
        <w:rPr>
          <w:sz w:val="24"/>
        </w:rPr>
        <w:t>siguientes mapas de la tasa bruta de cobertura a nivel municipal para hombres y mujeres en el</w:t>
      </w:r>
      <w:r>
        <w:rPr>
          <w:spacing w:val="1"/>
          <w:sz w:val="24"/>
        </w:rPr>
        <w:t> </w:t>
      </w:r>
      <w:r>
        <w:rPr>
          <w:sz w:val="24"/>
        </w:rPr>
        <w:t>2021.</w:t>
      </w:r>
    </w:p>
    <w:p>
      <w:pPr>
        <w:pStyle w:val="BodyText"/>
        <w:spacing w:before="1"/>
        <w:rPr>
          <w:sz w:val="20"/>
        </w:rPr>
      </w:pPr>
    </w:p>
    <w:p>
      <w:pPr>
        <w:spacing w:before="1"/>
        <w:ind w:left="278" w:right="0" w:firstLine="0"/>
        <w:jc w:val="both"/>
        <w:rPr>
          <w:sz w:val="20"/>
        </w:rPr>
      </w:pPr>
      <w:r>
        <w:rPr>
          <w:b/>
          <w:sz w:val="20"/>
        </w:rPr>
        <w:t>Ilustración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6:</w:t>
      </w:r>
      <w:r>
        <w:rPr>
          <w:b/>
          <w:spacing w:val="-1"/>
          <w:sz w:val="20"/>
        </w:rPr>
        <w:t> </w:t>
      </w:r>
      <w:r>
        <w:rPr>
          <w:sz w:val="20"/>
        </w:rPr>
        <w:t>Tasas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cobertura</w:t>
      </w:r>
      <w:r>
        <w:rPr>
          <w:spacing w:val="-3"/>
          <w:sz w:val="20"/>
        </w:rPr>
        <w:t> </w:t>
      </w:r>
      <w:r>
        <w:rPr>
          <w:sz w:val="20"/>
        </w:rPr>
        <w:t>neta</w:t>
      </w:r>
      <w:r>
        <w:rPr>
          <w:spacing w:val="-2"/>
          <w:sz w:val="20"/>
        </w:rPr>
        <w:t> </w:t>
      </w:r>
      <w:r>
        <w:rPr>
          <w:sz w:val="20"/>
        </w:rPr>
        <w:t>municipal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hombres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mujeres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30">
            <wp:simplePos x="0" y="0"/>
            <wp:positionH relativeFrom="page">
              <wp:posOffset>899160</wp:posOffset>
            </wp:positionH>
            <wp:positionV relativeFrom="paragraph">
              <wp:posOffset>158471</wp:posOffset>
            </wp:positionV>
            <wp:extent cx="2358634" cy="2200275"/>
            <wp:effectExtent l="0" t="0" r="0" b="0"/>
            <wp:wrapTopAndBottom/>
            <wp:docPr id="243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634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1">
            <wp:simplePos x="0" y="0"/>
            <wp:positionH relativeFrom="page">
              <wp:posOffset>4617211</wp:posOffset>
            </wp:positionH>
            <wp:positionV relativeFrom="paragraph">
              <wp:posOffset>207366</wp:posOffset>
            </wp:positionV>
            <wp:extent cx="2242004" cy="2091308"/>
            <wp:effectExtent l="0" t="0" r="0" b="0"/>
            <wp:wrapTopAndBottom/>
            <wp:docPr id="24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004" cy="2091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2">
            <wp:simplePos x="0" y="0"/>
            <wp:positionH relativeFrom="page">
              <wp:posOffset>1209789</wp:posOffset>
            </wp:positionH>
            <wp:positionV relativeFrom="paragraph">
              <wp:posOffset>2611095</wp:posOffset>
            </wp:positionV>
            <wp:extent cx="1693243" cy="1493043"/>
            <wp:effectExtent l="0" t="0" r="0" b="0"/>
            <wp:wrapTopAndBottom/>
            <wp:docPr id="247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243" cy="1493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3">
            <wp:simplePos x="0" y="0"/>
            <wp:positionH relativeFrom="page">
              <wp:posOffset>4711319</wp:posOffset>
            </wp:positionH>
            <wp:positionV relativeFrom="paragraph">
              <wp:posOffset>2611095</wp:posOffset>
            </wp:positionV>
            <wp:extent cx="1693243" cy="1493043"/>
            <wp:effectExtent l="0" t="0" r="0" b="0"/>
            <wp:wrapTopAndBottom/>
            <wp:docPr id="249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243" cy="1493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sz w:val="26"/>
        </w:rPr>
      </w:pPr>
    </w:p>
    <w:p>
      <w:pPr>
        <w:spacing w:before="1"/>
        <w:ind w:left="278" w:right="0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41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partir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3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2"/>
          <w:sz w:val="20"/>
        </w:rPr>
        <w:t> </w:t>
      </w:r>
      <w:r>
        <w:rPr>
          <w:sz w:val="20"/>
        </w:rPr>
        <w:t>Anexo:</w:t>
      </w:r>
      <w:r>
        <w:rPr>
          <w:spacing w:val="1"/>
          <w:sz w:val="20"/>
        </w:rPr>
        <w:t> </w:t>
      </w:r>
      <w:r>
        <w:rPr>
          <w:sz w:val="20"/>
        </w:rPr>
        <w:t>SEN -</w:t>
      </w:r>
      <w:r>
        <w:rPr>
          <w:spacing w:val="-2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sobre</w:t>
      </w:r>
      <w:r>
        <w:rPr>
          <w:spacing w:val="-2"/>
          <w:sz w:val="20"/>
        </w:rPr>
        <w:t> </w:t>
      </w:r>
      <w:r>
        <w:rPr>
          <w:sz w:val="20"/>
        </w:rPr>
        <w:t>cobertura,</w:t>
      </w:r>
      <w:r>
        <w:rPr>
          <w:spacing w:val="-2"/>
          <w:sz w:val="20"/>
        </w:rPr>
        <w:t> </w:t>
      </w:r>
      <w:r>
        <w:rPr>
          <w:sz w:val="20"/>
        </w:rPr>
        <w:t>tabla</w:t>
      </w:r>
      <w:r>
        <w:rPr>
          <w:spacing w:val="-1"/>
          <w:sz w:val="20"/>
        </w:rPr>
        <w:t> </w:t>
      </w:r>
      <w:r>
        <w:rPr>
          <w:sz w:val="20"/>
        </w:rPr>
        <w:t>1.</w:t>
      </w:r>
    </w:p>
    <w:p>
      <w:pPr>
        <w:pStyle w:val="BodyText"/>
        <w:spacing w:before="8"/>
        <w:rPr>
          <w:sz w:val="19"/>
        </w:rPr>
      </w:pPr>
    </w:p>
    <w:p>
      <w:pPr>
        <w:spacing w:line="240" w:lineRule="auto" w:before="1"/>
        <w:ind w:left="278" w:right="1077" w:firstLine="0"/>
        <w:jc w:val="both"/>
        <w:rPr>
          <w:sz w:val="24"/>
        </w:rPr>
      </w:pPr>
      <w:r>
        <w:rPr>
          <w:sz w:val="24"/>
        </w:rPr>
        <w:t>Una de las causas de la variación sistémica de la brecha fue el efecto del COVID, como se verá</w:t>
      </w:r>
      <w:r>
        <w:rPr>
          <w:spacing w:val="1"/>
          <w:sz w:val="24"/>
        </w:rPr>
        <w:t> </w:t>
      </w:r>
      <w:r>
        <w:rPr>
          <w:sz w:val="24"/>
        </w:rPr>
        <w:t>más</w:t>
      </w:r>
      <w:r>
        <w:rPr>
          <w:spacing w:val="-1"/>
          <w:sz w:val="24"/>
        </w:rPr>
        <w:t> </w:t>
      </w:r>
      <w:r>
        <w:rPr>
          <w:sz w:val="24"/>
        </w:rPr>
        <w:t>adelante,</w:t>
      </w:r>
      <w:r>
        <w:rPr>
          <w:spacing w:val="-4"/>
          <w:sz w:val="24"/>
        </w:rPr>
        <w:t> </w:t>
      </w:r>
      <w:r>
        <w:rPr>
          <w:sz w:val="24"/>
        </w:rPr>
        <w:t>dado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en los</w:t>
      </w:r>
      <w:r>
        <w:rPr>
          <w:spacing w:val="-4"/>
          <w:sz w:val="24"/>
        </w:rPr>
        <w:t> </w:t>
      </w:r>
      <w:r>
        <w:rPr>
          <w:sz w:val="24"/>
        </w:rPr>
        <w:t>niveles</w:t>
      </w:r>
      <w:r>
        <w:rPr>
          <w:spacing w:val="-4"/>
          <w:sz w:val="24"/>
        </w:rPr>
        <w:t> </w:t>
      </w:r>
      <w:r>
        <w:rPr>
          <w:sz w:val="24"/>
        </w:rPr>
        <w:t>preprimaria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primaria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brecha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-6"/>
          <w:sz w:val="24"/>
        </w:rPr>
        <w:t> </w:t>
      </w:r>
      <w:r>
        <w:rPr>
          <w:sz w:val="24"/>
        </w:rPr>
        <w:t>mantiene,</w:t>
      </w:r>
      <w:r>
        <w:rPr>
          <w:spacing w:val="-4"/>
          <w:sz w:val="24"/>
        </w:rPr>
        <w:t> </w:t>
      </w:r>
      <w:r>
        <w:rPr>
          <w:sz w:val="24"/>
        </w:rPr>
        <w:t>en los</w:t>
      </w:r>
      <w:r>
        <w:rPr>
          <w:spacing w:val="-4"/>
          <w:sz w:val="24"/>
        </w:rPr>
        <w:t> </w:t>
      </w:r>
      <w:r>
        <w:rPr>
          <w:sz w:val="24"/>
        </w:rPr>
        <w:t>otros</w:t>
      </w:r>
      <w:r>
        <w:rPr>
          <w:spacing w:val="-52"/>
          <w:sz w:val="24"/>
        </w:rPr>
        <w:t> </w:t>
      </w:r>
      <w:r>
        <w:rPr>
          <w:sz w:val="24"/>
        </w:rPr>
        <w:t>niveles la reducción de la brecha se explica por la reducción de la cobertura de hombres en los</w:t>
      </w:r>
      <w:r>
        <w:rPr>
          <w:spacing w:val="1"/>
          <w:sz w:val="24"/>
        </w:rPr>
        <w:t> </w:t>
      </w:r>
      <w:r>
        <w:rPr>
          <w:sz w:val="24"/>
        </w:rPr>
        <w:t>niveles</w:t>
      </w:r>
      <w:r>
        <w:rPr>
          <w:spacing w:val="-3"/>
          <w:sz w:val="24"/>
        </w:rPr>
        <w:t> </w:t>
      </w:r>
      <w:r>
        <w:rPr>
          <w:sz w:val="24"/>
        </w:rPr>
        <w:t>básico y</w:t>
      </w:r>
      <w:r>
        <w:rPr>
          <w:spacing w:val="-3"/>
          <w:sz w:val="24"/>
        </w:rPr>
        <w:t> </w:t>
      </w:r>
      <w:r>
        <w:rPr>
          <w:sz w:val="24"/>
        </w:rPr>
        <w:t>diversificado.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Anexo: SEN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Datos</w:t>
      </w:r>
      <w:r>
        <w:rPr>
          <w:spacing w:val="-1"/>
          <w:sz w:val="24"/>
        </w:rPr>
        <w:t> </w:t>
      </w:r>
      <w:r>
        <w:rPr>
          <w:sz w:val="24"/>
        </w:rPr>
        <w:t>sobre</w:t>
      </w:r>
      <w:r>
        <w:rPr>
          <w:spacing w:val="-2"/>
          <w:sz w:val="24"/>
        </w:rPr>
        <w:t> </w:t>
      </w:r>
      <w:r>
        <w:rPr>
          <w:sz w:val="24"/>
        </w:rPr>
        <w:t>cobertura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presentan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datos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rect style="position:absolute;margin-left:563.880005pt;margin-top:10.143951pt;width:25.44pt;height:1.4399pt;mso-position-horizontal-relative:page;mso-position-vertical-relative:paragraph;z-index:-1555763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ind w:right="211"/>
      </w:pPr>
      <w:r>
        <w:rPr/>
        <w:t>80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487808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25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0"/>
          <w:numId w:val="7"/>
        </w:numPr>
        <w:tabs>
          <w:tab w:pos="639" w:val="left" w:leader="none"/>
        </w:tabs>
        <w:spacing w:line="240" w:lineRule="auto" w:before="52" w:after="0"/>
        <w:ind w:left="638" w:right="0" w:hanging="361"/>
        <w:jc w:val="left"/>
      </w:pPr>
      <w:bookmarkStart w:name="_bookmark102" w:id="137"/>
      <w:bookmarkEnd w:id="137"/>
      <w:r>
        <w:rPr>
          <w:b w:val="0"/>
        </w:rPr>
      </w:r>
      <w:bookmarkStart w:name="_bookmark102" w:id="138"/>
      <w:bookmarkEnd w:id="138"/>
      <w:r>
        <w:rPr>
          <w:color w:val="1F4E79"/>
        </w:rPr>
        <w:t>E</w:t>
      </w:r>
      <w:r>
        <w:rPr>
          <w:color w:val="1F4E79"/>
        </w:rPr>
        <w:t>quidad</w:t>
      </w:r>
      <w:r>
        <w:rPr>
          <w:color w:val="1F4E79"/>
          <w:spacing w:val="-3"/>
        </w:rPr>
        <w:t> </w:t>
      </w:r>
      <w:r>
        <w:rPr>
          <w:color w:val="1F4E79"/>
        </w:rPr>
        <w:t>por</w:t>
      </w:r>
      <w:r>
        <w:rPr>
          <w:color w:val="1F4E79"/>
          <w:spacing w:val="-1"/>
        </w:rPr>
        <w:t> </w:t>
      </w:r>
      <w:r>
        <w:rPr>
          <w:color w:val="1F4E79"/>
        </w:rPr>
        <w:t>etnia</w:t>
      </w:r>
      <w:r>
        <w:rPr>
          <w:color w:val="1F4E79"/>
          <w:spacing w:val="-4"/>
        </w:rPr>
        <w:t> </w:t>
      </w:r>
      <w:r>
        <w:rPr>
          <w:color w:val="1F4E79"/>
        </w:rPr>
        <w:t>a</w:t>
      </w:r>
      <w:r>
        <w:rPr>
          <w:color w:val="1F4E79"/>
          <w:spacing w:val="-7"/>
        </w:rPr>
        <w:t> </w:t>
      </w:r>
      <w:r>
        <w:rPr>
          <w:color w:val="1F4E79"/>
        </w:rPr>
        <w:t>nivel</w:t>
      </w:r>
      <w:r>
        <w:rPr>
          <w:color w:val="1F4E79"/>
          <w:spacing w:val="-2"/>
        </w:rPr>
        <w:t> </w:t>
      </w:r>
      <w:r>
        <w:rPr>
          <w:color w:val="1F4E79"/>
        </w:rPr>
        <w:t>departamental</w:t>
      </w:r>
      <w:r>
        <w:rPr>
          <w:color w:val="1F4E79"/>
          <w:spacing w:val="-2"/>
        </w:rPr>
        <w:t> </w:t>
      </w:r>
      <w:r>
        <w:rPr>
          <w:color w:val="1F4E79"/>
        </w:rPr>
        <w:t>y</w:t>
      </w:r>
      <w:r>
        <w:rPr>
          <w:color w:val="1F4E79"/>
          <w:spacing w:val="-4"/>
        </w:rPr>
        <w:t> </w:t>
      </w:r>
      <w:r>
        <w:rPr>
          <w:color w:val="1F4E79"/>
        </w:rPr>
        <w:t>municipal</w:t>
      </w:r>
    </w:p>
    <w:p>
      <w:pPr>
        <w:pStyle w:val="BodyText"/>
        <w:spacing w:before="6"/>
        <w:rPr>
          <w:b/>
          <w:sz w:val="29"/>
        </w:rPr>
      </w:pPr>
    </w:p>
    <w:p>
      <w:pPr>
        <w:spacing w:before="0"/>
        <w:ind w:left="278" w:right="1070" w:firstLine="0"/>
        <w:jc w:val="both"/>
        <w:rPr>
          <w:sz w:val="24"/>
        </w:rPr>
      </w:pP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estimar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tasa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cobertura</w:t>
      </w:r>
      <w:r>
        <w:rPr>
          <w:spacing w:val="-11"/>
          <w:sz w:val="24"/>
        </w:rPr>
        <w:t> </w:t>
      </w:r>
      <w:r>
        <w:rPr>
          <w:sz w:val="24"/>
        </w:rPr>
        <w:t>bruta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nivel</w:t>
      </w:r>
      <w:r>
        <w:rPr>
          <w:spacing w:val="-10"/>
          <w:sz w:val="24"/>
        </w:rPr>
        <w:t> </w:t>
      </w:r>
      <w:r>
        <w:rPr>
          <w:sz w:val="24"/>
        </w:rPr>
        <w:t>departamental</w:t>
      </w:r>
      <w:r>
        <w:rPr>
          <w:spacing w:val="-9"/>
          <w:sz w:val="24"/>
        </w:rPr>
        <w:t> </w:t>
      </w:r>
      <w:r>
        <w:rPr>
          <w:sz w:val="24"/>
        </w:rPr>
        <w:t>y</w:t>
      </w:r>
      <w:r>
        <w:rPr>
          <w:spacing w:val="-11"/>
          <w:sz w:val="24"/>
        </w:rPr>
        <w:t> </w:t>
      </w:r>
      <w:r>
        <w:rPr>
          <w:sz w:val="24"/>
        </w:rPr>
        <w:t>municipal</w:t>
      </w:r>
      <w:r>
        <w:rPr>
          <w:spacing w:val="-10"/>
          <w:sz w:val="24"/>
        </w:rPr>
        <w:t> </w:t>
      </w:r>
      <w:r>
        <w:rPr>
          <w:sz w:val="24"/>
        </w:rPr>
        <w:t>según</w:t>
      </w:r>
      <w:r>
        <w:rPr>
          <w:spacing w:val="-10"/>
          <w:sz w:val="24"/>
        </w:rPr>
        <w:t> </w:t>
      </w:r>
      <w:r>
        <w:rPr>
          <w:sz w:val="24"/>
        </w:rPr>
        <w:t>etnia</w:t>
      </w:r>
      <w:r>
        <w:rPr>
          <w:color w:val="2D74B5"/>
          <w:sz w:val="24"/>
        </w:rPr>
        <w:t>4</w:t>
      </w:r>
      <w:r>
        <w:rPr>
          <w:sz w:val="24"/>
        </w:rPr>
        <w:t>,</w:t>
      </w:r>
      <w:r>
        <w:rPr>
          <w:spacing w:val="-9"/>
          <w:sz w:val="24"/>
        </w:rPr>
        <w:t> </w:t>
      </w:r>
      <w:r>
        <w:rPr>
          <w:sz w:val="24"/>
        </w:rPr>
        <w:t>se</w:t>
      </w:r>
      <w:r>
        <w:rPr>
          <w:spacing w:val="-8"/>
          <w:sz w:val="24"/>
        </w:rPr>
        <w:t> </w:t>
      </w:r>
      <w:r>
        <w:rPr>
          <w:sz w:val="24"/>
        </w:rPr>
        <w:t>realizó</w:t>
      </w:r>
      <w:r>
        <w:rPr>
          <w:spacing w:val="-52"/>
          <w:sz w:val="24"/>
        </w:rPr>
        <w:t> </w:t>
      </w:r>
      <w:r>
        <w:rPr>
          <w:sz w:val="24"/>
        </w:rPr>
        <w:t>una</w:t>
      </w:r>
      <w:r>
        <w:rPr>
          <w:spacing w:val="-12"/>
          <w:sz w:val="24"/>
        </w:rPr>
        <w:t> </w:t>
      </w:r>
      <w:r>
        <w:rPr>
          <w:sz w:val="24"/>
        </w:rPr>
        <w:t>estimación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población</w:t>
      </w:r>
      <w:r>
        <w:rPr>
          <w:spacing w:val="-9"/>
          <w:sz w:val="24"/>
        </w:rPr>
        <w:t> </w:t>
      </w:r>
      <w:r>
        <w:rPr>
          <w:sz w:val="24"/>
        </w:rPr>
        <w:t>total</w:t>
      </w:r>
      <w:r>
        <w:rPr>
          <w:spacing w:val="-11"/>
          <w:sz w:val="24"/>
        </w:rPr>
        <w:t> </w:t>
      </w:r>
      <w:r>
        <w:rPr>
          <w:sz w:val="24"/>
        </w:rPr>
        <w:t>por</w:t>
      </w:r>
      <w:r>
        <w:rPr>
          <w:spacing w:val="-12"/>
          <w:sz w:val="24"/>
        </w:rPr>
        <w:t> </w:t>
      </w:r>
      <w:r>
        <w:rPr>
          <w:sz w:val="24"/>
        </w:rPr>
        <w:t>etnia,</w:t>
      </w:r>
      <w:r>
        <w:rPr>
          <w:spacing w:val="-10"/>
          <w:sz w:val="24"/>
        </w:rPr>
        <w:t> </w:t>
      </w:r>
      <w:r>
        <w:rPr>
          <w:sz w:val="24"/>
        </w:rPr>
        <w:t>para</w:t>
      </w:r>
      <w:r>
        <w:rPr>
          <w:spacing w:val="-11"/>
          <w:sz w:val="24"/>
        </w:rPr>
        <w:t> </w:t>
      </w:r>
      <w:r>
        <w:rPr>
          <w:sz w:val="24"/>
        </w:rPr>
        <w:t>ello</w:t>
      </w:r>
      <w:r>
        <w:rPr>
          <w:spacing w:val="-11"/>
          <w:sz w:val="24"/>
        </w:rPr>
        <w:t> </w:t>
      </w:r>
      <w:r>
        <w:rPr>
          <w:sz w:val="24"/>
        </w:rPr>
        <w:t>en</w:t>
      </w:r>
      <w:r>
        <w:rPr>
          <w:spacing w:val="-10"/>
          <w:sz w:val="24"/>
        </w:rPr>
        <w:t> </w:t>
      </w:r>
      <w:r>
        <w:rPr>
          <w:sz w:val="24"/>
        </w:rPr>
        <w:t>inicio</w:t>
      </w:r>
      <w:r>
        <w:rPr>
          <w:spacing w:val="-10"/>
          <w:sz w:val="24"/>
        </w:rPr>
        <w:t> </w:t>
      </w:r>
      <w:r>
        <w:rPr>
          <w:sz w:val="24"/>
        </w:rPr>
        <w:t>se</w:t>
      </w:r>
      <w:r>
        <w:rPr>
          <w:spacing w:val="-12"/>
          <w:sz w:val="24"/>
        </w:rPr>
        <w:t> </w:t>
      </w:r>
      <w:r>
        <w:rPr>
          <w:sz w:val="24"/>
        </w:rPr>
        <w:t>extrajeron</w:t>
      </w:r>
      <w:r>
        <w:rPr>
          <w:spacing w:val="-10"/>
          <w:sz w:val="24"/>
        </w:rPr>
        <w:t> </w:t>
      </w:r>
      <w:r>
        <w:rPr>
          <w:sz w:val="24"/>
        </w:rPr>
        <w:t>datos</w:t>
      </w:r>
      <w:r>
        <w:rPr>
          <w:spacing w:val="-11"/>
          <w:sz w:val="24"/>
        </w:rPr>
        <w:t> </w:t>
      </w:r>
      <w:r>
        <w:rPr>
          <w:sz w:val="24"/>
        </w:rPr>
        <w:t>del</w:t>
      </w:r>
      <w:r>
        <w:rPr>
          <w:spacing w:val="-12"/>
          <w:sz w:val="24"/>
        </w:rPr>
        <w:t> </w:t>
      </w:r>
      <w:r>
        <w:rPr>
          <w:sz w:val="24"/>
        </w:rPr>
        <w:t>XII</w:t>
      </w:r>
      <w:r>
        <w:rPr>
          <w:spacing w:val="-12"/>
          <w:sz w:val="24"/>
        </w:rPr>
        <w:t> </w:t>
      </w:r>
      <w:r>
        <w:rPr>
          <w:sz w:val="24"/>
        </w:rPr>
        <w:t>Censo</w:t>
      </w:r>
      <w:r>
        <w:rPr>
          <w:spacing w:val="-52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Población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Vivienda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se</w:t>
      </w:r>
      <w:r>
        <w:rPr>
          <w:spacing w:val="-10"/>
          <w:sz w:val="24"/>
        </w:rPr>
        <w:t> </w:t>
      </w:r>
      <w:r>
        <w:rPr>
          <w:sz w:val="24"/>
        </w:rPr>
        <w:t>ajustaron</w:t>
      </w:r>
      <w:r>
        <w:rPr>
          <w:spacing w:val="-8"/>
          <w:sz w:val="24"/>
        </w:rPr>
        <w:t> </w:t>
      </w:r>
      <w:r>
        <w:rPr>
          <w:sz w:val="24"/>
        </w:rPr>
        <w:t>considerando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población</w:t>
      </w:r>
      <w:r>
        <w:rPr>
          <w:spacing w:val="-8"/>
          <w:sz w:val="24"/>
        </w:rPr>
        <w:t> </w:t>
      </w:r>
      <w:r>
        <w:rPr>
          <w:sz w:val="24"/>
        </w:rPr>
        <w:t>no</w:t>
      </w:r>
      <w:r>
        <w:rPr>
          <w:spacing w:val="-8"/>
          <w:sz w:val="24"/>
        </w:rPr>
        <w:t> </w:t>
      </w:r>
      <w:r>
        <w:rPr>
          <w:sz w:val="24"/>
        </w:rPr>
        <w:t>censada;</w:t>
      </w:r>
      <w:r>
        <w:rPr>
          <w:spacing w:val="-9"/>
          <w:sz w:val="24"/>
        </w:rPr>
        <w:t> </w:t>
      </w:r>
      <w:r>
        <w:rPr>
          <w:sz w:val="24"/>
        </w:rPr>
        <w:t>posteriormente,</w:t>
      </w:r>
      <w:r>
        <w:rPr>
          <w:spacing w:val="-10"/>
          <w:sz w:val="24"/>
        </w:rPr>
        <w:t> </w:t>
      </w:r>
      <w:r>
        <w:rPr>
          <w:sz w:val="24"/>
        </w:rPr>
        <w:t>se</w:t>
      </w:r>
      <w:r>
        <w:rPr>
          <w:spacing w:val="-52"/>
          <w:sz w:val="24"/>
        </w:rPr>
        <w:t> </w:t>
      </w:r>
      <w:r>
        <w:rPr>
          <w:sz w:val="24"/>
        </w:rPr>
        <w:t>proyectaron los datos por año, con la tasa de crecimiento de la población por municipio. La tasa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calculó</w:t>
      </w:r>
      <w:r>
        <w:rPr>
          <w:spacing w:val="-2"/>
          <w:sz w:val="24"/>
        </w:rPr>
        <w:t> </w:t>
      </w:r>
      <w:r>
        <w:rPr>
          <w:sz w:val="24"/>
        </w:rPr>
        <w:t>dividiendo la</w:t>
      </w:r>
      <w:r>
        <w:rPr>
          <w:spacing w:val="-2"/>
          <w:sz w:val="24"/>
        </w:rPr>
        <w:t> </w:t>
      </w:r>
      <w:r>
        <w:rPr>
          <w:sz w:val="24"/>
        </w:rPr>
        <w:t>matricula</w:t>
      </w:r>
      <w:r>
        <w:rPr>
          <w:spacing w:val="-4"/>
          <w:sz w:val="24"/>
        </w:rPr>
        <w:t> </w:t>
      </w:r>
      <w:r>
        <w:rPr>
          <w:sz w:val="24"/>
        </w:rPr>
        <w:t>entre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población</w:t>
      </w:r>
      <w:r>
        <w:rPr>
          <w:spacing w:val="-1"/>
          <w:sz w:val="24"/>
        </w:rPr>
        <w:t> </w:t>
      </w:r>
      <w:r>
        <w:rPr>
          <w:sz w:val="24"/>
        </w:rPr>
        <w:t>total</w:t>
      </w:r>
      <w:r>
        <w:rPr>
          <w:spacing w:val="-2"/>
          <w:sz w:val="24"/>
        </w:rPr>
        <w:t> </w:t>
      </w:r>
      <w:r>
        <w:rPr>
          <w:sz w:val="24"/>
        </w:rPr>
        <w:t>por etnia</w:t>
      </w:r>
      <w:r>
        <w:rPr>
          <w:spacing w:val="-1"/>
          <w:sz w:val="24"/>
        </w:rPr>
        <w:t> </w:t>
      </w:r>
      <w:r>
        <w:rPr>
          <w:sz w:val="24"/>
        </w:rPr>
        <w:t>previamente calculada.</w:t>
      </w:r>
    </w:p>
    <w:p>
      <w:pPr>
        <w:pStyle w:val="BodyText"/>
        <w:spacing w:before="9"/>
        <w:rPr>
          <w:sz w:val="19"/>
        </w:rPr>
      </w:pPr>
    </w:p>
    <w:p>
      <w:pPr>
        <w:pStyle w:val="Heading3"/>
        <w:numPr>
          <w:ilvl w:val="2"/>
          <w:numId w:val="8"/>
        </w:numPr>
        <w:tabs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103" w:id="139"/>
      <w:bookmarkEnd w:id="139"/>
      <w:r>
        <w:rPr>
          <w:b w:val="0"/>
        </w:rPr>
      </w:r>
      <w:bookmarkStart w:name="_bookmark103" w:id="140"/>
      <w:bookmarkEnd w:id="140"/>
      <w:r>
        <w:rPr/>
        <w:t>D</w:t>
      </w:r>
      <w:r>
        <w:rPr/>
        <w:t>atos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nivel</w:t>
      </w:r>
      <w:r>
        <w:rPr>
          <w:spacing w:val="-3"/>
        </w:rPr>
        <w:t> </w:t>
      </w:r>
      <w:r>
        <w:rPr/>
        <w:t>departamental</w:t>
      </w:r>
    </w:p>
    <w:p>
      <w:pPr>
        <w:pStyle w:val="BodyText"/>
        <w:spacing w:before="9"/>
        <w:rPr>
          <w:b/>
          <w:sz w:val="19"/>
        </w:rPr>
      </w:pPr>
    </w:p>
    <w:p>
      <w:pPr>
        <w:spacing w:before="0"/>
        <w:ind w:left="278" w:right="1070" w:firstLine="0"/>
        <w:jc w:val="both"/>
        <w:rPr>
          <w:sz w:val="24"/>
        </w:rPr>
      </w:pPr>
      <w:r>
        <w:rPr>
          <w:sz w:val="24"/>
        </w:rPr>
        <w:t>Los datos se muestran en la tabla 2 del Anexo: SEN - Datos sobre cobertura, como en cualquier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análisis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equidad,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se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evidencian</w:t>
      </w:r>
      <w:r>
        <w:rPr>
          <w:spacing w:val="-8"/>
          <w:sz w:val="24"/>
        </w:rPr>
        <w:t> </w:t>
      </w:r>
      <w:r>
        <w:rPr>
          <w:sz w:val="24"/>
        </w:rPr>
        <w:t>comportamientos</w:t>
      </w:r>
      <w:r>
        <w:rPr>
          <w:spacing w:val="-9"/>
          <w:sz w:val="24"/>
        </w:rPr>
        <w:t> </w:t>
      </w:r>
      <w:r>
        <w:rPr>
          <w:sz w:val="24"/>
        </w:rPr>
        <w:t>diferentes</w:t>
      </w:r>
      <w:r>
        <w:rPr>
          <w:spacing w:val="-10"/>
          <w:sz w:val="24"/>
        </w:rPr>
        <w:t> </w:t>
      </w:r>
      <w:r>
        <w:rPr>
          <w:sz w:val="24"/>
        </w:rPr>
        <w:t>en</w:t>
      </w:r>
      <w:r>
        <w:rPr>
          <w:spacing w:val="-10"/>
          <w:sz w:val="24"/>
        </w:rPr>
        <w:t> </w:t>
      </w:r>
      <w:r>
        <w:rPr>
          <w:sz w:val="24"/>
        </w:rPr>
        <w:t>cada</w:t>
      </w:r>
      <w:r>
        <w:rPr>
          <w:spacing w:val="-7"/>
          <w:sz w:val="24"/>
        </w:rPr>
        <w:t> </w:t>
      </w:r>
      <w:r>
        <w:rPr>
          <w:sz w:val="24"/>
        </w:rPr>
        <w:t>territorio.</w:t>
      </w:r>
      <w:r>
        <w:rPr>
          <w:spacing w:val="-12"/>
          <w:sz w:val="24"/>
        </w:rPr>
        <w:t> </w:t>
      </w:r>
      <w:r>
        <w:rPr>
          <w:sz w:val="24"/>
        </w:rPr>
        <w:t>Como</w:t>
      </w:r>
      <w:r>
        <w:rPr>
          <w:spacing w:val="-11"/>
          <w:sz w:val="24"/>
        </w:rPr>
        <w:t> </w:t>
      </w:r>
      <w:r>
        <w:rPr>
          <w:sz w:val="24"/>
        </w:rPr>
        <w:t>se</w:t>
      </w:r>
      <w:r>
        <w:rPr>
          <w:spacing w:val="-11"/>
          <w:sz w:val="24"/>
        </w:rPr>
        <w:t> </w:t>
      </w:r>
      <w:r>
        <w:rPr>
          <w:sz w:val="24"/>
        </w:rPr>
        <w:t>puede</w:t>
      </w:r>
      <w:r>
        <w:rPr>
          <w:spacing w:val="-52"/>
          <w:sz w:val="24"/>
        </w:rPr>
        <w:t> </w:t>
      </w:r>
      <w:r>
        <w:rPr>
          <w:sz w:val="24"/>
        </w:rPr>
        <w:t>ver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los</w:t>
      </w:r>
      <w:r>
        <w:rPr>
          <w:spacing w:val="-8"/>
          <w:sz w:val="24"/>
        </w:rPr>
        <w:t> </w:t>
      </w:r>
      <w:r>
        <w:rPr>
          <w:sz w:val="24"/>
        </w:rPr>
        <w:t>mapas,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10"/>
          <w:sz w:val="24"/>
        </w:rPr>
        <w:t> </w:t>
      </w:r>
      <w:r>
        <w:rPr>
          <w:sz w:val="24"/>
        </w:rPr>
        <w:t>comportamiento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las</w:t>
      </w:r>
      <w:r>
        <w:rPr>
          <w:spacing w:val="-8"/>
          <w:sz w:val="24"/>
        </w:rPr>
        <w:t> </w:t>
      </w:r>
      <w:r>
        <w:rPr>
          <w:sz w:val="24"/>
        </w:rPr>
        <w:t>tasas</w:t>
      </w:r>
      <w:r>
        <w:rPr>
          <w:spacing w:val="-13"/>
          <w:sz w:val="24"/>
        </w:rPr>
        <w:t> </w:t>
      </w:r>
      <w:r>
        <w:rPr>
          <w:sz w:val="24"/>
        </w:rPr>
        <w:t>varía</w:t>
      </w:r>
      <w:r>
        <w:rPr>
          <w:spacing w:val="-8"/>
          <w:sz w:val="24"/>
        </w:rPr>
        <w:t> </w:t>
      </w:r>
      <w:r>
        <w:rPr>
          <w:sz w:val="24"/>
        </w:rPr>
        <w:t>por</w:t>
      </w:r>
      <w:r>
        <w:rPr>
          <w:spacing w:val="-9"/>
          <w:sz w:val="24"/>
        </w:rPr>
        <w:t> </w:t>
      </w:r>
      <w:r>
        <w:rPr>
          <w:sz w:val="24"/>
        </w:rPr>
        <w:t>departamento,</w:t>
      </w:r>
      <w:r>
        <w:rPr>
          <w:spacing w:val="-12"/>
          <w:sz w:val="24"/>
        </w:rPr>
        <w:t> </w:t>
      </w:r>
      <w:r>
        <w:rPr>
          <w:sz w:val="24"/>
        </w:rPr>
        <w:t>los</w:t>
      </w:r>
      <w:r>
        <w:rPr>
          <w:spacing w:val="-7"/>
          <w:sz w:val="24"/>
        </w:rPr>
        <w:t> </w:t>
      </w:r>
      <w:r>
        <w:rPr>
          <w:sz w:val="24"/>
        </w:rPr>
        <w:t>mapas</w:t>
      </w:r>
      <w:r>
        <w:rPr>
          <w:spacing w:val="-11"/>
          <w:sz w:val="24"/>
        </w:rPr>
        <w:t> </w:t>
      </w:r>
      <w:r>
        <w:rPr>
          <w:sz w:val="24"/>
        </w:rPr>
        <w:t>2021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2019</w:t>
      </w:r>
      <w:r>
        <w:rPr>
          <w:spacing w:val="-52"/>
          <w:sz w:val="24"/>
        </w:rPr>
        <w:t> </w:t>
      </w:r>
      <w:r>
        <w:rPr>
          <w:sz w:val="24"/>
        </w:rPr>
        <w:t>para etnias ladinas muestran mayor cobertura en los departamentos con menor población, por</w:t>
      </w:r>
      <w:r>
        <w:rPr>
          <w:spacing w:val="1"/>
          <w:sz w:val="24"/>
        </w:rPr>
        <w:t> </w:t>
      </w:r>
      <w:r>
        <w:rPr>
          <w:sz w:val="24"/>
        </w:rPr>
        <w:t>aparte,</w:t>
      </w:r>
      <w:r>
        <w:rPr>
          <w:spacing w:val="-6"/>
          <w:sz w:val="24"/>
        </w:rPr>
        <w:t> </w:t>
      </w:r>
      <w:r>
        <w:rPr>
          <w:sz w:val="24"/>
        </w:rPr>
        <w:t>cuando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población</w:t>
      </w:r>
      <w:r>
        <w:rPr>
          <w:spacing w:val="-4"/>
          <w:sz w:val="24"/>
        </w:rPr>
        <w:t> </w:t>
      </w:r>
      <w:r>
        <w:rPr>
          <w:sz w:val="24"/>
        </w:rPr>
        <w:t>es</w:t>
      </w:r>
      <w:r>
        <w:rPr>
          <w:spacing w:val="-8"/>
          <w:sz w:val="24"/>
        </w:rPr>
        <w:t> </w:t>
      </w:r>
      <w:r>
        <w:rPr>
          <w:sz w:val="24"/>
        </w:rPr>
        <w:t>mayormente</w:t>
      </w:r>
      <w:r>
        <w:rPr>
          <w:spacing w:val="-5"/>
          <w:sz w:val="24"/>
        </w:rPr>
        <w:t> </w:t>
      </w:r>
      <w:r>
        <w:rPr>
          <w:sz w:val="24"/>
        </w:rPr>
        <w:t>maya,</w:t>
      </w:r>
      <w:r>
        <w:rPr>
          <w:spacing w:val="-5"/>
          <w:sz w:val="24"/>
        </w:rPr>
        <w:t> </w:t>
      </w:r>
      <w:r>
        <w:rPr>
          <w:sz w:val="24"/>
        </w:rPr>
        <w:t>como</w:t>
      </w:r>
      <w:r>
        <w:rPr>
          <w:spacing w:val="-6"/>
          <w:sz w:val="24"/>
        </w:rPr>
        <w:t> </w:t>
      </w:r>
      <w:r>
        <w:rPr>
          <w:sz w:val="24"/>
        </w:rPr>
        <w:t>se</w:t>
      </w:r>
      <w:r>
        <w:rPr>
          <w:spacing w:val="-8"/>
          <w:sz w:val="24"/>
        </w:rPr>
        <w:t> </w:t>
      </w:r>
      <w:r>
        <w:rPr>
          <w:sz w:val="24"/>
        </w:rPr>
        <w:t>muestra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7"/>
          <w:sz w:val="24"/>
        </w:rPr>
        <w:t> </w:t>
      </w:r>
      <w:r>
        <w:rPr>
          <w:sz w:val="24"/>
        </w:rPr>
        <w:t>mapas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izquierda</w:t>
      </w:r>
      <w:r>
        <w:rPr>
          <w:spacing w:val="-51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ilustración</w:t>
      </w:r>
      <w:r>
        <w:rPr>
          <w:spacing w:val="-5"/>
          <w:sz w:val="24"/>
        </w:rPr>
        <w:t> </w:t>
      </w:r>
      <w:r>
        <w:rPr>
          <w:sz w:val="24"/>
        </w:rPr>
        <w:t>7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coberturas</w:t>
      </w:r>
      <w:r>
        <w:rPr>
          <w:spacing w:val="-6"/>
          <w:sz w:val="24"/>
        </w:rPr>
        <w:t> </w:t>
      </w:r>
      <w:r>
        <w:rPr>
          <w:sz w:val="24"/>
        </w:rPr>
        <w:t>son</w:t>
      </w:r>
      <w:r>
        <w:rPr>
          <w:spacing w:val="-5"/>
          <w:sz w:val="24"/>
        </w:rPr>
        <w:t> </w:t>
      </w:r>
      <w:r>
        <w:rPr>
          <w:sz w:val="24"/>
        </w:rPr>
        <w:t>más</w:t>
      </w:r>
      <w:r>
        <w:rPr>
          <w:spacing w:val="-7"/>
          <w:sz w:val="24"/>
        </w:rPr>
        <w:t> </w:t>
      </w:r>
      <w:r>
        <w:rPr>
          <w:sz w:val="24"/>
        </w:rPr>
        <w:t>bajas.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7"/>
          <w:sz w:val="24"/>
        </w:rPr>
        <w:t> </w:t>
      </w:r>
      <w:r>
        <w:rPr>
          <w:sz w:val="24"/>
        </w:rPr>
        <w:t>brechas</w:t>
      </w:r>
      <w:r>
        <w:rPr>
          <w:spacing w:val="-6"/>
          <w:sz w:val="24"/>
        </w:rPr>
        <w:t> </w:t>
      </w:r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analizan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apartado</w:t>
      </w:r>
      <w:r>
        <w:rPr>
          <w:spacing w:val="-8"/>
          <w:sz w:val="24"/>
        </w:rPr>
        <w:t> </w:t>
      </w:r>
      <w:r>
        <w:rPr>
          <w:sz w:val="24"/>
        </w:rPr>
        <w:t>municipal,</w:t>
      </w:r>
      <w:r>
        <w:rPr>
          <w:spacing w:val="-5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continuación.</w:t>
      </w:r>
    </w:p>
    <w:p>
      <w:pPr>
        <w:pStyle w:val="BodyText"/>
        <w:rPr>
          <w:sz w:val="24"/>
        </w:rPr>
      </w:pPr>
    </w:p>
    <w:p>
      <w:pPr>
        <w:spacing w:before="1"/>
        <w:ind w:left="278" w:right="0" w:firstLine="0"/>
        <w:jc w:val="both"/>
        <w:rPr>
          <w:sz w:val="20"/>
        </w:rPr>
      </w:pPr>
      <w:r>
        <w:rPr>
          <w:b/>
          <w:sz w:val="20"/>
        </w:rPr>
        <w:t>Ilustración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7:</w:t>
      </w:r>
      <w:r>
        <w:rPr>
          <w:b/>
          <w:spacing w:val="-2"/>
          <w:sz w:val="20"/>
        </w:rPr>
        <w:t> </w:t>
      </w:r>
      <w:r>
        <w:rPr>
          <w:sz w:val="20"/>
        </w:rPr>
        <w:t>Tasas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cobertura</w:t>
      </w:r>
      <w:r>
        <w:rPr>
          <w:spacing w:val="-2"/>
          <w:sz w:val="20"/>
        </w:rPr>
        <w:t> </w:t>
      </w:r>
      <w:r>
        <w:rPr>
          <w:sz w:val="16"/>
        </w:rPr>
        <w:t>bruta</w:t>
      </w:r>
      <w:r>
        <w:rPr>
          <w:spacing w:val="-3"/>
          <w:sz w:val="16"/>
        </w:rPr>
        <w:t> </w:t>
      </w:r>
      <w:r>
        <w:rPr>
          <w:sz w:val="16"/>
        </w:rPr>
        <w:t>departamental</w:t>
      </w:r>
      <w:r>
        <w:rPr>
          <w:spacing w:val="-4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etnia</w:t>
      </w:r>
      <w:r>
        <w:rPr>
          <w:sz w:val="20"/>
        </w:rPr>
        <w:t>.</w:t>
      </w: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37">
            <wp:simplePos x="0" y="0"/>
            <wp:positionH relativeFrom="page">
              <wp:posOffset>1419225</wp:posOffset>
            </wp:positionH>
            <wp:positionV relativeFrom="paragraph">
              <wp:posOffset>135631</wp:posOffset>
            </wp:positionV>
            <wp:extent cx="2305140" cy="1936242"/>
            <wp:effectExtent l="0" t="0" r="0" b="0"/>
            <wp:wrapTopAndBottom/>
            <wp:docPr id="253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140" cy="1936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8">
            <wp:simplePos x="0" y="0"/>
            <wp:positionH relativeFrom="page">
              <wp:posOffset>4124325</wp:posOffset>
            </wp:positionH>
            <wp:positionV relativeFrom="paragraph">
              <wp:posOffset>135631</wp:posOffset>
            </wp:positionV>
            <wp:extent cx="2280963" cy="1936242"/>
            <wp:effectExtent l="0" t="0" r="0" b="0"/>
            <wp:wrapTopAndBottom/>
            <wp:docPr id="255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963" cy="1936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9">
            <wp:simplePos x="0" y="0"/>
            <wp:positionH relativeFrom="page">
              <wp:posOffset>1522857</wp:posOffset>
            </wp:positionH>
            <wp:positionV relativeFrom="paragraph">
              <wp:posOffset>2319523</wp:posOffset>
            </wp:positionV>
            <wp:extent cx="1205062" cy="875919"/>
            <wp:effectExtent l="0" t="0" r="0" b="0"/>
            <wp:wrapTopAndBottom/>
            <wp:docPr id="257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062" cy="87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0">
            <wp:simplePos x="0" y="0"/>
            <wp:positionH relativeFrom="page">
              <wp:posOffset>4121403</wp:posOffset>
            </wp:positionH>
            <wp:positionV relativeFrom="paragraph">
              <wp:posOffset>2346447</wp:posOffset>
            </wp:positionV>
            <wp:extent cx="1219185" cy="884301"/>
            <wp:effectExtent l="0" t="0" r="0" b="0"/>
            <wp:wrapTopAndBottom/>
            <wp:docPr id="259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85" cy="884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278" w:right="0" w:firstLine="0"/>
        <w:jc w:val="both"/>
        <w:rPr>
          <w:sz w:val="18"/>
        </w:rPr>
      </w:pPr>
      <w:r>
        <w:rPr>
          <w:sz w:val="18"/>
        </w:rPr>
        <w:t>Fuente:</w:t>
      </w:r>
      <w:r>
        <w:rPr>
          <w:spacing w:val="37"/>
          <w:sz w:val="18"/>
        </w:rPr>
        <w:t> </w:t>
      </w:r>
      <w:r>
        <w:rPr>
          <w:sz w:val="18"/>
        </w:rPr>
        <w:t>Elaboración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2"/>
          <w:sz w:val="18"/>
        </w:rPr>
        <w:t> </w:t>
      </w:r>
      <w:r>
        <w:rPr>
          <w:sz w:val="18"/>
        </w:rPr>
        <w:t>a partir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los datos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1"/>
          <w:sz w:val="18"/>
        </w:rPr>
        <w:t> </w:t>
      </w:r>
      <w:r>
        <w:rPr>
          <w:sz w:val="18"/>
        </w:rPr>
        <w:t>Anexo:</w:t>
      </w:r>
      <w:r>
        <w:rPr>
          <w:spacing w:val="-1"/>
          <w:sz w:val="18"/>
        </w:rPr>
        <w:t> </w:t>
      </w:r>
      <w:r>
        <w:rPr>
          <w:sz w:val="18"/>
        </w:rPr>
        <w:t>SEN</w:t>
      </w:r>
      <w:r>
        <w:rPr>
          <w:spacing w:val="-2"/>
          <w:sz w:val="18"/>
        </w:rPr>
        <w:t> </w:t>
      </w:r>
      <w:r>
        <w:rPr>
          <w:sz w:val="18"/>
        </w:rPr>
        <w:t>- Datos</w:t>
      </w:r>
      <w:r>
        <w:rPr>
          <w:spacing w:val="-2"/>
          <w:sz w:val="18"/>
        </w:rPr>
        <w:t> </w:t>
      </w:r>
      <w:r>
        <w:rPr>
          <w:sz w:val="18"/>
        </w:rPr>
        <w:t>sobre</w:t>
      </w:r>
      <w:r>
        <w:rPr>
          <w:spacing w:val="-4"/>
          <w:sz w:val="18"/>
        </w:rPr>
        <w:t> </w:t>
      </w:r>
      <w:r>
        <w:rPr>
          <w:sz w:val="18"/>
        </w:rPr>
        <w:t>cobertura,</w:t>
      </w:r>
      <w:r>
        <w:rPr>
          <w:spacing w:val="-2"/>
          <w:sz w:val="18"/>
        </w:rPr>
        <w:t> </w:t>
      </w:r>
      <w:r>
        <w:rPr>
          <w:sz w:val="18"/>
        </w:rPr>
        <w:t>tabla</w:t>
      </w:r>
      <w:r>
        <w:rPr>
          <w:spacing w:val="-2"/>
          <w:sz w:val="18"/>
        </w:rPr>
        <w:t> </w:t>
      </w:r>
      <w:r>
        <w:rPr>
          <w:sz w:val="18"/>
        </w:rPr>
        <w:t>1.</w:t>
      </w:r>
    </w:p>
    <w:p>
      <w:pPr>
        <w:pStyle w:val="BodyText"/>
        <w:spacing w:before="8"/>
        <w:rPr>
          <w:sz w:val="12"/>
        </w:rPr>
      </w:pPr>
      <w:r>
        <w:rPr/>
        <w:pict>
          <v:rect style="position:absolute;margin-left:70.944pt;margin-top:9.717012pt;width:144.020pt;height:.47998pt;mso-position-horizontal-relative:page;mso-position-vertical-relative:paragraph;z-index:-155540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6"/>
        </w:numPr>
        <w:tabs>
          <w:tab w:pos="402" w:val="left" w:leader="none"/>
        </w:tabs>
        <w:spacing w:line="240" w:lineRule="auto" w:before="54" w:after="0"/>
        <w:ind w:left="278" w:right="1074" w:firstLine="0"/>
        <w:jc w:val="left"/>
        <w:rPr>
          <w:color w:val="2D74B5"/>
          <w:sz w:val="16"/>
        </w:rPr>
      </w:pPr>
      <w:r>
        <w:rPr>
          <w:sz w:val="16"/>
        </w:rPr>
        <w:t>La pertenencia</w:t>
      </w:r>
      <w:r>
        <w:rPr>
          <w:spacing w:val="1"/>
          <w:sz w:val="16"/>
        </w:rPr>
        <w:t> </w:t>
      </w:r>
      <w:r>
        <w:rPr>
          <w:sz w:val="16"/>
        </w:rPr>
        <w:t>étnica</w:t>
      </w:r>
      <w:r>
        <w:rPr>
          <w:spacing w:val="2"/>
          <w:sz w:val="16"/>
        </w:rPr>
        <w:t> </w:t>
      </w:r>
      <w:r>
        <w:rPr>
          <w:sz w:val="16"/>
        </w:rPr>
        <w:t>es</w:t>
      </w:r>
      <w:r>
        <w:rPr>
          <w:spacing w:val="1"/>
          <w:sz w:val="16"/>
        </w:rPr>
        <w:t> </w:t>
      </w:r>
      <w:r>
        <w:rPr>
          <w:sz w:val="16"/>
        </w:rPr>
        <w:t>abordada mediante</w:t>
      </w:r>
      <w:r>
        <w:rPr>
          <w:spacing w:val="1"/>
          <w:sz w:val="16"/>
        </w:rPr>
        <w:t> </w:t>
      </w:r>
      <w:r>
        <w:rPr>
          <w:sz w:val="16"/>
        </w:rPr>
        <w:t>diferentes</w:t>
      </w:r>
      <w:r>
        <w:rPr>
          <w:spacing w:val="1"/>
          <w:sz w:val="16"/>
        </w:rPr>
        <w:t> </w:t>
      </w:r>
      <w:r>
        <w:rPr>
          <w:sz w:val="16"/>
        </w:rPr>
        <w:t>concepciones,</w:t>
      </w:r>
      <w:r>
        <w:rPr>
          <w:spacing w:val="1"/>
          <w:sz w:val="16"/>
        </w:rPr>
        <w:t> </w:t>
      </w:r>
      <w:r>
        <w:rPr>
          <w:sz w:val="16"/>
        </w:rPr>
        <w:t>lo</w:t>
      </w:r>
      <w:r>
        <w:rPr>
          <w:spacing w:val="1"/>
          <w:sz w:val="16"/>
        </w:rPr>
        <w:t> </w:t>
      </w:r>
      <w:r>
        <w:rPr>
          <w:sz w:val="16"/>
        </w:rPr>
        <w:t>cual incluye</w:t>
      </w:r>
      <w:r>
        <w:rPr>
          <w:spacing w:val="1"/>
          <w:sz w:val="16"/>
        </w:rPr>
        <w:t> </w:t>
      </w:r>
      <w:r>
        <w:rPr>
          <w:sz w:val="16"/>
        </w:rPr>
        <w:t>en términos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censo de</w:t>
      </w:r>
      <w:r>
        <w:rPr>
          <w:spacing w:val="1"/>
          <w:sz w:val="16"/>
        </w:rPr>
        <w:t> </w:t>
      </w:r>
      <w:r>
        <w:rPr>
          <w:sz w:val="16"/>
        </w:rPr>
        <w:t>población la</w:t>
      </w:r>
      <w:r>
        <w:rPr>
          <w:spacing w:val="1"/>
          <w:sz w:val="16"/>
        </w:rPr>
        <w:t> </w:t>
      </w:r>
      <w:r>
        <w:rPr>
          <w:sz w:val="16"/>
        </w:rPr>
        <w:t>autoidentificación</w:t>
      </w:r>
      <w:r>
        <w:rPr>
          <w:spacing w:val="1"/>
          <w:sz w:val="16"/>
        </w:rPr>
        <w:t> </w:t>
      </w:r>
      <w:r>
        <w:rPr>
          <w:sz w:val="16"/>
        </w:rPr>
        <w:t>lo</w:t>
      </w:r>
      <w:r>
        <w:rPr>
          <w:spacing w:val="-6"/>
          <w:sz w:val="16"/>
        </w:rPr>
        <w:t> </w:t>
      </w:r>
      <w:r>
        <w:rPr>
          <w:sz w:val="16"/>
        </w:rPr>
        <w:t>cual</w:t>
      </w:r>
      <w:r>
        <w:rPr>
          <w:spacing w:val="-4"/>
          <w:sz w:val="16"/>
        </w:rPr>
        <w:t> </w:t>
      </w:r>
      <w:r>
        <w:rPr>
          <w:sz w:val="16"/>
        </w:rPr>
        <w:t>no</w:t>
      </w:r>
      <w:r>
        <w:rPr>
          <w:spacing w:val="-5"/>
          <w:sz w:val="16"/>
        </w:rPr>
        <w:t> </w:t>
      </w:r>
      <w:r>
        <w:rPr>
          <w:sz w:val="16"/>
        </w:rPr>
        <w:t>necesariamente</w:t>
      </w:r>
      <w:r>
        <w:rPr>
          <w:spacing w:val="-4"/>
          <w:sz w:val="16"/>
        </w:rPr>
        <w:t> </w:t>
      </w:r>
      <w:r>
        <w:rPr>
          <w:sz w:val="16"/>
        </w:rPr>
        <w:t>es</w:t>
      </w:r>
      <w:r>
        <w:rPr>
          <w:spacing w:val="-2"/>
          <w:sz w:val="16"/>
        </w:rPr>
        <w:t> </w:t>
      </w:r>
      <w:r>
        <w:rPr>
          <w:sz w:val="16"/>
        </w:rPr>
        <w:t>igual</w:t>
      </w:r>
      <w:r>
        <w:rPr>
          <w:spacing w:val="-6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lo</w:t>
      </w:r>
      <w:r>
        <w:rPr>
          <w:spacing w:val="-6"/>
          <w:sz w:val="16"/>
        </w:rPr>
        <w:t> </w:t>
      </w:r>
      <w:r>
        <w:rPr>
          <w:sz w:val="16"/>
        </w:rPr>
        <w:t>consignado</w:t>
      </w:r>
      <w:r>
        <w:rPr>
          <w:spacing w:val="-5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registros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inscripción.</w:t>
      </w:r>
      <w:r>
        <w:rPr>
          <w:spacing w:val="-5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efectos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este</w:t>
      </w:r>
      <w:r>
        <w:rPr>
          <w:spacing w:val="-2"/>
          <w:sz w:val="16"/>
        </w:rPr>
        <w:t> </w:t>
      </w:r>
      <w:r>
        <w:rPr>
          <w:sz w:val="16"/>
        </w:rPr>
        <w:t>informe</w:t>
      </w:r>
      <w:r>
        <w:rPr>
          <w:spacing w:val="-6"/>
          <w:sz w:val="16"/>
        </w:rPr>
        <w:t> </w:t>
      </w:r>
      <w:r>
        <w:rPr>
          <w:sz w:val="16"/>
        </w:rPr>
        <w:t>se</w:t>
      </w:r>
      <w:r>
        <w:rPr>
          <w:spacing w:val="-5"/>
          <w:sz w:val="16"/>
        </w:rPr>
        <w:t> </w:t>
      </w:r>
      <w:r>
        <w:rPr>
          <w:sz w:val="16"/>
        </w:rPr>
        <w:t>utilizará</w:t>
      </w:r>
      <w:r>
        <w:rPr>
          <w:spacing w:val="3"/>
          <w:sz w:val="16"/>
        </w:rPr>
        <w:t> </w:t>
      </w:r>
      <w:r>
        <w:rPr>
          <w:sz w:val="16"/>
        </w:rPr>
        <w:t>ladino</w:t>
      </w:r>
      <w:r>
        <w:rPr>
          <w:spacing w:val="-4"/>
          <w:sz w:val="16"/>
        </w:rPr>
        <w:t> </w:t>
      </w:r>
      <w:r>
        <w:rPr>
          <w:sz w:val="16"/>
        </w:rPr>
        <w:t>como</w:t>
      </w:r>
      <w:r>
        <w:rPr>
          <w:spacing w:val="-5"/>
          <w:sz w:val="16"/>
        </w:rPr>
        <w:t> </w:t>
      </w:r>
      <w:r>
        <w:rPr>
          <w:sz w:val="16"/>
        </w:rPr>
        <w:t>una</w:t>
      </w:r>
      <w:r>
        <w:rPr>
          <w:spacing w:val="-3"/>
          <w:sz w:val="16"/>
        </w:rPr>
        <w:t> </w:t>
      </w:r>
      <w:r>
        <w:rPr>
          <w:sz w:val="16"/>
        </w:rPr>
        <w:t>etnia.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pict>
          <v:rect style="position:absolute;margin-left:563.880005pt;margin-top:13.547719pt;width:25.44pt;height:1.44pt;mso-position-horizontal-relative:page;mso-position-vertical-relative:paragraph;z-index:-1555353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311" w:lineRule="exact" w:after="19"/>
        <w:ind w:right="211"/>
      </w:pPr>
      <w:r>
        <w:rPr/>
        <w:t>81</w:t>
      </w:r>
    </w:p>
    <w:p>
      <w:pPr>
        <w:pStyle w:val="BodyText"/>
        <w:spacing w:line="91" w:lineRule="exact"/>
        <w:ind w:left="10137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25.45pt;height:4.6pt;mso-position-horizontal-relative:char;mso-position-vertical-relative:line" coordorigin="0,0" coordsize="509,92">
            <v:rect style="position:absolute;left:0;top:0;width:509;height:92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1" w:lineRule="exact"/>
        <w:rPr>
          <w:rFonts w:ascii="Arial MT"/>
          <w:sz w:val="9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489344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26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2"/>
          <w:numId w:val="8"/>
        </w:numPr>
        <w:tabs>
          <w:tab w:pos="999" w:val="left" w:leader="none"/>
        </w:tabs>
        <w:spacing w:line="240" w:lineRule="auto" w:before="52" w:after="0"/>
        <w:ind w:left="998" w:right="0" w:hanging="721"/>
        <w:jc w:val="left"/>
      </w:pPr>
      <w:bookmarkStart w:name="_bookmark104" w:id="141"/>
      <w:bookmarkEnd w:id="141"/>
      <w:r>
        <w:rPr>
          <w:b w:val="0"/>
        </w:rPr>
      </w:r>
      <w:bookmarkStart w:name="_bookmark104" w:id="142"/>
      <w:bookmarkEnd w:id="142"/>
      <w:r>
        <w:rPr/>
        <w:t>D</w:t>
      </w:r>
      <w:r>
        <w:rPr/>
        <w:t>atos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nivel</w:t>
      </w:r>
      <w:r>
        <w:rPr>
          <w:spacing w:val="-3"/>
        </w:rPr>
        <w:t> </w:t>
      </w:r>
      <w:r>
        <w:rPr/>
        <w:t>municipal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brecha</w:t>
      </w:r>
    </w:p>
    <w:p>
      <w:pPr>
        <w:pStyle w:val="BodyText"/>
        <w:spacing w:before="8"/>
        <w:rPr>
          <w:b/>
          <w:sz w:val="19"/>
        </w:rPr>
      </w:pPr>
    </w:p>
    <w:p>
      <w:pPr>
        <w:spacing w:line="240" w:lineRule="auto" w:before="0"/>
        <w:ind w:left="278" w:right="1072" w:firstLine="0"/>
        <w:jc w:val="both"/>
        <w:rPr>
          <w:sz w:val="24"/>
        </w:rPr>
      </w:pPr>
      <w:r>
        <w:rPr>
          <w:sz w:val="24"/>
        </w:rPr>
        <w:t>Al</w:t>
      </w:r>
      <w:r>
        <w:rPr>
          <w:spacing w:val="-6"/>
          <w:sz w:val="24"/>
        </w:rPr>
        <w:t> </w:t>
      </w:r>
      <w:r>
        <w:rPr>
          <w:sz w:val="24"/>
        </w:rPr>
        <w:t>igual</w:t>
      </w:r>
      <w:r>
        <w:rPr>
          <w:spacing w:val="-10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lo</w:t>
      </w:r>
      <w:r>
        <w:rPr>
          <w:spacing w:val="-8"/>
          <w:sz w:val="24"/>
        </w:rPr>
        <w:t> </w:t>
      </w:r>
      <w:r>
        <w:rPr>
          <w:sz w:val="24"/>
        </w:rPr>
        <w:t>departamental,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anexo</w:t>
      </w:r>
      <w:r>
        <w:rPr>
          <w:spacing w:val="-7"/>
          <w:sz w:val="24"/>
        </w:rPr>
        <w:t> </w:t>
      </w:r>
      <w:r>
        <w:rPr>
          <w:sz w:val="24"/>
        </w:rPr>
        <w:t>2</w:t>
      </w:r>
      <w:r>
        <w:rPr>
          <w:spacing w:val="-8"/>
          <w:sz w:val="24"/>
        </w:rPr>
        <w:t> </w:t>
      </w:r>
      <w:r>
        <w:rPr>
          <w:sz w:val="24"/>
        </w:rPr>
        <w:t>se</w:t>
      </w:r>
      <w:r>
        <w:rPr>
          <w:spacing w:val="-8"/>
          <w:sz w:val="24"/>
        </w:rPr>
        <w:t> </w:t>
      </w:r>
      <w:r>
        <w:rPr>
          <w:sz w:val="24"/>
        </w:rPr>
        <w:t>muestran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7"/>
          <w:sz w:val="24"/>
        </w:rPr>
        <w:t> </w:t>
      </w:r>
      <w:r>
        <w:rPr>
          <w:sz w:val="24"/>
        </w:rPr>
        <w:t>datos</w:t>
      </w:r>
      <w:r>
        <w:rPr>
          <w:spacing w:val="-8"/>
          <w:sz w:val="24"/>
        </w:rPr>
        <w:t> </w:t>
      </w:r>
      <w:r>
        <w:rPr>
          <w:sz w:val="24"/>
        </w:rPr>
        <w:t>por</w:t>
      </w:r>
      <w:r>
        <w:rPr>
          <w:spacing w:val="-9"/>
          <w:sz w:val="24"/>
        </w:rPr>
        <w:t> </w:t>
      </w:r>
      <w:r>
        <w:rPr>
          <w:sz w:val="24"/>
        </w:rPr>
        <w:t>municipio.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cuadro</w:t>
      </w:r>
      <w:r>
        <w:rPr>
          <w:spacing w:val="-52"/>
          <w:sz w:val="24"/>
        </w:rPr>
        <w:t> </w:t>
      </w:r>
      <w:r>
        <w:rPr>
          <w:sz w:val="24"/>
        </w:rPr>
        <w:t>4</w:t>
      </w:r>
      <w:r>
        <w:rPr>
          <w:spacing w:val="-4"/>
          <w:sz w:val="24"/>
        </w:rPr>
        <w:t> </w:t>
      </w:r>
      <w:r>
        <w:rPr>
          <w:sz w:val="24"/>
        </w:rPr>
        <w:t>se</w:t>
      </w:r>
      <w:r>
        <w:rPr>
          <w:spacing w:val="-7"/>
          <w:sz w:val="24"/>
        </w:rPr>
        <w:t> </w:t>
      </w:r>
      <w:r>
        <w:rPr>
          <w:sz w:val="24"/>
        </w:rPr>
        <w:t>presentan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7"/>
          <w:sz w:val="24"/>
        </w:rPr>
        <w:t> </w:t>
      </w:r>
      <w:r>
        <w:rPr>
          <w:sz w:val="24"/>
        </w:rPr>
        <w:t>datos</w:t>
      </w:r>
      <w:r>
        <w:rPr>
          <w:spacing w:val="-5"/>
          <w:sz w:val="24"/>
        </w:rPr>
        <w:t> </w:t>
      </w:r>
      <w:r>
        <w:rPr>
          <w:sz w:val="24"/>
        </w:rPr>
        <w:t>estadísticos</w:t>
      </w:r>
      <w:r>
        <w:rPr>
          <w:spacing w:val="-4"/>
          <w:sz w:val="24"/>
        </w:rPr>
        <w:t> </w:t>
      </w:r>
      <w:r>
        <w:rPr>
          <w:sz w:val="24"/>
        </w:rPr>
        <w:t>resumen,</w:t>
      </w:r>
      <w:r>
        <w:rPr>
          <w:spacing w:val="-7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promedio</w:t>
      </w:r>
      <w:r>
        <w:rPr>
          <w:spacing w:val="-7"/>
          <w:sz w:val="24"/>
        </w:rPr>
        <w:t> </w:t>
      </w:r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observan</w:t>
      </w:r>
      <w:r>
        <w:rPr>
          <w:spacing w:val="-3"/>
          <w:sz w:val="24"/>
        </w:rPr>
        <w:t> </w:t>
      </w:r>
      <w:r>
        <w:rPr>
          <w:sz w:val="24"/>
        </w:rPr>
        <w:t>altas</w:t>
      </w:r>
      <w:r>
        <w:rPr>
          <w:spacing w:val="-5"/>
          <w:sz w:val="24"/>
        </w:rPr>
        <w:t> </w:t>
      </w:r>
      <w:r>
        <w:rPr>
          <w:sz w:val="24"/>
        </w:rPr>
        <w:t>tasas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población</w:t>
      </w:r>
      <w:r>
        <w:rPr>
          <w:spacing w:val="-52"/>
          <w:sz w:val="24"/>
        </w:rPr>
        <w:t> </w:t>
      </w:r>
      <w:r>
        <w:rPr>
          <w:sz w:val="24"/>
        </w:rPr>
        <w:t>ladina,</w:t>
      </w:r>
      <w:r>
        <w:rPr>
          <w:spacing w:val="-11"/>
          <w:sz w:val="24"/>
        </w:rPr>
        <w:t> </w:t>
      </w:r>
      <w:r>
        <w:rPr>
          <w:sz w:val="24"/>
        </w:rPr>
        <w:t>incluso</w:t>
      </w:r>
      <w:r>
        <w:rPr>
          <w:spacing w:val="-11"/>
          <w:sz w:val="24"/>
        </w:rPr>
        <w:t> </w:t>
      </w:r>
      <w:r>
        <w:rPr>
          <w:sz w:val="24"/>
        </w:rPr>
        <w:t>mayores</w:t>
      </w:r>
      <w:r>
        <w:rPr>
          <w:spacing w:val="-11"/>
          <w:sz w:val="24"/>
        </w:rPr>
        <w:t> </w:t>
      </w:r>
      <w:r>
        <w:rPr>
          <w:sz w:val="24"/>
        </w:rPr>
        <w:t>al</w:t>
      </w:r>
      <w:r>
        <w:rPr>
          <w:spacing w:val="-9"/>
          <w:sz w:val="24"/>
        </w:rPr>
        <w:t> </w:t>
      </w:r>
      <w:r>
        <w:rPr>
          <w:sz w:val="24"/>
        </w:rPr>
        <w:t>100%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9"/>
          <w:sz w:val="24"/>
        </w:rPr>
        <w:t> </w:t>
      </w:r>
      <w:r>
        <w:rPr>
          <w:sz w:val="24"/>
        </w:rPr>
        <w:t>tanto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indígenas</w:t>
      </w:r>
      <w:r>
        <w:rPr>
          <w:spacing w:val="-11"/>
          <w:sz w:val="24"/>
        </w:rPr>
        <w:t> </w:t>
      </w:r>
      <w:r>
        <w:rPr>
          <w:sz w:val="24"/>
        </w:rPr>
        <w:t>mantienen</w:t>
      </w:r>
      <w:r>
        <w:rPr>
          <w:spacing w:val="-9"/>
          <w:sz w:val="24"/>
        </w:rPr>
        <w:t> </w:t>
      </w:r>
      <w:r>
        <w:rPr>
          <w:sz w:val="24"/>
        </w:rPr>
        <w:t>una</w:t>
      </w:r>
      <w:r>
        <w:rPr>
          <w:spacing w:val="-11"/>
          <w:sz w:val="24"/>
        </w:rPr>
        <w:t> </w:t>
      </w:r>
      <w:r>
        <w:rPr>
          <w:sz w:val="24"/>
        </w:rPr>
        <w:t>tasa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cobertura</w:t>
      </w:r>
      <w:r>
        <w:rPr>
          <w:spacing w:val="-11"/>
          <w:sz w:val="24"/>
        </w:rPr>
        <w:t> </w:t>
      </w:r>
      <w:r>
        <w:rPr>
          <w:sz w:val="24"/>
        </w:rPr>
        <w:t>cercana</w:t>
      </w:r>
      <w:r>
        <w:rPr>
          <w:spacing w:val="-52"/>
          <w:sz w:val="24"/>
        </w:rPr>
        <w:t> </w:t>
      </w:r>
      <w:r>
        <w:rPr>
          <w:sz w:val="24"/>
        </w:rPr>
        <w:t>del 50%. Siendo un criterio con alta sensibilidad en las definiciones adoptadas, los resultados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deben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leerse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con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cuidado,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por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ejemplo,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se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muestran</w:t>
      </w:r>
      <w:r>
        <w:rPr>
          <w:spacing w:val="-10"/>
          <w:sz w:val="24"/>
        </w:rPr>
        <w:t> </w:t>
      </w:r>
      <w:r>
        <w:rPr>
          <w:sz w:val="24"/>
        </w:rPr>
        <w:t>amplias</w:t>
      </w:r>
      <w:r>
        <w:rPr>
          <w:spacing w:val="-11"/>
          <w:sz w:val="24"/>
        </w:rPr>
        <w:t> </w:t>
      </w:r>
      <w:r>
        <w:rPr>
          <w:sz w:val="24"/>
        </w:rPr>
        <w:t>dispersiones</w:t>
      </w:r>
      <w:r>
        <w:rPr>
          <w:spacing w:val="-13"/>
          <w:sz w:val="24"/>
        </w:rPr>
        <w:t> </w:t>
      </w:r>
      <w:r>
        <w:rPr>
          <w:sz w:val="24"/>
        </w:rPr>
        <w:t>en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tasa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cobertura,</w:t>
      </w:r>
      <w:r>
        <w:rPr>
          <w:spacing w:val="-52"/>
          <w:sz w:val="24"/>
        </w:rPr>
        <w:t> </w:t>
      </w:r>
      <w:r>
        <w:rPr>
          <w:sz w:val="24"/>
        </w:rPr>
        <w:t>incluso algunos valores extremos y valores máximos que implican hasta 8 veces la población</w:t>
      </w:r>
      <w:r>
        <w:rPr>
          <w:spacing w:val="1"/>
          <w:sz w:val="24"/>
        </w:rPr>
        <w:t> </w:t>
      </w:r>
      <w:r>
        <w:rPr>
          <w:sz w:val="24"/>
        </w:rPr>
        <w:t>reportada.</w:t>
      </w:r>
    </w:p>
    <w:p>
      <w:pPr>
        <w:pStyle w:val="BodyText"/>
        <w:spacing w:before="2"/>
        <w:rPr>
          <w:sz w:val="32"/>
        </w:rPr>
      </w:pPr>
    </w:p>
    <w:p>
      <w:pPr>
        <w:spacing w:before="0"/>
        <w:ind w:left="278" w:right="0" w:firstLine="0"/>
        <w:jc w:val="left"/>
        <w:rPr>
          <w:b/>
          <w:sz w:val="20"/>
        </w:rPr>
      </w:pPr>
      <w:r>
        <w:rPr>
          <w:b/>
          <w:sz w:val="20"/>
        </w:rPr>
        <w:t>Cuadro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4: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Estadísticas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Descriptivas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la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cobertura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bruta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por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etnia</w:t>
      </w:r>
    </w:p>
    <w:p>
      <w:pPr>
        <w:spacing w:before="1"/>
        <w:ind w:left="278" w:right="0" w:firstLine="0"/>
        <w:jc w:val="left"/>
        <w:rPr>
          <w:sz w:val="20"/>
        </w:rPr>
      </w:pPr>
      <w:r>
        <w:rPr>
          <w:sz w:val="20"/>
        </w:rPr>
        <w:t>2018-2021.</w:t>
      </w:r>
    </w:p>
    <w:tbl>
      <w:tblPr>
        <w:tblW w:w="0" w:type="auto"/>
        <w:jc w:val="left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2"/>
        <w:gridCol w:w="966"/>
        <w:gridCol w:w="1340"/>
        <w:gridCol w:w="966"/>
        <w:gridCol w:w="963"/>
        <w:gridCol w:w="1422"/>
        <w:gridCol w:w="965"/>
        <w:gridCol w:w="963"/>
        <w:gridCol w:w="1021"/>
      </w:tblGrid>
      <w:tr>
        <w:trPr>
          <w:trHeight w:val="314" w:hRule="atLeast"/>
        </w:trPr>
        <w:tc>
          <w:tcPr>
            <w:tcW w:w="1462" w:type="dxa"/>
            <w:vMerge w:val="restart"/>
            <w:shd w:val="clear" w:color="auto" w:fill="4F81BC"/>
          </w:tcPr>
          <w:p>
            <w:pPr>
              <w:pStyle w:val="TableParagraph"/>
              <w:spacing w:line="292" w:lineRule="exact"/>
              <w:ind w:left="508" w:right="5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Año</w:t>
            </w:r>
          </w:p>
        </w:tc>
        <w:tc>
          <w:tcPr>
            <w:tcW w:w="4235" w:type="dxa"/>
            <w:gridSpan w:val="4"/>
            <w:shd w:val="clear" w:color="auto" w:fill="4F81BC"/>
          </w:tcPr>
          <w:p>
            <w:pPr>
              <w:pStyle w:val="TableParagraph"/>
              <w:spacing w:line="292" w:lineRule="exact"/>
              <w:ind w:left="1781" w:right="17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MAYA</w:t>
            </w:r>
          </w:p>
        </w:tc>
        <w:tc>
          <w:tcPr>
            <w:tcW w:w="4371" w:type="dxa"/>
            <w:gridSpan w:val="4"/>
            <w:shd w:val="clear" w:color="auto" w:fill="4F81BC"/>
          </w:tcPr>
          <w:p>
            <w:pPr>
              <w:pStyle w:val="TableParagraph"/>
              <w:spacing w:line="292" w:lineRule="exact"/>
              <w:ind w:left="1769" w:right="17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LADINO</w:t>
            </w:r>
          </w:p>
        </w:tc>
      </w:tr>
      <w:tr>
        <w:trPr>
          <w:trHeight w:val="316" w:hRule="atLeast"/>
        </w:trPr>
        <w:tc>
          <w:tcPr>
            <w:tcW w:w="1462" w:type="dxa"/>
            <w:vMerge/>
            <w:tcBorders>
              <w:top w:val="nil"/>
            </w:tcBorders>
            <w:shd w:val="clear" w:color="auto" w:fill="4F81B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6" w:type="dxa"/>
          </w:tcPr>
          <w:p>
            <w:pPr>
              <w:pStyle w:val="TableParagraph"/>
              <w:spacing w:line="292" w:lineRule="exact"/>
              <w:ind w:left="130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1340" w:type="dxa"/>
          </w:tcPr>
          <w:p>
            <w:pPr>
              <w:pStyle w:val="TableParagraph"/>
              <w:spacing w:line="292" w:lineRule="exact"/>
              <w:ind w:left="313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966" w:type="dxa"/>
          </w:tcPr>
          <w:p>
            <w:pPr>
              <w:pStyle w:val="TableParagraph"/>
              <w:spacing w:line="292" w:lineRule="exact"/>
              <w:ind w:left="127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963" w:type="dxa"/>
          </w:tcPr>
          <w:p>
            <w:pPr>
              <w:pStyle w:val="TableParagraph"/>
              <w:spacing w:line="292" w:lineRule="exact"/>
              <w:ind w:left="116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422" w:type="dxa"/>
          </w:tcPr>
          <w:p>
            <w:pPr>
              <w:pStyle w:val="TableParagraph"/>
              <w:spacing w:line="292" w:lineRule="exact"/>
              <w:ind w:left="354" w:right="3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965" w:type="dxa"/>
          </w:tcPr>
          <w:p>
            <w:pPr>
              <w:pStyle w:val="TableParagraph"/>
              <w:spacing w:line="292" w:lineRule="exact"/>
              <w:ind w:left="126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963" w:type="dxa"/>
          </w:tcPr>
          <w:p>
            <w:pPr>
              <w:pStyle w:val="TableParagraph"/>
              <w:spacing w:line="292" w:lineRule="exact"/>
              <w:ind w:left="114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021" w:type="dxa"/>
          </w:tcPr>
          <w:p>
            <w:pPr>
              <w:pStyle w:val="TableParagraph"/>
              <w:spacing w:line="292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>
        <w:trPr>
          <w:trHeight w:val="299" w:hRule="atLeast"/>
        </w:trPr>
        <w:tc>
          <w:tcPr>
            <w:tcW w:w="1462" w:type="dxa"/>
          </w:tcPr>
          <w:p>
            <w:pPr>
              <w:pStyle w:val="TableParagraph"/>
              <w:spacing w:line="28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PROMEDIO</w:t>
            </w:r>
          </w:p>
        </w:tc>
        <w:tc>
          <w:tcPr>
            <w:tcW w:w="966" w:type="dxa"/>
          </w:tcPr>
          <w:p>
            <w:pPr>
              <w:pStyle w:val="TableParagraph"/>
              <w:spacing w:line="280" w:lineRule="exact"/>
              <w:ind w:left="129" w:right="123"/>
              <w:jc w:val="center"/>
              <w:rPr>
                <w:sz w:val="24"/>
              </w:rPr>
            </w:pPr>
            <w:r>
              <w:rPr>
                <w:sz w:val="24"/>
              </w:rPr>
              <w:t>52%</w:t>
            </w:r>
          </w:p>
        </w:tc>
        <w:tc>
          <w:tcPr>
            <w:tcW w:w="1340" w:type="dxa"/>
          </w:tcPr>
          <w:p>
            <w:pPr>
              <w:pStyle w:val="TableParagraph"/>
              <w:spacing w:line="280" w:lineRule="exact"/>
              <w:ind w:left="313" w:right="312"/>
              <w:jc w:val="center"/>
              <w:rPr>
                <w:sz w:val="24"/>
              </w:rPr>
            </w:pPr>
            <w:r>
              <w:rPr>
                <w:sz w:val="24"/>
              </w:rPr>
              <w:t>51%</w:t>
            </w:r>
          </w:p>
        </w:tc>
        <w:tc>
          <w:tcPr>
            <w:tcW w:w="966" w:type="dxa"/>
          </w:tcPr>
          <w:p>
            <w:pPr>
              <w:pStyle w:val="TableParagraph"/>
              <w:spacing w:line="280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51%</w:t>
            </w:r>
          </w:p>
        </w:tc>
        <w:tc>
          <w:tcPr>
            <w:tcW w:w="963" w:type="dxa"/>
          </w:tcPr>
          <w:p>
            <w:pPr>
              <w:pStyle w:val="TableParagraph"/>
              <w:spacing w:line="280" w:lineRule="exact"/>
              <w:ind w:left="115" w:right="115"/>
              <w:jc w:val="center"/>
              <w:rPr>
                <w:sz w:val="24"/>
              </w:rPr>
            </w:pPr>
            <w:r>
              <w:rPr>
                <w:sz w:val="24"/>
              </w:rPr>
              <w:t>51%</w:t>
            </w:r>
          </w:p>
        </w:tc>
        <w:tc>
          <w:tcPr>
            <w:tcW w:w="1422" w:type="dxa"/>
          </w:tcPr>
          <w:p>
            <w:pPr>
              <w:pStyle w:val="TableParagraph"/>
              <w:spacing w:line="280" w:lineRule="exact"/>
              <w:ind w:left="356" w:right="353"/>
              <w:jc w:val="center"/>
              <w:rPr>
                <w:sz w:val="24"/>
              </w:rPr>
            </w:pPr>
            <w:r>
              <w:rPr>
                <w:sz w:val="24"/>
              </w:rPr>
              <w:t>137%</w:t>
            </w:r>
          </w:p>
        </w:tc>
        <w:tc>
          <w:tcPr>
            <w:tcW w:w="965" w:type="dxa"/>
          </w:tcPr>
          <w:p>
            <w:pPr>
              <w:pStyle w:val="TableParagraph"/>
              <w:spacing w:line="280" w:lineRule="exact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135%</w:t>
            </w:r>
          </w:p>
        </w:tc>
        <w:tc>
          <w:tcPr>
            <w:tcW w:w="963" w:type="dxa"/>
          </w:tcPr>
          <w:p>
            <w:pPr>
              <w:pStyle w:val="TableParagraph"/>
              <w:spacing w:line="280" w:lineRule="exact"/>
              <w:ind w:left="115" w:right="115"/>
              <w:jc w:val="center"/>
              <w:rPr>
                <w:sz w:val="24"/>
              </w:rPr>
            </w:pPr>
            <w:r>
              <w:rPr>
                <w:sz w:val="24"/>
              </w:rPr>
              <w:t>135%</w:t>
            </w:r>
          </w:p>
        </w:tc>
        <w:tc>
          <w:tcPr>
            <w:tcW w:w="1021" w:type="dxa"/>
          </w:tcPr>
          <w:p>
            <w:pPr>
              <w:pStyle w:val="TableParagraph"/>
              <w:spacing w:line="280" w:lineRule="exact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135%</w:t>
            </w:r>
          </w:p>
        </w:tc>
      </w:tr>
      <w:tr>
        <w:trPr>
          <w:trHeight w:val="585" w:hRule="atLeast"/>
        </w:trPr>
        <w:tc>
          <w:tcPr>
            <w:tcW w:w="1462" w:type="dxa"/>
          </w:tcPr>
          <w:p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DESVIACION</w:t>
            </w:r>
          </w:p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ESTANDAR</w:t>
            </w:r>
          </w:p>
        </w:tc>
        <w:tc>
          <w:tcPr>
            <w:tcW w:w="966" w:type="dxa"/>
          </w:tcPr>
          <w:p>
            <w:pPr>
              <w:pStyle w:val="TableParagraph"/>
              <w:spacing w:line="292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211%</w:t>
            </w:r>
          </w:p>
        </w:tc>
        <w:tc>
          <w:tcPr>
            <w:tcW w:w="1340" w:type="dxa"/>
          </w:tcPr>
          <w:p>
            <w:pPr>
              <w:pStyle w:val="TableParagraph"/>
              <w:spacing w:line="292" w:lineRule="exact"/>
              <w:ind w:left="315" w:right="312"/>
              <w:jc w:val="center"/>
              <w:rPr>
                <w:sz w:val="24"/>
              </w:rPr>
            </w:pPr>
            <w:r>
              <w:rPr>
                <w:sz w:val="24"/>
              </w:rPr>
              <w:t>204%</w:t>
            </w:r>
          </w:p>
        </w:tc>
        <w:tc>
          <w:tcPr>
            <w:tcW w:w="966" w:type="dxa"/>
          </w:tcPr>
          <w:p>
            <w:pPr>
              <w:pStyle w:val="TableParagraph"/>
              <w:spacing w:line="292" w:lineRule="exact"/>
              <w:ind w:left="129" w:right="123"/>
              <w:jc w:val="center"/>
              <w:rPr>
                <w:sz w:val="24"/>
              </w:rPr>
            </w:pPr>
            <w:r>
              <w:rPr>
                <w:sz w:val="24"/>
              </w:rPr>
              <w:t>204%</w:t>
            </w:r>
          </w:p>
        </w:tc>
        <w:tc>
          <w:tcPr>
            <w:tcW w:w="963" w:type="dxa"/>
          </w:tcPr>
          <w:p>
            <w:pPr>
              <w:pStyle w:val="TableParagraph"/>
              <w:spacing w:line="292" w:lineRule="exact"/>
              <w:ind w:left="118" w:right="115"/>
              <w:jc w:val="center"/>
              <w:rPr>
                <w:sz w:val="24"/>
              </w:rPr>
            </w:pPr>
            <w:r>
              <w:rPr>
                <w:sz w:val="24"/>
              </w:rPr>
              <w:t>204%</w:t>
            </w:r>
          </w:p>
        </w:tc>
        <w:tc>
          <w:tcPr>
            <w:tcW w:w="1422" w:type="dxa"/>
          </w:tcPr>
          <w:p>
            <w:pPr>
              <w:pStyle w:val="TableParagraph"/>
              <w:spacing w:line="292" w:lineRule="exact"/>
              <w:ind w:left="356" w:right="353"/>
              <w:jc w:val="center"/>
              <w:rPr>
                <w:sz w:val="24"/>
              </w:rPr>
            </w:pPr>
            <w:r>
              <w:rPr>
                <w:sz w:val="24"/>
              </w:rPr>
              <w:t>511%</w:t>
            </w:r>
          </w:p>
        </w:tc>
        <w:tc>
          <w:tcPr>
            <w:tcW w:w="965" w:type="dxa"/>
          </w:tcPr>
          <w:p>
            <w:pPr>
              <w:pStyle w:val="TableParagraph"/>
              <w:spacing w:line="292" w:lineRule="exact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502%</w:t>
            </w:r>
          </w:p>
        </w:tc>
        <w:tc>
          <w:tcPr>
            <w:tcW w:w="963" w:type="dxa"/>
          </w:tcPr>
          <w:p>
            <w:pPr>
              <w:pStyle w:val="TableParagraph"/>
              <w:spacing w:line="292" w:lineRule="exact"/>
              <w:ind w:left="115" w:right="115"/>
              <w:jc w:val="center"/>
              <w:rPr>
                <w:sz w:val="24"/>
              </w:rPr>
            </w:pPr>
            <w:r>
              <w:rPr>
                <w:sz w:val="24"/>
              </w:rPr>
              <w:t>502%</w:t>
            </w:r>
          </w:p>
        </w:tc>
        <w:tc>
          <w:tcPr>
            <w:tcW w:w="1021" w:type="dxa"/>
          </w:tcPr>
          <w:p>
            <w:pPr>
              <w:pStyle w:val="TableParagraph"/>
              <w:spacing w:line="292" w:lineRule="exact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502%</w:t>
            </w:r>
          </w:p>
        </w:tc>
      </w:tr>
      <w:tr>
        <w:trPr>
          <w:trHeight w:val="299" w:hRule="atLeast"/>
        </w:trPr>
        <w:tc>
          <w:tcPr>
            <w:tcW w:w="1462" w:type="dxa"/>
          </w:tcPr>
          <w:p>
            <w:pPr>
              <w:pStyle w:val="TableParagraph"/>
              <w:spacing w:line="28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MINIMO</w:t>
            </w:r>
          </w:p>
        </w:tc>
        <w:tc>
          <w:tcPr>
            <w:tcW w:w="966" w:type="dxa"/>
          </w:tcPr>
          <w:p>
            <w:pPr>
              <w:pStyle w:val="TableParagraph"/>
              <w:spacing w:line="280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1340" w:type="dxa"/>
          </w:tcPr>
          <w:p>
            <w:pPr>
              <w:pStyle w:val="TableParagraph"/>
              <w:spacing w:line="280" w:lineRule="exact"/>
              <w:ind w:left="315" w:right="312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966" w:type="dxa"/>
          </w:tcPr>
          <w:p>
            <w:pPr>
              <w:pStyle w:val="TableParagraph"/>
              <w:spacing w:line="280" w:lineRule="exact"/>
              <w:ind w:left="129" w:right="123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963" w:type="dxa"/>
          </w:tcPr>
          <w:p>
            <w:pPr>
              <w:pStyle w:val="TableParagraph"/>
              <w:spacing w:line="280" w:lineRule="exact"/>
              <w:ind w:left="118" w:right="115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1422" w:type="dxa"/>
          </w:tcPr>
          <w:p>
            <w:pPr>
              <w:pStyle w:val="TableParagraph"/>
              <w:spacing w:line="280" w:lineRule="exact"/>
              <w:ind w:left="356" w:right="353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965" w:type="dxa"/>
          </w:tcPr>
          <w:p>
            <w:pPr>
              <w:pStyle w:val="TableParagraph"/>
              <w:spacing w:line="280" w:lineRule="exact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  <w:tc>
          <w:tcPr>
            <w:tcW w:w="963" w:type="dxa"/>
          </w:tcPr>
          <w:p>
            <w:pPr>
              <w:pStyle w:val="TableParagraph"/>
              <w:spacing w:line="280" w:lineRule="exact"/>
              <w:ind w:left="115" w:right="115"/>
              <w:jc w:val="center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  <w:tc>
          <w:tcPr>
            <w:tcW w:w="1021" w:type="dxa"/>
          </w:tcPr>
          <w:p>
            <w:pPr>
              <w:pStyle w:val="TableParagraph"/>
              <w:spacing w:line="280" w:lineRule="exact"/>
              <w:ind w:left="338" w:right="338"/>
              <w:jc w:val="center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</w:tr>
      <w:tr>
        <w:trPr>
          <w:trHeight w:val="299" w:hRule="atLeast"/>
        </w:trPr>
        <w:tc>
          <w:tcPr>
            <w:tcW w:w="1462" w:type="dxa"/>
          </w:tcPr>
          <w:p>
            <w:pPr>
              <w:pStyle w:val="TableParagraph"/>
              <w:spacing w:line="28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MEDIANA</w:t>
            </w:r>
          </w:p>
        </w:tc>
        <w:tc>
          <w:tcPr>
            <w:tcW w:w="966" w:type="dxa"/>
          </w:tcPr>
          <w:p>
            <w:pPr>
              <w:pStyle w:val="TableParagraph"/>
              <w:spacing w:line="280" w:lineRule="exact"/>
              <w:ind w:left="129" w:right="123"/>
              <w:jc w:val="center"/>
              <w:rPr>
                <w:sz w:val="24"/>
              </w:rPr>
            </w:pPr>
            <w:r>
              <w:rPr>
                <w:sz w:val="24"/>
              </w:rPr>
              <w:t>36%</w:t>
            </w:r>
          </w:p>
        </w:tc>
        <w:tc>
          <w:tcPr>
            <w:tcW w:w="1340" w:type="dxa"/>
          </w:tcPr>
          <w:p>
            <w:pPr>
              <w:pStyle w:val="TableParagraph"/>
              <w:spacing w:line="280" w:lineRule="exact"/>
              <w:ind w:left="313" w:right="312"/>
              <w:jc w:val="center"/>
              <w:rPr>
                <w:sz w:val="24"/>
              </w:rPr>
            </w:pPr>
            <w:r>
              <w:rPr>
                <w:sz w:val="24"/>
              </w:rPr>
              <w:t>34%</w:t>
            </w:r>
          </w:p>
        </w:tc>
        <w:tc>
          <w:tcPr>
            <w:tcW w:w="966" w:type="dxa"/>
          </w:tcPr>
          <w:p>
            <w:pPr>
              <w:pStyle w:val="TableParagraph"/>
              <w:spacing w:line="280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34%</w:t>
            </w:r>
          </w:p>
        </w:tc>
        <w:tc>
          <w:tcPr>
            <w:tcW w:w="963" w:type="dxa"/>
          </w:tcPr>
          <w:p>
            <w:pPr>
              <w:pStyle w:val="TableParagraph"/>
              <w:spacing w:line="280" w:lineRule="exact"/>
              <w:ind w:left="115" w:right="115"/>
              <w:jc w:val="center"/>
              <w:rPr>
                <w:sz w:val="24"/>
              </w:rPr>
            </w:pPr>
            <w:r>
              <w:rPr>
                <w:sz w:val="24"/>
              </w:rPr>
              <w:t>34%</w:t>
            </w:r>
          </w:p>
        </w:tc>
        <w:tc>
          <w:tcPr>
            <w:tcW w:w="1422" w:type="dxa"/>
          </w:tcPr>
          <w:p>
            <w:pPr>
              <w:pStyle w:val="TableParagraph"/>
              <w:spacing w:line="280" w:lineRule="exact"/>
              <w:ind w:left="354" w:right="353"/>
              <w:jc w:val="center"/>
              <w:rPr>
                <w:sz w:val="24"/>
              </w:rPr>
            </w:pPr>
            <w:r>
              <w:rPr>
                <w:sz w:val="24"/>
              </w:rPr>
              <w:t>70%</w:t>
            </w:r>
          </w:p>
        </w:tc>
        <w:tc>
          <w:tcPr>
            <w:tcW w:w="965" w:type="dxa"/>
          </w:tcPr>
          <w:p>
            <w:pPr>
              <w:pStyle w:val="TableParagraph"/>
              <w:spacing w:line="280" w:lineRule="exact"/>
              <w:ind w:left="126" w:right="125"/>
              <w:jc w:val="center"/>
              <w:rPr>
                <w:sz w:val="24"/>
              </w:rPr>
            </w:pPr>
            <w:r>
              <w:rPr>
                <w:sz w:val="24"/>
              </w:rPr>
              <w:t>69%</w:t>
            </w:r>
          </w:p>
        </w:tc>
        <w:tc>
          <w:tcPr>
            <w:tcW w:w="963" w:type="dxa"/>
          </w:tcPr>
          <w:p>
            <w:pPr>
              <w:pStyle w:val="TableParagraph"/>
              <w:spacing w:line="280" w:lineRule="exact"/>
              <w:ind w:left="115" w:right="115"/>
              <w:jc w:val="center"/>
              <w:rPr>
                <w:sz w:val="24"/>
              </w:rPr>
            </w:pPr>
            <w:r>
              <w:rPr>
                <w:sz w:val="24"/>
              </w:rPr>
              <w:t>69%</w:t>
            </w:r>
          </w:p>
        </w:tc>
        <w:tc>
          <w:tcPr>
            <w:tcW w:w="1021" w:type="dxa"/>
          </w:tcPr>
          <w:p>
            <w:pPr>
              <w:pStyle w:val="TableParagraph"/>
              <w:spacing w:line="280" w:lineRule="exact"/>
              <w:ind w:left="297"/>
              <w:rPr>
                <w:sz w:val="24"/>
              </w:rPr>
            </w:pPr>
            <w:r>
              <w:rPr>
                <w:sz w:val="24"/>
              </w:rPr>
              <w:t>69%</w:t>
            </w:r>
          </w:p>
        </w:tc>
      </w:tr>
      <w:tr>
        <w:trPr>
          <w:trHeight w:val="302" w:hRule="atLeast"/>
        </w:trPr>
        <w:tc>
          <w:tcPr>
            <w:tcW w:w="1462" w:type="dxa"/>
          </w:tcPr>
          <w:p>
            <w:pPr>
              <w:pStyle w:val="TableParagraph"/>
              <w:spacing w:line="280" w:lineRule="exact"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MAXIMO</w:t>
            </w:r>
          </w:p>
        </w:tc>
        <w:tc>
          <w:tcPr>
            <w:tcW w:w="966" w:type="dxa"/>
          </w:tcPr>
          <w:p>
            <w:pPr>
              <w:pStyle w:val="TableParagraph"/>
              <w:spacing w:line="280" w:lineRule="exact" w:before="1"/>
              <w:ind w:left="132" w:right="121"/>
              <w:jc w:val="center"/>
              <w:rPr>
                <w:sz w:val="24"/>
              </w:rPr>
            </w:pPr>
            <w:r>
              <w:rPr>
                <w:sz w:val="24"/>
              </w:rPr>
              <w:t>3054%</w:t>
            </w:r>
          </w:p>
        </w:tc>
        <w:tc>
          <w:tcPr>
            <w:tcW w:w="1340" w:type="dxa"/>
          </w:tcPr>
          <w:p>
            <w:pPr>
              <w:pStyle w:val="TableParagraph"/>
              <w:spacing w:line="280" w:lineRule="exact" w:before="1"/>
              <w:ind w:left="318" w:right="312"/>
              <w:jc w:val="center"/>
              <w:rPr>
                <w:sz w:val="24"/>
              </w:rPr>
            </w:pPr>
            <w:r>
              <w:rPr>
                <w:sz w:val="24"/>
              </w:rPr>
              <w:t>2987%</w:t>
            </w:r>
          </w:p>
        </w:tc>
        <w:tc>
          <w:tcPr>
            <w:tcW w:w="966" w:type="dxa"/>
          </w:tcPr>
          <w:p>
            <w:pPr>
              <w:pStyle w:val="TableParagraph"/>
              <w:spacing w:line="280" w:lineRule="exact" w:before="1"/>
              <w:ind w:left="131" w:right="123"/>
              <w:jc w:val="center"/>
              <w:rPr>
                <w:sz w:val="24"/>
              </w:rPr>
            </w:pPr>
            <w:r>
              <w:rPr>
                <w:sz w:val="24"/>
              </w:rPr>
              <w:t>2987%</w:t>
            </w:r>
          </w:p>
        </w:tc>
        <w:tc>
          <w:tcPr>
            <w:tcW w:w="963" w:type="dxa"/>
          </w:tcPr>
          <w:p>
            <w:pPr>
              <w:pStyle w:val="TableParagraph"/>
              <w:spacing w:line="280" w:lineRule="exact" w:before="1"/>
              <w:ind w:left="120" w:right="115"/>
              <w:jc w:val="center"/>
              <w:rPr>
                <w:sz w:val="24"/>
              </w:rPr>
            </w:pPr>
            <w:r>
              <w:rPr>
                <w:sz w:val="24"/>
              </w:rPr>
              <w:t>2987%</w:t>
            </w:r>
          </w:p>
        </w:tc>
        <w:tc>
          <w:tcPr>
            <w:tcW w:w="1422" w:type="dxa"/>
          </w:tcPr>
          <w:p>
            <w:pPr>
              <w:pStyle w:val="TableParagraph"/>
              <w:spacing w:line="280" w:lineRule="exact" w:before="1"/>
              <w:ind w:left="359" w:right="353"/>
              <w:jc w:val="center"/>
              <w:rPr>
                <w:sz w:val="24"/>
              </w:rPr>
            </w:pPr>
            <w:r>
              <w:rPr>
                <w:sz w:val="24"/>
              </w:rPr>
              <w:t>8293%</w:t>
            </w:r>
          </w:p>
        </w:tc>
        <w:tc>
          <w:tcPr>
            <w:tcW w:w="965" w:type="dxa"/>
          </w:tcPr>
          <w:p>
            <w:pPr>
              <w:pStyle w:val="TableParagraph"/>
              <w:spacing w:line="280" w:lineRule="exact" w:before="1"/>
              <w:ind w:left="130" w:right="125"/>
              <w:jc w:val="center"/>
              <w:rPr>
                <w:sz w:val="24"/>
              </w:rPr>
            </w:pPr>
            <w:r>
              <w:rPr>
                <w:sz w:val="24"/>
              </w:rPr>
              <w:t>8129%</w:t>
            </w:r>
          </w:p>
        </w:tc>
        <w:tc>
          <w:tcPr>
            <w:tcW w:w="963" w:type="dxa"/>
          </w:tcPr>
          <w:p>
            <w:pPr>
              <w:pStyle w:val="TableParagraph"/>
              <w:spacing w:line="280" w:lineRule="exact" w:before="1"/>
              <w:ind w:left="117" w:right="115"/>
              <w:jc w:val="center"/>
              <w:rPr>
                <w:sz w:val="24"/>
              </w:rPr>
            </w:pPr>
            <w:r>
              <w:rPr>
                <w:sz w:val="24"/>
              </w:rPr>
              <w:t>8129%</w:t>
            </w:r>
          </w:p>
        </w:tc>
        <w:tc>
          <w:tcPr>
            <w:tcW w:w="1021" w:type="dxa"/>
          </w:tcPr>
          <w:p>
            <w:pPr>
              <w:pStyle w:val="TableParagraph"/>
              <w:spacing w:line="280" w:lineRule="exact" w:before="1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8129%</w:t>
            </w:r>
          </w:p>
        </w:tc>
      </w:tr>
      <w:tr>
        <w:trPr>
          <w:trHeight w:val="314" w:hRule="atLeast"/>
        </w:trPr>
        <w:tc>
          <w:tcPr>
            <w:tcW w:w="1462" w:type="dxa"/>
          </w:tcPr>
          <w:p>
            <w:pPr>
              <w:pStyle w:val="TableParagraph"/>
              <w:spacing w:line="29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CV</w:t>
            </w:r>
          </w:p>
        </w:tc>
        <w:tc>
          <w:tcPr>
            <w:tcW w:w="966" w:type="dxa"/>
          </w:tcPr>
          <w:p>
            <w:pPr>
              <w:pStyle w:val="TableParagraph"/>
              <w:spacing w:line="293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  <w:tc>
          <w:tcPr>
            <w:tcW w:w="1340" w:type="dxa"/>
          </w:tcPr>
          <w:p>
            <w:pPr>
              <w:pStyle w:val="TableParagraph"/>
              <w:spacing w:line="293" w:lineRule="exact"/>
              <w:ind w:left="315" w:right="312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  <w:tc>
          <w:tcPr>
            <w:tcW w:w="966" w:type="dxa"/>
          </w:tcPr>
          <w:p>
            <w:pPr>
              <w:pStyle w:val="TableParagraph"/>
              <w:spacing w:line="293" w:lineRule="exact"/>
              <w:ind w:left="129" w:right="123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  <w:tc>
          <w:tcPr>
            <w:tcW w:w="963" w:type="dxa"/>
          </w:tcPr>
          <w:p>
            <w:pPr>
              <w:pStyle w:val="TableParagraph"/>
              <w:spacing w:line="293" w:lineRule="exact"/>
              <w:ind w:left="118" w:right="115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  <w:tc>
          <w:tcPr>
            <w:tcW w:w="1422" w:type="dxa"/>
          </w:tcPr>
          <w:p>
            <w:pPr>
              <w:pStyle w:val="TableParagraph"/>
              <w:spacing w:line="293" w:lineRule="exact"/>
              <w:ind w:left="356" w:right="353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  <w:tc>
          <w:tcPr>
            <w:tcW w:w="965" w:type="dxa"/>
          </w:tcPr>
          <w:p>
            <w:pPr>
              <w:pStyle w:val="TableParagraph"/>
              <w:spacing w:line="293" w:lineRule="exact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  <w:tc>
          <w:tcPr>
            <w:tcW w:w="963" w:type="dxa"/>
          </w:tcPr>
          <w:p>
            <w:pPr>
              <w:pStyle w:val="TableParagraph"/>
              <w:spacing w:line="293" w:lineRule="exact"/>
              <w:ind w:left="115" w:right="115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  <w:tc>
          <w:tcPr>
            <w:tcW w:w="1021" w:type="dxa"/>
          </w:tcPr>
          <w:p>
            <w:pPr>
              <w:pStyle w:val="TableParagraph"/>
              <w:spacing w:line="293" w:lineRule="exact"/>
              <w:ind w:left="338" w:right="338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</w:tr>
    </w:tbl>
    <w:p>
      <w:pPr>
        <w:spacing w:before="0"/>
        <w:ind w:left="278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41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partir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3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2"/>
          <w:sz w:val="20"/>
        </w:rPr>
        <w:t> </w:t>
      </w:r>
      <w:r>
        <w:rPr>
          <w:sz w:val="20"/>
        </w:rPr>
        <w:t>Anexo:</w:t>
      </w:r>
      <w:r>
        <w:rPr>
          <w:spacing w:val="1"/>
          <w:sz w:val="20"/>
        </w:rPr>
        <w:t> </w:t>
      </w:r>
      <w:r>
        <w:rPr>
          <w:sz w:val="20"/>
        </w:rPr>
        <w:t>SEN -</w:t>
      </w:r>
      <w:r>
        <w:rPr>
          <w:spacing w:val="-2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sobre</w:t>
      </w:r>
      <w:r>
        <w:rPr>
          <w:spacing w:val="-2"/>
          <w:sz w:val="20"/>
        </w:rPr>
        <w:t> </w:t>
      </w:r>
      <w:r>
        <w:rPr>
          <w:sz w:val="20"/>
        </w:rPr>
        <w:t>cobertura,</w:t>
      </w:r>
      <w:r>
        <w:rPr>
          <w:spacing w:val="-2"/>
          <w:sz w:val="20"/>
        </w:rPr>
        <w:t> </w:t>
      </w:r>
      <w:r>
        <w:rPr>
          <w:sz w:val="20"/>
        </w:rPr>
        <w:t>tabla</w:t>
      </w:r>
      <w:r>
        <w:rPr>
          <w:spacing w:val="-1"/>
          <w:sz w:val="20"/>
        </w:rPr>
        <w:t> </w:t>
      </w:r>
      <w:r>
        <w:rPr>
          <w:sz w:val="20"/>
        </w:rPr>
        <w:t>2.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Heading3"/>
        <w:numPr>
          <w:ilvl w:val="0"/>
          <w:numId w:val="7"/>
        </w:numPr>
        <w:tabs>
          <w:tab w:pos="639" w:val="left" w:leader="none"/>
        </w:tabs>
        <w:spacing w:line="240" w:lineRule="auto" w:before="1" w:after="0"/>
        <w:ind w:left="638" w:right="0" w:hanging="361"/>
        <w:jc w:val="left"/>
      </w:pPr>
      <w:bookmarkStart w:name="_bookmark105" w:id="143"/>
      <w:bookmarkEnd w:id="143"/>
      <w:r>
        <w:rPr>
          <w:b w:val="0"/>
        </w:rPr>
      </w:r>
      <w:bookmarkStart w:name="_bookmark105" w:id="144"/>
      <w:bookmarkEnd w:id="144"/>
      <w:r>
        <w:rPr>
          <w:color w:val="1F4E79"/>
        </w:rPr>
        <w:t>C</w:t>
      </w:r>
      <w:r>
        <w:rPr>
          <w:color w:val="1F4E79"/>
        </w:rPr>
        <w:t>obertura</w:t>
      </w:r>
      <w:r>
        <w:rPr>
          <w:color w:val="1F4E79"/>
          <w:spacing w:val="-5"/>
        </w:rPr>
        <w:t> </w:t>
      </w:r>
      <w:r>
        <w:rPr>
          <w:color w:val="1F4E79"/>
        </w:rPr>
        <w:t>por</w:t>
      </w:r>
      <w:r>
        <w:rPr>
          <w:color w:val="1F4E79"/>
          <w:spacing w:val="-2"/>
        </w:rPr>
        <w:t> </w:t>
      </w:r>
      <w:r>
        <w:rPr>
          <w:color w:val="1F4E79"/>
        </w:rPr>
        <w:t>área</w:t>
      </w:r>
      <w:r>
        <w:rPr>
          <w:color w:val="1F4E79"/>
          <w:spacing w:val="-4"/>
        </w:rPr>
        <w:t> </w:t>
      </w:r>
      <w:r>
        <w:rPr>
          <w:color w:val="1F4E79"/>
        </w:rPr>
        <w:t>urbana</w:t>
      </w:r>
      <w:r>
        <w:rPr>
          <w:color w:val="1F4E79"/>
          <w:spacing w:val="-4"/>
        </w:rPr>
        <w:t> </w:t>
      </w:r>
      <w:r>
        <w:rPr>
          <w:color w:val="1F4E79"/>
        </w:rPr>
        <w:t>y</w:t>
      </w:r>
      <w:r>
        <w:rPr>
          <w:color w:val="1F4E79"/>
          <w:spacing w:val="-4"/>
        </w:rPr>
        <w:t> </w:t>
      </w:r>
      <w:r>
        <w:rPr>
          <w:color w:val="1F4E79"/>
        </w:rPr>
        <w:t>rural</w:t>
      </w:r>
    </w:p>
    <w:p>
      <w:pPr>
        <w:pStyle w:val="BodyText"/>
        <w:spacing w:before="5"/>
        <w:rPr>
          <w:b/>
          <w:sz w:val="29"/>
        </w:rPr>
      </w:pPr>
    </w:p>
    <w:p>
      <w:pPr>
        <w:spacing w:before="0"/>
        <w:ind w:left="278" w:right="1076" w:firstLine="0"/>
        <w:jc w:val="both"/>
        <w:rPr>
          <w:sz w:val="24"/>
        </w:rPr>
      </w:pPr>
      <w:r>
        <w:rPr>
          <w:sz w:val="24"/>
        </w:rPr>
        <w:t>En términos de área urbana y rural también se utilizaron las proyecciones de datos censales y su</w:t>
      </w:r>
      <w:r>
        <w:rPr>
          <w:spacing w:val="-52"/>
          <w:sz w:val="24"/>
        </w:rPr>
        <w:t> </w:t>
      </w:r>
      <w:r>
        <w:rPr>
          <w:sz w:val="24"/>
        </w:rPr>
        <w:t>unión con los datos de personas inscritas proporcionados por el MINEDUC. Los cálculos deben</w:t>
      </w:r>
      <w:r>
        <w:rPr>
          <w:spacing w:val="1"/>
          <w:sz w:val="24"/>
        </w:rPr>
        <w:t> </w:t>
      </w:r>
      <w:r>
        <w:rPr>
          <w:sz w:val="24"/>
        </w:rPr>
        <w:t>leerse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cuidado</w:t>
      </w:r>
      <w:r>
        <w:rPr>
          <w:spacing w:val="1"/>
          <w:sz w:val="24"/>
        </w:rPr>
        <w:t> </w:t>
      </w:r>
      <w:r>
        <w:rPr>
          <w:sz w:val="24"/>
        </w:rPr>
        <w:t>pues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definiciones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área</w:t>
      </w:r>
      <w:r>
        <w:rPr>
          <w:spacing w:val="1"/>
          <w:sz w:val="24"/>
        </w:rPr>
        <w:t> </w:t>
      </w:r>
      <w:r>
        <w:rPr>
          <w:sz w:val="24"/>
        </w:rPr>
        <w:t>rural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urbano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necesariamente</w:t>
      </w:r>
      <w:r>
        <w:rPr>
          <w:spacing w:val="1"/>
          <w:sz w:val="24"/>
        </w:rPr>
        <w:t> </w:t>
      </w:r>
      <w:r>
        <w:rPr>
          <w:sz w:val="24"/>
        </w:rPr>
        <w:t>son</w:t>
      </w:r>
      <w:r>
        <w:rPr>
          <w:spacing w:val="1"/>
          <w:sz w:val="24"/>
        </w:rPr>
        <w:t> </w:t>
      </w:r>
      <w:r>
        <w:rPr>
          <w:sz w:val="24"/>
        </w:rPr>
        <w:t>homogéneas entre el XII Censo de Población y VII de Vivienda y los registros administrativos de</w:t>
      </w:r>
      <w:r>
        <w:rPr>
          <w:spacing w:val="1"/>
          <w:sz w:val="24"/>
        </w:rPr>
        <w:t> </w:t>
      </w:r>
      <w:r>
        <w:rPr>
          <w:sz w:val="24"/>
        </w:rPr>
        <w:t>educación.</w:t>
      </w:r>
    </w:p>
    <w:p>
      <w:pPr>
        <w:pStyle w:val="BodyText"/>
        <w:spacing w:before="6"/>
        <w:rPr>
          <w:sz w:val="29"/>
        </w:rPr>
      </w:pPr>
    </w:p>
    <w:p>
      <w:pPr>
        <w:pStyle w:val="Heading3"/>
        <w:numPr>
          <w:ilvl w:val="1"/>
          <w:numId w:val="7"/>
        </w:numPr>
        <w:tabs>
          <w:tab w:pos="998" w:val="left" w:leader="none"/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106" w:id="145"/>
      <w:bookmarkEnd w:id="145"/>
      <w:r>
        <w:rPr>
          <w:b w:val="0"/>
        </w:rPr>
      </w:r>
      <w:bookmarkStart w:name="_bookmark106" w:id="146"/>
      <w:bookmarkEnd w:id="146"/>
      <w:r>
        <w:rPr>
          <w:color w:val="1F4E79"/>
        </w:rPr>
        <w:t>De</w:t>
      </w:r>
      <w:r>
        <w:rPr>
          <w:color w:val="1F4E79"/>
        </w:rPr>
        <w:t>partamental</w:t>
      </w:r>
    </w:p>
    <w:p>
      <w:pPr>
        <w:pStyle w:val="BodyText"/>
        <w:rPr>
          <w:b/>
          <w:sz w:val="24"/>
        </w:rPr>
      </w:pPr>
    </w:p>
    <w:p>
      <w:pPr>
        <w:spacing w:before="187"/>
        <w:ind w:left="278" w:right="1075" w:firstLine="0"/>
        <w:jc w:val="both"/>
        <w:rPr>
          <w:sz w:val="24"/>
        </w:rPr>
      </w:pPr>
      <w:r>
        <w:rPr>
          <w:sz w:val="24"/>
        </w:rPr>
        <w:t>Bajo</w:t>
      </w:r>
      <w:r>
        <w:rPr>
          <w:spacing w:val="-4"/>
          <w:sz w:val="24"/>
        </w:rPr>
        <w:t> </w:t>
      </w:r>
      <w:r>
        <w:rPr>
          <w:sz w:val="24"/>
        </w:rPr>
        <w:t>este</w:t>
      </w:r>
      <w:r>
        <w:rPr>
          <w:spacing w:val="-4"/>
          <w:sz w:val="24"/>
        </w:rPr>
        <w:t> </w:t>
      </w:r>
      <w:r>
        <w:rPr>
          <w:sz w:val="24"/>
        </w:rPr>
        <w:t>indicador,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nivel</w:t>
      </w:r>
      <w:r>
        <w:rPr>
          <w:spacing w:val="-4"/>
          <w:sz w:val="24"/>
        </w:rPr>
        <w:t> </w:t>
      </w:r>
      <w:r>
        <w:rPr>
          <w:sz w:val="24"/>
        </w:rPr>
        <w:t>departamental</w:t>
      </w:r>
      <w:r>
        <w:rPr>
          <w:spacing w:val="-7"/>
          <w:sz w:val="24"/>
        </w:rPr>
        <w:t> </w:t>
      </w:r>
      <w:r>
        <w:rPr>
          <w:sz w:val="24"/>
        </w:rPr>
        <w:t>hay</w:t>
      </w:r>
      <w:r>
        <w:rPr>
          <w:spacing w:val="-5"/>
          <w:sz w:val="24"/>
        </w:rPr>
        <w:t> </w:t>
      </w:r>
      <w:r>
        <w:rPr>
          <w:sz w:val="24"/>
        </w:rPr>
        <w:t>una</w:t>
      </w:r>
      <w:r>
        <w:rPr>
          <w:spacing w:val="-4"/>
          <w:sz w:val="24"/>
        </w:rPr>
        <w:t> </w:t>
      </w:r>
      <w:r>
        <w:rPr>
          <w:sz w:val="24"/>
        </w:rPr>
        <w:t>cobertura</w:t>
      </w:r>
      <w:r>
        <w:rPr>
          <w:spacing w:val="-7"/>
          <w:sz w:val="24"/>
        </w:rPr>
        <w:t> </w:t>
      </w:r>
      <w:r>
        <w:rPr>
          <w:sz w:val="24"/>
        </w:rPr>
        <w:t>distribuida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forma</w:t>
      </w:r>
      <w:r>
        <w:rPr>
          <w:spacing w:val="-5"/>
          <w:sz w:val="24"/>
        </w:rPr>
        <w:t> </w:t>
      </w:r>
      <w:r>
        <w:rPr>
          <w:sz w:val="24"/>
        </w:rPr>
        <w:t>relativamente</w:t>
      </w:r>
      <w:r>
        <w:rPr>
          <w:spacing w:val="-52"/>
          <w:sz w:val="24"/>
        </w:rPr>
        <w:t> </w:t>
      </w:r>
      <w:r>
        <w:rPr>
          <w:sz w:val="24"/>
        </w:rPr>
        <w:t>homogénea en el área urbana y heterogénea en lo rural, algo comúnmente aceptado pues en</w:t>
      </w:r>
      <w:r>
        <w:rPr>
          <w:spacing w:val="1"/>
          <w:sz w:val="24"/>
        </w:rPr>
        <w:t> </w:t>
      </w:r>
      <w:r>
        <w:rPr>
          <w:sz w:val="24"/>
        </w:rPr>
        <w:t>áreas</w:t>
      </w:r>
      <w:r>
        <w:rPr>
          <w:spacing w:val="-6"/>
          <w:sz w:val="24"/>
        </w:rPr>
        <w:t> </w:t>
      </w:r>
      <w:r>
        <w:rPr>
          <w:sz w:val="24"/>
        </w:rPr>
        <w:t>rurales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cobertura</w:t>
      </w:r>
      <w:r>
        <w:rPr>
          <w:spacing w:val="-6"/>
          <w:sz w:val="24"/>
        </w:rPr>
        <w:t> </w:t>
      </w:r>
      <w:r>
        <w:rPr>
          <w:sz w:val="24"/>
        </w:rPr>
        <w:t>es</w:t>
      </w:r>
      <w:r>
        <w:rPr>
          <w:spacing w:val="-6"/>
          <w:sz w:val="24"/>
        </w:rPr>
        <w:t> </w:t>
      </w:r>
      <w:r>
        <w:rPr>
          <w:sz w:val="24"/>
        </w:rPr>
        <w:t>más</w:t>
      </w:r>
      <w:r>
        <w:rPr>
          <w:spacing w:val="-5"/>
          <w:sz w:val="24"/>
        </w:rPr>
        <w:t> </w:t>
      </w:r>
      <w:r>
        <w:rPr>
          <w:sz w:val="24"/>
        </w:rPr>
        <w:t>baja</w:t>
      </w:r>
      <w:r>
        <w:rPr>
          <w:spacing w:val="-6"/>
          <w:sz w:val="24"/>
        </w:rPr>
        <w:t> </w:t>
      </w:r>
      <w:r>
        <w:rPr>
          <w:sz w:val="24"/>
        </w:rPr>
        <w:t>conforme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ruralidad</w:t>
      </w:r>
      <w:r>
        <w:rPr>
          <w:spacing w:val="-5"/>
          <w:sz w:val="24"/>
        </w:rPr>
        <w:t> </w:t>
      </w:r>
      <w:r>
        <w:rPr>
          <w:sz w:val="24"/>
        </w:rPr>
        <w:t>es</w:t>
      </w:r>
      <w:r>
        <w:rPr>
          <w:spacing w:val="-6"/>
          <w:sz w:val="24"/>
        </w:rPr>
        <w:t> </w:t>
      </w:r>
      <w:r>
        <w:rPr>
          <w:sz w:val="24"/>
        </w:rPr>
        <w:t>más</w:t>
      </w:r>
      <w:r>
        <w:rPr>
          <w:spacing w:val="-5"/>
          <w:sz w:val="24"/>
        </w:rPr>
        <w:t> </w:t>
      </w:r>
      <w:r>
        <w:rPr>
          <w:sz w:val="24"/>
        </w:rPr>
        <w:t>amplia.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mapas</w:t>
      </w:r>
      <w:r>
        <w:rPr>
          <w:spacing w:val="-5"/>
          <w:sz w:val="24"/>
        </w:rPr>
        <w:t> </w:t>
      </w:r>
      <w:r>
        <w:rPr>
          <w:sz w:val="24"/>
        </w:rPr>
        <w:t>siguientes</w:t>
      </w:r>
      <w:r>
        <w:rPr>
          <w:spacing w:val="-52"/>
          <w:sz w:val="24"/>
        </w:rPr>
        <w:t> </w:t>
      </w:r>
      <w:r>
        <w:rPr>
          <w:sz w:val="24"/>
        </w:rPr>
        <w:t>muestran lo</w:t>
      </w:r>
      <w:r>
        <w:rPr>
          <w:spacing w:val="1"/>
          <w:sz w:val="24"/>
        </w:rPr>
        <w:t> </w:t>
      </w:r>
      <w:r>
        <w:rPr>
          <w:sz w:val="24"/>
        </w:rPr>
        <w:t>descrito: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  <w:r>
        <w:rPr/>
        <w:pict>
          <v:rect style="position:absolute;margin-left:563.880005pt;margin-top:19.299929pt;width:25.44pt;height:1.4399pt;mso-position-horizontal-relative:page;mso-position-vertical-relative:paragraph;z-index:-1555200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ind w:right="211"/>
      </w:pPr>
      <w:r>
        <w:rPr/>
        <w:t>82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491904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26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spacing w:before="59"/>
        <w:ind w:left="278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48">
            <wp:simplePos x="0" y="0"/>
            <wp:positionH relativeFrom="page">
              <wp:posOffset>899160</wp:posOffset>
            </wp:positionH>
            <wp:positionV relativeFrom="paragraph">
              <wp:posOffset>280443</wp:posOffset>
            </wp:positionV>
            <wp:extent cx="2666936" cy="2592324"/>
            <wp:effectExtent l="0" t="0" r="0" b="0"/>
            <wp:wrapTopAndBottom/>
            <wp:docPr id="265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936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9">
            <wp:simplePos x="0" y="0"/>
            <wp:positionH relativeFrom="page">
              <wp:posOffset>3987291</wp:posOffset>
            </wp:positionH>
            <wp:positionV relativeFrom="paragraph">
              <wp:posOffset>271807</wp:posOffset>
            </wp:positionV>
            <wp:extent cx="2592243" cy="2654046"/>
            <wp:effectExtent l="0" t="0" r="0" b="0"/>
            <wp:wrapTopAndBottom/>
            <wp:docPr id="267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243" cy="2654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Ilustración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8:</w:t>
      </w:r>
      <w:r>
        <w:rPr>
          <w:b/>
          <w:spacing w:val="-1"/>
          <w:sz w:val="20"/>
        </w:rPr>
        <w:t> </w:t>
      </w:r>
      <w:r>
        <w:rPr>
          <w:sz w:val="20"/>
        </w:rPr>
        <w:t>Tasas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cobertura</w:t>
      </w:r>
      <w:r>
        <w:rPr>
          <w:spacing w:val="-2"/>
          <w:sz w:val="20"/>
        </w:rPr>
        <w:t> </w:t>
      </w:r>
      <w:r>
        <w:rPr>
          <w:sz w:val="20"/>
        </w:rPr>
        <w:t>bruta</w:t>
      </w:r>
      <w:r>
        <w:rPr>
          <w:spacing w:val="-2"/>
          <w:sz w:val="20"/>
        </w:rPr>
        <w:t> </w:t>
      </w:r>
      <w:r>
        <w:rPr>
          <w:sz w:val="20"/>
        </w:rPr>
        <w:t>departamental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4"/>
          <w:sz w:val="20"/>
        </w:rPr>
        <w:t> </w:t>
      </w:r>
      <w:r>
        <w:rPr>
          <w:sz w:val="20"/>
        </w:rPr>
        <w:t>área</w:t>
      </w:r>
      <w:r>
        <w:rPr>
          <w:spacing w:val="-2"/>
          <w:sz w:val="20"/>
        </w:rPr>
        <w:t> </w:t>
      </w:r>
      <w:r>
        <w:rPr>
          <w:sz w:val="20"/>
        </w:rPr>
        <w:t>urbana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rural.</w:t>
      </w:r>
      <w:r>
        <w:rPr>
          <w:spacing w:val="3"/>
          <w:sz w:val="20"/>
        </w:rPr>
        <w:t> </w:t>
      </w:r>
      <w:r>
        <w:rPr>
          <w:sz w:val="20"/>
        </w:rPr>
        <w:t>2021.</w:t>
      </w:r>
    </w:p>
    <w:p>
      <w:pPr>
        <w:spacing w:before="0"/>
        <w:ind w:left="278" w:right="0" w:firstLine="0"/>
        <w:jc w:val="left"/>
        <w:rPr>
          <w:sz w:val="18"/>
        </w:rPr>
      </w:pPr>
      <w:r>
        <w:rPr>
          <w:sz w:val="18"/>
        </w:rPr>
        <w:t>Fuente:</w:t>
      </w:r>
      <w:r>
        <w:rPr>
          <w:spacing w:val="37"/>
          <w:sz w:val="18"/>
        </w:rPr>
        <w:t> </w:t>
      </w:r>
      <w:r>
        <w:rPr>
          <w:sz w:val="18"/>
        </w:rPr>
        <w:t>Elaboración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2"/>
          <w:sz w:val="18"/>
        </w:rPr>
        <w:t> </w:t>
      </w:r>
      <w:r>
        <w:rPr>
          <w:sz w:val="18"/>
        </w:rPr>
        <w:t>a partir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los datos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1"/>
          <w:sz w:val="18"/>
        </w:rPr>
        <w:t> </w:t>
      </w:r>
      <w:r>
        <w:rPr>
          <w:sz w:val="18"/>
        </w:rPr>
        <w:t>Anexo:</w:t>
      </w:r>
      <w:r>
        <w:rPr>
          <w:spacing w:val="-1"/>
          <w:sz w:val="18"/>
        </w:rPr>
        <w:t> </w:t>
      </w:r>
      <w:r>
        <w:rPr>
          <w:sz w:val="18"/>
        </w:rPr>
        <w:t>SEN</w:t>
      </w:r>
      <w:r>
        <w:rPr>
          <w:spacing w:val="-2"/>
          <w:sz w:val="18"/>
        </w:rPr>
        <w:t> </w:t>
      </w:r>
      <w:r>
        <w:rPr>
          <w:sz w:val="18"/>
        </w:rPr>
        <w:t>- Datos</w:t>
      </w:r>
      <w:r>
        <w:rPr>
          <w:spacing w:val="-2"/>
          <w:sz w:val="18"/>
        </w:rPr>
        <w:t> </w:t>
      </w:r>
      <w:r>
        <w:rPr>
          <w:sz w:val="18"/>
        </w:rPr>
        <w:t>sobre</w:t>
      </w:r>
      <w:r>
        <w:rPr>
          <w:spacing w:val="-4"/>
          <w:sz w:val="18"/>
        </w:rPr>
        <w:t> </w:t>
      </w:r>
      <w:r>
        <w:rPr>
          <w:sz w:val="18"/>
        </w:rPr>
        <w:t>cobertura,</w:t>
      </w:r>
      <w:r>
        <w:rPr>
          <w:spacing w:val="-2"/>
          <w:sz w:val="18"/>
        </w:rPr>
        <w:t> </w:t>
      </w:r>
      <w:r>
        <w:rPr>
          <w:sz w:val="18"/>
        </w:rPr>
        <w:t>tabla</w:t>
      </w:r>
      <w:r>
        <w:rPr>
          <w:spacing w:val="-2"/>
          <w:sz w:val="18"/>
        </w:rPr>
        <w:t> </w:t>
      </w:r>
      <w:r>
        <w:rPr>
          <w:sz w:val="18"/>
        </w:rPr>
        <w:t>2.</w:t>
      </w:r>
    </w:p>
    <w:p>
      <w:pPr>
        <w:pStyle w:val="BodyText"/>
        <w:spacing w:before="7"/>
        <w:rPr>
          <w:sz w:val="26"/>
        </w:rPr>
      </w:pPr>
    </w:p>
    <w:p>
      <w:pPr>
        <w:pStyle w:val="Heading3"/>
        <w:numPr>
          <w:ilvl w:val="1"/>
          <w:numId w:val="7"/>
        </w:numPr>
        <w:tabs>
          <w:tab w:pos="998" w:val="left" w:leader="none"/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107" w:id="147"/>
      <w:bookmarkEnd w:id="147"/>
      <w:r>
        <w:rPr>
          <w:b w:val="0"/>
        </w:rPr>
      </w:r>
      <w:bookmarkStart w:name="_bookmark107" w:id="148"/>
      <w:bookmarkEnd w:id="148"/>
      <w:r>
        <w:rPr>
          <w:color w:val="1F4E79"/>
        </w:rPr>
        <w:t>M</w:t>
      </w:r>
      <w:r>
        <w:rPr>
          <w:color w:val="1F4E79"/>
        </w:rPr>
        <w:t>unicipal</w:t>
      </w:r>
    </w:p>
    <w:p>
      <w:pPr>
        <w:pStyle w:val="BodyText"/>
        <w:rPr>
          <w:b/>
          <w:sz w:val="24"/>
        </w:rPr>
      </w:pPr>
    </w:p>
    <w:p>
      <w:pPr>
        <w:spacing w:before="188"/>
        <w:ind w:left="278" w:right="1074" w:firstLine="0"/>
        <w:jc w:val="both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cuadro</w:t>
      </w:r>
      <w:r>
        <w:rPr>
          <w:spacing w:val="-3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muestra las</w:t>
      </w:r>
      <w:r>
        <w:rPr>
          <w:spacing w:val="-4"/>
          <w:sz w:val="24"/>
        </w:rPr>
        <w:t> </w:t>
      </w:r>
      <w:r>
        <w:rPr>
          <w:sz w:val="24"/>
        </w:rPr>
        <w:t>estadísticas</w:t>
      </w:r>
      <w:r>
        <w:rPr>
          <w:spacing w:val="-4"/>
          <w:sz w:val="24"/>
        </w:rPr>
        <w:t> </w:t>
      </w:r>
      <w:r>
        <w:rPr>
          <w:sz w:val="24"/>
        </w:rPr>
        <w:t>básicas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cobertura</w:t>
      </w:r>
      <w:r>
        <w:rPr>
          <w:spacing w:val="-3"/>
          <w:sz w:val="24"/>
        </w:rPr>
        <w:t> </w:t>
      </w:r>
      <w:r>
        <w:rPr>
          <w:sz w:val="24"/>
        </w:rPr>
        <w:t>bruta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nivel</w:t>
      </w:r>
      <w:r>
        <w:rPr>
          <w:spacing w:val="-3"/>
          <w:sz w:val="24"/>
        </w:rPr>
        <w:t> </w:t>
      </w:r>
      <w:r>
        <w:rPr>
          <w:sz w:val="24"/>
        </w:rPr>
        <w:t>urbano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rural.</w:t>
      </w:r>
      <w:r>
        <w:rPr>
          <w:spacing w:val="-1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52"/>
          <w:sz w:val="24"/>
        </w:rPr>
        <w:t> </w:t>
      </w:r>
      <w:r>
        <w:rPr>
          <w:sz w:val="24"/>
        </w:rPr>
        <w:t>puede ver el promedio es altamente influenciado por valores extremos, por ejemplo, los valores</w:t>
      </w:r>
      <w:r>
        <w:rPr>
          <w:spacing w:val="-52"/>
          <w:sz w:val="24"/>
        </w:rPr>
        <w:t> </w:t>
      </w:r>
      <w:r>
        <w:rPr>
          <w:sz w:val="24"/>
        </w:rPr>
        <w:t>máximos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tasa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cobertura</w:t>
      </w:r>
      <w:r>
        <w:rPr>
          <w:spacing w:val="-1"/>
          <w:sz w:val="24"/>
        </w:rPr>
        <w:t> </w:t>
      </w:r>
      <w:r>
        <w:rPr>
          <w:sz w:val="24"/>
        </w:rPr>
        <w:t>bruta llegan</w:t>
      </w:r>
      <w:r>
        <w:rPr>
          <w:spacing w:val="-1"/>
          <w:sz w:val="24"/>
        </w:rPr>
        <w:t> </w:t>
      </w:r>
      <w:r>
        <w:rPr>
          <w:sz w:val="24"/>
        </w:rPr>
        <w:t>a 25</w:t>
      </w:r>
      <w:r>
        <w:rPr>
          <w:spacing w:val="-1"/>
          <w:sz w:val="24"/>
        </w:rPr>
        <w:t> </w:t>
      </w:r>
      <w:r>
        <w:rPr>
          <w:sz w:val="24"/>
        </w:rPr>
        <w:t>veces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población</w:t>
      </w:r>
      <w:r>
        <w:rPr>
          <w:spacing w:val="-1"/>
          <w:sz w:val="24"/>
        </w:rPr>
        <w:t> </w:t>
      </w:r>
      <w:r>
        <w:rPr>
          <w:sz w:val="24"/>
        </w:rPr>
        <w:t>rural.</w:t>
      </w:r>
    </w:p>
    <w:p>
      <w:pPr>
        <w:pStyle w:val="BodyText"/>
        <w:spacing w:before="11"/>
        <w:rPr>
          <w:sz w:val="23"/>
        </w:rPr>
      </w:pPr>
    </w:p>
    <w:p>
      <w:pPr>
        <w:pStyle w:val="Heading3"/>
        <w:spacing w:before="0"/>
        <w:ind w:left="278" w:firstLine="0"/>
        <w:jc w:val="both"/>
      </w:pPr>
      <w:r>
        <w:rPr>
          <w:spacing w:val="-1"/>
        </w:rPr>
        <w:t>Cuadro</w:t>
      </w:r>
      <w:r>
        <w:rPr>
          <w:spacing w:val="-13"/>
        </w:rPr>
        <w:t> </w:t>
      </w:r>
      <w:r>
        <w:rPr>
          <w:spacing w:val="-1"/>
        </w:rPr>
        <w:t>5:</w:t>
      </w:r>
      <w:r>
        <w:rPr>
          <w:spacing w:val="-12"/>
        </w:rPr>
        <w:t> </w:t>
      </w:r>
      <w:r>
        <w:rPr>
          <w:spacing w:val="-1"/>
        </w:rPr>
        <w:t>Estadísticas</w:t>
      </w:r>
      <w:r>
        <w:rPr>
          <w:spacing w:val="-12"/>
        </w:rPr>
        <w:t> </w:t>
      </w:r>
      <w:r>
        <w:rPr>
          <w:spacing w:val="-1"/>
        </w:rPr>
        <w:t>Descriptivas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Tasa</w:t>
      </w:r>
      <w:r>
        <w:rPr>
          <w:spacing w:val="-12"/>
        </w:rPr>
        <w:t> </w:t>
      </w:r>
      <w:r>
        <w:rPr>
          <w:spacing w:val="-1"/>
        </w:rPr>
        <w:t>Bruta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Cobertura</w:t>
      </w:r>
      <w:r>
        <w:rPr>
          <w:spacing w:val="-12"/>
        </w:rPr>
        <w:t> </w:t>
      </w:r>
      <w:r>
        <w:rPr/>
        <w:t>Educativa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nivel</w:t>
      </w:r>
      <w:r>
        <w:rPr>
          <w:spacing w:val="-11"/>
        </w:rPr>
        <w:t> </w:t>
      </w:r>
      <w:r>
        <w:rPr/>
        <w:t>municipal</w:t>
      </w:r>
    </w:p>
    <w:p>
      <w:pPr>
        <w:pStyle w:val="BodyText"/>
        <w:rPr>
          <w:b/>
          <w:sz w:val="24"/>
        </w:rPr>
      </w:pPr>
    </w:p>
    <w:tbl>
      <w:tblPr>
        <w:tblW w:w="0" w:type="auto"/>
        <w:jc w:val="left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804"/>
        <w:gridCol w:w="998"/>
        <w:gridCol w:w="998"/>
        <w:gridCol w:w="998"/>
        <w:gridCol w:w="995"/>
        <w:gridCol w:w="998"/>
        <w:gridCol w:w="997"/>
        <w:gridCol w:w="997"/>
      </w:tblGrid>
      <w:tr>
        <w:trPr>
          <w:trHeight w:val="496" w:hRule="atLeast"/>
        </w:trPr>
        <w:tc>
          <w:tcPr>
            <w:tcW w:w="1555" w:type="dxa"/>
            <w:vMerge w:val="restart"/>
            <w:shd w:val="clear" w:color="auto" w:fill="4F81BC"/>
          </w:tcPr>
          <w:p>
            <w:pPr>
              <w:pStyle w:val="TableParagraph"/>
              <w:spacing w:line="292" w:lineRule="exact"/>
              <w:ind w:left="556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Año</w:t>
            </w:r>
          </w:p>
        </w:tc>
        <w:tc>
          <w:tcPr>
            <w:tcW w:w="3798" w:type="dxa"/>
            <w:gridSpan w:val="4"/>
            <w:shd w:val="clear" w:color="auto" w:fill="4F81BC"/>
          </w:tcPr>
          <w:p>
            <w:pPr>
              <w:pStyle w:val="TableParagraph"/>
              <w:spacing w:line="194" w:lineRule="exact"/>
              <w:ind w:left="1630" w:right="16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Urbano</w:t>
            </w:r>
          </w:p>
        </w:tc>
        <w:tc>
          <w:tcPr>
            <w:tcW w:w="3987" w:type="dxa"/>
            <w:gridSpan w:val="4"/>
            <w:shd w:val="clear" w:color="auto" w:fill="4F81BC"/>
          </w:tcPr>
          <w:p>
            <w:pPr>
              <w:pStyle w:val="TableParagraph"/>
              <w:spacing w:line="194" w:lineRule="exact"/>
              <w:ind w:left="1800" w:right="17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Rural</w:t>
            </w:r>
          </w:p>
        </w:tc>
      </w:tr>
      <w:tr>
        <w:trPr>
          <w:trHeight w:val="313" w:hRule="atLeast"/>
        </w:trPr>
        <w:tc>
          <w:tcPr>
            <w:tcW w:w="1555" w:type="dxa"/>
            <w:vMerge/>
            <w:tcBorders>
              <w:top w:val="nil"/>
            </w:tcBorders>
            <w:shd w:val="clear" w:color="auto" w:fill="4F81B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spacing w:line="243" w:lineRule="exact"/>
              <w:ind w:left="105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998" w:type="dxa"/>
          </w:tcPr>
          <w:p>
            <w:pPr>
              <w:pStyle w:val="TableParagraph"/>
              <w:spacing w:line="243" w:lineRule="exact"/>
              <w:ind w:right="28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998" w:type="dxa"/>
          </w:tcPr>
          <w:p>
            <w:pPr>
              <w:pStyle w:val="TableParagraph"/>
              <w:spacing w:line="243" w:lineRule="exact"/>
              <w:ind w:left="150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998" w:type="dxa"/>
          </w:tcPr>
          <w:p>
            <w:pPr>
              <w:pStyle w:val="TableParagraph"/>
              <w:spacing w:line="243" w:lineRule="exact"/>
              <w:ind w:left="147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995" w:type="dxa"/>
          </w:tcPr>
          <w:p>
            <w:pPr>
              <w:pStyle w:val="TableParagraph"/>
              <w:spacing w:line="243" w:lineRule="exact"/>
              <w:ind w:left="20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998" w:type="dxa"/>
          </w:tcPr>
          <w:p>
            <w:pPr>
              <w:pStyle w:val="TableParagraph"/>
              <w:spacing w:line="243" w:lineRule="exact"/>
              <w:ind w:left="154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997" w:type="dxa"/>
          </w:tcPr>
          <w:p>
            <w:pPr>
              <w:pStyle w:val="TableParagraph"/>
              <w:spacing w:line="243" w:lineRule="exact"/>
              <w:ind w:left="153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997" w:type="dxa"/>
          </w:tcPr>
          <w:p>
            <w:pPr>
              <w:pStyle w:val="TableParagraph"/>
              <w:spacing w:line="243" w:lineRule="exact"/>
              <w:ind w:left="156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</w:tr>
      <w:tr>
        <w:trPr>
          <w:trHeight w:val="299" w:hRule="atLeast"/>
        </w:trPr>
        <w:tc>
          <w:tcPr>
            <w:tcW w:w="1555" w:type="dxa"/>
          </w:tcPr>
          <w:p>
            <w:pPr>
              <w:pStyle w:val="TableParagraph"/>
              <w:spacing w:line="280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CONTEO</w:t>
            </w:r>
          </w:p>
        </w:tc>
        <w:tc>
          <w:tcPr>
            <w:tcW w:w="804" w:type="dxa"/>
          </w:tcPr>
          <w:p>
            <w:pPr>
              <w:pStyle w:val="TableParagraph"/>
              <w:spacing w:before="1"/>
              <w:ind w:left="105" w:right="98"/>
              <w:jc w:val="center"/>
              <w:rPr>
                <w:sz w:val="20"/>
              </w:rPr>
            </w:pPr>
            <w:r>
              <w:rPr>
                <w:sz w:val="20"/>
              </w:rPr>
              <w:t>333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ind w:left="149" w:right="143"/>
              <w:jc w:val="center"/>
              <w:rPr>
                <w:sz w:val="20"/>
              </w:rPr>
            </w:pPr>
            <w:r>
              <w:rPr>
                <w:sz w:val="20"/>
              </w:rPr>
              <w:t>333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ind w:left="150" w:right="143"/>
              <w:jc w:val="center"/>
              <w:rPr>
                <w:sz w:val="20"/>
              </w:rPr>
            </w:pPr>
            <w:r>
              <w:rPr>
                <w:sz w:val="20"/>
              </w:rPr>
              <w:t>333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ind w:left="147" w:right="143"/>
              <w:jc w:val="center"/>
              <w:rPr>
                <w:sz w:val="20"/>
              </w:rPr>
            </w:pPr>
            <w:r>
              <w:rPr>
                <w:sz w:val="20"/>
              </w:rPr>
              <w:t>333</w:t>
            </w:r>
          </w:p>
        </w:tc>
        <w:tc>
          <w:tcPr>
            <w:tcW w:w="995" w:type="dxa"/>
          </w:tcPr>
          <w:p>
            <w:pPr>
              <w:pStyle w:val="TableParagraph"/>
              <w:spacing w:before="1"/>
              <w:ind w:left="20" w:right="12"/>
              <w:jc w:val="center"/>
              <w:rPr>
                <w:sz w:val="20"/>
              </w:rPr>
            </w:pPr>
            <w:r>
              <w:rPr>
                <w:sz w:val="20"/>
              </w:rPr>
              <w:t>307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ind w:left="154" w:right="143"/>
              <w:jc w:val="center"/>
              <w:rPr>
                <w:sz w:val="20"/>
              </w:rPr>
            </w:pPr>
            <w:r>
              <w:rPr>
                <w:sz w:val="20"/>
              </w:rPr>
              <w:t>307</w:t>
            </w:r>
          </w:p>
        </w:tc>
        <w:tc>
          <w:tcPr>
            <w:tcW w:w="997" w:type="dxa"/>
          </w:tcPr>
          <w:p>
            <w:pPr>
              <w:pStyle w:val="TableParagraph"/>
              <w:spacing w:before="1"/>
              <w:ind w:left="153" w:right="139"/>
              <w:jc w:val="center"/>
              <w:rPr>
                <w:sz w:val="20"/>
              </w:rPr>
            </w:pPr>
            <w:r>
              <w:rPr>
                <w:sz w:val="20"/>
              </w:rPr>
              <w:t>307</w:t>
            </w:r>
          </w:p>
        </w:tc>
        <w:tc>
          <w:tcPr>
            <w:tcW w:w="997" w:type="dxa"/>
          </w:tcPr>
          <w:p>
            <w:pPr>
              <w:pStyle w:val="TableParagraph"/>
              <w:spacing w:before="1"/>
              <w:ind w:left="156" w:right="139"/>
              <w:jc w:val="center"/>
              <w:rPr>
                <w:sz w:val="20"/>
              </w:rPr>
            </w:pPr>
            <w:r>
              <w:rPr>
                <w:sz w:val="20"/>
              </w:rPr>
              <w:t>307</w:t>
            </w:r>
          </w:p>
        </w:tc>
      </w:tr>
      <w:tr>
        <w:trPr>
          <w:trHeight w:val="299" w:hRule="atLeast"/>
        </w:trPr>
        <w:tc>
          <w:tcPr>
            <w:tcW w:w="1555" w:type="dxa"/>
          </w:tcPr>
          <w:p>
            <w:pPr>
              <w:pStyle w:val="TableParagraph"/>
              <w:spacing w:line="280" w:lineRule="exact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PROMEDIO</w:t>
            </w:r>
          </w:p>
        </w:tc>
        <w:tc>
          <w:tcPr>
            <w:tcW w:w="804" w:type="dxa"/>
          </w:tcPr>
          <w:p>
            <w:pPr>
              <w:pStyle w:val="TableParagraph"/>
              <w:spacing w:before="1"/>
              <w:ind w:left="103" w:right="98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ind w:left="326"/>
              <w:rPr>
                <w:sz w:val="20"/>
              </w:rPr>
            </w:pPr>
            <w:r>
              <w:rPr>
                <w:sz w:val="20"/>
              </w:rPr>
              <w:t>79%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ind w:left="153" w:right="143"/>
              <w:jc w:val="center"/>
              <w:rPr>
                <w:sz w:val="20"/>
              </w:rPr>
            </w:pPr>
            <w:r>
              <w:rPr>
                <w:sz w:val="20"/>
              </w:rPr>
              <w:t>77%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ind w:left="150" w:right="143"/>
              <w:jc w:val="center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  <w:tc>
          <w:tcPr>
            <w:tcW w:w="995" w:type="dxa"/>
          </w:tcPr>
          <w:p>
            <w:pPr>
              <w:pStyle w:val="TableParagraph"/>
              <w:spacing w:before="1"/>
              <w:ind w:left="23" w:right="12"/>
              <w:jc w:val="center"/>
              <w:rPr>
                <w:sz w:val="20"/>
              </w:rPr>
            </w:pPr>
            <w:r>
              <w:rPr>
                <w:sz w:val="20"/>
              </w:rPr>
              <w:t>227%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ind w:left="155" w:right="141"/>
              <w:jc w:val="center"/>
              <w:rPr>
                <w:sz w:val="20"/>
              </w:rPr>
            </w:pPr>
            <w:r>
              <w:rPr>
                <w:sz w:val="20"/>
              </w:rPr>
              <w:t>223%</w:t>
            </w:r>
          </w:p>
        </w:tc>
        <w:tc>
          <w:tcPr>
            <w:tcW w:w="997" w:type="dxa"/>
          </w:tcPr>
          <w:p>
            <w:pPr>
              <w:pStyle w:val="TableParagraph"/>
              <w:spacing w:before="1"/>
              <w:ind w:left="156" w:right="139"/>
              <w:jc w:val="center"/>
              <w:rPr>
                <w:sz w:val="20"/>
              </w:rPr>
            </w:pPr>
            <w:r>
              <w:rPr>
                <w:sz w:val="20"/>
              </w:rPr>
              <w:t>216%</w:t>
            </w:r>
          </w:p>
        </w:tc>
        <w:tc>
          <w:tcPr>
            <w:tcW w:w="997" w:type="dxa"/>
          </w:tcPr>
          <w:p>
            <w:pPr>
              <w:pStyle w:val="TableParagraph"/>
              <w:spacing w:before="1"/>
              <w:ind w:left="156" w:right="136"/>
              <w:jc w:val="center"/>
              <w:rPr>
                <w:sz w:val="20"/>
              </w:rPr>
            </w:pPr>
            <w:r>
              <w:rPr>
                <w:sz w:val="20"/>
              </w:rPr>
              <w:t>226%</w:t>
            </w:r>
          </w:p>
        </w:tc>
      </w:tr>
      <w:tr>
        <w:trPr>
          <w:trHeight w:val="588" w:hRule="atLeast"/>
        </w:trPr>
        <w:tc>
          <w:tcPr>
            <w:tcW w:w="1555" w:type="dxa"/>
          </w:tcPr>
          <w:p>
            <w:pPr>
              <w:pStyle w:val="TableParagraph"/>
              <w:spacing w:line="292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DESVIACION</w:t>
            </w:r>
          </w:p>
          <w:p>
            <w:pPr>
              <w:pStyle w:val="TableParagraph"/>
              <w:spacing w:line="273" w:lineRule="exact" w:before="3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ESTANDAR</w:t>
            </w:r>
          </w:p>
        </w:tc>
        <w:tc>
          <w:tcPr>
            <w:tcW w:w="804" w:type="dxa"/>
          </w:tcPr>
          <w:p>
            <w:pPr>
              <w:pStyle w:val="TableParagraph"/>
              <w:spacing w:before="1"/>
              <w:ind w:left="103" w:right="98"/>
              <w:jc w:val="center"/>
              <w:rPr>
                <w:sz w:val="20"/>
              </w:rPr>
            </w:pPr>
            <w:r>
              <w:rPr>
                <w:sz w:val="20"/>
              </w:rPr>
              <w:t>93%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ind w:left="326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ind w:left="153" w:right="143"/>
              <w:jc w:val="center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ind w:left="150" w:right="143"/>
              <w:jc w:val="center"/>
              <w:rPr>
                <w:sz w:val="20"/>
              </w:rPr>
            </w:pPr>
            <w:r>
              <w:rPr>
                <w:sz w:val="20"/>
              </w:rPr>
              <w:t>81%</w:t>
            </w:r>
          </w:p>
        </w:tc>
        <w:tc>
          <w:tcPr>
            <w:tcW w:w="995" w:type="dxa"/>
          </w:tcPr>
          <w:p>
            <w:pPr>
              <w:pStyle w:val="TableParagraph"/>
              <w:spacing w:before="1"/>
              <w:ind w:left="20" w:right="12"/>
              <w:jc w:val="center"/>
              <w:rPr>
                <w:sz w:val="20"/>
              </w:rPr>
            </w:pPr>
            <w:r>
              <w:rPr>
                <w:sz w:val="20"/>
              </w:rPr>
              <w:t>1653%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ind w:left="155" w:right="143"/>
              <w:jc w:val="center"/>
              <w:rPr>
                <w:sz w:val="20"/>
              </w:rPr>
            </w:pPr>
            <w:r>
              <w:rPr>
                <w:sz w:val="20"/>
              </w:rPr>
              <w:t>1638%</w:t>
            </w:r>
          </w:p>
        </w:tc>
        <w:tc>
          <w:tcPr>
            <w:tcW w:w="997" w:type="dxa"/>
          </w:tcPr>
          <w:p>
            <w:pPr>
              <w:pStyle w:val="TableParagraph"/>
              <w:spacing w:before="1"/>
              <w:ind w:left="154" w:right="139"/>
              <w:jc w:val="center"/>
              <w:rPr>
                <w:sz w:val="20"/>
              </w:rPr>
            </w:pPr>
            <w:r>
              <w:rPr>
                <w:sz w:val="20"/>
              </w:rPr>
              <w:t>1575%</w:t>
            </w:r>
          </w:p>
        </w:tc>
        <w:tc>
          <w:tcPr>
            <w:tcW w:w="997" w:type="dxa"/>
          </w:tcPr>
          <w:p>
            <w:pPr>
              <w:pStyle w:val="TableParagraph"/>
              <w:spacing w:before="1"/>
              <w:ind w:left="156" w:right="138"/>
              <w:jc w:val="center"/>
              <w:rPr>
                <w:sz w:val="20"/>
              </w:rPr>
            </w:pPr>
            <w:r>
              <w:rPr>
                <w:sz w:val="20"/>
              </w:rPr>
              <w:t>1700%</w:t>
            </w:r>
          </w:p>
        </w:tc>
      </w:tr>
      <w:tr>
        <w:trPr>
          <w:trHeight w:val="299" w:hRule="atLeast"/>
        </w:trPr>
        <w:tc>
          <w:tcPr>
            <w:tcW w:w="1555" w:type="dxa"/>
          </w:tcPr>
          <w:p>
            <w:pPr>
              <w:pStyle w:val="TableParagraph"/>
              <w:spacing w:line="280" w:lineRule="exact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MINIMO</w:t>
            </w:r>
          </w:p>
        </w:tc>
        <w:tc>
          <w:tcPr>
            <w:tcW w:w="804" w:type="dxa"/>
          </w:tcPr>
          <w:p>
            <w:pPr>
              <w:pStyle w:val="TableParagraph"/>
              <w:spacing w:line="243" w:lineRule="exact"/>
              <w:ind w:left="103" w:right="98"/>
              <w:jc w:val="center"/>
              <w:rPr>
                <w:sz w:val="20"/>
              </w:rPr>
            </w:pPr>
            <w:r>
              <w:rPr>
                <w:sz w:val="20"/>
              </w:rPr>
              <w:t>8%</w:t>
            </w:r>
          </w:p>
        </w:tc>
        <w:tc>
          <w:tcPr>
            <w:tcW w:w="998" w:type="dxa"/>
          </w:tcPr>
          <w:p>
            <w:pPr>
              <w:pStyle w:val="TableParagraph"/>
              <w:spacing w:line="243" w:lineRule="exact"/>
              <w:ind w:left="152" w:right="143"/>
              <w:jc w:val="center"/>
              <w:rPr>
                <w:sz w:val="20"/>
              </w:rPr>
            </w:pPr>
            <w:r>
              <w:rPr>
                <w:sz w:val="20"/>
              </w:rPr>
              <w:t>7%</w:t>
            </w:r>
          </w:p>
        </w:tc>
        <w:tc>
          <w:tcPr>
            <w:tcW w:w="998" w:type="dxa"/>
          </w:tcPr>
          <w:p>
            <w:pPr>
              <w:pStyle w:val="TableParagraph"/>
              <w:spacing w:line="243" w:lineRule="exact"/>
              <w:ind w:left="153" w:right="143"/>
              <w:jc w:val="center"/>
              <w:rPr>
                <w:sz w:val="20"/>
              </w:rPr>
            </w:pPr>
            <w:r>
              <w:rPr>
                <w:sz w:val="20"/>
              </w:rPr>
              <w:t>7%</w:t>
            </w:r>
          </w:p>
        </w:tc>
        <w:tc>
          <w:tcPr>
            <w:tcW w:w="998" w:type="dxa"/>
          </w:tcPr>
          <w:p>
            <w:pPr>
              <w:pStyle w:val="TableParagraph"/>
              <w:spacing w:line="243" w:lineRule="exact"/>
              <w:ind w:left="150" w:right="143"/>
              <w:jc w:val="center"/>
              <w:rPr>
                <w:sz w:val="20"/>
              </w:rPr>
            </w:pPr>
            <w:r>
              <w:rPr>
                <w:sz w:val="20"/>
              </w:rPr>
              <w:t>6%</w:t>
            </w:r>
          </w:p>
        </w:tc>
        <w:tc>
          <w:tcPr>
            <w:tcW w:w="995" w:type="dxa"/>
          </w:tcPr>
          <w:p>
            <w:pPr>
              <w:pStyle w:val="TableParagraph"/>
              <w:spacing w:line="243" w:lineRule="exact"/>
              <w:ind w:left="23" w:right="12"/>
              <w:jc w:val="center"/>
              <w:rPr>
                <w:sz w:val="20"/>
              </w:rPr>
            </w:pPr>
            <w:r>
              <w:rPr>
                <w:sz w:val="20"/>
              </w:rPr>
              <w:t>11%</w:t>
            </w:r>
          </w:p>
        </w:tc>
        <w:tc>
          <w:tcPr>
            <w:tcW w:w="998" w:type="dxa"/>
          </w:tcPr>
          <w:p>
            <w:pPr>
              <w:pStyle w:val="TableParagraph"/>
              <w:spacing w:line="243" w:lineRule="exact"/>
              <w:ind w:left="155" w:right="141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997" w:type="dxa"/>
          </w:tcPr>
          <w:p>
            <w:pPr>
              <w:pStyle w:val="TableParagraph"/>
              <w:spacing w:line="243" w:lineRule="exact"/>
              <w:ind w:left="156" w:right="139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997" w:type="dxa"/>
          </w:tcPr>
          <w:p>
            <w:pPr>
              <w:pStyle w:val="TableParagraph"/>
              <w:spacing w:line="243" w:lineRule="exact"/>
              <w:ind w:left="156" w:right="136"/>
              <w:jc w:val="center"/>
              <w:rPr>
                <w:sz w:val="20"/>
              </w:rPr>
            </w:pPr>
            <w:r>
              <w:rPr>
                <w:sz w:val="20"/>
              </w:rPr>
              <w:t>6%</w:t>
            </w:r>
          </w:p>
        </w:tc>
      </w:tr>
      <w:tr>
        <w:trPr>
          <w:trHeight w:val="299" w:hRule="atLeast"/>
        </w:trPr>
        <w:tc>
          <w:tcPr>
            <w:tcW w:w="1555" w:type="dxa"/>
          </w:tcPr>
          <w:p>
            <w:pPr>
              <w:pStyle w:val="TableParagraph"/>
              <w:spacing w:line="280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MEDIANA</w:t>
            </w:r>
          </w:p>
        </w:tc>
        <w:tc>
          <w:tcPr>
            <w:tcW w:w="804" w:type="dxa"/>
          </w:tcPr>
          <w:p>
            <w:pPr>
              <w:pStyle w:val="TableParagraph"/>
              <w:spacing w:before="1"/>
              <w:ind w:left="103" w:right="98"/>
              <w:jc w:val="center"/>
              <w:rPr>
                <w:sz w:val="20"/>
              </w:rPr>
            </w:pPr>
            <w:r>
              <w:rPr>
                <w:sz w:val="20"/>
              </w:rPr>
              <w:t>56%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ind w:left="326"/>
              <w:rPr>
                <w:sz w:val="20"/>
              </w:rPr>
            </w:pPr>
            <w:r>
              <w:rPr>
                <w:sz w:val="20"/>
              </w:rPr>
              <w:t>54%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ind w:left="153" w:right="143"/>
              <w:jc w:val="center"/>
              <w:rPr>
                <w:sz w:val="20"/>
              </w:rPr>
            </w:pPr>
            <w:r>
              <w:rPr>
                <w:sz w:val="20"/>
              </w:rPr>
              <w:t>55%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ind w:left="150" w:right="143"/>
              <w:jc w:val="center"/>
              <w:rPr>
                <w:sz w:val="20"/>
              </w:rPr>
            </w:pPr>
            <w:r>
              <w:rPr>
                <w:sz w:val="20"/>
              </w:rPr>
              <w:t>54%</w:t>
            </w:r>
          </w:p>
        </w:tc>
        <w:tc>
          <w:tcPr>
            <w:tcW w:w="995" w:type="dxa"/>
          </w:tcPr>
          <w:p>
            <w:pPr>
              <w:pStyle w:val="TableParagraph"/>
              <w:spacing w:before="1"/>
              <w:ind w:left="23" w:right="12"/>
              <w:jc w:val="center"/>
              <w:rPr>
                <w:sz w:val="20"/>
              </w:rPr>
            </w:pPr>
            <w:r>
              <w:rPr>
                <w:sz w:val="20"/>
              </w:rPr>
              <w:t>55%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ind w:left="155" w:right="141"/>
              <w:jc w:val="center"/>
              <w:rPr>
                <w:sz w:val="20"/>
              </w:rPr>
            </w:pPr>
            <w:r>
              <w:rPr>
                <w:sz w:val="20"/>
              </w:rPr>
              <w:t>53%</w:t>
            </w:r>
          </w:p>
        </w:tc>
        <w:tc>
          <w:tcPr>
            <w:tcW w:w="997" w:type="dxa"/>
          </w:tcPr>
          <w:p>
            <w:pPr>
              <w:pStyle w:val="TableParagraph"/>
              <w:spacing w:before="1"/>
              <w:ind w:left="156" w:right="139"/>
              <w:jc w:val="center"/>
              <w:rPr>
                <w:sz w:val="20"/>
              </w:rPr>
            </w:pPr>
            <w:r>
              <w:rPr>
                <w:sz w:val="20"/>
              </w:rPr>
              <w:t>51%</w:t>
            </w:r>
          </w:p>
        </w:tc>
        <w:tc>
          <w:tcPr>
            <w:tcW w:w="997" w:type="dxa"/>
          </w:tcPr>
          <w:p>
            <w:pPr>
              <w:pStyle w:val="TableParagraph"/>
              <w:spacing w:before="1"/>
              <w:ind w:left="156" w:right="136"/>
              <w:jc w:val="center"/>
              <w:rPr>
                <w:sz w:val="20"/>
              </w:rPr>
            </w:pPr>
            <w:r>
              <w:rPr>
                <w:sz w:val="20"/>
              </w:rPr>
              <w:t>53%</w:t>
            </w:r>
          </w:p>
        </w:tc>
      </w:tr>
      <w:tr>
        <w:trPr>
          <w:trHeight w:val="314" w:hRule="atLeast"/>
        </w:trPr>
        <w:tc>
          <w:tcPr>
            <w:tcW w:w="1555" w:type="dxa"/>
          </w:tcPr>
          <w:p>
            <w:pPr>
              <w:pStyle w:val="TableParagraph"/>
              <w:spacing w:line="292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MAXIMO</w:t>
            </w:r>
          </w:p>
        </w:tc>
        <w:tc>
          <w:tcPr>
            <w:tcW w:w="804" w:type="dxa"/>
          </w:tcPr>
          <w:p>
            <w:pPr>
              <w:pStyle w:val="TableParagraph"/>
              <w:spacing w:before="1"/>
              <w:ind w:left="106" w:right="98"/>
              <w:jc w:val="center"/>
              <w:rPr>
                <w:sz w:val="20"/>
              </w:rPr>
            </w:pPr>
            <w:r>
              <w:rPr>
                <w:sz w:val="20"/>
              </w:rPr>
              <w:t>1152%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1111%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ind w:left="151" w:right="143"/>
              <w:jc w:val="center"/>
              <w:rPr>
                <w:sz w:val="20"/>
              </w:rPr>
            </w:pPr>
            <w:r>
              <w:rPr>
                <w:sz w:val="20"/>
              </w:rPr>
              <w:t>1005%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ind w:left="150" w:right="143"/>
              <w:jc w:val="center"/>
              <w:rPr>
                <w:sz w:val="20"/>
              </w:rPr>
            </w:pPr>
            <w:r>
              <w:rPr>
                <w:sz w:val="20"/>
              </w:rPr>
              <w:t>972%</w:t>
            </w:r>
          </w:p>
        </w:tc>
        <w:tc>
          <w:tcPr>
            <w:tcW w:w="995" w:type="dxa"/>
          </w:tcPr>
          <w:p>
            <w:pPr>
              <w:pStyle w:val="TableParagraph"/>
              <w:spacing w:before="1"/>
              <w:ind w:left="20" w:right="12"/>
              <w:jc w:val="center"/>
              <w:rPr>
                <w:sz w:val="20"/>
              </w:rPr>
            </w:pPr>
            <w:r>
              <w:rPr>
                <w:sz w:val="20"/>
              </w:rPr>
              <w:t>23731%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ind w:left="155" w:right="143"/>
              <w:jc w:val="center"/>
              <w:rPr>
                <w:sz w:val="20"/>
              </w:rPr>
            </w:pPr>
            <w:r>
              <w:rPr>
                <w:sz w:val="20"/>
              </w:rPr>
              <w:t>23678%</w:t>
            </w:r>
          </w:p>
        </w:tc>
        <w:tc>
          <w:tcPr>
            <w:tcW w:w="997" w:type="dxa"/>
          </w:tcPr>
          <w:p>
            <w:pPr>
              <w:pStyle w:val="TableParagraph"/>
              <w:spacing w:before="1"/>
              <w:ind w:left="154" w:right="139"/>
              <w:jc w:val="center"/>
              <w:rPr>
                <w:sz w:val="20"/>
              </w:rPr>
            </w:pPr>
            <w:r>
              <w:rPr>
                <w:sz w:val="20"/>
              </w:rPr>
              <w:t>22518%</w:t>
            </w:r>
          </w:p>
        </w:tc>
        <w:tc>
          <w:tcPr>
            <w:tcW w:w="997" w:type="dxa"/>
          </w:tcPr>
          <w:p>
            <w:pPr>
              <w:pStyle w:val="TableParagraph"/>
              <w:spacing w:before="1"/>
              <w:ind w:left="156" w:right="138"/>
              <w:jc w:val="center"/>
              <w:rPr>
                <w:sz w:val="20"/>
              </w:rPr>
            </w:pPr>
            <w:r>
              <w:rPr>
                <w:sz w:val="20"/>
              </w:rPr>
              <w:t>25112%</w:t>
            </w:r>
          </w:p>
        </w:tc>
      </w:tr>
      <w:tr>
        <w:trPr>
          <w:trHeight w:val="316" w:hRule="atLeast"/>
        </w:trPr>
        <w:tc>
          <w:tcPr>
            <w:tcW w:w="1555" w:type="dxa"/>
          </w:tcPr>
          <w:p>
            <w:pPr>
              <w:pStyle w:val="TableParagraph"/>
              <w:spacing w:line="292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CV</w:t>
            </w:r>
          </w:p>
        </w:tc>
        <w:tc>
          <w:tcPr>
            <w:tcW w:w="804" w:type="dxa"/>
          </w:tcPr>
          <w:p>
            <w:pPr>
              <w:pStyle w:val="TableParagraph"/>
              <w:spacing w:before="1"/>
              <w:ind w:left="103" w:right="98"/>
              <w:jc w:val="center"/>
              <w:rPr>
                <w:sz w:val="20"/>
              </w:rPr>
            </w:pPr>
            <w:r>
              <w:rPr>
                <w:sz w:val="20"/>
              </w:rPr>
              <w:t>1%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ind w:left="152" w:right="143"/>
              <w:jc w:val="center"/>
              <w:rPr>
                <w:sz w:val="20"/>
              </w:rPr>
            </w:pPr>
            <w:r>
              <w:rPr>
                <w:sz w:val="20"/>
              </w:rPr>
              <w:t>1%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ind w:left="153" w:right="143"/>
              <w:jc w:val="center"/>
              <w:rPr>
                <w:sz w:val="20"/>
              </w:rPr>
            </w:pPr>
            <w:r>
              <w:rPr>
                <w:sz w:val="20"/>
              </w:rPr>
              <w:t>1%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ind w:left="150" w:right="143"/>
              <w:jc w:val="center"/>
              <w:rPr>
                <w:sz w:val="20"/>
              </w:rPr>
            </w:pPr>
            <w:r>
              <w:rPr>
                <w:sz w:val="20"/>
              </w:rPr>
              <w:t>1%</w:t>
            </w:r>
          </w:p>
        </w:tc>
        <w:tc>
          <w:tcPr>
            <w:tcW w:w="995" w:type="dxa"/>
          </w:tcPr>
          <w:p>
            <w:pPr>
              <w:pStyle w:val="TableParagraph"/>
              <w:spacing w:before="1"/>
              <w:ind w:left="23" w:right="12"/>
              <w:jc w:val="center"/>
              <w:rPr>
                <w:sz w:val="20"/>
              </w:rPr>
            </w:pPr>
            <w:r>
              <w:rPr>
                <w:sz w:val="20"/>
              </w:rPr>
              <w:t>7%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ind w:left="155" w:right="141"/>
              <w:jc w:val="center"/>
              <w:rPr>
                <w:sz w:val="20"/>
              </w:rPr>
            </w:pPr>
            <w:r>
              <w:rPr>
                <w:sz w:val="20"/>
              </w:rPr>
              <w:t>7%</w:t>
            </w:r>
          </w:p>
        </w:tc>
        <w:tc>
          <w:tcPr>
            <w:tcW w:w="997" w:type="dxa"/>
          </w:tcPr>
          <w:p>
            <w:pPr>
              <w:pStyle w:val="TableParagraph"/>
              <w:spacing w:before="1"/>
              <w:ind w:left="156" w:right="139"/>
              <w:jc w:val="center"/>
              <w:rPr>
                <w:sz w:val="20"/>
              </w:rPr>
            </w:pPr>
            <w:r>
              <w:rPr>
                <w:sz w:val="20"/>
              </w:rPr>
              <w:t>7%</w:t>
            </w:r>
          </w:p>
        </w:tc>
        <w:tc>
          <w:tcPr>
            <w:tcW w:w="997" w:type="dxa"/>
          </w:tcPr>
          <w:p>
            <w:pPr>
              <w:pStyle w:val="TableParagraph"/>
              <w:spacing w:before="1"/>
              <w:ind w:left="156" w:right="136"/>
              <w:jc w:val="center"/>
              <w:rPr>
                <w:sz w:val="20"/>
              </w:rPr>
            </w:pPr>
            <w:r>
              <w:rPr>
                <w:sz w:val="20"/>
              </w:rPr>
              <w:t>8%</w:t>
            </w:r>
          </w:p>
        </w:tc>
      </w:tr>
    </w:tbl>
    <w:p>
      <w:pPr>
        <w:spacing w:before="178"/>
        <w:ind w:left="42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Fuente:</w:t>
      </w:r>
      <w:r>
        <w:rPr>
          <w:rFonts w:ascii="Arial MT" w:hAnsi="Arial MT"/>
          <w:spacing w:val="-3"/>
          <w:sz w:val="16"/>
        </w:rPr>
        <w:t> </w:t>
      </w:r>
      <w:r>
        <w:rPr>
          <w:rFonts w:ascii="Arial MT" w:hAnsi="Arial MT"/>
          <w:sz w:val="16"/>
        </w:rPr>
        <w:t>Elaboración</w:t>
      </w:r>
      <w:r>
        <w:rPr>
          <w:rFonts w:ascii="Arial MT" w:hAnsi="Arial MT"/>
          <w:spacing w:val="-5"/>
          <w:sz w:val="16"/>
        </w:rPr>
        <w:t> </w:t>
      </w:r>
      <w:r>
        <w:rPr>
          <w:rFonts w:ascii="Arial MT" w:hAnsi="Arial MT"/>
          <w:sz w:val="16"/>
        </w:rPr>
        <w:t>Propia</w:t>
      </w:r>
      <w:r>
        <w:rPr>
          <w:rFonts w:ascii="Arial MT" w:hAnsi="Arial MT"/>
          <w:spacing w:val="-3"/>
          <w:sz w:val="16"/>
        </w:rPr>
        <w:t> </w:t>
      </w:r>
      <w:r>
        <w:rPr>
          <w:rFonts w:ascii="Arial MT" w:hAnsi="Arial MT"/>
          <w:sz w:val="16"/>
        </w:rPr>
        <w:t>con</w:t>
      </w:r>
      <w:r>
        <w:rPr>
          <w:rFonts w:ascii="Arial MT" w:hAnsi="Arial MT"/>
          <w:spacing w:val="-2"/>
          <w:sz w:val="16"/>
        </w:rPr>
        <w:t> </w:t>
      </w:r>
      <w:r>
        <w:rPr>
          <w:rFonts w:ascii="Arial MT" w:hAnsi="Arial MT"/>
          <w:sz w:val="16"/>
        </w:rPr>
        <w:t>base</w:t>
      </w:r>
      <w:r>
        <w:rPr>
          <w:rFonts w:ascii="Arial MT" w:hAnsi="Arial MT"/>
          <w:spacing w:val="-2"/>
          <w:sz w:val="16"/>
        </w:rPr>
        <w:t> </w:t>
      </w:r>
      <w:r>
        <w:rPr>
          <w:rFonts w:ascii="Arial MT" w:hAnsi="Arial MT"/>
          <w:sz w:val="16"/>
        </w:rPr>
        <w:t>en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Estimaciones basadas</w:t>
      </w:r>
      <w:r>
        <w:rPr>
          <w:rFonts w:ascii="Arial MT" w:hAnsi="Arial MT"/>
          <w:spacing w:val="-3"/>
          <w:sz w:val="16"/>
        </w:rPr>
        <w:t> </w:t>
      </w:r>
      <w:r>
        <w:rPr>
          <w:rFonts w:ascii="Arial MT" w:hAnsi="Arial MT"/>
          <w:sz w:val="16"/>
        </w:rPr>
        <w:t>en</w:t>
      </w:r>
      <w:r>
        <w:rPr>
          <w:rFonts w:ascii="Arial MT" w:hAnsi="Arial MT"/>
          <w:spacing w:val="-3"/>
          <w:sz w:val="16"/>
        </w:rPr>
        <w:t> </w:t>
      </w:r>
      <w:r>
        <w:rPr>
          <w:rFonts w:ascii="Arial MT" w:hAnsi="Arial MT"/>
          <w:sz w:val="16"/>
        </w:rPr>
        <w:t>datos del</w:t>
      </w:r>
      <w:r>
        <w:rPr>
          <w:rFonts w:ascii="Arial MT" w:hAnsi="Arial MT"/>
          <w:spacing w:val="-4"/>
          <w:sz w:val="16"/>
        </w:rPr>
        <w:t> </w:t>
      </w:r>
      <w:r>
        <w:rPr>
          <w:rFonts w:ascii="Arial MT" w:hAnsi="Arial MT"/>
          <w:sz w:val="16"/>
        </w:rPr>
        <w:t>MINEDUC.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1"/>
        </w:rPr>
      </w:pPr>
      <w:r>
        <w:rPr/>
        <w:pict>
          <v:rect style="position:absolute;margin-left:563.880005pt;margin-top:14.500788pt;width:25.44pt;height:1.4399pt;mso-position-horizontal-relative:page;mso-position-vertical-relative:paragraph;z-index:-1554944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ind w:right="211"/>
      </w:pPr>
      <w:r>
        <w:rPr/>
        <w:t>83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493440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26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spacing w:before="52"/>
        <w:ind w:left="278" w:right="1075" w:firstLine="0"/>
        <w:jc w:val="both"/>
        <w:rPr>
          <w:sz w:val="24"/>
        </w:rPr>
      </w:pPr>
      <w:r>
        <w:rPr>
          <w:sz w:val="24"/>
        </w:rPr>
        <w:t>Pese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lo</w:t>
      </w:r>
      <w:r>
        <w:rPr>
          <w:spacing w:val="-4"/>
          <w:sz w:val="24"/>
        </w:rPr>
        <w:t> </w:t>
      </w:r>
      <w:r>
        <w:rPr>
          <w:sz w:val="24"/>
        </w:rPr>
        <w:t>anterior,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dispersión</w:t>
      </w:r>
      <w:r>
        <w:rPr>
          <w:spacing w:val="-6"/>
          <w:sz w:val="24"/>
        </w:rPr>
        <w:t> </w:t>
      </w:r>
      <w:r>
        <w:rPr>
          <w:sz w:val="24"/>
        </w:rPr>
        <w:t>puede</w:t>
      </w:r>
      <w:r>
        <w:rPr>
          <w:spacing w:val="-7"/>
          <w:sz w:val="24"/>
        </w:rPr>
        <w:t> </w:t>
      </w:r>
      <w:r>
        <w:rPr>
          <w:sz w:val="24"/>
        </w:rPr>
        <w:t>observarse</w:t>
      </w:r>
      <w:r>
        <w:rPr>
          <w:spacing w:val="-7"/>
          <w:sz w:val="24"/>
        </w:rPr>
        <w:t> </w:t>
      </w:r>
      <w:r>
        <w:rPr>
          <w:sz w:val="24"/>
        </w:rPr>
        <w:t>mejor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7"/>
          <w:sz w:val="24"/>
        </w:rPr>
        <w:t> </w:t>
      </w:r>
      <w:r>
        <w:rPr>
          <w:sz w:val="24"/>
        </w:rPr>
        <w:t>datos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mapas</w:t>
      </w:r>
      <w:r>
        <w:rPr>
          <w:spacing w:val="-5"/>
          <w:sz w:val="24"/>
        </w:rPr>
        <w:t> </w:t>
      </w:r>
      <w:r>
        <w:rPr>
          <w:sz w:val="24"/>
        </w:rPr>
        <w:t>siguientes,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52"/>
          <w:sz w:val="24"/>
        </w:rPr>
        <w:t> </w:t>
      </w:r>
      <w:r>
        <w:rPr>
          <w:sz w:val="24"/>
        </w:rPr>
        <w:t>datos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municipio</w:t>
      </w:r>
      <w:r>
        <w:rPr>
          <w:spacing w:val="-1"/>
          <w:sz w:val="24"/>
        </w:rPr>
        <w:t> </w:t>
      </w:r>
      <w:r>
        <w:rPr>
          <w:sz w:val="24"/>
        </w:rPr>
        <w:t>aparecen</w:t>
      </w:r>
      <w:r>
        <w:rPr>
          <w:spacing w:val="1"/>
          <w:sz w:val="24"/>
        </w:rPr>
        <w:t> </w:t>
      </w:r>
      <w:r>
        <w:rPr>
          <w:sz w:val="24"/>
        </w:rPr>
        <w:t>en la</w:t>
      </w:r>
      <w:r>
        <w:rPr>
          <w:spacing w:val="-2"/>
          <w:sz w:val="24"/>
        </w:rPr>
        <w:t> </w:t>
      </w:r>
      <w:r>
        <w:rPr>
          <w:sz w:val="24"/>
        </w:rPr>
        <w:t>hoja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3"/>
          <w:sz w:val="24"/>
        </w:rPr>
        <w:t> </w:t>
      </w:r>
      <w:r>
        <w:rPr>
          <w:sz w:val="24"/>
        </w:rPr>
        <w:t>Anexo: SEN -</w:t>
      </w:r>
      <w:r>
        <w:rPr>
          <w:spacing w:val="-1"/>
          <w:sz w:val="24"/>
        </w:rPr>
        <w:t> </w:t>
      </w:r>
      <w:r>
        <w:rPr>
          <w:sz w:val="24"/>
        </w:rPr>
        <w:t>Datos sobre cobertura.</w:t>
      </w:r>
    </w:p>
    <w:p>
      <w:pPr>
        <w:pStyle w:val="BodyText"/>
        <w:spacing w:before="1"/>
        <w:rPr>
          <w:sz w:val="24"/>
        </w:rPr>
      </w:pPr>
    </w:p>
    <w:p>
      <w:pPr>
        <w:spacing w:before="1"/>
        <w:ind w:left="278" w:right="0" w:firstLine="0"/>
        <w:jc w:val="both"/>
        <w:rPr>
          <w:sz w:val="20"/>
        </w:rPr>
      </w:pPr>
      <w:r>
        <w:rPr>
          <w:b/>
          <w:sz w:val="20"/>
        </w:rPr>
        <w:t>Ilustración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9:</w:t>
      </w:r>
      <w:r>
        <w:rPr>
          <w:b/>
          <w:spacing w:val="-1"/>
          <w:sz w:val="20"/>
        </w:rPr>
        <w:t> </w:t>
      </w:r>
      <w:r>
        <w:rPr>
          <w:sz w:val="20"/>
        </w:rPr>
        <w:t>Tasas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cobertura</w:t>
      </w:r>
      <w:r>
        <w:rPr>
          <w:spacing w:val="-2"/>
          <w:sz w:val="20"/>
        </w:rPr>
        <w:t> </w:t>
      </w:r>
      <w:r>
        <w:rPr>
          <w:sz w:val="20"/>
        </w:rPr>
        <w:t>bruta</w:t>
      </w:r>
      <w:r>
        <w:rPr>
          <w:spacing w:val="-1"/>
          <w:sz w:val="20"/>
        </w:rPr>
        <w:t> </w:t>
      </w:r>
      <w:r>
        <w:rPr>
          <w:sz w:val="20"/>
        </w:rPr>
        <w:t>departamental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4"/>
          <w:sz w:val="20"/>
        </w:rPr>
        <w:t> </w:t>
      </w:r>
      <w:r>
        <w:rPr>
          <w:sz w:val="20"/>
        </w:rPr>
        <w:t>área</w:t>
      </w:r>
      <w:r>
        <w:rPr>
          <w:spacing w:val="-1"/>
          <w:sz w:val="20"/>
        </w:rPr>
        <w:t> </w:t>
      </w:r>
      <w:r>
        <w:rPr>
          <w:sz w:val="20"/>
        </w:rPr>
        <w:t>urbana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4"/>
          <w:sz w:val="20"/>
        </w:rPr>
        <w:t> </w:t>
      </w:r>
      <w:r>
        <w:rPr>
          <w:sz w:val="20"/>
        </w:rPr>
        <w:t>rural.</w:t>
      </w:r>
      <w:r>
        <w:rPr>
          <w:spacing w:val="-1"/>
          <w:sz w:val="20"/>
        </w:rPr>
        <w:t> </w:t>
      </w:r>
      <w:r>
        <w:rPr>
          <w:sz w:val="20"/>
        </w:rPr>
        <w:t>2021.</w:t>
      </w:r>
    </w:p>
    <w:p>
      <w:pPr>
        <w:tabs>
          <w:tab w:pos="5235" w:val="left" w:leader="none"/>
        </w:tabs>
        <w:spacing w:line="240" w:lineRule="auto"/>
        <w:ind w:left="278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2434867" cy="2596705"/>
            <wp:effectExtent l="0" t="0" r="0" b="0"/>
            <wp:docPr id="271" name="image86.png" descr="Un dibujo de una persona  Descripción generada automáticamente con confianza baj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867" cy="259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2259784" cy="2530602"/>
            <wp:effectExtent l="0" t="0" r="0" b="0"/>
            <wp:docPr id="273" name="image87.png" descr="Una caricatura de una persona  Descripción generada automáticamente con confianza baj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784" cy="253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0"/>
        <w:ind w:left="278" w:right="0" w:firstLine="0"/>
        <w:jc w:val="both"/>
        <w:rPr>
          <w:sz w:val="18"/>
        </w:rPr>
      </w:pPr>
      <w:r>
        <w:rPr>
          <w:sz w:val="18"/>
        </w:rPr>
        <w:t>Fuente:</w:t>
      </w:r>
      <w:r>
        <w:rPr>
          <w:spacing w:val="37"/>
          <w:sz w:val="18"/>
        </w:rPr>
        <w:t> </w:t>
      </w:r>
      <w:r>
        <w:rPr>
          <w:sz w:val="18"/>
        </w:rPr>
        <w:t>Elaboración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2"/>
          <w:sz w:val="18"/>
        </w:rPr>
        <w:t> </w:t>
      </w:r>
      <w:r>
        <w:rPr>
          <w:sz w:val="18"/>
        </w:rPr>
        <w:t>a partir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los datos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1"/>
          <w:sz w:val="18"/>
        </w:rPr>
        <w:t> </w:t>
      </w:r>
      <w:r>
        <w:rPr>
          <w:sz w:val="18"/>
        </w:rPr>
        <w:t>Anexo:</w:t>
      </w:r>
      <w:r>
        <w:rPr>
          <w:spacing w:val="-1"/>
          <w:sz w:val="18"/>
        </w:rPr>
        <w:t> </w:t>
      </w:r>
      <w:r>
        <w:rPr>
          <w:sz w:val="18"/>
        </w:rPr>
        <w:t>SEN</w:t>
      </w:r>
      <w:r>
        <w:rPr>
          <w:spacing w:val="-2"/>
          <w:sz w:val="18"/>
        </w:rPr>
        <w:t> </w:t>
      </w:r>
      <w:r>
        <w:rPr>
          <w:sz w:val="18"/>
        </w:rPr>
        <w:t>- Datos</w:t>
      </w:r>
      <w:r>
        <w:rPr>
          <w:spacing w:val="-2"/>
          <w:sz w:val="18"/>
        </w:rPr>
        <w:t> </w:t>
      </w:r>
      <w:r>
        <w:rPr>
          <w:sz w:val="18"/>
        </w:rPr>
        <w:t>sobre</w:t>
      </w:r>
      <w:r>
        <w:rPr>
          <w:spacing w:val="-4"/>
          <w:sz w:val="18"/>
        </w:rPr>
        <w:t> </w:t>
      </w:r>
      <w:r>
        <w:rPr>
          <w:sz w:val="18"/>
        </w:rPr>
        <w:t>cobertura,</w:t>
      </w:r>
      <w:r>
        <w:rPr>
          <w:spacing w:val="-2"/>
          <w:sz w:val="18"/>
        </w:rPr>
        <w:t> </w:t>
      </w:r>
      <w:r>
        <w:rPr>
          <w:sz w:val="18"/>
        </w:rPr>
        <w:t>tabla</w:t>
      </w:r>
      <w:r>
        <w:rPr>
          <w:spacing w:val="-2"/>
          <w:sz w:val="18"/>
        </w:rPr>
        <w:t> </w:t>
      </w:r>
      <w:r>
        <w:rPr>
          <w:sz w:val="18"/>
        </w:rPr>
        <w:t>2.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7"/>
        </w:numPr>
        <w:tabs>
          <w:tab w:pos="639" w:val="left" w:leader="none"/>
        </w:tabs>
        <w:spacing w:line="240" w:lineRule="auto" w:before="0" w:after="0"/>
        <w:ind w:left="638" w:right="0" w:hanging="361"/>
        <w:jc w:val="left"/>
        <w:rPr>
          <w:b/>
          <w:sz w:val="24"/>
        </w:rPr>
      </w:pPr>
      <w:bookmarkStart w:name="_bookmark108" w:id="149"/>
      <w:bookmarkEnd w:id="149"/>
      <w:r>
        <w:rPr/>
      </w:r>
      <w:bookmarkStart w:name="_bookmark108" w:id="150"/>
      <w:bookmarkEnd w:id="150"/>
      <w:r>
        <w:rPr>
          <w:b/>
          <w:color w:val="1F4E79"/>
          <w:sz w:val="24"/>
        </w:rPr>
        <w:t>D</w:t>
      </w:r>
      <w:r>
        <w:rPr>
          <w:b/>
          <w:color w:val="1F4E79"/>
          <w:sz w:val="24"/>
        </w:rPr>
        <w:t>atos</w:t>
      </w:r>
      <w:r>
        <w:rPr>
          <w:b/>
          <w:color w:val="1F4E79"/>
          <w:spacing w:val="-2"/>
          <w:sz w:val="24"/>
        </w:rPr>
        <w:t> </w:t>
      </w:r>
      <w:r>
        <w:rPr>
          <w:b/>
          <w:color w:val="1F4E79"/>
          <w:sz w:val="24"/>
        </w:rPr>
        <w:t>y</w:t>
      </w:r>
      <w:r>
        <w:rPr>
          <w:b/>
          <w:color w:val="1F4E79"/>
          <w:spacing w:val="-3"/>
          <w:sz w:val="24"/>
        </w:rPr>
        <w:t> </w:t>
      </w:r>
      <w:r>
        <w:rPr>
          <w:b/>
          <w:color w:val="1F4E79"/>
          <w:sz w:val="24"/>
        </w:rPr>
        <w:t>situación</w:t>
      </w:r>
      <w:r>
        <w:rPr>
          <w:b/>
          <w:color w:val="1F4E79"/>
          <w:spacing w:val="-1"/>
          <w:sz w:val="24"/>
        </w:rPr>
        <w:t> </w:t>
      </w:r>
      <w:r>
        <w:rPr>
          <w:b/>
          <w:color w:val="1F4E79"/>
          <w:sz w:val="24"/>
        </w:rPr>
        <w:t>para</w:t>
      </w:r>
      <w:r>
        <w:rPr>
          <w:b/>
          <w:color w:val="1F4E79"/>
          <w:spacing w:val="-5"/>
          <w:sz w:val="24"/>
        </w:rPr>
        <w:t> </w:t>
      </w:r>
      <w:r>
        <w:rPr>
          <w:b/>
          <w:color w:val="1F4E79"/>
          <w:sz w:val="24"/>
        </w:rPr>
        <w:t>la</w:t>
      </w:r>
      <w:r>
        <w:rPr>
          <w:b/>
          <w:color w:val="1F4E79"/>
          <w:spacing w:val="-4"/>
          <w:sz w:val="24"/>
        </w:rPr>
        <w:t> </w:t>
      </w:r>
      <w:r>
        <w:rPr>
          <w:b/>
          <w:color w:val="1F4E79"/>
          <w:sz w:val="24"/>
        </w:rPr>
        <w:t>cobertura</w:t>
      </w:r>
      <w:r>
        <w:rPr>
          <w:b/>
          <w:color w:val="1F4E79"/>
          <w:spacing w:val="-5"/>
          <w:sz w:val="24"/>
        </w:rPr>
        <w:t> </w:t>
      </w:r>
      <w:r>
        <w:rPr>
          <w:b/>
          <w:color w:val="1F4E79"/>
          <w:sz w:val="24"/>
        </w:rPr>
        <w:t>por</w:t>
      </w:r>
      <w:r>
        <w:rPr>
          <w:b/>
          <w:color w:val="1F4E79"/>
          <w:spacing w:val="-2"/>
          <w:sz w:val="24"/>
        </w:rPr>
        <w:t> </w:t>
      </w:r>
      <w:r>
        <w:rPr>
          <w:b/>
          <w:color w:val="1F4E79"/>
          <w:sz w:val="24"/>
        </w:rPr>
        <w:t>edad</w:t>
      </w:r>
      <w:r>
        <w:rPr>
          <w:b/>
          <w:color w:val="1F4E79"/>
          <w:spacing w:val="-1"/>
          <w:sz w:val="24"/>
        </w:rPr>
        <w:t> </w:t>
      </w:r>
      <w:r>
        <w:rPr>
          <w:b/>
          <w:color w:val="1F4E79"/>
          <w:sz w:val="24"/>
        </w:rPr>
        <w:t>y</w:t>
      </w:r>
      <w:r>
        <w:rPr>
          <w:b/>
          <w:color w:val="1F4E79"/>
          <w:spacing w:val="-2"/>
          <w:sz w:val="24"/>
        </w:rPr>
        <w:t> </w:t>
      </w:r>
      <w:r>
        <w:rPr>
          <w:b/>
          <w:color w:val="1F4E79"/>
          <w:sz w:val="24"/>
        </w:rPr>
        <w:t>sector</w:t>
      </w:r>
    </w:p>
    <w:p>
      <w:pPr>
        <w:pStyle w:val="BodyText"/>
        <w:spacing w:before="6"/>
        <w:rPr>
          <w:b/>
          <w:sz w:val="29"/>
        </w:rPr>
      </w:pPr>
    </w:p>
    <w:p>
      <w:pPr>
        <w:spacing w:before="1"/>
        <w:ind w:left="278" w:right="1077" w:firstLine="0"/>
        <w:jc w:val="both"/>
        <w:rPr>
          <w:sz w:val="24"/>
        </w:rPr>
      </w:pPr>
      <w:r>
        <w:rPr>
          <w:sz w:val="24"/>
        </w:rPr>
        <w:t>Para este apartado se llevaron a cabo las reuniones y coordinaciones necesarias, detectándose</w:t>
      </w:r>
      <w:r>
        <w:rPr>
          <w:spacing w:val="1"/>
          <w:sz w:val="24"/>
        </w:rPr>
        <w:t> </w:t>
      </w:r>
      <w:r>
        <w:rPr>
          <w:sz w:val="24"/>
        </w:rPr>
        <w:t>no se tienen datos para construir indicadores de cobertura; en algunos casos no se tienen datos</w:t>
      </w:r>
      <w:r>
        <w:rPr>
          <w:spacing w:val="1"/>
          <w:sz w:val="24"/>
        </w:rPr>
        <w:t> </w:t>
      </w:r>
      <w:r>
        <w:rPr>
          <w:sz w:val="24"/>
        </w:rPr>
        <w:t>desagregados</w:t>
      </w:r>
      <w:r>
        <w:rPr>
          <w:spacing w:val="-1"/>
          <w:sz w:val="24"/>
        </w:rPr>
        <w:t> </w:t>
      </w:r>
      <w:r>
        <w:rPr>
          <w:sz w:val="24"/>
        </w:rPr>
        <w:t>por etnia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sexo</w:t>
      </w:r>
      <w:r>
        <w:rPr>
          <w:spacing w:val="-1"/>
          <w:sz w:val="24"/>
        </w:rPr>
        <w:t> </w:t>
      </w:r>
      <w:r>
        <w:rPr>
          <w:sz w:val="24"/>
        </w:rPr>
        <w:t>por sector</w:t>
      </w:r>
      <w:r>
        <w:rPr>
          <w:spacing w:val="-1"/>
          <w:sz w:val="24"/>
        </w:rPr>
        <w:t> </w:t>
      </w:r>
      <w:r>
        <w:rPr>
          <w:sz w:val="24"/>
        </w:rPr>
        <w:t>lo que</w:t>
      </w:r>
      <w:r>
        <w:rPr>
          <w:spacing w:val="-2"/>
          <w:sz w:val="24"/>
        </w:rPr>
        <w:t> </w:t>
      </w:r>
      <w:r>
        <w:rPr>
          <w:sz w:val="24"/>
        </w:rPr>
        <w:t>torna</w:t>
      </w:r>
      <w:r>
        <w:rPr>
          <w:spacing w:val="-2"/>
          <w:sz w:val="24"/>
        </w:rPr>
        <w:t> </w:t>
      </w:r>
      <w:r>
        <w:rPr>
          <w:sz w:val="24"/>
        </w:rPr>
        <w:t>imposible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5"/>
          <w:sz w:val="24"/>
        </w:rPr>
        <w:t> </w:t>
      </w:r>
      <w:r>
        <w:rPr>
          <w:sz w:val="24"/>
        </w:rPr>
        <w:t>análisis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brechas.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numPr>
          <w:ilvl w:val="0"/>
          <w:numId w:val="7"/>
        </w:numPr>
        <w:tabs>
          <w:tab w:pos="639" w:val="left" w:leader="none"/>
        </w:tabs>
        <w:spacing w:line="240" w:lineRule="auto" w:before="0" w:after="0"/>
        <w:ind w:left="638" w:right="0" w:hanging="361"/>
        <w:jc w:val="left"/>
      </w:pPr>
      <w:bookmarkStart w:name="_bookmark109" w:id="151"/>
      <w:bookmarkEnd w:id="151"/>
      <w:r>
        <w:rPr>
          <w:b w:val="0"/>
        </w:rPr>
      </w:r>
      <w:bookmarkStart w:name="_bookmark109" w:id="152"/>
      <w:bookmarkEnd w:id="152"/>
      <w:r>
        <w:rPr>
          <w:color w:val="1F4E79"/>
        </w:rPr>
        <w:t>P</w:t>
      </w:r>
      <w:r>
        <w:rPr>
          <w:color w:val="1F4E79"/>
        </w:rPr>
        <w:t>roblemáticas</w:t>
      </w:r>
      <w:r>
        <w:rPr>
          <w:color w:val="1F4E79"/>
          <w:spacing w:val="-6"/>
        </w:rPr>
        <w:t> </w:t>
      </w:r>
      <w:r>
        <w:rPr>
          <w:color w:val="1F4E79"/>
        </w:rPr>
        <w:t>detectadas</w:t>
      </w:r>
      <w:r>
        <w:rPr>
          <w:color w:val="1F4E79"/>
          <w:spacing w:val="-3"/>
        </w:rPr>
        <w:t> </w:t>
      </w:r>
      <w:r>
        <w:rPr>
          <w:color w:val="1F4E79"/>
        </w:rPr>
        <w:t>por</w:t>
      </w:r>
      <w:r>
        <w:rPr>
          <w:color w:val="1F4E79"/>
          <w:spacing w:val="-3"/>
        </w:rPr>
        <w:t> </w:t>
      </w:r>
      <w:r>
        <w:rPr>
          <w:color w:val="1F4E79"/>
        </w:rPr>
        <w:t>Covid</w:t>
      </w:r>
      <w:r>
        <w:rPr>
          <w:color w:val="1F4E79"/>
          <w:spacing w:val="-4"/>
        </w:rPr>
        <w:t> </w:t>
      </w:r>
      <w:r>
        <w:rPr>
          <w:color w:val="1F4E79"/>
        </w:rPr>
        <w:t>19</w:t>
      </w:r>
      <w:r>
        <w:rPr>
          <w:color w:val="1F4E79"/>
          <w:spacing w:val="-4"/>
        </w:rPr>
        <w:t> </w:t>
      </w:r>
      <w:r>
        <w:rPr>
          <w:color w:val="1F4E79"/>
        </w:rPr>
        <w:t>y</w:t>
      </w:r>
      <w:r>
        <w:rPr>
          <w:color w:val="1F4E79"/>
          <w:spacing w:val="-4"/>
        </w:rPr>
        <w:t> </w:t>
      </w:r>
      <w:r>
        <w:rPr>
          <w:color w:val="1F4E79"/>
        </w:rPr>
        <w:t>eventos</w:t>
      </w:r>
      <w:r>
        <w:rPr>
          <w:color w:val="1F4E79"/>
          <w:spacing w:val="-3"/>
        </w:rPr>
        <w:t> </w:t>
      </w:r>
      <w:r>
        <w:rPr>
          <w:color w:val="1F4E79"/>
        </w:rPr>
        <w:t>naturales</w:t>
      </w:r>
      <w:r>
        <w:rPr>
          <w:color w:val="1F4E79"/>
          <w:spacing w:val="-3"/>
        </w:rPr>
        <w:t> </w:t>
      </w:r>
      <w:r>
        <w:rPr>
          <w:color w:val="1F4E79"/>
        </w:rPr>
        <w:t>y</w:t>
      </w:r>
      <w:r>
        <w:rPr>
          <w:color w:val="1F4E79"/>
          <w:spacing w:val="-4"/>
        </w:rPr>
        <w:t> </w:t>
      </w:r>
      <w:r>
        <w:rPr>
          <w:color w:val="1F4E79"/>
        </w:rPr>
        <w:t>antropogénicos</w:t>
      </w:r>
    </w:p>
    <w:p>
      <w:pPr>
        <w:pStyle w:val="BodyText"/>
        <w:spacing w:before="6"/>
        <w:rPr>
          <w:b/>
          <w:sz w:val="29"/>
        </w:rPr>
      </w:pPr>
    </w:p>
    <w:p>
      <w:pPr>
        <w:spacing w:line="240" w:lineRule="auto" w:before="0"/>
        <w:ind w:left="278" w:right="1074" w:firstLine="0"/>
        <w:jc w:val="both"/>
        <w:rPr>
          <w:sz w:val="24"/>
        </w:rPr>
      </w:pPr>
      <w:r>
        <w:rPr>
          <w:sz w:val="24"/>
        </w:rPr>
        <w:t>En el caso de las tormentas ETA/IOTA, se pudo evidenciar que fueron afectados principalmente</w:t>
      </w:r>
      <w:r>
        <w:rPr>
          <w:spacing w:val="1"/>
          <w:sz w:val="24"/>
        </w:rPr>
        <w:t> </w:t>
      </w:r>
      <w:r>
        <w:rPr>
          <w:sz w:val="24"/>
        </w:rPr>
        <w:t>municipios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departamentos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Quiché,</w:t>
      </w:r>
      <w:r>
        <w:rPr>
          <w:spacing w:val="1"/>
          <w:sz w:val="24"/>
        </w:rPr>
        <w:t> </w:t>
      </w:r>
      <w:r>
        <w:rPr>
          <w:sz w:val="24"/>
        </w:rPr>
        <w:t>Alta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Baja</w:t>
      </w:r>
      <w:r>
        <w:rPr>
          <w:spacing w:val="1"/>
          <w:sz w:val="24"/>
        </w:rPr>
        <w:t> </w:t>
      </w:r>
      <w:r>
        <w:rPr>
          <w:sz w:val="24"/>
        </w:rPr>
        <w:t>Verapaz,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Progreso,</w:t>
      </w:r>
      <w:r>
        <w:rPr>
          <w:spacing w:val="1"/>
          <w:sz w:val="24"/>
        </w:rPr>
        <w:t> </w:t>
      </w:r>
      <w:r>
        <w:rPr>
          <w:sz w:val="24"/>
        </w:rPr>
        <w:t>Zacapa,</w:t>
      </w:r>
      <w:r>
        <w:rPr>
          <w:spacing w:val="1"/>
          <w:sz w:val="24"/>
        </w:rPr>
        <w:t> </w:t>
      </w:r>
      <w:r>
        <w:rPr>
          <w:sz w:val="24"/>
        </w:rPr>
        <w:t>Huehuetenango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Chiquimula.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departamento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Alta</w:t>
      </w:r>
      <w:r>
        <w:rPr>
          <w:spacing w:val="-5"/>
          <w:sz w:val="24"/>
        </w:rPr>
        <w:t> </w:t>
      </w:r>
      <w:r>
        <w:rPr>
          <w:sz w:val="24"/>
        </w:rPr>
        <w:t>Verapaz,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municipios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Senahú</w:t>
      </w:r>
      <w:r>
        <w:rPr>
          <w:spacing w:val="-52"/>
          <w:sz w:val="24"/>
        </w:rPr>
        <w:t> </w:t>
      </w:r>
      <w:r>
        <w:rPr>
          <w:sz w:val="24"/>
        </w:rPr>
        <w:t>y Carcha la cobertura bruta disminuyo 4% y 3% en 2021 respecto a su valor de 2019. La brecha</w:t>
      </w:r>
      <w:r>
        <w:rPr>
          <w:spacing w:val="1"/>
          <w:sz w:val="24"/>
        </w:rPr>
        <w:t> </w:t>
      </w:r>
      <w:r>
        <w:rPr>
          <w:sz w:val="24"/>
        </w:rPr>
        <w:t>educativa</w:t>
      </w:r>
      <w:r>
        <w:rPr>
          <w:spacing w:val="-1"/>
          <w:sz w:val="24"/>
        </w:rPr>
        <w:t> </w:t>
      </w:r>
      <w:r>
        <w:rPr>
          <w:sz w:val="24"/>
        </w:rPr>
        <w:t>posiblemente</w:t>
      </w:r>
      <w:r>
        <w:rPr>
          <w:spacing w:val="-1"/>
          <w:sz w:val="24"/>
        </w:rPr>
        <w:t> </w:t>
      </w:r>
      <w:r>
        <w:rPr>
          <w:sz w:val="24"/>
        </w:rPr>
        <w:t>se agravó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daños</w:t>
      </w:r>
      <w:r>
        <w:rPr>
          <w:spacing w:val="-2"/>
          <w:sz w:val="24"/>
        </w:rPr>
        <w:t> </w:t>
      </w:r>
      <w:r>
        <w:rPr>
          <w:sz w:val="24"/>
        </w:rPr>
        <w:t>a la</w:t>
      </w:r>
      <w:r>
        <w:rPr>
          <w:spacing w:val="1"/>
          <w:sz w:val="24"/>
        </w:rPr>
        <w:t> </w:t>
      </w:r>
      <w:r>
        <w:rPr>
          <w:sz w:val="24"/>
        </w:rPr>
        <w:t>infraestructura.</w:t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278" w:right="1073" w:firstLine="55"/>
        <w:jc w:val="both"/>
        <w:rPr>
          <w:sz w:val="24"/>
        </w:rPr>
      </w:pPr>
      <w:r>
        <w:rPr>
          <w:sz w:val="24"/>
        </w:rPr>
        <w:t>A nivel general, los municipios afectados por ETA-IOTA mostraron un deterioro entre 2020 y</w:t>
      </w:r>
      <w:r>
        <w:rPr>
          <w:spacing w:val="1"/>
          <w:sz w:val="24"/>
        </w:rPr>
        <w:t> </w:t>
      </w:r>
      <w:r>
        <w:rPr>
          <w:sz w:val="24"/>
        </w:rPr>
        <w:t>2021, especialmente en los ciclos iniciales como preprimaria y primaria. La misma tendencia se</w:t>
      </w:r>
      <w:r>
        <w:rPr>
          <w:spacing w:val="1"/>
          <w:sz w:val="24"/>
        </w:rPr>
        <w:t> </w:t>
      </w:r>
      <w:r>
        <w:rPr>
          <w:sz w:val="24"/>
        </w:rPr>
        <w:t>pudo observar en los ciclos secundarios donde a nivel de diversificado la brecha aumento en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promedio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10.5%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respecto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2020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nivel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4"/>
          <w:sz w:val="24"/>
        </w:rPr>
        <w:t> </w:t>
      </w:r>
      <w:r>
        <w:rPr>
          <w:sz w:val="24"/>
        </w:rPr>
        <w:t>tasa</w:t>
      </w:r>
      <w:r>
        <w:rPr>
          <w:spacing w:val="-14"/>
          <w:sz w:val="24"/>
        </w:rPr>
        <w:t> </w:t>
      </w:r>
      <w:r>
        <w:rPr>
          <w:sz w:val="24"/>
        </w:rPr>
        <w:t>bruta,</w:t>
      </w:r>
      <w:r>
        <w:rPr>
          <w:spacing w:val="-11"/>
          <w:sz w:val="24"/>
        </w:rPr>
        <w:t> </w:t>
      </w:r>
      <w:r>
        <w:rPr>
          <w:sz w:val="24"/>
        </w:rPr>
        <w:t>con</w:t>
      </w:r>
      <w:r>
        <w:rPr>
          <w:spacing w:val="-11"/>
          <w:sz w:val="24"/>
        </w:rPr>
        <w:t> </w:t>
      </w:r>
      <w:r>
        <w:rPr>
          <w:sz w:val="24"/>
        </w:rPr>
        <w:t>el</w:t>
      </w:r>
      <w:r>
        <w:rPr>
          <w:spacing w:val="-9"/>
          <w:sz w:val="24"/>
        </w:rPr>
        <w:t> </w:t>
      </w:r>
      <w:r>
        <w:rPr>
          <w:sz w:val="24"/>
        </w:rPr>
        <w:t>ciclo</w:t>
      </w:r>
      <w:r>
        <w:rPr>
          <w:spacing w:val="-13"/>
          <w:sz w:val="24"/>
        </w:rPr>
        <w:t> </w:t>
      </w:r>
      <w:r>
        <w:rPr>
          <w:sz w:val="24"/>
        </w:rPr>
        <w:t>básico</w:t>
      </w:r>
      <w:r>
        <w:rPr>
          <w:spacing w:val="-13"/>
          <w:sz w:val="24"/>
        </w:rPr>
        <w:t> </w:t>
      </w:r>
      <w:r>
        <w:rPr>
          <w:sz w:val="24"/>
        </w:rPr>
        <w:t>quedando</w:t>
      </w:r>
      <w:r>
        <w:rPr>
          <w:spacing w:val="-11"/>
          <w:sz w:val="24"/>
        </w:rPr>
        <w:t> </w:t>
      </w:r>
      <w:r>
        <w:rPr>
          <w:sz w:val="24"/>
        </w:rPr>
        <w:t>en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misma</w:t>
      </w:r>
      <w:r>
        <w:rPr>
          <w:spacing w:val="-51"/>
          <w:sz w:val="24"/>
        </w:rPr>
        <w:t> </w:t>
      </w:r>
      <w:r>
        <w:rPr>
          <w:sz w:val="24"/>
        </w:rPr>
        <w:t>tasa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cobertura.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pict>
          <v:rect style="position:absolute;margin-left:563.880005pt;margin-top:9.727360pt;width:25.44pt;height:1.4399pt;mso-position-horizontal-relative:page;mso-position-vertical-relative:paragraph;z-index:-1554790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ind w:right="211"/>
      </w:pPr>
      <w:r>
        <w:rPr/>
        <w:t>84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49497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27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spacing w:before="57"/>
        <w:ind w:left="278" w:right="0" w:firstLine="0"/>
        <w:jc w:val="both"/>
        <w:rPr>
          <w:b/>
          <w:sz w:val="18"/>
        </w:rPr>
      </w:pPr>
      <w:r>
        <w:rPr>
          <w:b/>
          <w:sz w:val="22"/>
        </w:rPr>
        <w:t>Cuadro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6:</w:t>
      </w:r>
      <w:r>
        <w:rPr>
          <w:b/>
          <w:spacing w:val="-4"/>
          <w:sz w:val="22"/>
        </w:rPr>
        <w:t> </w:t>
      </w:r>
      <w:r>
        <w:rPr>
          <w:b/>
          <w:sz w:val="18"/>
        </w:rPr>
        <w:t>Estadísticas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Descriptivas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Por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Ciclo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Municipios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Afectados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por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ETA-IOTA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2020-2021.</w:t>
      </w:r>
    </w:p>
    <w:tbl>
      <w:tblPr>
        <w:tblW w:w="0" w:type="auto"/>
        <w:jc w:val="left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2"/>
        <w:gridCol w:w="629"/>
        <w:gridCol w:w="632"/>
        <w:gridCol w:w="828"/>
        <w:gridCol w:w="629"/>
        <w:gridCol w:w="631"/>
        <w:gridCol w:w="826"/>
        <w:gridCol w:w="631"/>
        <w:gridCol w:w="629"/>
        <w:gridCol w:w="829"/>
        <w:gridCol w:w="629"/>
        <w:gridCol w:w="631"/>
        <w:gridCol w:w="826"/>
      </w:tblGrid>
      <w:tr>
        <w:trPr>
          <w:trHeight w:val="205" w:hRule="atLeast"/>
        </w:trPr>
        <w:tc>
          <w:tcPr>
            <w:tcW w:w="1042" w:type="dxa"/>
            <w:vMerge w:val="restart"/>
            <w:tcBorders>
              <w:left w:val="nil"/>
              <w:bottom w:val="nil"/>
            </w:tcBorders>
            <w:shd w:val="clear" w:color="auto" w:fill="4F81BC"/>
          </w:tcPr>
          <w:p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CICLO</w:t>
            </w:r>
          </w:p>
        </w:tc>
        <w:tc>
          <w:tcPr>
            <w:tcW w:w="2089" w:type="dxa"/>
            <w:gridSpan w:val="3"/>
            <w:tcBorders>
              <w:bottom w:val="nil"/>
            </w:tcBorders>
            <w:shd w:val="clear" w:color="auto" w:fill="4F81BC"/>
          </w:tcPr>
          <w:p>
            <w:pPr>
              <w:pStyle w:val="TableParagraph"/>
              <w:spacing w:line="186" w:lineRule="exact"/>
              <w:ind w:left="64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Preprimaria</w:t>
            </w:r>
          </w:p>
        </w:tc>
        <w:tc>
          <w:tcPr>
            <w:tcW w:w="2086" w:type="dxa"/>
            <w:gridSpan w:val="3"/>
            <w:tcBorders>
              <w:bottom w:val="nil"/>
            </w:tcBorders>
            <w:shd w:val="clear" w:color="auto" w:fill="4F81BC"/>
          </w:tcPr>
          <w:p>
            <w:pPr>
              <w:pStyle w:val="TableParagraph"/>
              <w:spacing w:line="186" w:lineRule="exact"/>
              <w:ind w:left="742" w:right="7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Primaria</w:t>
            </w:r>
          </w:p>
        </w:tc>
        <w:tc>
          <w:tcPr>
            <w:tcW w:w="2089" w:type="dxa"/>
            <w:gridSpan w:val="3"/>
            <w:tcBorders>
              <w:bottom w:val="nil"/>
            </w:tcBorders>
            <w:shd w:val="clear" w:color="auto" w:fill="4F81BC"/>
          </w:tcPr>
          <w:p>
            <w:pPr>
              <w:pStyle w:val="TableParagraph"/>
              <w:spacing w:line="186" w:lineRule="exact"/>
              <w:ind w:left="815" w:right="79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Básico</w:t>
            </w:r>
          </w:p>
        </w:tc>
        <w:tc>
          <w:tcPr>
            <w:tcW w:w="2086" w:type="dxa"/>
            <w:gridSpan w:val="3"/>
            <w:tcBorders>
              <w:bottom w:val="nil"/>
              <w:right w:val="single" w:sz="6" w:space="0" w:color="000000"/>
            </w:tcBorders>
            <w:shd w:val="clear" w:color="auto" w:fill="4F81BC"/>
          </w:tcPr>
          <w:p>
            <w:pPr>
              <w:pStyle w:val="TableParagraph"/>
              <w:spacing w:line="186" w:lineRule="exact"/>
              <w:ind w:left="61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Diversificado</w:t>
            </w:r>
          </w:p>
        </w:tc>
      </w:tr>
      <w:tr>
        <w:trPr>
          <w:trHeight w:val="546" w:hRule="atLeast"/>
        </w:trPr>
        <w:tc>
          <w:tcPr>
            <w:tcW w:w="1042" w:type="dxa"/>
            <w:vMerge/>
            <w:tcBorders>
              <w:top w:val="nil"/>
              <w:left w:val="nil"/>
              <w:bottom w:val="nil"/>
            </w:tcBorders>
            <w:shd w:val="clear" w:color="auto" w:fill="4F81B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59" w:lineRule="exact"/>
              <w:ind w:left="119"/>
              <w:rPr>
                <w:sz w:val="14"/>
              </w:rPr>
            </w:pPr>
            <w:r>
              <w:rPr>
                <w:sz w:val="14"/>
              </w:rPr>
              <w:t>Brecha</w:t>
            </w:r>
          </w:p>
          <w:p>
            <w:pPr>
              <w:pStyle w:val="TableParagraph"/>
              <w:spacing w:line="171" w:lineRule="exact"/>
              <w:ind w:left="174"/>
              <w:rPr>
                <w:sz w:val="14"/>
              </w:rPr>
            </w:pPr>
            <w:r>
              <w:rPr>
                <w:sz w:val="14"/>
              </w:rPr>
              <w:t>2020</w:t>
            </w:r>
          </w:p>
        </w:tc>
        <w:tc>
          <w:tcPr>
            <w:tcW w:w="632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59" w:lineRule="exact"/>
              <w:ind w:left="121"/>
              <w:rPr>
                <w:sz w:val="14"/>
              </w:rPr>
            </w:pPr>
            <w:r>
              <w:rPr>
                <w:sz w:val="14"/>
              </w:rPr>
              <w:t>Brecha</w:t>
            </w:r>
          </w:p>
          <w:p>
            <w:pPr>
              <w:pStyle w:val="TableParagraph"/>
              <w:spacing w:line="171" w:lineRule="exact"/>
              <w:ind w:left="176"/>
              <w:rPr>
                <w:sz w:val="14"/>
              </w:rPr>
            </w:pPr>
            <w:r>
              <w:rPr>
                <w:sz w:val="14"/>
              </w:rPr>
              <w:t>2021</w:t>
            </w:r>
          </w:p>
        </w:tc>
        <w:tc>
          <w:tcPr>
            <w:tcW w:w="82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59" w:lineRule="exact"/>
              <w:ind w:left="126"/>
              <w:rPr>
                <w:sz w:val="14"/>
              </w:rPr>
            </w:pPr>
            <w:r>
              <w:rPr>
                <w:sz w:val="14"/>
              </w:rPr>
              <w:t>Diferencia</w:t>
            </w:r>
          </w:p>
          <w:p>
            <w:pPr>
              <w:pStyle w:val="TableParagraph"/>
              <w:spacing w:line="171" w:lineRule="exact"/>
              <w:ind w:left="109"/>
              <w:rPr>
                <w:sz w:val="14"/>
              </w:rPr>
            </w:pPr>
            <w:r>
              <w:rPr>
                <w:sz w:val="14"/>
              </w:rPr>
              <w:t>2019-2021</w:t>
            </w:r>
          </w:p>
        </w:tc>
        <w:tc>
          <w:tcPr>
            <w:tcW w:w="6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59" w:lineRule="exact"/>
              <w:ind w:left="118"/>
              <w:rPr>
                <w:sz w:val="14"/>
              </w:rPr>
            </w:pPr>
            <w:r>
              <w:rPr>
                <w:sz w:val="14"/>
              </w:rPr>
              <w:t>Brecha</w:t>
            </w:r>
          </w:p>
          <w:p>
            <w:pPr>
              <w:pStyle w:val="TableParagraph"/>
              <w:spacing w:line="171" w:lineRule="exact"/>
              <w:ind w:left="174"/>
              <w:rPr>
                <w:sz w:val="14"/>
              </w:rPr>
            </w:pPr>
            <w:r>
              <w:rPr>
                <w:sz w:val="14"/>
              </w:rPr>
              <w:t>2020</w:t>
            </w:r>
          </w:p>
        </w:tc>
        <w:tc>
          <w:tcPr>
            <w:tcW w:w="63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59" w:lineRule="exact"/>
              <w:ind w:left="121"/>
              <w:rPr>
                <w:sz w:val="14"/>
              </w:rPr>
            </w:pPr>
            <w:r>
              <w:rPr>
                <w:sz w:val="14"/>
              </w:rPr>
              <w:t>Brecha</w:t>
            </w:r>
          </w:p>
          <w:p>
            <w:pPr>
              <w:pStyle w:val="TableParagraph"/>
              <w:spacing w:line="171" w:lineRule="exact"/>
              <w:ind w:left="176"/>
              <w:rPr>
                <w:sz w:val="14"/>
              </w:rPr>
            </w:pPr>
            <w:r>
              <w:rPr>
                <w:sz w:val="14"/>
              </w:rPr>
              <w:t>2021</w:t>
            </w:r>
          </w:p>
        </w:tc>
        <w:tc>
          <w:tcPr>
            <w:tcW w:w="826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59" w:lineRule="exact"/>
              <w:ind w:left="126"/>
              <w:rPr>
                <w:sz w:val="14"/>
              </w:rPr>
            </w:pPr>
            <w:r>
              <w:rPr>
                <w:sz w:val="14"/>
              </w:rPr>
              <w:t>Diferencia</w:t>
            </w:r>
          </w:p>
          <w:p>
            <w:pPr>
              <w:pStyle w:val="TableParagraph"/>
              <w:spacing w:line="171" w:lineRule="exact"/>
              <w:ind w:left="109"/>
              <w:rPr>
                <w:sz w:val="14"/>
              </w:rPr>
            </w:pPr>
            <w:r>
              <w:rPr>
                <w:sz w:val="14"/>
              </w:rPr>
              <w:t>2019-2021</w:t>
            </w:r>
          </w:p>
        </w:tc>
        <w:tc>
          <w:tcPr>
            <w:tcW w:w="63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59" w:lineRule="exact"/>
              <w:ind w:left="121"/>
              <w:rPr>
                <w:sz w:val="14"/>
              </w:rPr>
            </w:pPr>
            <w:r>
              <w:rPr>
                <w:sz w:val="14"/>
              </w:rPr>
              <w:t>Brecha</w:t>
            </w:r>
          </w:p>
          <w:p>
            <w:pPr>
              <w:pStyle w:val="TableParagraph"/>
              <w:spacing w:line="171" w:lineRule="exact"/>
              <w:ind w:left="176"/>
              <w:rPr>
                <w:sz w:val="14"/>
              </w:rPr>
            </w:pPr>
            <w:r>
              <w:rPr>
                <w:sz w:val="14"/>
              </w:rPr>
              <w:t>2020</w:t>
            </w:r>
          </w:p>
        </w:tc>
        <w:tc>
          <w:tcPr>
            <w:tcW w:w="6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59" w:lineRule="exact"/>
              <w:ind w:left="119"/>
              <w:rPr>
                <w:sz w:val="14"/>
              </w:rPr>
            </w:pPr>
            <w:r>
              <w:rPr>
                <w:sz w:val="14"/>
              </w:rPr>
              <w:t>Brecha</w:t>
            </w:r>
          </w:p>
          <w:p>
            <w:pPr>
              <w:pStyle w:val="TableParagraph"/>
              <w:spacing w:line="171" w:lineRule="exact"/>
              <w:ind w:left="174"/>
              <w:rPr>
                <w:sz w:val="14"/>
              </w:rPr>
            </w:pPr>
            <w:r>
              <w:rPr>
                <w:sz w:val="14"/>
              </w:rPr>
              <w:t>2021</w:t>
            </w:r>
          </w:p>
        </w:tc>
        <w:tc>
          <w:tcPr>
            <w:tcW w:w="8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59" w:lineRule="exact"/>
              <w:ind w:left="128"/>
              <w:rPr>
                <w:sz w:val="14"/>
              </w:rPr>
            </w:pPr>
            <w:r>
              <w:rPr>
                <w:sz w:val="14"/>
              </w:rPr>
              <w:t>Diferencia</w:t>
            </w:r>
          </w:p>
          <w:p>
            <w:pPr>
              <w:pStyle w:val="TableParagraph"/>
              <w:spacing w:line="171" w:lineRule="exact"/>
              <w:ind w:left="111"/>
              <w:rPr>
                <w:sz w:val="14"/>
              </w:rPr>
            </w:pPr>
            <w:r>
              <w:rPr>
                <w:sz w:val="14"/>
              </w:rPr>
              <w:t>2019-2021</w:t>
            </w:r>
          </w:p>
        </w:tc>
        <w:tc>
          <w:tcPr>
            <w:tcW w:w="6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59" w:lineRule="exact"/>
              <w:ind w:left="118"/>
              <w:rPr>
                <w:sz w:val="14"/>
              </w:rPr>
            </w:pPr>
            <w:r>
              <w:rPr>
                <w:sz w:val="14"/>
              </w:rPr>
              <w:t>Brecha</w:t>
            </w:r>
          </w:p>
          <w:p>
            <w:pPr>
              <w:pStyle w:val="TableParagraph"/>
              <w:spacing w:line="171" w:lineRule="exact"/>
              <w:ind w:left="173"/>
              <w:rPr>
                <w:sz w:val="14"/>
              </w:rPr>
            </w:pPr>
            <w:r>
              <w:rPr>
                <w:sz w:val="14"/>
              </w:rPr>
              <w:t>2020</w:t>
            </w:r>
          </w:p>
        </w:tc>
        <w:tc>
          <w:tcPr>
            <w:tcW w:w="63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59" w:lineRule="exact"/>
              <w:ind w:left="120"/>
              <w:rPr>
                <w:sz w:val="14"/>
              </w:rPr>
            </w:pPr>
            <w:r>
              <w:rPr>
                <w:sz w:val="14"/>
              </w:rPr>
              <w:t>Brecha</w:t>
            </w:r>
          </w:p>
          <w:p>
            <w:pPr>
              <w:pStyle w:val="TableParagraph"/>
              <w:spacing w:line="171" w:lineRule="exact"/>
              <w:ind w:left="175"/>
              <w:rPr>
                <w:sz w:val="14"/>
              </w:rPr>
            </w:pPr>
            <w:r>
              <w:rPr>
                <w:sz w:val="14"/>
              </w:rPr>
              <w:t>2021</w:t>
            </w:r>
          </w:p>
        </w:tc>
        <w:tc>
          <w:tcPr>
            <w:tcW w:w="826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159" w:lineRule="exact"/>
              <w:ind w:left="125"/>
              <w:rPr>
                <w:sz w:val="14"/>
              </w:rPr>
            </w:pPr>
            <w:r>
              <w:rPr>
                <w:sz w:val="14"/>
              </w:rPr>
              <w:t>Diferencia</w:t>
            </w:r>
          </w:p>
          <w:p>
            <w:pPr>
              <w:pStyle w:val="TableParagraph"/>
              <w:spacing w:line="171" w:lineRule="exact"/>
              <w:ind w:left="108"/>
              <w:rPr>
                <w:sz w:val="14"/>
              </w:rPr>
            </w:pPr>
            <w:r>
              <w:rPr>
                <w:sz w:val="14"/>
              </w:rPr>
              <w:t>2019-2021</w:t>
            </w:r>
          </w:p>
        </w:tc>
      </w:tr>
      <w:tr>
        <w:trPr>
          <w:trHeight w:val="327" w:hRule="atLeast"/>
        </w:trPr>
        <w:tc>
          <w:tcPr>
            <w:tcW w:w="1042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PROMEDIO</w:t>
            </w:r>
          </w:p>
        </w:tc>
        <w:tc>
          <w:tcPr>
            <w:tcW w:w="6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133"/>
              <w:rPr>
                <w:sz w:val="16"/>
              </w:rPr>
            </w:pPr>
            <w:r>
              <w:rPr>
                <w:sz w:val="16"/>
              </w:rPr>
              <w:t>-1.5%</w:t>
            </w:r>
          </w:p>
        </w:tc>
        <w:tc>
          <w:tcPr>
            <w:tcW w:w="632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119"/>
              <w:rPr>
                <w:sz w:val="16"/>
              </w:rPr>
            </w:pPr>
            <w:r>
              <w:rPr>
                <w:sz w:val="16"/>
              </w:rPr>
              <w:t>10.8%</w:t>
            </w:r>
          </w:p>
        </w:tc>
        <w:tc>
          <w:tcPr>
            <w:tcW w:w="82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214"/>
              <w:rPr>
                <w:sz w:val="16"/>
              </w:rPr>
            </w:pPr>
            <w:r>
              <w:rPr>
                <w:sz w:val="16"/>
              </w:rPr>
              <w:t>12.3%</w:t>
            </w:r>
          </w:p>
        </w:tc>
        <w:tc>
          <w:tcPr>
            <w:tcW w:w="6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157"/>
              <w:rPr>
                <w:sz w:val="16"/>
              </w:rPr>
            </w:pPr>
            <w:r>
              <w:rPr>
                <w:sz w:val="16"/>
              </w:rPr>
              <w:t>3.3%</w:t>
            </w:r>
          </w:p>
        </w:tc>
        <w:tc>
          <w:tcPr>
            <w:tcW w:w="63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118"/>
              <w:rPr>
                <w:sz w:val="16"/>
              </w:rPr>
            </w:pPr>
            <w:r>
              <w:rPr>
                <w:sz w:val="16"/>
              </w:rPr>
              <w:t>10.8%</w:t>
            </w:r>
          </w:p>
        </w:tc>
        <w:tc>
          <w:tcPr>
            <w:tcW w:w="826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256"/>
              <w:rPr>
                <w:sz w:val="16"/>
              </w:rPr>
            </w:pPr>
            <w:r>
              <w:rPr>
                <w:sz w:val="16"/>
              </w:rPr>
              <w:t>7.4%</w:t>
            </w:r>
          </w:p>
        </w:tc>
        <w:tc>
          <w:tcPr>
            <w:tcW w:w="63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10.8%</w:t>
            </w:r>
          </w:p>
        </w:tc>
        <w:tc>
          <w:tcPr>
            <w:tcW w:w="6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116"/>
              <w:rPr>
                <w:sz w:val="16"/>
              </w:rPr>
            </w:pPr>
            <w:r>
              <w:rPr>
                <w:sz w:val="16"/>
              </w:rPr>
              <w:t>10.8%</w:t>
            </w:r>
          </w:p>
        </w:tc>
        <w:tc>
          <w:tcPr>
            <w:tcW w:w="8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238" w:right="223"/>
              <w:jc w:val="center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  <w:tc>
          <w:tcPr>
            <w:tcW w:w="6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95" w:right="82"/>
              <w:jc w:val="center"/>
              <w:rPr>
                <w:sz w:val="16"/>
              </w:rPr>
            </w:pPr>
            <w:r>
              <w:rPr>
                <w:sz w:val="16"/>
              </w:rPr>
              <w:t>0.7%</w:t>
            </w:r>
          </w:p>
        </w:tc>
        <w:tc>
          <w:tcPr>
            <w:tcW w:w="63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118"/>
              <w:rPr>
                <w:sz w:val="16"/>
              </w:rPr>
            </w:pPr>
            <w:r>
              <w:rPr>
                <w:sz w:val="16"/>
              </w:rPr>
              <w:t>11.1%</w:t>
            </w:r>
          </w:p>
        </w:tc>
        <w:tc>
          <w:tcPr>
            <w:tcW w:w="826" w:type="dxa"/>
            <w:tcBorders>
              <w:top w:val="single" w:sz="8" w:space="0" w:color="4F81BC"/>
              <w:bottom w:val="single" w:sz="8" w:space="0" w:color="4F81BC"/>
              <w:right w:val="single" w:sz="6" w:space="0" w:color="000000"/>
            </w:tcBorders>
          </w:tcPr>
          <w:p>
            <w:pPr>
              <w:pStyle w:val="TableParagraph"/>
              <w:spacing w:line="194" w:lineRule="exact"/>
              <w:ind w:left="195" w:right="179"/>
              <w:jc w:val="center"/>
              <w:rPr>
                <w:sz w:val="16"/>
              </w:rPr>
            </w:pPr>
            <w:r>
              <w:rPr>
                <w:sz w:val="16"/>
              </w:rPr>
              <w:t>10.5%</w:t>
            </w:r>
          </w:p>
        </w:tc>
      </w:tr>
      <w:tr>
        <w:trPr>
          <w:trHeight w:val="584" w:hRule="atLeas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ind w:left="102" w:right="180"/>
              <w:rPr>
                <w:b/>
                <w:sz w:val="16"/>
              </w:rPr>
            </w:pPr>
            <w:r>
              <w:rPr>
                <w:b/>
                <w:sz w:val="16"/>
              </w:rPr>
              <w:t>DESVIACIO</w:t>
            </w:r>
            <w:r>
              <w:rPr>
                <w:b/>
                <w:spacing w:val="-34"/>
                <w:sz w:val="16"/>
              </w:rPr>
              <w:t> </w:t>
            </w:r>
            <w:r>
              <w:rPr>
                <w:b/>
                <w:sz w:val="16"/>
              </w:rPr>
              <w:t>N</w:t>
            </w:r>
          </w:p>
          <w:p>
            <w:pPr>
              <w:pStyle w:val="TableParagraph"/>
              <w:spacing w:line="175" w:lineRule="exact"/>
              <w:ind w:left="102"/>
              <w:rPr>
                <w:b/>
                <w:sz w:val="16"/>
              </w:rPr>
            </w:pPr>
            <w:r>
              <w:rPr>
                <w:b/>
                <w:sz w:val="16"/>
              </w:rPr>
              <w:t>ESTANDAR</w:t>
            </w:r>
          </w:p>
        </w:tc>
        <w:tc>
          <w:tcPr>
            <w:tcW w:w="6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157"/>
              <w:rPr>
                <w:sz w:val="16"/>
              </w:rPr>
            </w:pPr>
            <w:r>
              <w:rPr>
                <w:sz w:val="16"/>
              </w:rPr>
              <w:t>5.8%</w:t>
            </w:r>
          </w:p>
        </w:tc>
        <w:tc>
          <w:tcPr>
            <w:tcW w:w="632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119"/>
              <w:rPr>
                <w:sz w:val="16"/>
              </w:rPr>
            </w:pPr>
            <w:r>
              <w:rPr>
                <w:sz w:val="16"/>
              </w:rPr>
              <w:t>12.4%</w:t>
            </w:r>
          </w:p>
        </w:tc>
        <w:tc>
          <w:tcPr>
            <w:tcW w:w="82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214"/>
              <w:rPr>
                <w:sz w:val="16"/>
              </w:rPr>
            </w:pPr>
            <w:r>
              <w:rPr>
                <w:sz w:val="16"/>
              </w:rPr>
              <w:t>12.6%</w:t>
            </w:r>
          </w:p>
        </w:tc>
        <w:tc>
          <w:tcPr>
            <w:tcW w:w="6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157"/>
              <w:rPr>
                <w:sz w:val="16"/>
              </w:rPr>
            </w:pPr>
            <w:r>
              <w:rPr>
                <w:sz w:val="16"/>
              </w:rPr>
              <w:t>4.8%</w:t>
            </w:r>
          </w:p>
        </w:tc>
        <w:tc>
          <w:tcPr>
            <w:tcW w:w="63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118"/>
              <w:rPr>
                <w:sz w:val="16"/>
              </w:rPr>
            </w:pPr>
            <w:r>
              <w:rPr>
                <w:sz w:val="16"/>
              </w:rPr>
              <w:t>12.4%</w:t>
            </w:r>
          </w:p>
        </w:tc>
        <w:tc>
          <w:tcPr>
            <w:tcW w:w="826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215"/>
              <w:rPr>
                <w:sz w:val="16"/>
              </w:rPr>
            </w:pPr>
            <w:r>
              <w:rPr>
                <w:sz w:val="16"/>
              </w:rPr>
              <w:t>12.0%</w:t>
            </w:r>
          </w:p>
        </w:tc>
        <w:tc>
          <w:tcPr>
            <w:tcW w:w="63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12.4%</w:t>
            </w:r>
          </w:p>
        </w:tc>
        <w:tc>
          <w:tcPr>
            <w:tcW w:w="6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116"/>
              <w:rPr>
                <w:sz w:val="16"/>
              </w:rPr>
            </w:pPr>
            <w:r>
              <w:rPr>
                <w:sz w:val="16"/>
              </w:rPr>
              <w:t>12.4%</w:t>
            </w:r>
          </w:p>
        </w:tc>
        <w:tc>
          <w:tcPr>
            <w:tcW w:w="8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238" w:right="223"/>
              <w:jc w:val="center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  <w:tc>
          <w:tcPr>
            <w:tcW w:w="6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95" w:right="82"/>
              <w:jc w:val="center"/>
              <w:rPr>
                <w:sz w:val="16"/>
              </w:rPr>
            </w:pPr>
            <w:r>
              <w:rPr>
                <w:sz w:val="16"/>
              </w:rPr>
              <w:t>7.0%</w:t>
            </w:r>
          </w:p>
        </w:tc>
        <w:tc>
          <w:tcPr>
            <w:tcW w:w="63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118"/>
              <w:rPr>
                <w:sz w:val="16"/>
              </w:rPr>
            </w:pPr>
            <w:r>
              <w:rPr>
                <w:sz w:val="16"/>
              </w:rPr>
              <w:t>12.5%</w:t>
            </w:r>
          </w:p>
        </w:tc>
        <w:tc>
          <w:tcPr>
            <w:tcW w:w="826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194" w:lineRule="exact"/>
              <w:ind w:left="236" w:right="218"/>
              <w:jc w:val="center"/>
              <w:rPr>
                <w:sz w:val="16"/>
              </w:rPr>
            </w:pPr>
            <w:r>
              <w:rPr>
                <w:sz w:val="16"/>
              </w:rPr>
              <w:t>7.3%</w:t>
            </w:r>
          </w:p>
        </w:tc>
      </w:tr>
      <w:tr>
        <w:trPr>
          <w:trHeight w:val="392" w:hRule="atLeast"/>
        </w:trPr>
        <w:tc>
          <w:tcPr>
            <w:tcW w:w="1042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MIN</w:t>
            </w:r>
          </w:p>
        </w:tc>
        <w:tc>
          <w:tcPr>
            <w:tcW w:w="6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5" w:lineRule="exact" w:before="1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  <w:p>
            <w:pPr>
              <w:pStyle w:val="TableParagraph"/>
              <w:spacing w:line="177" w:lineRule="exact"/>
              <w:ind w:left="96" w:right="81"/>
              <w:jc w:val="center"/>
              <w:rPr>
                <w:sz w:val="16"/>
              </w:rPr>
            </w:pPr>
            <w:r>
              <w:rPr>
                <w:sz w:val="16"/>
              </w:rPr>
              <w:t>21.7%</w:t>
            </w:r>
          </w:p>
        </w:tc>
        <w:tc>
          <w:tcPr>
            <w:tcW w:w="632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135"/>
              <w:rPr>
                <w:sz w:val="16"/>
              </w:rPr>
            </w:pPr>
            <w:r>
              <w:rPr>
                <w:sz w:val="16"/>
              </w:rPr>
              <w:t>-7.3%</w:t>
            </w:r>
          </w:p>
        </w:tc>
        <w:tc>
          <w:tcPr>
            <w:tcW w:w="82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231"/>
              <w:rPr>
                <w:sz w:val="16"/>
              </w:rPr>
            </w:pPr>
            <w:r>
              <w:rPr>
                <w:sz w:val="16"/>
              </w:rPr>
              <w:t>-6.5%</w:t>
            </w:r>
          </w:p>
        </w:tc>
        <w:tc>
          <w:tcPr>
            <w:tcW w:w="6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133"/>
              <w:rPr>
                <w:sz w:val="16"/>
              </w:rPr>
            </w:pPr>
            <w:r>
              <w:rPr>
                <w:sz w:val="16"/>
              </w:rPr>
              <w:t>-6.4%</w:t>
            </w:r>
          </w:p>
        </w:tc>
        <w:tc>
          <w:tcPr>
            <w:tcW w:w="63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135"/>
              <w:rPr>
                <w:sz w:val="16"/>
              </w:rPr>
            </w:pPr>
            <w:r>
              <w:rPr>
                <w:sz w:val="16"/>
              </w:rPr>
              <w:t>-7.3%</w:t>
            </w:r>
          </w:p>
        </w:tc>
        <w:tc>
          <w:tcPr>
            <w:tcW w:w="826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191"/>
              <w:rPr>
                <w:sz w:val="16"/>
              </w:rPr>
            </w:pPr>
            <w:r>
              <w:rPr>
                <w:sz w:val="16"/>
              </w:rPr>
              <w:t>-13.2%</w:t>
            </w:r>
          </w:p>
        </w:tc>
        <w:tc>
          <w:tcPr>
            <w:tcW w:w="63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-7.3%</w:t>
            </w:r>
          </w:p>
        </w:tc>
        <w:tc>
          <w:tcPr>
            <w:tcW w:w="6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133"/>
              <w:rPr>
                <w:sz w:val="16"/>
              </w:rPr>
            </w:pPr>
            <w:r>
              <w:rPr>
                <w:sz w:val="16"/>
              </w:rPr>
              <w:t>-7.3%</w:t>
            </w:r>
          </w:p>
        </w:tc>
        <w:tc>
          <w:tcPr>
            <w:tcW w:w="8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238" w:right="223"/>
              <w:jc w:val="center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  <w:tc>
          <w:tcPr>
            <w:tcW w:w="6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5" w:lineRule="exact" w:before="1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  <w:p>
            <w:pPr>
              <w:pStyle w:val="TableParagraph"/>
              <w:spacing w:line="177" w:lineRule="exact"/>
              <w:ind w:left="95" w:right="82"/>
              <w:jc w:val="center"/>
              <w:rPr>
                <w:sz w:val="16"/>
              </w:rPr>
            </w:pPr>
            <w:r>
              <w:rPr>
                <w:sz w:val="16"/>
              </w:rPr>
              <w:t>16.3%</w:t>
            </w:r>
          </w:p>
        </w:tc>
        <w:tc>
          <w:tcPr>
            <w:tcW w:w="63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135"/>
              <w:rPr>
                <w:sz w:val="16"/>
              </w:rPr>
            </w:pPr>
            <w:r>
              <w:rPr>
                <w:sz w:val="16"/>
              </w:rPr>
              <w:t>-7.3%</w:t>
            </w:r>
          </w:p>
        </w:tc>
        <w:tc>
          <w:tcPr>
            <w:tcW w:w="826" w:type="dxa"/>
            <w:tcBorders>
              <w:top w:val="single" w:sz="8" w:space="0" w:color="4F81BC"/>
              <w:bottom w:val="single" w:sz="8" w:space="0" w:color="4F81BC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94" w:right="179"/>
              <w:jc w:val="center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>
        <w:trPr>
          <w:trHeight w:val="344" w:hRule="atLeas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102"/>
              <w:rPr>
                <w:b/>
                <w:sz w:val="16"/>
              </w:rPr>
            </w:pPr>
            <w:r>
              <w:rPr>
                <w:b/>
                <w:sz w:val="16"/>
              </w:rPr>
              <w:t>MEDIANA</w:t>
            </w:r>
          </w:p>
        </w:tc>
        <w:tc>
          <w:tcPr>
            <w:tcW w:w="6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133"/>
              <w:rPr>
                <w:sz w:val="16"/>
              </w:rPr>
            </w:pPr>
            <w:r>
              <w:rPr>
                <w:sz w:val="16"/>
              </w:rPr>
              <w:t>-0.4%</w:t>
            </w:r>
          </w:p>
        </w:tc>
        <w:tc>
          <w:tcPr>
            <w:tcW w:w="632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159"/>
              <w:rPr>
                <w:sz w:val="16"/>
              </w:rPr>
            </w:pPr>
            <w:r>
              <w:rPr>
                <w:sz w:val="16"/>
              </w:rPr>
              <w:t>6.5%</w:t>
            </w:r>
          </w:p>
        </w:tc>
        <w:tc>
          <w:tcPr>
            <w:tcW w:w="82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214"/>
              <w:rPr>
                <w:sz w:val="16"/>
              </w:rPr>
            </w:pPr>
            <w:r>
              <w:rPr>
                <w:sz w:val="16"/>
              </w:rPr>
              <w:t>10.4%</w:t>
            </w:r>
          </w:p>
        </w:tc>
        <w:tc>
          <w:tcPr>
            <w:tcW w:w="6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157"/>
              <w:rPr>
                <w:sz w:val="16"/>
              </w:rPr>
            </w:pPr>
            <w:r>
              <w:rPr>
                <w:sz w:val="16"/>
              </w:rPr>
              <w:t>3.3%</w:t>
            </w:r>
          </w:p>
        </w:tc>
        <w:tc>
          <w:tcPr>
            <w:tcW w:w="63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159"/>
              <w:rPr>
                <w:sz w:val="16"/>
              </w:rPr>
            </w:pPr>
            <w:r>
              <w:rPr>
                <w:sz w:val="16"/>
              </w:rPr>
              <w:t>6.5%</w:t>
            </w:r>
          </w:p>
        </w:tc>
        <w:tc>
          <w:tcPr>
            <w:tcW w:w="826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256"/>
              <w:rPr>
                <w:sz w:val="16"/>
              </w:rPr>
            </w:pPr>
            <w:r>
              <w:rPr>
                <w:sz w:val="16"/>
              </w:rPr>
              <w:t>4.4%</w:t>
            </w:r>
          </w:p>
        </w:tc>
        <w:tc>
          <w:tcPr>
            <w:tcW w:w="63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6.5%</w:t>
            </w:r>
          </w:p>
        </w:tc>
        <w:tc>
          <w:tcPr>
            <w:tcW w:w="6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157"/>
              <w:rPr>
                <w:sz w:val="16"/>
              </w:rPr>
            </w:pPr>
            <w:r>
              <w:rPr>
                <w:sz w:val="16"/>
              </w:rPr>
              <w:t>6.5%</w:t>
            </w:r>
          </w:p>
        </w:tc>
        <w:tc>
          <w:tcPr>
            <w:tcW w:w="8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238" w:right="223"/>
              <w:jc w:val="center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  <w:tc>
          <w:tcPr>
            <w:tcW w:w="6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95" w:right="82"/>
              <w:jc w:val="center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  <w:tc>
          <w:tcPr>
            <w:tcW w:w="63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159"/>
              <w:rPr>
                <w:sz w:val="16"/>
              </w:rPr>
            </w:pPr>
            <w:r>
              <w:rPr>
                <w:sz w:val="16"/>
              </w:rPr>
              <w:t>8.5%</w:t>
            </w:r>
          </w:p>
        </w:tc>
        <w:tc>
          <w:tcPr>
            <w:tcW w:w="826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194" w:lineRule="exact"/>
              <w:ind w:left="236" w:right="218"/>
              <w:jc w:val="center"/>
              <w:rPr>
                <w:sz w:val="16"/>
              </w:rPr>
            </w:pPr>
            <w:r>
              <w:rPr>
                <w:sz w:val="16"/>
              </w:rPr>
              <w:t>8.1%</w:t>
            </w:r>
          </w:p>
        </w:tc>
      </w:tr>
      <w:tr>
        <w:trPr>
          <w:trHeight w:val="268" w:hRule="atLeast"/>
        </w:trPr>
        <w:tc>
          <w:tcPr>
            <w:tcW w:w="1042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MAX</w:t>
            </w:r>
          </w:p>
        </w:tc>
        <w:tc>
          <w:tcPr>
            <w:tcW w:w="6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11.2%</w:t>
            </w:r>
          </w:p>
        </w:tc>
        <w:tc>
          <w:tcPr>
            <w:tcW w:w="632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41.8%</w:t>
            </w:r>
          </w:p>
        </w:tc>
        <w:tc>
          <w:tcPr>
            <w:tcW w:w="82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214"/>
              <w:rPr>
                <w:sz w:val="16"/>
              </w:rPr>
            </w:pPr>
            <w:r>
              <w:rPr>
                <w:sz w:val="16"/>
              </w:rPr>
              <w:t>47.4%</w:t>
            </w:r>
          </w:p>
        </w:tc>
        <w:tc>
          <w:tcPr>
            <w:tcW w:w="6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14.4%</w:t>
            </w:r>
          </w:p>
        </w:tc>
        <w:tc>
          <w:tcPr>
            <w:tcW w:w="63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118"/>
              <w:rPr>
                <w:sz w:val="16"/>
              </w:rPr>
            </w:pPr>
            <w:r>
              <w:rPr>
                <w:sz w:val="16"/>
              </w:rPr>
              <w:t>41.8%</w:t>
            </w:r>
          </w:p>
        </w:tc>
        <w:tc>
          <w:tcPr>
            <w:tcW w:w="826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215"/>
              <w:rPr>
                <w:sz w:val="16"/>
              </w:rPr>
            </w:pPr>
            <w:r>
              <w:rPr>
                <w:sz w:val="16"/>
              </w:rPr>
              <w:t>40.1%</w:t>
            </w:r>
          </w:p>
        </w:tc>
        <w:tc>
          <w:tcPr>
            <w:tcW w:w="63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41.8%</w:t>
            </w:r>
          </w:p>
        </w:tc>
        <w:tc>
          <w:tcPr>
            <w:tcW w:w="6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41.8%</w:t>
            </w:r>
          </w:p>
        </w:tc>
        <w:tc>
          <w:tcPr>
            <w:tcW w:w="8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238" w:right="223"/>
              <w:jc w:val="center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  <w:tc>
          <w:tcPr>
            <w:tcW w:w="6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95" w:right="82"/>
              <w:jc w:val="center"/>
              <w:rPr>
                <w:sz w:val="16"/>
              </w:rPr>
            </w:pPr>
            <w:r>
              <w:rPr>
                <w:sz w:val="16"/>
              </w:rPr>
              <w:t>17.3%</w:t>
            </w:r>
          </w:p>
        </w:tc>
        <w:tc>
          <w:tcPr>
            <w:tcW w:w="63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1"/>
              <w:ind w:left="118"/>
              <w:rPr>
                <w:sz w:val="16"/>
              </w:rPr>
            </w:pPr>
            <w:r>
              <w:rPr>
                <w:sz w:val="16"/>
              </w:rPr>
              <w:t>41.8%</w:t>
            </w:r>
          </w:p>
        </w:tc>
        <w:tc>
          <w:tcPr>
            <w:tcW w:w="826" w:type="dxa"/>
            <w:tcBorders>
              <w:top w:val="single" w:sz="8" w:space="0" w:color="4F81BC"/>
              <w:bottom w:val="single" w:sz="8" w:space="0" w:color="4F81BC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95" w:right="179"/>
              <w:jc w:val="center"/>
              <w:rPr>
                <w:sz w:val="16"/>
              </w:rPr>
            </w:pPr>
            <w:r>
              <w:rPr>
                <w:sz w:val="16"/>
              </w:rPr>
              <w:t>26.7%</w:t>
            </w:r>
          </w:p>
        </w:tc>
      </w:tr>
      <w:tr>
        <w:trPr>
          <w:trHeight w:val="231" w:hRule="atLeas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102"/>
              <w:rPr>
                <w:b/>
                <w:sz w:val="16"/>
              </w:rPr>
            </w:pPr>
            <w:r>
              <w:rPr>
                <w:b/>
                <w:sz w:val="16"/>
              </w:rPr>
              <w:t>CV</w:t>
            </w:r>
          </w:p>
        </w:tc>
        <w:tc>
          <w:tcPr>
            <w:tcW w:w="6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133"/>
              <w:rPr>
                <w:sz w:val="16"/>
              </w:rPr>
            </w:pPr>
            <w:r>
              <w:rPr>
                <w:sz w:val="16"/>
              </w:rPr>
              <w:t>-3.8%</w:t>
            </w:r>
          </w:p>
        </w:tc>
        <w:tc>
          <w:tcPr>
            <w:tcW w:w="632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159"/>
              <w:rPr>
                <w:sz w:val="16"/>
              </w:rPr>
            </w:pPr>
            <w:r>
              <w:rPr>
                <w:sz w:val="16"/>
              </w:rPr>
              <w:t>1.1%</w:t>
            </w:r>
          </w:p>
        </w:tc>
        <w:tc>
          <w:tcPr>
            <w:tcW w:w="82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255"/>
              <w:rPr>
                <w:sz w:val="16"/>
              </w:rPr>
            </w:pPr>
            <w:r>
              <w:rPr>
                <w:sz w:val="16"/>
              </w:rPr>
              <w:t>1.0%</w:t>
            </w:r>
          </w:p>
        </w:tc>
        <w:tc>
          <w:tcPr>
            <w:tcW w:w="6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157"/>
              <w:rPr>
                <w:sz w:val="16"/>
              </w:rPr>
            </w:pPr>
            <w:r>
              <w:rPr>
                <w:sz w:val="16"/>
              </w:rPr>
              <w:t>1.4%</w:t>
            </w:r>
          </w:p>
        </w:tc>
        <w:tc>
          <w:tcPr>
            <w:tcW w:w="63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159"/>
              <w:rPr>
                <w:sz w:val="16"/>
              </w:rPr>
            </w:pPr>
            <w:r>
              <w:rPr>
                <w:sz w:val="16"/>
              </w:rPr>
              <w:t>1.1%</w:t>
            </w:r>
          </w:p>
        </w:tc>
        <w:tc>
          <w:tcPr>
            <w:tcW w:w="826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256"/>
              <w:rPr>
                <w:sz w:val="16"/>
              </w:rPr>
            </w:pPr>
            <w:r>
              <w:rPr>
                <w:sz w:val="16"/>
              </w:rPr>
              <w:t>1.6%</w:t>
            </w:r>
          </w:p>
        </w:tc>
        <w:tc>
          <w:tcPr>
            <w:tcW w:w="63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0.4%</w:t>
            </w:r>
          </w:p>
        </w:tc>
        <w:tc>
          <w:tcPr>
            <w:tcW w:w="6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157"/>
              <w:rPr>
                <w:sz w:val="16"/>
              </w:rPr>
            </w:pPr>
            <w:r>
              <w:rPr>
                <w:sz w:val="16"/>
              </w:rPr>
              <w:t>1.1%</w:t>
            </w:r>
          </w:p>
        </w:tc>
        <w:tc>
          <w:tcPr>
            <w:tcW w:w="8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2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95" w:right="82"/>
              <w:jc w:val="center"/>
              <w:rPr>
                <w:sz w:val="16"/>
              </w:rPr>
            </w:pPr>
            <w:r>
              <w:rPr>
                <w:sz w:val="16"/>
              </w:rPr>
              <w:t>10.6%</w:t>
            </w:r>
          </w:p>
        </w:tc>
        <w:tc>
          <w:tcPr>
            <w:tcW w:w="63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94" w:lineRule="exact"/>
              <w:ind w:left="159"/>
              <w:rPr>
                <w:sz w:val="16"/>
              </w:rPr>
            </w:pPr>
            <w:r>
              <w:rPr>
                <w:sz w:val="16"/>
              </w:rPr>
              <w:t>1.1%</w:t>
            </w:r>
          </w:p>
        </w:tc>
        <w:tc>
          <w:tcPr>
            <w:tcW w:w="826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194" w:lineRule="exact"/>
              <w:ind w:left="236" w:right="218"/>
              <w:jc w:val="center"/>
              <w:rPr>
                <w:sz w:val="16"/>
              </w:rPr>
            </w:pPr>
            <w:r>
              <w:rPr>
                <w:sz w:val="16"/>
              </w:rPr>
              <w:t>0.7%</w:t>
            </w:r>
          </w:p>
        </w:tc>
      </w:tr>
    </w:tbl>
    <w:p>
      <w:pPr>
        <w:spacing w:before="1"/>
        <w:ind w:left="278" w:right="1072" w:firstLine="0"/>
        <w:jc w:val="both"/>
        <w:rPr>
          <w:sz w:val="18"/>
        </w:rPr>
      </w:pPr>
      <w:r>
        <w:rPr>
          <w:sz w:val="18"/>
        </w:rPr>
        <w:t>Fuente: Elaboración propia a partir de los datos Boletines CONRED y estimaciones de datos proporcionados por MINEDUC. Los</w:t>
      </w:r>
      <w:r>
        <w:rPr>
          <w:spacing w:val="1"/>
          <w:sz w:val="18"/>
        </w:rPr>
        <w:t> </w:t>
      </w:r>
      <w:r>
        <w:rPr>
          <w:sz w:val="18"/>
        </w:rPr>
        <w:t>municipios priorizados son San Pedro Carchá, Chahal, Puerto Barrios, Los Amates, San Juan Ixcoy, Santa Eulalia, Chajul,El Estor,</w:t>
      </w:r>
      <w:r>
        <w:rPr>
          <w:spacing w:val="1"/>
          <w:sz w:val="18"/>
        </w:rPr>
        <w:t> </w:t>
      </w:r>
      <w:r>
        <w:rPr>
          <w:sz w:val="18"/>
        </w:rPr>
        <w:t>Chisec,</w:t>
      </w:r>
      <w:r>
        <w:rPr>
          <w:spacing w:val="-1"/>
          <w:sz w:val="18"/>
        </w:rPr>
        <w:t> </w:t>
      </w:r>
      <w:r>
        <w:rPr>
          <w:sz w:val="18"/>
        </w:rPr>
        <w:t>Morales, Nebaj.</w:t>
      </w:r>
    </w:p>
    <w:p>
      <w:pPr>
        <w:pStyle w:val="BodyText"/>
        <w:rPr>
          <w:sz w:val="18"/>
        </w:rPr>
      </w:pPr>
    </w:p>
    <w:p>
      <w:pPr>
        <w:spacing w:before="0"/>
        <w:ind w:left="278" w:right="1077" w:firstLine="0"/>
        <w:jc w:val="both"/>
        <w:rPr>
          <w:sz w:val="24"/>
        </w:rPr>
      </w:pPr>
      <w:r>
        <w:rPr>
          <w:sz w:val="24"/>
        </w:rPr>
        <w:t>Podemos concluir que la cobertura sufrió entonces una degradación en estas regiones por la</w:t>
      </w:r>
      <w:r>
        <w:rPr>
          <w:spacing w:val="1"/>
          <w:sz w:val="24"/>
        </w:rPr>
        <w:t> </w:t>
      </w:r>
      <w:r>
        <w:rPr>
          <w:sz w:val="24"/>
        </w:rPr>
        <w:t>pérdida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infraestructura.</w:t>
      </w:r>
    </w:p>
    <w:p>
      <w:pPr>
        <w:pStyle w:val="BodyText"/>
        <w:spacing w:before="12"/>
        <w:rPr>
          <w:sz w:val="23"/>
        </w:rPr>
      </w:pPr>
    </w:p>
    <w:p>
      <w:pPr>
        <w:spacing w:before="0"/>
        <w:ind w:left="278" w:right="1073" w:firstLine="0"/>
        <w:jc w:val="both"/>
        <w:rPr>
          <w:sz w:val="24"/>
        </w:rPr>
      </w:pPr>
      <w:r>
        <w:rPr>
          <w:sz w:val="24"/>
        </w:rPr>
        <w:t>Dicho</w:t>
      </w:r>
      <w:r>
        <w:rPr>
          <w:spacing w:val="1"/>
          <w:sz w:val="24"/>
        </w:rPr>
        <w:t> </w:t>
      </w:r>
      <w:r>
        <w:rPr>
          <w:sz w:val="24"/>
        </w:rPr>
        <w:t>efecto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vio</w:t>
      </w:r>
      <w:r>
        <w:rPr>
          <w:spacing w:val="1"/>
          <w:sz w:val="24"/>
        </w:rPr>
        <w:t> </w:t>
      </w:r>
      <w:r>
        <w:rPr>
          <w:sz w:val="24"/>
        </w:rPr>
        <w:t>agravado</w:t>
      </w:r>
      <w:r>
        <w:rPr>
          <w:spacing w:val="1"/>
          <w:sz w:val="24"/>
        </w:rPr>
        <w:t> </w:t>
      </w:r>
      <w:r>
        <w:rPr>
          <w:sz w:val="24"/>
        </w:rPr>
        <w:t>posiblemente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pandemia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COVID-19. El</w:t>
      </w:r>
      <w:r>
        <w:rPr>
          <w:spacing w:val="1"/>
          <w:sz w:val="24"/>
        </w:rPr>
        <w:t> </w:t>
      </w:r>
      <w:r>
        <w:rPr>
          <w:sz w:val="24"/>
        </w:rPr>
        <w:t>efecto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pandemia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ejemplifica</w:t>
      </w:r>
      <w:r>
        <w:rPr>
          <w:spacing w:val="-6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variaciones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tasas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cobertura</w:t>
      </w:r>
      <w:r>
        <w:rPr>
          <w:spacing w:val="-5"/>
          <w:sz w:val="24"/>
        </w:rPr>
        <w:t> </w:t>
      </w:r>
      <w:r>
        <w:rPr>
          <w:sz w:val="24"/>
        </w:rPr>
        <w:t>bruta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2019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2021</w:t>
      </w:r>
      <w:r>
        <w:rPr>
          <w:spacing w:val="-6"/>
          <w:sz w:val="24"/>
        </w:rPr>
        <w:t> </w:t>
      </w:r>
      <w:r>
        <w:rPr>
          <w:sz w:val="24"/>
        </w:rPr>
        <w:t>tanto</w:t>
      </w:r>
      <w:r>
        <w:rPr>
          <w:spacing w:val="-51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nivel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departamental,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municipal,</w:t>
      </w:r>
      <w:r>
        <w:rPr>
          <w:spacing w:val="-14"/>
          <w:sz w:val="24"/>
        </w:rPr>
        <w:t> </w:t>
      </w:r>
      <w:r>
        <w:rPr>
          <w:sz w:val="24"/>
        </w:rPr>
        <w:t>por</w:t>
      </w:r>
      <w:r>
        <w:rPr>
          <w:spacing w:val="-11"/>
          <w:sz w:val="24"/>
        </w:rPr>
        <w:t> </w:t>
      </w:r>
      <w:r>
        <w:rPr>
          <w:sz w:val="24"/>
        </w:rPr>
        <w:t>área</w:t>
      </w:r>
      <w:r>
        <w:rPr>
          <w:spacing w:val="-14"/>
          <w:sz w:val="24"/>
        </w:rPr>
        <w:t> </w:t>
      </w:r>
      <w:r>
        <w:rPr>
          <w:sz w:val="24"/>
        </w:rPr>
        <w:t>urbano</w:t>
      </w:r>
      <w:r>
        <w:rPr>
          <w:spacing w:val="-11"/>
          <w:sz w:val="24"/>
        </w:rPr>
        <w:t> </w:t>
      </w:r>
      <w:r>
        <w:rPr>
          <w:sz w:val="24"/>
        </w:rPr>
        <w:t>rural,</w:t>
      </w:r>
      <w:r>
        <w:rPr>
          <w:spacing w:val="-11"/>
          <w:sz w:val="24"/>
        </w:rPr>
        <w:t> </w:t>
      </w:r>
      <w:r>
        <w:rPr>
          <w:sz w:val="24"/>
        </w:rPr>
        <w:t>por</w:t>
      </w:r>
      <w:r>
        <w:rPr>
          <w:spacing w:val="-10"/>
          <w:sz w:val="24"/>
        </w:rPr>
        <w:t> </w:t>
      </w:r>
      <w:r>
        <w:rPr>
          <w:sz w:val="24"/>
        </w:rPr>
        <w:t>sexo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etnia.</w:t>
      </w:r>
      <w:r>
        <w:rPr>
          <w:spacing w:val="-12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Anexo:</w:t>
      </w:r>
      <w:r>
        <w:rPr>
          <w:spacing w:val="-10"/>
          <w:sz w:val="24"/>
        </w:rPr>
        <w:t> </w:t>
      </w:r>
      <w:r>
        <w:rPr>
          <w:sz w:val="24"/>
        </w:rPr>
        <w:t>SEN</w:t>
      </w:r>
      <w:r>
        <w:rPr>
          <w:spacing w:val="-11"/>
          <w:sz w:val="24"/>
        </w:rPr>
        <w:t> </w:t>
      </w:r>
      <w:r>
        <w:rPr>
          <w:sz w:val="24"/>
        </w:rPr>
        <w:t>-</w:t>
      </w:r>
      <w:r>
        <w:rPr>
          <w:spacing w:val="-11"/>
          <w:sz w:val="24"/>
        </w:rPr>
        <w:t> </w:t>
      </w:r>
      <w:r>
        <w:rPr>
          <w:sz w:val="24"/>
        </w:rPr>
        <w:t>Datos</w:t>
      </w:r>
      <w:r>
        <w:rPr>
          <w:spacing w:val="-51"/>
          <w:sz w:val="24"/>
        </w:rPr>
        <w:t> </w:t>
      </w:r>
      <w:r>
        <w:rPr>
          <w:sz w:val="24"/>
        </w:rPr>
        <w:t>sobre cobertura se muestran las estadísticas compiladas y generadas y se puede ejemplificar el</w:t>
      </w:r>
      <w:r>
        <w:rPr>
          <w:spacing w:val="1"/>
          <w:sz w:val="24"/>
        </w:rPr>
        <w:t> </w:t>
      </w:r>
      <w:r>
        <w:rPr>
          <w:sz w:val="24"/>
        </w:rPr>
        <w:t>impacto</w:t>
      </w:r>
      <w:r>
        <w:rPr>
          <w:spacing w:val="-3"/>
          <w:sz w:val="24"/>
        </w:rPr>
        <w:t> </w:t>
      </w:r>
      <w:r>
        <w:rPr>
          <w:sz w:val="24"/>
        </w:rPr>
        <w:t>en todos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niveles, de</w:t>
      </w:r>
      <w:r>
        <w:rPr>
          <w:spacing w:val="1"/>
          <w:sz w:val="24"/>
        </w:rPr>
        <w:t> </w:t>
      </w:r>
      <w:r>
        <w:rPr>
          <w:sz w:val="24"/>
        </w:rPr>
        <w:t>forma</w:t>
      </w:r>
      <w:r>
        <w:rPr>
          <w:spacing w:val="-1"/>
          <w:sz w:val="24"/>
        </w:rPr>
        <w:t> </w:t>
      </w:r>
      <w:r>
        <w:rPr>
          <w:sz w:val="24"/>
        </w:rPr>
        <w:t>diferenciada.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78" w:right="1071" w:firstLine="0"/>
        <w:jc w:val="both"/>
        <w:rPr>
          <w:sz w:val="24"/>
        </w:rPr>
      </w:pPr>
      <w:r>
        <w:rPr>
          <w:sz w:val="24"/>
        </w:rPr>
        <w:t>Un hecho que sobresale es que la brecha se redujo. La gráfica 1 relaciona el nivel de brecha con</w:t>
      </w:r>
      <w:r>
        <w:rPr>
          <w:spacing w:val="1"/>
          <w:sz w:val="24"/>
        </w:rPr>
        <w:t> </w:t>
      </w:r>
      <w:r>
        <w:rPr>
          <w:sz w:val="24"/>
        </w:rPr>
        <w:t>su variación respecto al año 2019, se puede ver que la brecha 2021 tiene a reducirse en función</w:t>
      </w:r>
      <w:r>
        <w:rPr>
          <w:spacing w:val="1"/>
          <w:sz w:val="24"/>
        </w:rPr>
        <w:t> </w:t>
      </w:r>
      <w:r>
        <w:rPr>
          <w:sz w:val="24"/>
        </w:rPr>
        <w:t>de la magnitud de la diferencia entre 2019 y 2021, lo cual a su vez se explica por la baja de tasa</w:t>
      </w:r>
      <w:r>
        <w:rPr>
          <w:spacing w:val="1"/>
          <w:sz w:val="24"/>
        </w:rPr>
        <w:t> </w:t>
      </w:r>
      <w:r>
        <w:rPr>
          <w:sz w:val="24"/>
        </w:rPr>
        <w:t>de cobertura</w:t>
      </w:r>
      <w:r>
        <w:rPr>
          <w:spacing w:val="-1"/>
          <w:sz w:val="24"/>
        </w:rPr>
        <w:t> </w:t>
      </w:r>
      <w:r>
        <w:rPr>
          <w:sz w:val="24"/>
        </w:rPr>
        <w:t>en hombres.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pict>
          <v:rect style="position:absolute;margin-left:563.880005pt;margin-top:18.732271pt;width:25.44pt;height:1.4399pt;mso-position-horizontal-relative:page;mso-position-vertical-relative:paragraph;z-index:-1554636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ind w:right="211"/>
      </w:pPr>
      <w:r>
        <w:rPr/>
        <w:t>85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497024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27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spacing w:before="59"/>
        <w:ind w:left="278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59">
            <wp:simplePos x="0" y="0"/>
            <wp:positionH relativeFrom="page">
              <wp:posOffset>900430</wp:posOffset>
            </wp:positionH>
            <wp:positionV relativeFrom="paragraph">
              <wp:posOffset>280181</wp:posOffset>
            </wp:positionV>
            <wp:extent cx="6282382" cy="3450431"/>
            <wp:effectExtent l="0" t="0" r="0" b="0"/>
            <wp:wrapTopAndBottom/>
            <wp:docPr id="279" name="image88.jpeg" descr="Gráfico, Gráfico de dispersión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8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382" cy="345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Gráfica</w:t>
      </w:r>
      <w:r>
        <w:rPr>
          <w:spacing w:val="-2"/>
          <w:sz w:val="20"/>
        </w:rPr>
        <w:t> </w:t>
      </w:r>
      <w:r>
        <w:rPr>
          <w:sz w:val="20"/>
        </w:rPr>
        <w:t>1.</w:t>
      </w:r>
      <w:r>
        <w:rPr>
          <w:spacing w:val="-1"/>
          <w:sz w:val="20"/>
        </w:rPr>
        <w:t> </w:t>
      </w:r>
      <w:r>
        <w:rPr>
          <w:sz w:val="20"/>
        </w:rPr>
        <w:t>Relación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tasa</w:t>
      </w:r>
      <w:r>
        <w:rPr>
          <w:spacing w:val="1"/>
          <w:sz w:val="20"/>
        </w:rPr>
        <w:t> </w:t>
      </w:r>
      <w:r>
        <w:rPr>
          <w:sz w:val="20"/>
        </w:rPr>
        <w:t>bruta</w:t>
      </w:r>
      <w:r>
        <w:rPr>
          <w:spacing w:val="-2"/>
          <w:sz w:val="20"/>
        </w:rPr>
        <w:t> </w:t>
      </w:r>
      <w:r>
        <w:rPr>
          <w:sz w:val="20"/>
        </w:rPr>
        <w:t>y el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diferencia de</w:t>
      </w:r>
      <w:r>
        <w:rPr>
          <w:spacing w:val="-2"/>
          <w:sz w:val="20"/>
        </w:rPr>
        <w:t> </w:t>
      </w:r>
      <w:r>
        <w:rPr>
          <w:sz w:val="20"/>
        </w:rPr>
        <w:t>tasa</w:t>
      </w:r>
      <w:r>
        <w:rPr>
          <w:spacing w:val="-2"/>
          <w:sz w:val="20"/>
        </w:rPr>
        <w:t> </w:t>
      </w:r>
      <w:r>
        <w:rPr>
          <w:sz w:val="20"/>
        </w:rPr>
        <w:t>2021</w:t>
      </w:r>
      <w:r>
        <w:rPr>
          <w:spacing w:val="-2"/>
          <w:sz w:val="20"/>
        </w:rPr>
        <w:t> </w:t>
      </w:r>
      <w:r>
        <w:rPr>
          <w:sz w:val="20"/>
        </w:rPr>
        <w:t>respecto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2019.</w:t>
      </w:r>
    </w:p>
    <w:p>
      <w:pPr>
        <w:spacing w:before="0"/>
        <w:ind w:left="278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1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base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cálculos sobre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2"/>
          <w:sz w:val="20"/>
        </w:rPr>
        <w:t> </w:t>
      </w:r>
      <w:r>
        <w:rPr>
          <w:sz w:val="20"/>
        </w:rPr>
        <w:t>base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3"/>
          <w:sz w:val="20"/>
        </w:rPr>
        <w:t> </w:t>
      </w:r>
      <w:r>
        <w:rPr>
          <w:sz w:val="20"/>
        </w:rPr>
        <w:t>Anexo:</w:t>
      </w:r>
      <w:r>
        <w:rPr>
          <w:spacing w:val="-2"/>
          <w:sz w:val="20"/>
        </w:rPr>
        <w:t> </w:t>
      </w:r>
      <w:r>
        <w:rPr>
          <w:sz w:val="20"/>
        </w:rPr>
        <w:t>SEN -</w:t>
      </w:r>
      <w:r>
        <w:rPr>
          <w:spacing w:val="-3"/>
          <w:sz w:val="20"/>
        </w:rPr>
        <w:t> </w:t>
      </w:r>
      <w:r>
        <w:rPr>
          <w:sz w:val="20"/>
        </w:rPr>
        <w:t>Datos</w:t>
      </w:r>
      <w:r>
        <w:rPr>
          <w:spacing w:val="-3"/>
          <w:sz w:val="20"/>
        </w:rPr>
        <w:t> </w:t>
      </w:r>
      <w:r>
        <w:rPr>
          <w:sz w:val="20"/>
        </w:rPr>
        <w:t>sobre</w:t>
      </w:r>
      <w:r>
        <w:rPr>
          <w:spacing w:val="-3"/>
          <w:sz w:val="20"/>
        </w:rPr>
        <w:t> </w:t>
      </w:r>
      <w:r>
        <w:rPr>
          <w:sz w:val="20"/>
        </w:rPr>
        <w:t>cobertura.</w:t>
      </w:r>
    </w:p>
    <w:p>
      <w:pPr>
        <w:pStyle w:val="BodyText"/>
        <w:spacing w:before="6"/>
        <w:rPr>
          <w:sz w:val="19"/>
        </w:rPr>
      </w:pPr>
    </w:p>
    <w:p>
      <w:pPr>
        <w:pStyle w:val="Heading3"/>
        <w:numPr>
          <w:ilvl w:val="0"/>
          <w:numId w:val="7"/>
        </w:numPr>
        <w:tabs>
          <w:tab w:pos="639" w:val="left" w:leader="none"/>
        </w:tabs>
        <w:spacing w:line="240" w:lineRule="auto" w:before="0" w:after="0"/>
        <w:ind w:left="638" w:right="0" w:hanging="361"/>
        <w:jc w:val="left"/>
      </w:pPr>
      <w:bookmarkStart w:name="_bookmark110" w:id="153"/>
      <w:bookmarkEnd w:id="153"/>
      <w:r>
        <w:rPr>
          <w:b w:val="0"/>
        </w:rPr>
      </w:r>
      <w:bookmarkStart w:name="_bookmark110" w:id="154"/>
      <w:bookmarkEnd w:id="154"/>
      <w:r>
        <w:rPr>
          <w:color w:val="1F4E79"/>
        </w:rPr>
        <w:t>Est</w:t>
      </w:r>
      <w:r>
        <w:rPr>
          <w:color w:val="1F4E79"/>
        </w:rPr>
        <w:t>rategia</w:t>
      </w:r>
      <w:r>
        <w:rPr>
          <w:color w:val="1F4E79"/>
          <w:spacing w:val="-4"/>
        </w:rPr>
        <w:t> </w:t>
      </w:r>
      <w:r>
        <w:rPr>
          <w:color w:val="1F4E79"/>
        </w:rPr>
        <w:t>de</w:t>
      </w:r>
      <w:r>
        <w:rPr>
          <w:color w:val="1F4E79"/>
          <w:spacing w:val="-3"/>
        </w:rPr>
        <w:t> </w:t>
      </w:r>
      <w:r>
        <w:rPr>
          <w:color w:val="1F4E79"/>
        </w:rPr>
        <w:t>atención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ListParagraph"/>
        <w:numPr>
          <w:ilvl w:val="1"/>
          <w:numId w:val="7"/>
        </w:numPr>
        <w:tabs>
          <w:tab w:pos="998" w:val="left" w:leader="none"/>
          <w:tab w:pos="999" w:val="left" w:leader="none"/>
        </w:tabs>
        <w:spacing w:line="240" w:lineRule="auto" w:before="0" w:after="0"/>
        <w:ind w:left="998" w:right="0" w:hanging="721"/>
        <w:jc w:val="left"/>
        <w:rPr>
          <w:b/>
          <w:sz w:val="24"/>
        </w:rPr>
      </w:pPr>
      <w:bookmarkStart w:name="_bookmark111" w:id="155"/>
      <w:bookmarkEnd w:id="155"/>
      <w:r>
        <w:rPr/>
      </w:r>
      <w:bookmarkStart w:name="_bookmark111" w:id="156"/>
      <w:bookmarkEnd w:id="156"/>
      <w:r>
        <w:rPr>
          <w:b/>
          <w:color w:val="1F4E79"/>
          <w:sz w:val="24"/>
        </w:rPr>
        <w:t>Anteceden</w:t>
      </w:r>
      <w:r>
        <w:rPr>
          <w:b/>
          <w:color w:val="1F4E79"/>
          <w:sz w:val="24"/>
        </w:rPr>
        <w:t>tes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4"/>
        <w:rPr>
          <w:b/>
          <w:sz w:val="35"/>
        </w:rPr>
      </w:pPr>
    </w:p>
    <w:p>
      <w:pPr>
        <w:spacing w:before="0"/>
        <w:ind w:left="278" w:right="1083" w:firstLine="0"/>
        <w:jc w:val="both"/>
        <w:rPr>
          <w:sz w:val="20"/>
        </w:rPr>
      </w:pPr>
      <w:r>
        <w:rPr>
          <w:sz w:val="20"/>
        </w:rPr>
        <w:t>En el marco de la PGG2020-2024, en el Pilar Desarrollo Social, en el cual, se estableció el objetivo de atender de</w:t>
      </w:r>
      <w:r>
        <w:rPr>
          <w:spacing w:val="1"/>
          <w:sz w:val="20"/>
        </w:rPr>
        <w:t> </w:t>
      </w:r>
      <w:r>
        <w:rPr>
          <w:sz w:val="20"/>
        </w:rPr>
        <w:t>manera directa y efectiva a los más pobres, estableciendo compensadores sociales efectivos y focalizados, para lo</w:t>
      </w:r>
      <w:r>
        <w:rPr>
          <w:spacing w:val="1"/>
          <w:sz w:val="20"/>
        </w:rPr>
        <w:t> </w:t>
      </w:r>
      <w:r>
        <w:rPr>
          <w:sz w:val="20"/>
        </w:rPr>
        <w:t>cual</w:t>
      </w:r>
      <w:r>
        <w:rPr>
          <w:spacing w:val="-2"/>
          <w:sz w:val="20"/>
        </w:rPr>
        <w:t> </w:t>
      </w:r>
      <w:r>
        <w:rPr>
          <w:sz w:val="20"/>
        </w:rPr>
        <w:t>definieron</w:t>
      </w:r>
      <w:r>
        <w:rPr>
          <w:spacing w:val="-1"/>
          <w:sz w:val="20"/>
        </w:rPr>
        <w:t> </w:t>
      </w:r>
      <w:r>
        <w:rPr>
          <w:sz w:val="20"/>
        </w:rPr>
        <w:t>25</w:t>
      </w:r>
      <w:r>
        <w:rPr>
          <w:spacing w:val="1"/>
          <w:sz w:val="20"/>
        </w:rPr>
        <w:t> </w:t>
      </w:r>
      <w:r>
        <w:rPr>
          <w:sz w:val="20"/>
        </w:rPr>
        <w:t>metas,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las</w:t>
      </w:r>
      <w:r>
        <w:rPr>
          <w:spacing w:val="-3"/>
          <w:sz w:val="20"/>
        </w:rPr>
        <w:t> </w:t>
      </w:r>
      <w:r>
        <w:rPr>
          <w:sz w:val="20"/>
        </w:rPr>
        <w:t>cuales,</w:t>
      </w:r>
      <w:r>
        <w:rPr>
          <w:spacing w:val="-1"/>
          <w:sz w:val="20"/>
        </w:rPr>
        <w:t> </w:t>
      </w:r>
      <w:r>
        <w:rPr>
          <w:sz w:val="20"/>
        </w:rPr>
        <w:t>10</w:t>
      </w:r>
      <w:r>
        <w:rPr>
          <w:spacing w:val="-2"/>
          <w:sz w:val="20"/>
        </w:rPr>
        <w:t> </w:t>
      </w:r>
      <w:r>
        <w:rPr>
          <w:sz w:val="20"/>
        </w:rPr>
        <w:t>pertenecen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Educación,</w:t>
      </w:r>
      <w:r>
        <w:rPr>
          <w:spacing w:val="-1"/>
          <w:sz w:val="20"/>
        </w:rPr>
        <w:t> </w:t>
      </w:r>
      <w:r>
        <w:rPr>
          <w:sz w:val="20"/>
        </w:rPr>
        <w:t>siendo</w:t>
      </w:r>
      <w:r>
        <w:rPr>
          <w:spacing w:val="-1"/>
          <w:sz w:val="20"/>
        </w:rPr>
        <w:t> </w:t>
      </w:r>
      <w:r>
        <w:rPr>
          <w:sz w:val="20"/>
        </w:rPr>
        <w:t>éstas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3"/>
          <w:sz w:val="20"/>
        </w:rPr>
        <w:t> </w:t>
      </w:r>
      <w:r>
        <w:rPr>
          <w:sz w:val="20"/>
        </w:rPr>
        <w:t>que se</w:t>
      </w:r>
      <w:r>
        <w:rPr>
          <w:spacing w:val="-2"/>
          <w:sz w:val="20"/>
        </w:rPr>
        <w:t> </w:t>
      </w:r>
      <w:r>
        <w:rPr>
          <w:sz w:val="20"/>
        </w:rPr>
        <w:t>listan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continuación:</w:t>
      </w: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298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8"/>
        <w:gridCol w:w="8827"/>
      </w:tblGrid>
      <w:tr>
        <w:trPr>
          <w:trHeight w:val="273" w:hRule="atLeast"/>
        </w:trPr>
        <w:tc>
          <w:tcPr>
            <w:tcW w:w="92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>
            <w:pPr>
              <w:pStyle w:val="TableParagraph"/>
              <w:spacing w:line="232" w:lineRule="exact" w:before="20"/>
              <w:ind w:left="11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Metas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para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el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2023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relacionadas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Educación</w:t>
            </w:r>
          </w:p>
        </w:tc>
      </w:tr>
      <w:tr>
        <w:trPr>
          <w:trHeight w:val="234" w:hRule="atLeast"/>
        </w:trPr>
        <w:tc>
          <w:tcPr>
            <w:tcW w:w="378" w:type="dxa"/>
            <w:tcBorders>
              <w:right w:val="nil"/>
            </w:tcBorders>
          </w:tcPr>
          <w:p>
            <w:pPr>
              <w:pStyle w:val="TableParagraph"/>
              <w:spacing w:line="215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8827" w:type="dxa"/>
            <w:tcBorders>
              <w:left w:val="nil"/>
            </w:tcBorders>
          </w:tcPr>
          <w:p>
            <w:pPr>
              <w:pStyle w:val="TableParagraph"/>
              <w:spacing w:line="215" w:lineRule="exact"/>
              <w:ind w:left="178"/>
              <w:rPr>
                <w:sz w:val="20"/>
              </w:rPr>
            </w:pPr>
            <w:r>
              <w:rPr>
                <w:sz w:val="20"/>
              </w:rPr>
              <w:t>Incremento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neta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cobertura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Preprimaria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12%.</w:t>
            </w:r>
          </w:p>
        </w:tc>
      </w:tr>
      <w:tr>
        <w:trPr>
          <w:trHeight w:val="244" w:hRule="atLeast"/>
        </w:trPr>
        <w:tc>
          <w:tcPr>
            <w:tcW w:w="378" w:type="dxa"/>
            <w:tcBorders>
              <w:right w:val="nil"/>
            </w:tcBorders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8827" w:type="dxa"/>
            <w:tcBorders>
              <w:left w:val="nil"/>
            </w:tcBorders>
          </w:tcPr>
          <w:p>
            <w:pPr>
              <w:pStyle w:val="TableParagraph"/>
              <w:spacing w:line="223" w:lineRule="exact" w:before="1"/>
              <w:ind w:left="178"/>
              <w:rPr>
                <w:sz w:val="20"/>
              </w:rPr>
            </w:pPr>
            <w:r>
              <w:rPr>
                <w:sz w:val="20"/>
              </w:rPr>
              <w:t>Incremento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neta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cobertura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Primaria en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17%.</w:t>
            </w:r>
          </w:p>
        </w:tc>
      </w:tr>
      <w:tr>
        <w:trPr>
          <w:trHeight w:val="244" w:hRule="atLeast"/>
        </w:trPr>
        <w:tc>
          <w:tcPr>
            <w:tcW w:w="378" w:type="dxa"/>
            <w:tcBorders>
              <w:right w:val="nil"/>
            </w:tcBorders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8827" w:type="dxa"/>
            <w:tcBorders>
              <w:left w:val="nil"/>
            </w:tcBorders>
          </w:tcPr>
          <w:p>
            <w:pPr>
              <w:pStyle w:val="TableParagraph"/>
              <w:spacing w:line="223" w:lineRule="exact" w:before="1"/>
              <w:ind w:left="178"/>
              <w:rPr>
                <w:sz w:val="20"/>
              </w:rPr>
            </w:pPr>
            <w:r>
              <w:rPr>
                <w:sz w:val="20"/>
              </w:rPr>
              <w:t>Incremento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cobertura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medio: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Ciclo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Básico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17%</w:t>
            </w:r>
          </w:p>
        </w:tc>
      </w:tr>
      <w:tr>
        <w:trPr>
          <w:trHeight w:val="243" w:hRule="atLeast"/>
        </w:trPr>
        <w:tc>
          <w:tcPr>
            <w:tcW w:w="378" w:type="dxa"/>
            <w:tcBorders>
              <w:right w:val="nil"/>
            </w:tcBorders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8827" w:type="dxa"/>
            <w:tcBorders>
              <w:left w:val="nil"/>
            </w:tcBorders>
          </w:tcPr>
          <w:p>
            <w:pPr>
              <w:pStyle w:val="TableParagraph"/>
              <w:spacing w:line="223" w:lineRule="exact" w:before="1"/>
              <w:ind w:left="178"/>
              <w:rPr>
                <w:sz w:val="20"/>
              </w:rPr>
            </w:pPr>
            <w:r>
              <w:rPr>
                <w:sz w:val="20"/>
              </w:rPr>
              <w:t>Incremento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neta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cobertura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Medio: Ciclo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diversificado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11%.</w:t>
            </w:r>
          </w:p>
        </w:tc>
      </w:tr>
      <w:tr>
        <w:trPr>
          <w:trHeight w:val="244" w:hRule="atLeast"/>
        </w:trPr>
        <w:tc>
          <w:tcPr>
            <w:tcW w:w="378" w:type="dxa"/>
            <w:tcBorders>
              <w:right w:val="nil"/>
            </w:tcBorders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8827" w:type="dxa"/>
            <w:tcBorders>
              <w:left w:val="nil"/>
            </w:tcBorders>
          </w:tcPr>
          <w:p>
            <w:pPr>
              <w:pStyle w:val="TableParagraph"/>
              <w:spacing w:line="223" w:lineRule="exact" w:before="1"/>
              <w:ind w:left="178"/>
              <w:rPr>
                <w:sz w:val="20"/>
              </w:rPr>
            </w:pPr>
            <w:r>
              <w:rPr>
                <w:sz w:val="20"/>
              </w:rPr>
              <w:t>Reducción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porcentaje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población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analfabeta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5.09%.</w:t>
            </w:r>
          </w:p>
        </w:tc>
      </w:tr>
      <w:tr>
        <w:trPr>
          <w:trHeight w:val="243" w:hRule="atLeast"/>
        </w:trPr>
        <w:tc>
          <w:tcPr>
            <w:tcW w:w="378" w:type="dxa"/>
            <w:tcBorders>
              <w:right w:val="nil"/>
            </w:tcBorders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8827" w:type="dxa"/>
            <w:tcBorders>
              <w:left w:val="nil"/>
            </w:tcBorders>
          </w:tcPr>
          <w:p>
            <w:pPr>
              <w:pStyle w:val="TableParagraph"/>
              <w:spacing w:line="223" w:lineRule="exact" w:before="1"/>
              <w:ind w:left="178"/>
              <w:rPr>
                <w:sz w:val="20"/>
              </w:rPr>
            </w:pPr>
            <w:r>
              <w:rPr>
                <w:sz w:val="20"/>
              </w:rPr>
              <w:t>Incremento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cobertura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seguro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médico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escolar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millones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niños.</w:t>
            </w:r>
          </w:p>
        </w:tc>
      </w:tr>
      <w:tr>
        <w:trPr>
          <w:trHeight w:val="244" w:hRule="atLeast"/>
        </w:trPr>
        <w:tc>
          <w:tcPr>
            <w:tcW w:w="378" w:type="dxa"/>
            <w:tcBorders>
              <w:right w:val="nil"/>
            </w:tcBorders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8827" w:type="dxa"/>
            <w:tcBorders>
              <w:left w:val="nil"/>
            </w:tcBorders>
          </w:tcPr>
          <w:p>
            <w:pPr>
              <w:pStyle w:val="TableParagraph"/>
              <w:spacing w:line="223" w:lineRule="exact" w:before="1"/>
              <w:ind w:left="178"/>
              <w:rPr>
                <w:sz w:val="20"/>
              </w:rPr>
            </w:pPr>
            <w:r>
              <w:rPr>
                <w:sz w:val="20"/>
              </w:rPr>
              <w:t>Incremento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inversión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alimentación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escolar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Q830.4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millones.</w:t>
            </w:r>
          </w:p>
        </w:tc>
      </w:tr>
      <w:tr>
        <w:trPr>
          <w:trHeight w:val="244" w:hRule="atLeast"/>
        </w:trPr>
        <w:tc>
          <w:tcPr>
            <w:tcW w:w="378" w:type="dxa"/>
            <w:tcBorders>
              <w:right w:val="nil"/>
            </w:tcBorders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8827" w:type="dxa"/>
            <w:tcBorders>
              <w:left w:val="nil"/>
            </w:tcBorders>
          </w:tcPr>
          <w:p>
            <w:pPr>
              <w:pStyle w:val="TableParagraph"/>
              <w:spacing w:line="223" w:lineRule="exact" w:before="1"/>
              <w:ind w:left="178"/>
              <w:rPr>
                <w:sz w:val="20"/>
              </w:rPr>
            </w:pPr>
            <w:r>
              <w:rPr>
                <w:sz w:val="20"/>
              </w:rPr>
              <w:t>Incremento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cantidad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becas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escolares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estudiantes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ciclo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básico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diversificado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19,579.</w:t>
            </w:r>
          </w:p>
        </w:tc>
      </w:tr>
      <w:tr>
        <w:trPr>
          <w:trHeight w:val="243" w:hRule="atLeast"/>
        </w:trPr>
        <w:tc>
          <w:tcPr>
            <w:tcW w:w="378" w:type="dxa"/>
            <w:tcBorders>
              <w:right w:val="nil"/>
            </w:tcBorders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8827" w:type="dxa"/>
            <w:tcBorders>
              <w:left w:val="nil"/>
            </w:tcBorders>
          </w:tcPr>
          <w:p>
            <w:pPr>
              <w:pStyle w:val="TableParagraph"/>
              <w:spacing w:line="223" w:lineRule="exact" w:before="1"/>
              <w:ind w:left="178"/>
              <w:rPr>
                <w:sz w:val="20"/>
              </w:rPr>
            </w:pPr>
            <w:r>
              <w:rPr>
                <w:sz w:val="20"/>
              </w:rPr>
              <w:t>Incremento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número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maestros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graduados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licenciatura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8,610.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  <w:r>
        <w:rPr/>
        <w:pict>
          <v:rect style="position:absolute;margin-left:563.880005pt;margin-top:9.215006pt;width:25.44pt;height:1.4399pt;mso-position-horizontal-relative:page;mso-position-vertical-relative:paragraph;z-index:-1554432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240" w:lineRule="auto" w:after="12"/>
        <w:ind w:right="211"/>
      </w:pPr>
      <w:r>
        <w:rPr/>
        <w:t>86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498560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28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</w:rPr>
      </w:pPr>
    </w:p>
    <w:tbl>
      <w:tblPr>
        <w:tblW w:w="0" w:type="auto"/>
        <w:jc w:val="left"/>
        <w:tblInd w:w="298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"/>
        <w:gridCol w:w="8777"/>
      </w:tblGrid>
      <w:tr>
        <w:trPr>
          <w:trHeight w:val="243" w:hRule="atLeast"/>
        </w:trPr>
        <w:tc>
          <w:tcPr>
            <w:tcW w:w="428" w:type="dxa"/>
            <w:tcBorders>
              <w:right w:val="nil"/>
            </w:tcBorders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8777" w:type="dxa"/>
            <w:tcBorders>
              <w:left w:val="nil"/>
            </w:tcBorders>
          </w:tcPr>
          <w:p>
            <w:pPr>
              <w:pStyle w:val="TableParagraph"/>
              <w:spacing w:line="223" w:lineRule="exact" w:before="1"/>
              <w:ind w:left="128"/>
              <w:rPr>
                <w:sz w:val="20"/>
              </w:rPr>
            </w:pPr>
            <w:r>
              <w:rPr>
                <w:sz w:val="20"/>
              </w:rPr>
              <w:t>Incrementado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8,000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número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maestros.</w:t>
            </w:r>
          </w:p>
        </w:tc>
      </w:tr>
    </w:tbl>
    <w:p>
      <w:pPr>
        <w:spacing w:line="219" w:lineRule="exact" w:before="1"/>
        <w:ind w:left="278" w:right="0" w:firstLine="0"/>
        <w:jc w:val="both"/>
        <w:rPr>
          <w:sz w:val="18"/>
        </w:rPr>
      </w:pPr>
      <w:r>
        <w:rPr>
          <w:sz w:val="18"/>
        </w:rPr>
        <w:t>Fuente:</w:t>
      </w:r>
      <w:r>
        <w:rPr>
          <w:spacing w:val="-3"/>
          <w:sz w:val="18"/>
        </w:rPr>
        <w:t> </w:t>
      </w:r>
      <w:r>
        <w:rPr>
          <w:sz w:val="18"/>
        </w:rPr>
        <w:t>Elaboración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3"/>
          <w:sz w:val="18"/>
        </w:rPr>
        <w:t> </w:t>
      </w:r>
      <w:r>
        <w:rPr>
          <w:sz w:val="18"/>
        </w:rPr>
        <w:t>a partir</w:t>
      </w:r>
      <w:r>
        <w:rPr>
          <w:spacing w:val="-2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PEI,</w:t>
      </w:r>
      <w:r>
        <w:rPr>
          <w:spacing w:val="-2"/>
          <w:sz w:val="18"/>
        </w:rPr>
        <w:t> </w:t>
      </w:r>
      <w:r>
        <w:rPr>
          <w:sz w:val="18"/>
        </w:rPr>
        <w:t>2020-2024.</w:t>
      </w:r>
    </w:p>
    <w:p>
      <w:pPr>
        <w:spacing w:line="240" w:lineRule="auto" w:before="0"/>
        <w:ind w:left="278" w:right="1074" w:firstLine="0"/>
        <w:jc w:val="both"/>
        <w:rPr>
          <w:sz w:val="24"/>
        </w:rPr>
      </w:pPr>
      <w:r>
        <w:rPr>
          <w:sz w:val="24"/>
        </w:rPr>
        <w:t>Ante los desafíos planteados para el período 2020-2024 para reducir la baja cobertura en el</w:t>
      </w:r>
      <w:r>
        <w:rPr>
          <w:spacing w:val="1"/>
          <w:sz w:val="24"/>
        </w:rPr>
        <w:t> </w:t>
      </w:r>
      <w:r>
        <w:rPr>
          <w:sz w:val="24"/>
        </w:rPr>
        <w:t>Sistema Educativo Nacional, a inicios de 2020, se sumó la pandemia COVID-19 la cual, ocasionó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-6"/>
          <w:sz w:val="24"/>
        </w:rPr>
        <w:t> </w:t>
      </w:r>
      <w:r>
        <w:rPr>
          <w:sz w:val="24"/>
        </w:rPr>
        <w:t>situación</w:t>
      </w:r>
      <w:r>
        <w:rPr>
          <w:spacing w:val="-4"/>
          <w:sz w:val="24"/>
        </w:rPr>
        <w:t> </w:t>
      </w:r>
      <w:r>
        <w:rPr>
          <w:sz w:val="24"/>
        </w:rPr>
        <w:t>inédita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7"/>
          <w:sz w:val="24"/>
        </w:rPr>
        <w:t> </w:t>
      </w:r>
      <w:r>
        <w:rPr>
          <w:sz w:val="24"/>
        </w:rPr>
        <w:t>imprevista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promovió</w:t>
      </w:r>
      <w:r>
        <w:rPr>
          <w:spacing w:val="-9"/>
          <w:sz w:val="24"/>
        </w:rPr>
        <w:t> </w:t>
      </w:r>
      <w:r>
        <w:rPr>
          <w:sz w:val="24"/>
        </w:rPr>
        <w:t>ajustes</w:t>
      </w:r>
      <w:r>
        <w:rPr>
          <w:spacing w:val="-4"/>
          <w:sz w:val="24"/>
        </w:rPr>
        <w:t> </w:t>
      </w:r>
      <w:r>
        <w:rPr>
          <w:sz w:val="24"/>
        </w:rPr>
        <w:t>importantes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transcendentales,</w:t>
      </w:r>
      <w:r>
        <w:rPr>
          <w:spacing w:val="-6"/>
          <w:sz w:val="24"/>
        </w:rPr>
        <w:t> </w:t>
      </w:r>
      <w:r>
        <w:rPr>
          <w:sz w:val="24"/>
        </w:rPr>
        <w:t>porque</w:t>
      </w:r>
      <w:r>
        <w:rPr>
          <w:spacing w:val="-51"/>
          <w:sz w:val="24"/>
        </w:rPr>
        <w:t> </w:t>
      </w:r>
      <w:r>
        <w:rPr>
          <w:sz w:val="24"/>
        </w:rPr>
        <w:t>obligó al cierre de los centros educativos y, por tanto, el cambio a la modalidad a distancia o</w:t>
      </w:r>
      <w:r>
        <w:rPr>
          <w:spacing w:val="1"/>
          <w:sz w:val="24"/>
        </w:rPr>
        <w:t> </w:t>
      </w:r>
      <w:r>
        <w:rPr>
          <w:sz w:val="24"/>
        </w:rPr>
        <w:t>virtual. Esta coyuntura, generó nuevas dinámicas educativas y obstáculos como el acceso a</w:t>
      </w:r>
      <w:r>
        <w:rPr>
          <w:spacing w:val="1"/>
          <w:sz w:val="24"/>
        </w:rPr>
        <w:t> </w:t>
      </w:r>
      <w:r>
        <w:rPr>
          <w:sz w:val="24"/>
        </w:rPr>
        <w:t>internet en el área rural, acceso a equipo de cómputo y habilidades en el uso de tecnología,</w:t>
      </w:r>
      <w:r>
        <w:rPr>
          <w:spacing w:val="1"/>
          <w:sz w:val="24"/>
        </w:rPr>
        <w:t> </w:t>
      </w:r>
      <w:r>
        <w:rPr>
          <w:sz w:val="24"/>
        </w:rPr>
        <w:t>profundizando aún más la brecha en cobertura para el área rural y para los niños y jóvenes en el</w:t>
      </w:r>
      <w:r>
        <w:rPr>
          <w:spacing w:val="-52"/>
          <w:sz w:val="24"/>
        </w:rPr>
        <w:t> </w:t>
      </w:r>
      <w:r>
        <w:rPr>
          <w:sz w:val="24"/>
        </w:rPr>
        <w:t>Nivel</w:t>
      </w:r>
      <w:r>
        <w:rPr>
          <w:spacing w:val="-6"/>
          <w:sz w:val="24"/>
        </w:rPr>
        <w:t> </w:t>
      </w:r>
      <w:r>
        <w:rPr>
          <w:sz w:val="24"/>
        </w:rPr>
        <w:t>Medio</w:t>
      </w:r>
      <w:r>
        <w:rPr>
          <w:spacing w:val="-5"/>
          <w:sz w:val="24"/>
        </w:rPr>
        <w:t> </w:t>
      </w:r>
      <w:r>
        <w:rPr>
          <w:sz w:val="24"/>
        </w:rPr>
        <w:t>(ciclo</w:t>
      </w:r>
      <w:r>
        <w:rPr>
          <w:spacing w:val="-5"/>
          <w:sz w:val="24"/>
        </w:rPr>
        <w:t> </w:t>
      </w:r>
      <w:r>
        <w:rPr>
          <w:sz w:val="24"/>
        </w:rPr>
        <w:t>básico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diversificado),</w:t>
      </w:r>
      <w:r>
        <w:rPr>
          <w:spacing w:val="-7"/>
          <w:sz w:val="24"/>
        </w:rPr>
        <w:t> </w:t>
      </w:r>
      <w:r>
        <w:rPr>
          <w:sz w:val="24"/>
        </w:rPr>
        <w:t>y,</w:t>
      </w:r>
      <w:r>
        <w:rPr>
          <w:spacing w:val="-7"/>
          <w:sz w:val="24"/>
        </w:rPr>
        <w:t> </w:t>
      </w:r>
      <w:r>
        <w:rPr>
          <w:sz w:val="24"/>
        </w:rPr>
        <w:t>sin</w:t>
      </w:r>
      <w:r>
        <w:rPr>
          <w:spacing w:val="-5"/>
          <w:sz w:val="24"/>
        </w:rPr>
        <w:t> </w:t>
      </w:r>
      <w:r>
        <w:rPr>
          <w:sz w:val="24"/>
        </w:rPr>
        <w:t>embargo,</w:t>
      </w:r>
      <w:r>
        <w:rPr>
          <w:spacing w:val="-6"/>
          <w:sz w:val="24"/>
        </w:rPr>
        <w:t> </w:t>
      </w:r>
      <w:r>
        <w:rPr>
          <w:sz w:val="24"/>
        </w:rPr>
        <w:t>se</w:t>
      </w:r>
      <w:r>
        <w:rPr>
          <w:spacing w:val="-6"/>
          <w:sz w:val="24"/>
        </w:rPr>
        <w:t> </w:t>
      </w:r>
      <w:r>
        <w:rPr>
          <w:sz w:val="24"/>
        </w:rPr>
        <w:t>avanzó</w:t>
      </w:r>
      <w:r>
        <w:rPr>
          <w:spacing w:val="-6"/>
          <w:sz w:val="24"/>
        </w:rPr>
        <w:t> </w:t>
      </w:r>
      <w:r>
        <w:rPr>
          <w:sz w:val="24"/>
        </w:rPr>
        <w:t>paso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paso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avanzar</w:t>
      </w:r>
      <w:r>
        <w:rPr>
          <w:spacing w:val="-6"/>
          <w:sz w:val="24"/>
        </w:rPr>
        <w:t> </w:t>
      </w:r>
      <w:r>
        <w:rPr>
          <w:sz w:val="24"/>
        </w:rPr>
        <w:t>con</w:t>
      </w:r>
      <w:r>
        <w:rPr>
          <w:spacing w:val="-52"/>
          <w:sz w:val="24"/>
        </w:rPr>
        <w:t> </w:t>
      </w:r>
      <w:r>
        <w:rPr>
          <w:sz w:val="24"/>
        </w:rPr>
        <w:t>esta</w:t>
      </w:r>
      <w:r>
        <w:rPr>
          <w:spacing w:val="-3"/>
          <w:sz w:val="24"/>
        </w:rPr>
        <w:t> </w:t>
      </w:r>
      <w:r>
        <w:rPr>
          <w:sz w:val="24"/>
        </w:rPr>
        <w:t>histórica</w:t>
      </w:r>
      <w:r>
        <w:rPr>
          <w:spacing w:val="-2"/>
          <w:sz w:val="24"/>
        </w:rPr>
        <w:t> </w:t>
      </w:r>
      <w:r>
        <w:rPr>
          <w:sz w:val="24"/>
        </w:rPr>
        <w:t>situación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humanidad.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278" w:right="1076" w:firstLine="0"/>
        <w:jc w:val="both"/>
        <w:rPr>
          <w:sz w:val="24"/>
        </w:rPr>
      </w:pPr>
      <w:r>
        <w:rPr>
          <w:sz w:val="24"/>
        </w:rPr>
        <w:t>Además, durante los últimos años el cambio climático ha venido a representar un nuevo reto y</w:t>
      </w:r>
      <w:r>
        <w:rPr>
          <w:spacing w:val="1"/>
          <w:sz w:val="24"/>
        </w:rPr>
        <w:t> </w:t>
      </w:r>
      <w:r>
        <w:rPr>
          <w:sz w:val="24"/>
        </w:rPr>
        <w:t>fenómeno a considerar, por lo que supone las consecuencias de las sequías o inundaciones</w:t>
      </w:r>
      <w:r>
        <w:rPr>
          <w:spacing w:val="1"/>
          <w:sz w:val="24"/>
        </w:rPr>
        <w:t> </w:t>
      </w:r>
      <w:r>
        <w:rPr>
          <w:sz w:val="24"/>
        </w:rPr>
        <w:t>provocadas</w:t>
      </w:r>
      <w:r>
        <w:rPr>
          <w:spacing w:val="-12"/>
          <w:sz w:val="24"/>
        </w:rPr>
        <w:t> </w:t>
      </w:r>
      <w:r>
        <w:rPr>
          <w:sz w:val="24"/>
        </w:rPr>
        <w:t>por</w:t>
      </w:r>
      <w:r>
        <w:rPr>
          <w:spacing w:val="-9"/>
          <w:sz w:val="24"/>
        </w:rPr>
        <w:t> </w:t>
      </w:r>
      <w:r>
        <w:rPr>
          <w:sz w:val="24"/>
        </w:rPr>
        <w:t>estos</w:t>
      </w:r>
      <w:r>
        <w:rPr>
          <w:spacing w:val="-8"/>
          <w:sz w:val="24"/>
        </w:rPr>
        <w:t> </w:t>
      </w:r>
      <w:r>
        <w:rPr>
          <w:sz w:val="24"/>
        </w:rPr>
        <w:t>eventos.</w:t>
      </w:r>
      <w:r>
        <w:rPr>
          <w:spacing w:val="-10"/>
          <w:sz w:val="24"/>
        </w:rPr>
        <w:t> </w:t>
      </w:r>
      <w:r>
        <w:rPr>
          <w:sz w:val="24"/>
        </w:rPr>
        <w:t>Ambas</w:t>
      </w:r>
      <w:r>
        <w:rPr>
          <w:spacing w:val="-9"/>
          <w:sz w:val="24"/>
        </w:rPr>
        <w:t> </w:t>
      </w:r>
      <w:r>
        <w:rPr>
          <w:sz w:val="24"/>
        </w:rPr>
        <w:t>situaciones</w:t>
      </w:r>
      <w:r>
        <w:rPr>
          <w:spacing w:val="-10"/>
          <w:sz w:val="24"/>
        </w:rPr>
        <w:t> </w:t>
      </w:r>
      <w:r>
        <w:rPr>
          <w:sz w:val="24"/>
        </w:rPr>
        <w:t>condicionan</w:t>
      </w:r>
      <w:r>
        <w:rPr>
          <w:spacing w:val="-8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inciden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dinámica</w:t>
      </w:r>
      <w:r>
        <w:rPr>
          <w:spacing w:val="-9"/>
          <w:sz w:val="24"/>
        </w:rPr>
        <w:t> </w:t>
      </w:r>
      <w:r>
        <w:rPr>
          <w:sz w:val="24"/>
        </w:rPr>
        <w:t>educativa</w:t>
      </w:r>
      <w:r>
        <w:rPr>
          <w:spacing w:val="-52"/>
          <w:sz w:val="24"/>
        </w:rPr>
        <w:t> </w:t>
      </w:r>
      <w:r>
        <w:rPr>
          <w:sz w:val="24"/>
        </w:rPr>
        <w:t>de Guatemala.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78" w:right="1070" w:firstLine="0"/>
        <w:jc w:val="both"/>
        <w:rPr>
          <w:sz w:val="24"/>
        </w:rPr>
      </w:pPr>
      <w:r>
        <w:rPr>
          <w:sz w:val="24"/>
        </w:rPr>
        <w:t>En un plano institucional, el MINEDUC plantea 15 líneas estratégicas que permiten organizar las</w:t>
      </w:r>
      <w:r>
        <w:rPr>
          <w:spacing w:val="1"/>
          <w:sz w:val="24"/>
        </w:rPr>
        <w:t> </w:t>
      </w:r>
      <w:r>
        <w:rPr>
          <w:sz w:val="24"/>
        </w:rPr>
        <w:t>metas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resultados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alcanzar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Resultados</w:t>
      </w:r>
      <w:r>
        <w:rPr>
          <w:spacing w:val="1"/>
          <w:sz w:val="24"/>
        </w:rPr>
        <w:t> </w:t>
      </w:r>
      <w:r>
        <w:rPr>
          <w:sz w:val="24"/>
        </w:rPr>
        <w:t>Estratégicos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Desarrollo</w:t>
      </w:r>
      <w:r>
        <w:rPr>
          <w:spacing w:val="1"/>
          <w:sz w:val="24"/>
        </w:rPr>
        <w:t> </w:t>
      </w:r>
      <w:r>
        <w:rPr>
          <w:sz w:val="24"/>
        </w:rPr>
        <w:t>(RED),</w:t>
      </w:r>
      <w:r>
        <w:rPr>
          <w:spacing w:val="1"/>
          <w:sz w:val="24"/>
        </w:rPr>
        <w:t> </w:t>
      </w:r>
      <w:r>
        <w:rPr>
          <w:sz w:val="24"/>
        </w:rPr>
        <w:t>determinados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Metas</w:t>
      </w:r>
      <w:r>
        <w:rPr>
          <w:spacing w:val="1"/>
          <w:sz w:val="24"/>
        </w:rPr>
        <w:t> </w:t>
      </w:r>
      <w:r>
        <w:rPr>
          <w:sz w:val="24"/>
        </w:rPr>
        <w:t>Estratégicas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Desarrollo</w:t>
      </w:r>
      <w:r>
        <w:rPr>
          <w:spacing w:val="1"/>
          <w:sz w:val="24"/>
        </w:rPr>
        <w:t> </w:t>
      </w:r>
      <w:r>
        <w:rPr>
          <w:sz w:val="24"/>
        </w:rPr>
        <w:t>(MED),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Resultados</w:t>
      </w:r>
      <w:r>
        <w:rPr>
          <w:spacing w:val="1"/>
          <w:sz w:val="24"/>
        </w:rPr>
        <w:t> </w:t>
      </w:r>
      <w:r>
        <w:rPr>
          <w:sz w:val="24"/>
        </w:rPr>
        <w:t>Institucionales. De estas líneas estratégicas, 6 están relacionadas con la Cobertura educativa,</w:t>
      </w:r>
      <w:r>
        <w:rPr>
          <w:spacing w:val="1"/>
          <w:sz w:val="24"/>
        </w:rPr>
        <w:t> </w:t>
      </w:r>
      <w:r>
        <w:rPr>
          <w:sz w:val="24"/>
        </w:rPr>
        <w:t>siendo</w:t>
      </w:r>
      <w:r>
        <w:rPr>
          <w:spacing w:val="-3"/>
          <w:sz w:val="24"/>
        </w:rPr>
        <w:t> </w:t>
      </w:r>
      <w:r>
        <w:rPr>
          <w:sz w:val="24"/>
        </w:rPr>
        <w:t>estas:</w:t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278" w:right="1077" w:firstLine="0"/>
        <w:jc w:val="both"/>
        <w:rPr>
          <w:sz w:val="24"/>
        </w:rPr>
      </w:pPr>
      <w:r>
        <w:rPr>
          <w:i/>
          <w:sz w:val="24"/>
        </w:rPr>
        <w:t>Ampliación de cobertura</w:t>
      </w:r>
      <w:r>
        <w:rPr>
          <w:sz w:val="24"/>
        </w:rPr>
        <w:t>: Matriculación, asistencia y permanencia de niños y jóvenes en los</w:t>
      </w:r>
      <w:r>
        <w:rPr>
          <w:spacing w:val="1"/>
          <w:sz w:val="24"/>
        </w:rPr>
        <w:t> </w:t>
      </w:r>
      <w:r>
        <w:rPr>
          <w:sz w:val="24"/>
        </w:rPr>
        <w:t>centros educativos públicos con el propósito de mejorar sus capacidades y lograr su desarrollo</w:t>
      </w:r>
      <w:r>
        <w:rPr>
          <w:spacing w:val="1"/>
          <w:sz w:val="24"/>
        </w:rPr>
        <w:t> </w:t>
      </w:r>
      <w:r>
        <w:rPr>
          <w:sz w:val="24"/>
        </w:rPr>
        <w:t>integral.</w:t>
      </w:r>
    </w:p>
    <w:p>
      <w:pPr>
        <w:pStyle w:val="ListParagraph"/>
        <w:numPr>
          <w:ilvl w:val="0"/>
          <w:numId w:val="9"/>
        </w:numPr>
        <w:tabs>
          <w:tab w:pos="1359" w:val="left" w:leader="none"/>
        </w:tabs>
        <w:spacing w:line="240" w:lineRule="auto" w:before="0" w:after="0"/>
        <w:ind w:left="1358" w:right="1076" w:hanging="360"/>
        <w:jc w:val="both"/>
        <w:rPr>
          <w:sz w:val="24"/>
        </w:rPr>
      </w:pPr>
      <w:r>
        <w:rPr>
          <w:i/>
          <w:sz w:val="24"/>
        </w:rPr>
        <w:t>Educación Inicial</w:t>
      </w:r>
      <w:r>
        <w:rPr>
          <w:sz w:val="24"/>
        </w:rPr>
        <w:t>: Atención integral a niñez de 0 a 5 años con acciones en el área de</w:t>
      </w:r>
      <w:r>
        <w:rPr>
          <w:spacing w:val="1"/>
          <w:sz w:val="24"/>
        </w:rPr>
        <w:t> </w:t>
      </w:r>
      <w:r>
        <w:rPr>
          <w:sz w:val="24"/>
        </w:rPr>
        <w:t>salud, nutrición, apoyo a padres y estimulación temprana, para facilitar su acceso a la</w:t>
      </w:r>
      <w:r>
        <w:rPr>
          <w:spacing w:val="-52"/>
          <w:sz w:val="24"/>
        </w:rPr>
        <w:t> </w:t>
      </w:r>
      <w:r>
        <w:rPr>
          <w:sz w:val="24"/>
        </w:rPr>
        <w:t>educación</w:t>
      </w:r>
      <w:r>
        <w:rPr>
          <w:spacing w:val="-3"/>
          <w:sz w:val="24"/>
        </w:rPr>
        <w:t> </w:t>
      </w:r>
      <w:r>
        <w:rPr>
          <w:sz w:val="24"/>
        </w:rPr>
        <w:t>formal,</w:t>
      </w:r>
      <w:r>
        <w:rPr>
          <w:spacing w:val="-1"/>
          <w:sz w:val="24"/>
        </w:rPr>
        <w:t> </w:t>
      </w:r>
      <w:r>
        <w:rPr>
          <w:sz w:val="24"/>
        </w:rPr>
        <w:t>así</w:t>
      </w:r>
      <w:r>
        <w:rPr>
          <w:spacing w:val="-3"/>
          <w:sz w:val="24"/>
        </w:rPr>
        <w:t> </w:t>
      </w:r>
      <w:r>
        <w:rPr>
          <w:sz w:val="24"/>
        </w:rPr>
        <w:t>como,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proceso</w:t>
      </w:r>
      <w:r>
        <w:rPr>
          <w:spacing w:val="-2"/>
          <w:sz w:val="24"/>
        </w:rPr>
        <w:t> </w:t>
      </w:r>
      <w:r>
        <w:rPr>
          <w:sz w:val="24"/>
        </w:rPr>
        <w:t>de socialización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aprender a</w:t>
      </w:r>
      <w:r>
        <w:rPr>
          <w:spacing w:val="-3"/>
          <w:sz w:val="24"/>
        </w:rPr>
        <w:t> </w:t>
      </w:r>
      <w:r>
        <w:rPr>
          <w:sz w:val="24"/>
        </w:rPr>
        <w:t>convivir.</w:t>
      </w:r>
    </w:p>
    <w:p>
      <w:pPr>
        <w:pStyle w:val="ListParagraph"/>
        <w:numPr>
          <w:ilvl w:val="0"/>
          <w:numId w:val="9"/>
        </w:numPr>
        <w:tabs>
          <w:tab w:pos="1359" w:val="left" w:leader="none"/>
        </w:tabs>
        <w:spacing w:line="240" w:lineRule="auto" w:before="0" w:after="0"/>
        <w:ind w:left="1358" w:right="1077" w:hanging="360"/>
        <w:jc w:val="both"/>
        <w:rPr>
          <w:sz w:val="24"/>
        </w:rPr>
      </w:pPr>
      <w:r>
        <w:rPr>
          <w:i/>
          <w:sz w:val="24"/>
        </w:rPr>
        <w:t>Educación Extraescolar</w:t>
      </w:r>
      <w:r>
        <w:rPr>
          <w:sz w:val="24"/>
        </w:rPr>
        <w:t>: Es el proceso educativo que provee a la niñez y juventud</w:t>
      </w:r>
      <w:r>
        <w:rPr>
          <w:spacing w:val="1"/>
          <w:sz w:val="24"/>
        </w:rPr>
        <w:t> </w:t>
      </w:r>
      <w:r>
        <w:rPr>
          <w:sz w:val="24"/>
        </w:rPr>
        <w:t>formación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través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diferentes</w:t>
      </w:r>
      <w:r>
        <w:rPr>
          <w:spacing w:val="1"/>
          <w:sz w:val="24"/>
        </w:rPr>
        <w:t> </w:t>
      </w:r>
      <w:r>
        <w:rPr>
          <w:sz w:val="24"/>
        </w:rPr>
        <w:t>modalidades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proveen</w:t>
      </w:r>
      <w:r>
        <w:rPr>
          <w:spacing w:val="1"/>
          <w:sz w:val="24"/>
        </w:rPr>
        <w:t> </w:t>
      </w:r>
      <w:r>
        <w:rPr>
          <w:sz w:val="24"/>
        </w:rPr>
        <w:t>dentro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-2"/>
          <w:sz w:val="24"/>
        </w:rPr>
        <w:t> </w:t>
      </w:r>
      <w:r>
        <w:rPr>
          <w:sz w:val="24"/>
        </w:rPr>
        <w:t>escolar</w:t>
      </w:r>
      <w:r>
        <w:rPr>
          <w:spacing w:val="-1"/>
          <w:sz w:val="24"/>
        </w:rPr>
        <w:t> </w:t>
      </w:r>
      <w:r>
        <w:rPr>
          <w:sz w:val="24"/>
        </w:rPr>
        <w:t>formal.</w:t>
      </w:r>
    </w:p>
    <w:p>
      <w:pPr>
        <w:pStyle w:val="ListParagraph"/>
        <w:numPr>
          <w:ilvl w:val="0"/>
          <w:numId w:val="9"/>
        </w:numPr>
        <w:tabs>
          <w:tab w:pos="1359" w:val="left" w:leader="none"/>
        </w:tabs>
        <w:spacing w:line="240" w:lineRule="auto" w:before="0" w:after="0"/>
        <w:ind w:left="1358" w:right="1072" w:hanging="360"/>
        <w:jc w:val="both"/>
        <w:rPr>
          <w:sz w:val="24"/>
        </w:rPr>
      </w:pPr>
      <w:r>
        <w:rPr>
          <w:i/>
          <w:sz w:val="24"/>
        </w:rPr>
        <w:t>Alimentación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escolar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través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Decreto</w:t>
      </w:r>
      <w:r>
        <w:rPr>
          <w:spacing w:val="1"/>
          <w:sz w:val="24"/>
        </w:rPr>
        <w:t> </w:t>
      </w:r>
      <w:r>
        <w:rPr>
          <w:sz w:val="24"/>
        </w:rPr>
        <w:t>16-2017,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PEA</w:t>
      </w:r>
      <w:r>
        <w:rPr>
          <w:spacing w:val="1"/>
          <w:sz w:val="24"/>
        </w:rPr>
        <w:t> </w:t>
      </w:r>
      <w:r>
        <w:rPr>
          <w:sz w:val="24"/>
        </w:rPr>
        <w:t>fue</w:t>
      </w:r>
      <w:r>
        <w:rPr>
          <w:spacing w:val="1"/>
          <w:sz w:val="24"/>
        </w:rPr>
        <w:t> </w:t>
      </w:r>
      <w:r>
        <w:rPr>
          <w:sz w:val="24"/>
        </w:rPr>
        <w:t>diseñado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fortalecer la política de acceso y con ello ampliar la cobertura educativa, lograr la</w:t>
      </w:r>
      <w:r>
        <w:rPr>
          <w:spacing w:val="1"/>
          <w:sz w:val="24"/>
        </w:rPr>
        <w:t> </w:t>
      </w:r>
      <w:r>
        <w:rPr>
          <w:sz w:val="24"/>
        </w:rPr>
        <w:t>permanencia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reducir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deserción</w:t>
      </w:r>
      <w:r>
        <w:rPr>
          <w:spacing w:val="1"/>
          <w:sz w:val="24"/>
        </w:rPr>
        <w:t> </w:t>
      </w:r>
      <w:r>
        <w:rPr>
          <w:sz w:val="24"/>
        </w:rPr>
        <w:t>escolar,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través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otorgamiento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complemento alimentario, con la finalidad de vigorizar la atención integral de los</w:t>
      </w:r>
      <w:r>
        <w:rPr>
          <w:spacing w:val="1"/>
          <w:sz w:val="24"/>
        </w:rPr>
        <w:t> </w:t>
      </w:r>
      <w:r>
        <w:rPr>
          <w:sz w:val="24"/>
        </w:rPr>
        <w:t>beneficiarios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sistema</w:t>
      </w:r>
      <w:r>
        <w:rPr>
          <w:spacing w:val="-3"/>
          <w:sz w:val="24"/>
        </w:rPr>
        <w:t> </w:t>
      </w:r>
      <w:r>
        <w:rPr>
          <w:sz w:val="24"/>
        </w:rPr>
        <w:t>educativo.</w:t>
      </w:r>
      <w:r>
        <w:rPr>
          <w:spacing w:val="-3"/>
          <w:sz w:val="24"/>
        </w:rPr>
        <w:t> </w:t>
      </w:r>
      <w:r>
        <w:rPr>
          <w:sz w:val="24"/>
        </w:rPr>
        <w:t>Recientemente,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marco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Decreto</w:t>
      </w:r>
      <w:r>
        <w:rPr>
          <w:spacing w:val="-3"/>
          <w:sz w:val="24"/>
        </w:rPr>
        <w:t> </w:t>
      </w:r>
      <w:r>
        <w:rPr>
          <w:sz w:val="24"/>
        </w:rPr>
        <w:t>12-2021</w:t>
      </w:r>
      <w:r>
        <w:rPr>
          <w:spacing w:val="-51"/>
          <w:sz w:val="24"/>
        </w:rPr>
        <w:t> </w:t>
      </w:r>
      <w:r>
        <w:rPr>
          <w:sz w:val="24"/>
        </w:rPr>
        <w:t>el Congreso aprobó su ampliación resaltando dentro de los mayores beneficios el</w:t>
      </w:r>
      <w:r>
        <w:rPr>
          <w:spacing w:val="1"/>
          <w:sz w:val="24"/>
        </w:rPr>
        <w:t> </w:t>
      </w:r>
      <w:r>
        <w:rPr>
          <w:sz w:val="24"/>
        </w:rPr>
        <w:t>aumento de Q4 a Q6 la inversión diaria por cada alumno en los niveles preprimaria y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primaria,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asimismo,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ampliación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cobertura</w:t>
      </w:r>
      <w:r>
        <w:rPr>
          <w:spacing w:val="-12"/>
          <w:sz w:val="24"/>
        </w:rPr>
        <w:t> </w:t>
      </w:r>
      <w:r>
        <w:rPr>
          <w:sz w:val="24"/>
        </w:rPr>
        <w:t>en</w:t>
      </w:r>
      <w:r>
        <w:rPr>
          <w:spacing w:val="-10"/>
          <w:sz w:val="24"/>
        </w:rPr>
        <w:t> </w:t>
      </w:r>
      <w:r>
        <w:rPr>
          <w:sz w:val="24"/>
        </w:rPr>
        <w:t>el</w:t>
      </w:r>
      <w:r>
        <w:rPr>
          <w:spacing w:val="-14"/>
          <w:sz w:val="24"/>
        </w:rPr>
        <w:t> </w:t>
      </w:r>
      <w:r>
        <w:rPr>
          <w:sz w:val="24"/>
        </w:rPr>
        <w:t>2023</w:t>
      </w:r>
      <w:r>
        <w:rPr>
          <w:spacing w:val="-11"/>
          <w:sz w:val="24"/>
        </w:rPr>
        <w:t> </w:t>
      </w:r>
      <w:r>
        <w:rPr>
          <w:sz w:val="24"/>
        </w:rPr>
        <w:t>para</w:t>
      </w:r>
      <w:r>
        <w:rPr>
          <w:spacing w:val="-12"/>
          <w:sz w:val="24"/>
        </w:rPr>
        <w:t> </w:t>
      </w:r>
      <w:r>
        <w:rPr>
          <w:sz w:val="24"/>
        </w:rPr>
        <w:t>estudiantes</w:t>
      </w:r>
      <w:r>
        <w:rPr>
          <w:spacing w:val="-11"/>
          <w:sz w:val="24"/>
        </w:rPr>
        <w:t> </w:t>
      </w:r>
      <w:r>
        <w:rPr>
          <w:sz w:val="24"/>
        </w:rPr>
        <w:t>en</w:t>
      </w:r>
      <w:r>
        <w:rPr>
          <w:spacing w:val="-12"/>
          <w:sz w:val="24"/>
        </w:rPr>
        <w:t> </w:t>
      </w:r>
      <w:r>
        <w:rPr>
          <w:sz w:val="24"/>
        </w:rPr>
        <w:t>etapa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pict>
          <v:rect style="position:absolute;margin-left:563.880005pt;margin-top:9.149797pt;width:25.44pt;height:1.4399pt;mso-position-horizontal-relative:page;mso-position-vertical-relative:paragraph;z-index:-1554278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ind w:right="211"/>
      </w:pPr>
      <w:r>
        <w:rPr/>
        <w:t>87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0009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28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spacing w:before="52"/>
        <w:ind w:left="1358" w:right="1080" w:firstLine="0"/>
        <w:jc w:val="both"/>
        <w:rPr>
          <w:sz w:val="24"/>
        </w:rPr>
      </w:pPr>
      <w:r>
        <w:rPr>
          <w:sz w:val="24"/>
        </w:rPr>
        <w:t>inicial para estudiantes de 3 a 5 años y los que cursan el nivel medio entre los 12 y 17</w:t>
      </w:r>
      <w:r>
        <w:rPr>
          <w:spacing w:val="-52"/>
          <w:sz w:val="24"/>
        </w:rPr>
        <w:t> </w:t>
      </w:r>
      <w:r>
        <w:rPr>
          <w:sz w:val="24"/>
        </w:rPr>
        <w:t>años, con</w:t>
      </w:r>
      <w:r>
        <w:rPr>
          <w:spacing w:val="1"/>
          <w:sz w:val="24"/>
        </w:rPr>
        <w:t> </w:t>
      </w:r>
      <w:r>
        <w:rPr>
          <w:sz w:val="24"/>
        </w:rPr>
        <w:t>Q4</w:t>
      </w:r>
      <w:r>
        <w:rPr>
          <w:spacing w:val="-2"/>
          <w:sz w:val="24"/>
        </w:rPr>
        <w:t> </w:t>
      </w:r>
      <w:r>
        <w:rPr>
          <w:sz w:val="24"/>
        </w:rPr>
        <w:t>diarios.</w:t>
      </w:r>
    </w:p>
    <w:p>
      <w:pPr>
        <w:pStyle w:val="ListParagraph"/>
        <w:numPr>
          <w:ilvl w:val="0"/>
          <w:numId w:val="9"/>
        </w:numPr>
        <w:tabs>
          <w:tab w:pos="1359" w:val="left" w:leader="none"/>
        </w:tabs>
        <w:spacing w:line="240" w:lineRule="auto" w:before="0" w:after="0"/>
        <w:ind w:left="1358" w:right="1075" w:hanging="360"/>
        <w:jc w:val="both"/>
        <w:rPr>
          <w:sz w:val="24"/>
        </w:rPr>
      </w:pPr>
      <w:r>
        <w:rPr>
          <w:i/>
          <w:sz w:val="24"/>
        </w:rPr>
        <w:t>Seguro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médico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escolar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programa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estudiantes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nivel</w:t>
      </w:r>
      <w:r>
        <w:rPr>
          <w:spacing w:val="1"/>
          <w:sz w:val="24"/>
        </w:rPr>
        <w:t> </w:t>
      </w:r>
      <w:r>
        <w:rPr>
          <w:sz w:val="24"/>
        </w:rPr>
        <w:t>preprimaria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52"/>
          <w:sz w:val="24"/>
        </w:rPr>
        <w:t> </w:t>
      </w:r>
      <w:r>
        <w:rPr>
          <w:sz w:val="24"/>
        </w:rPr>
        <w:t>primaria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centros</w:t>
      </w:r>
      <w:r>
        <w:rPr>
          <w:spacing w:val="1"/>
          <w:sz w:val="24"/>
        </w:rPr>
        <w:t> </w:t>
      </w:r>
      <w:r>
        <w:rPr>
          <w:sz w:val="24"/>
        </w:rPr>
        <w:t>educativos</w:t>
      </w:r>
      <w:r>
        <w:rPr>
          <w:spacing w:val="1"/>
          <w:sz w:val="24"/>
        </w:rPr>
        <w:t> </w:t>
      </w:r>
      <w:r>
        <w:rPr>
          <w:sz w:val="24"/>
        </w:rPr>
        <w:t>públicos,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tiene</w:t>
      </w:r>
      <w:r>
        <w:rPr>
          <w:spacing w:val="1"/>
          <w:sz w:val="24"/>
        </w:rPr>
        <w:t> </w:t>
      </w:r>
      <w:r>
        <w:rPr>
          <w:sz w:val="24"/>
        </w:rPr>
        <w:t>establecido</w:t>
      </w:r>
      <w:r>
        <w:rPr>
          <w:spacing w:val="1"/>
          <w:sz w:val="24"/>
        </w:rPr>
        <w:t> </w:t>
      </w:r>
      <w:r>
        <w:rPr>
          <w:sz w:val="24"/>
        </w:rPr>
        <w:t>ampliar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cobertura de atención y que contempla, gastos médicos por accidente, atención</w:t>
      </w:r>
      <w:r>
        <w:rPr>
          <w:spacing w:val="1"/>
          <w:sz w:val="24"/>
        </w:rPr>
        <w:t> </w:t>
      </w:r>
      <w:r>
        <w:rPr>
          <w:sz w:val="24"/>
        </w:rPr>
        <w:t>médica por enfermedad común, suministro de medicamentos y asistencias de gastos</w:t>
      </w:r>
      <w:r>
        <w:rPr>
          <w:spacing w:val="1"/>
          <w:sz w:val="24"/>
        </w:rPr>
        <w:t> </w:t>
      </w:r>
      <w:r>
        <w:rPr>
          <w:sz w:val="24"/>
        </w:rPr>
        <w:t>funerarios. El objetivo es garantizar la permanencia de los estudiantes en el proceso</w:t>
      </w:r>
      <w:r>
        <w:rPr>
          <w:spacing w:val="1"/>
          <w:sz w:val="24"/>
        </w:rPr>
        <w:t> </w:t>
      </w:r>
      <w:r>
        <w:rPr>
          <w:sz w:val="24"/>
        </w:rPr>
        <w:t>educativo.</w:t>
      </w:r>
    </w:p>
    <w:p>
      <w:pPr>
        <w:pStyle w:val="ListParagraph"/>
        <w:numPr>
          <w:ilvl w:val="0"/>
          <w:numId w:val="9"/>
        </w:numPr>
        <w:tabs>
          <w:tab w:pos="1359" w:val="left" w:leader="none"/>
        </w:tabs>
        <w:spacing w:line="240" w:lineRule="auto" w:before="1" w:after="0"/>
        <w:ind w:left="1358" w:right="1076" w:hanging="360"/>
        <w:jc w:val="both"/>
        <w:rPr>
          <w:sz w:val="24"/>
        </w:rPr>
      </w:pPr>
      <w:r>
        <w:rPr>
          <w:i/>
          <w:sz w:val="24"/>
        </w:rPr>
        <w:t>Becas y bolsas de estudio</w:t>
      </w:r>
      <w:r>
        <w:rPr>
          <w:sz w:val="24"/>
        </w:rPr>
        <w:t>: Los programas de becas tienen la función primordial de</w:t>
      </w:r>
      <w:r>
        <w:rPr>
          <w:spacing w:val="1"/>
          <w:sz w:val="24"/>
        </w:rPr>
        <w:t> </w:t>
      </w:r>
      <w:r>
        <w:rPr>
          <w:sz w:val="24"/>
        </w:rPr>
        <w:t>brindar oportunidades a los jóvenes que, por cualquier circunstancia, no pueden</w:t>
      </w:r>
      <w:r>
        <w:rPr>
          <w:spacing w:val="1"/>
          <w:sz w:val="24"/>
        </w:rPr>
        <w:t> </w:t>
      </w:r>
      <w:r>
        <w:rPr>
          <w:sz w:val="24"/>
        </w:rPr>
        <w:t>continuar</w:t>
      </w:r>
      <w:r>
        <w:rPr>
          <w:spacing w:val="-3"/>
          <w:sz w:val="24"/>
        </w:rPr>
        <w:t> </w:t>
      </w:r>
      <w:r>
        <w:rPr>
          <w:sz w:val="24"/>
        </w:rPr>
        <w:t>sus estudios.</w:t>
      </w:r>
    </w:p>
    <w:p>
      <w:pPr>
        <w:pStyle w:val="ListParagraph"/>
        <w:numPr>
          <w:ilvl w:val="0"/>
          <w:numId w:val="9"/>
        </w:numPr>
        <w:tabs>
          <w:tab w:pos="1359" w:val="left" w:leader="none"/>
        </w:tabs>
        <w:spacing w:line="240" w:lineRule="auto" w:before="0" w:after="0"/>
        <w:ind w:left="1358" w:right="1075" w:hanging="360"/>
        <w:jc w:val="both"/>
        <w:rPr>
          <w:sz w:val="24"/>
        </w:rPr>
      </w:pPr>
      <w:r>
        <w:rPr>
          <w:i/>
          <w:sz w:val="24"/>
        </w:rPr>
        <w:t>Infraestructura Escolar</w:t>
      </w:r>
      <w:r>
        <w:rPr>
          <w:sz w:val="24"/>
        </w:rPr>
        <w:t>: Construir, remozar y ampliar edificios escolares, de acuerdo</w:t>
      </w:r>
      <w:r>
        <w:rPr>
          <w:spacing w:val="1"/>
          <w:sz w:val="24"/>
        </w:rPr>
        <w:t> </w:t>
      </w:r>
      <w:r>
        <w:rPr>
          <w:sz w:val="24"/>
        </w:rPr>
        <w:t>con las características y el contexto de la población escolar, de conformidad con</w:t>
      </w:r>
      <w:r>
        <w:rPr>
          <w:spacing w:val="1"/>
          <w:sz w:val="24"/>
        </w:rPr>
        <w:t> </w:t>
      </w:r>
      <w:r>
        <w:rPr>
          <w:sz w:val="24"/>
        </w:rPr>
        <w:t>criterios</w:t>
      </w:r>
      <w:r>
        <w:rPr>
          <w:spacing w:val="-2"/>
          <w:sz w:val="24"/>
        </w:rPr>
        <w:t> </w:t>
      </w:r>
      <w:r>
        <w:rPr>
          <w:sz w:val="24"/>
        </w:rPr>
        <w:t>técnicos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legales,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garanticen la</w:t>
      </w:r>
      <w:r>
        <w:rPr>
          <w:spacing w:val="1"/>
          <w:sz w:val="24"/>
        </w:rPr>
        <w:t> </w:t>
      </w:r>
      <w:r>
        <w:rPr>
          <w:sz w:val="24"/>
        </w:rPr>
        <w:t>calidad</w:t>
      </w:r>
      <w:r>
        <w:rPr>
          <w:spacing w:val="1"/>
          <w:sz w:val="24"/>
        </w:rPr>
        <w:t> </w:t>
      </w:r>
      <w:r>
        <w:rPr>
          <w:sz w:val="24"/>
        </w:rPr>
        <w:t>educativa.</w:t>
      </w:r>
    </w:p>
    <w:p>
      <w:pPr>
        <w:pStyle w:val="BodyText"/>
        <w:spacing w:before="11"/>
        <w:rPr>
          <w:sz w:val="23"/>
        </w:rPr>
      </w:pPr>
    </w:p>
    <w:p>
      <w:pPr>
        <w:spacing w:before="1"/>
        <w:ind w:left="278" w:right="1072" w:firstLine="0"/>
        <w:jc w:val="both"/>
        <w:rPr>
          <w:sz w:val="24"/>
        </w:rPr>
      </w:pPr>
      <w:r>
        <w:rPr>
          <w:sz w:val="24"/>
        </w:rPr>
        <w:t>En la siguiente gráfica se muestra la relación de las 14 líneas estratégicas de las cuáles, 6 están</w:t>
      </w:r>
      <w:r>
        <w:rPr>
          <w:spacing w:val="1"/>
          <w:sz w:val="24"/>
        </w:rPr>
        <w:t> </w:t>
      </w:r>
      <w:r>
        <w:rPr>
          <w:sz w:val="24"/>
        </w:rPr>
        <w:t>vinculadas a la cobertura educativa, por tanto, la propuesta integra estos componentes para su</w:t>
      </w:r>
      <w:r>
        <w:rPr>
          <w:spacing w:val="1"/>
          <w:sz w:val="24"/>
        </w:rPr>
        <w:t> </w:t>
      </w:r>
      <w:r>
        <w:rPr>
          <w:sz w:val="24"/>
        </w:rPr>
        <w:t>desarrollo.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rect style="position:absolute;margin-left:563.880005pt;margin-top:9.997477pt;width:25.44pt;height:1.4399pt;mso-position-horizontal-relative:page;mso-position-vertical-relative:paragraph;z-index:-1554124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ind w:right="211"/>
      </w:pPr>
      <w:r>
        <w:rPr/>
        <w:t>88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01632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28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spacing w:before="59"/>
        <w:ind w:left="278" w:right="0" w:firstLine="0"/>
        <w:jc w:val="left"/>
        <w:rPr>
          <w:sz w:val="20"/>
        </w:rPr>
      </w:pPr>
      <w:r>
        <w:rPr>
          <w:sz w:val="20"/>
        </w:rPr>
        <w:t>Gráfico</w:t>
      </w:r>
      <w:r>
        <w:rPr>
          <w:spacing w:val="-2"/>
          <w:sz w:val="20"/>
        </w:rPr>
        <w:t> </w:t>
      </w:r>
      <w:r>
        <w:rPr>
          <w:sz w:val="20"/>
        </w:rPr>
        <w:t>2.</w:t>
      </w:r>
      <w:r>
        <w:rPr>
          <w:spacing w:val="-3"/>
          <w:sz w:val="20"/>
        </w:rPr>
        <w:t> </w:t>
      </w:r>
      <w:r>
        <w:rPr>
          <w:sz w:val="20"/>
        </w:rPr>
        <w:t>Líneas</w:t>
      </w:r>
      <w:r>
        <w:rPr>
          <w:spacing w:val="-3"/>
          <w:sz w:val="20"/>
        </w:rPr>
        <w:t> </w:t>
      </w:r>
      <w:r>
        <w:rPr>
          <w:sz w:val="20"/>
        </w:rPr>
        <w:t>Estratégicas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PEI</w:t>
      </w:r>
      <w:r>
        <w:rPr>
          <w:spacing w:val="-2"/>
          <w:sz w:val="20"/>
        </w:rPr>
        <w:t> </w:t>
      </w:r>
      <w:r>
        <w:rPr>
          <w:sz w:val="20"/>
        </w:rPr>
        <w:t>(2020-2024)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0"/>
        <w:ind w:left="278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partir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PEI</w:t>
      </w:r>
      <w:r>
        <w:rPr>
          <w:spacing w:val="-1"/>
          <w:sz w:val="20"/>
        </w:rPr>
        <w:t> </w:t>
      </w:r>
      <w:r>
        <w:rPr>
          <w:sz w:val="20"/>
        </w:rPr>
        <w:t>2020-2024</w:t>
      </w:r>
    </w:p>
    <w:p>
      <w:pPr>
        <w:pStyle w:val="BodyText"/>
        <w:spacing w:before="5"/>
        <w:rPr>
          <w:sz w:val="29"/>
        </w:rPr>
      </w:pPr>
    </w:p>
    <w:p>
      <w:pPr>
        <w:pStyle w:val="Heading3"/>
        <w:numPr>
          <w:ilvl w:val="1"/>
          <w:numId w:val="7"/>
        </w:numPr>
        <w:tabs>
          <w:tab w:pos="998" w:val="left" w:leader="none"/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112" w:id="157"/>
      <w:bookmarkEnd w:id="157"/>
      <w:r>
        <w:rPr>
          <w:b w:val="0"/>
        </w:rPr>
      </w:r>
      <w:bookmarkStart w:name="_bookmark112" w:id="158"/>
      <w:bookmarkEnd w:id="158"/>
      <w:r>
        <w:rPr>
          <w:color w:val="1F4E79"/>
        </w:rPr>
        <w:t>De</w:t>
      </w:r>
      <w:r>
        <w:rPr>
          <w:color w:val="1F4E79"/>
        </w:rPr>
        <w:t>scripción</w:t>
      </w:r>
      <w:r>
        <w:rPr>
          <w:color w:val="1F4E79"/>
          <w:spacing w:val="-5"/>
        </w:rPr>
        <w:t> </w:t>
      </w:r>
      <w:r>
        <w:rPr>
          <w:color w:val="1F4E79"/>
        </w:rPr>
        <w:t>de</w:t>
      </w:r>
      <w:r>
        <w:rPr>
          <w:color w:val="1F4E79"/>
          <w:spacing w:val="-4"/>
        </w:rPr>
        <w:t> </w:t>
      </w:r>
      <w:r>
        <w:rPr>
          <w:color w:val="1F4E79"/>
        </w:rPr>
        <w:t>la</w:t>
      </w:r>
      <w:r>
        <w:rPr>
          <w:color w:val="1F4E79"/>
          <w:spacing w:val="-5"/>
        </w:rPr>
        <w:t> </w:t>
      </w:r>
      <w:r>
        <w:rPr>
          <w:color w:val="1F4E79"/>
        </w:rPr>
        <w:t>propuesta</w:t>
      </w:r>
      <w:r>
        <w:rPr>
          <w:color w:val="1F4E79"/>
          <w:spacing w:val="-4"/>
        </w:rPr>
        <w:t> </w:t>
      </w:r>
      <w:r>
        <w:rPr>
          <w:color w:val="1F4E79"/>
        </w:rPr>
        <w:t>y</w:t>
      </w:r>
      <w:r>
        <w:rPr>
          <w:color w:val="1F4E79"/>
          <w:spacing w:val="-4"/>
        </w:rPr>
        <w:t> </w:t>
      </w:r>
      <w:r>
        <w:rPr>
          <w:color w:val="1F4E79"/>
        </w:rPr>
        <w:t>sus</w:t>
      </w:r>
      <w:r>
        <w:rPr>
          <w:color w:val="1F4E79"/>
          <w:spacing w:val="-4"/>
        </w:rPr>
        <w:t> </w:t>
      </w:r>
      <w:r>
        <w:rPr>
          <w:color w:val="1F4E79"/>
        </w:rPr>
        <w:t>ejes</w:t>
      </w:r>
      <w:r>
        <w:rPr>
          <w:color w:val="1F4E79"/>
          <w:spacing w:val="-4"/>
        </w:rPr>
        <w:t> </w:t>
      </w:r>
      <w:r>
        <w:rPr>
          <w:color w:val="1F4E79"/>
        </w:rPr>
        <w:t>principales</w:t>
      </w:r>
    </w:p>
    <w:p>
      <w:pPr>
        <w:pStyle w:val="BodyText"/>
        <w:rPr>
          <w:b/>
          <w:sz w:val="24"/>
        </w:rPr>
      </w:pPr>
    </w:p>
    <w:p>
      <w:pPr>
        <w:spacing w:before="187"/>
        <w:ind w:left="278" w:right="1074" w:firstLine="0"/>
        <w:jc w:val="both"/>
        <w:rPr>
          <w:sz w:val="24"/>
        </w:rPr>
      </w:pPr>
      <w:r>
        <w:rPr>
          <w:sz w:val="24"/>
        </w:rPr>
        <w:t>De acuerdo a los principales hallazgos identificados en el análisis y evaluación de la situación de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cobertura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educativa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durante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período</w:t>
      </w:r>
      <w:r>
        <w:rPr>
          <w:spacing w:val="-13"/>
          <w:sz w:val="24"/>
        </w:rPr>
        <w:t> </w:t>
      </w:r>
      <w:r>
        <w:rPr>
          <w:sz w:val="24"/>
        </w:rPr>
        <w:t>2018-2021,</w:t>
      </w:r>
      <w:r>
        <w:rPr>
          <w:spacing w:val="-10"/>
          <w:sz w:val="24"/>
        </w:rPr>
        <w:t> </w:t>
      </w:r>
      <w:r>
        <w:rPr>
          <w:sz w:val="24"/>
        </w:rPr>
        <w:t>se</w:t>
      </w:r>
      <w:r>
        <w:rPr>
          <w:spacing w:val="-14"/>
          <w:sz w:val="24"/>
        </w:rPr>
        <w:t> </w:t>
      </w:r>
      <w:r>
        <w:rPr>
          <w:sz w:val="24"/>
        </w:rPr>
        <w:t>muestra</w:t>
      </w:r>
      <w:r>
        <w:rPr>
          <w:spacing w:val="-13"/>
          <w:sz w:val="24"/>
        </w:rPr>
        <w:t> </w:t>
      </w: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persisten</w:t>
      </w:r>
      <w:r>
        <w:rPr>
          <w:spacing w:val="-12"/>
          <w:sz w:val="24"/>
        </w:rPr>
        <w:t> </w:t>
      </w:r>
      <w:r>
        <w:rPr>
          <w:sz w:val="24"/>
        </w:rPr>
        <w:t>situaciones</w:t>
      </w:r>
      <w:r>
        <w:rPr>
          <w:spacing w:val="-14"/>
          <w:sz w:val="24"/>
        </w:rPr>
        <w:t> </w:t>
      </w:r>
      <w:r>
        <w:rPr>
          <w:sz w:val="24"/>
        </w:rPr>
        <w:t>como;</w:t>
      </w:r>
      <w:r>
        <w:rPr>
          <w:spacing w:val="-51"/>
          <w:sz w:val="24"/>
        </w:rPr>
        <w:t> </w:t>
      </w:r>
      <w:r>
        <w:rPr>
          <w:sz w:val="24"/>
        </w:rPr>
        <w:t>baja cobertura educativa en el Nivel Medio, bajo nivel de escolaridad, altos índices de deserción</w:t>
      </w:r>
      <w:r>
        <w:rPr>
          <w:spacing w:val="1"/>
          <w:sz w:val="24"/>
        </w:rPr>
        <w:t> </w:t>
      </w:r>
      <w:r>
        <w:rPr>
          <w:sz w:val="24"/>
        </w:rPr>
        <w:t>y repitencia, que se centralizan en áreas vulnerables caracterizadas por territorios rurales, con</w:t>
      </w:r>
      <w:r>
        <w:rPr>
          <w:spacing w:val="1"/>
          <w:sz w:val="24"/>
        </w:rPr>
        <w:t> </w:t>
      </w:r>
      <w:r>
        <w:rPr>
          <w:sz w:val="24"/>
        </w:rPr>
        <w:t>altos porcentajes de poblaciones indígenas y menor participación de las mujeres dentro del</w:t>
      </w:r>
      <w:r>
        <w:rPr>
          <w:spacing w:val="1"/>
          <w:sz w:val="24"/>
        </w:rPr>
        <w:t> </w:t>
      </w:r>
      <w:r>
        <w:rPr>
          <w:sz w:val="24"/>
        </w:rPr>
        <w:t>Sistema Educativo.</w:t>
      </w:r>
    </w:p>
    <w:p>
      <w:pPr>
        <w:pStyle w:val="BodyText"/>
        <w:spacing w:before="11"/>
        <w:rPr>
          <w:sz w:val="23"/>
        </w:rPr>
      </w:pPr>
    </w:p>
    <w:p>
      <w:pPr>
        <w:spacing w:line="240" w:lineRule="auto" w:before="0"/>
        <w:ind w:left="278" w:right="1072" w:firstLine="0"/>
        <w:jc w:val="both"/>
        <w:rPr>
          <w:sz w:val="24"/>
        </w:rPr>
      </w:pPr>
      <w:r>
        <w:rPr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propósito</w:t>
      </w:r>
      <w:r>
        <w:rPr>
          <w:spacing w:val="-4"/>
          <w:sz w:val="24"/>
        </w:rPr>
        <w:t> </w:t>
      </w:r>
      <w:r>
        <w:rPr>
          <w:sz w:val="24"/>
        </w:rPr>
        <w:t>expandir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servicio</w:t>
      </w:r>
      <w:r>
        <w:rPr>
          <w:spacing w:val="-5"/>
          <w:sz w:val="24"/>
        </w:rPr>
        <w:t> </w:t>
      </w:r>
      <w:r>
        <w:rPr>
          <w:sz w:val="24"/>
        </w:rPr>
        <w:t>educativo</w:t>
      </w:r>
      <w:r>
        <w:rPr>
          <w:spacing w:val="-4"/>
          <w:sz w:val="24"/>
        </w:rPr>
        <w:t> </w:t>
      </w:r>
      <w:r>
        <w:rPr>
          <w:sz w:val="24"/>
        </w:rPr>
        <w:t>hacia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territorios</w:t>
      </w:r>
      <w:r>
        <w:rPr>
          <w:spacing w:val="-4"/>
          <w:sz w:val="24"/>
        </w:rPr>
        <w:t> </w:t>
      </w:r>
      <w:r>
        <w:rPr>
          <w:sz w:val="24"/>
        </w:rPr>
        <w:t>vulnerables,</w:t>
      </w:r>
      <w:r>
        <w:rPr>
          <w:spacing w:val="-4"/>
          <w:sz w:val="24"/>
        </w:rPr>
        <w:t> </w:t>
      </w:r>
      <w:r>
        <w:rPr>
          <w:sz w:val="24"/>
        </w:rPr>
        <w:t>marginados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51"/>
          <w:sz w:val="24"/>
        </w:rPr>
        <w:t> </w:t>
      </w:r>
      <w:r>
        <w:rPr>
          <w:sz w:val="24"/>
        </w:rPr>
        <w:t>desventaja social, la propuesta está orientada a incrementar la participación de la población</w:t>
      </w:r>
      <w:r>
        <w:rPr>
          <w:spacing w:val="1"/>
          <w:sz w:val="24"/>
        </w:rPr>
        <w:t> </w:t>
      </w:r>
      <w:r>
        <w:rPr>
          <w:sz w:val="24"/>
        </w:rPr>
        <w:t>indígena y mujeres</w:t>
      </w:r>
      <w:r>
        <w:rPr>
          <w:spacing w:val="1"/>
          <w:sz w:val="24"/>
        </w:rPr>
        <w:t> </w:t>
      </w:r>
      <w:r>
        <w:rPr>
          <w:sz w:val="24"/>
        </w:rPr>
        <w:t>de las regiones identificadas, la intervención comunitaria y la diferenciación</w:t>
      </w:r>
      <w:r>
        <w:rPr>
          <w:spacing w:val="1"/>
          <w:sz w:val="24"/>
        </w:rPr>
        <w:t> </w:t>
      </w:r>
      <w:r>
        <w:rPr>
          <w:sz w:val="24"/>
        </w:rPr>
        <w:t>por niveles educativos, así como la ampliación; del apoyo compensatorio (PEA y Seguro escolar)</w:t>
      </w:r>
      <w:r>
        <w:rPr>
          <w:spacing w:val="1"/>
          <w:sz w:val="24"/>
        </w:rPr>
        <w:t> </w:t>
      </w:r>
      <w:r>
        <w:rPr>
          <w:sz w:val="24"/>
        </w:rPr>
        <w:t>para las regiones y escuelas que enfrentan mayores rezagos y a los estudiantes con más riesgos</w:t>
      </w:r>
      <w:r>
        <w:rPr>
          <w:spacing w:val="1"/>
          <w:sz w:val="24"/>
        </w:rPr>
        <w:t> </w:t>
      </w:r>
      <w:r>
        <w:rPr>
          <w:sz w:val="24"/>
        </w:rPr>
        <w:t>de abandono escolar.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pict>
          <v:rect style="position:absolute;margin-left:563.880005pt;margin-top:14.385563pt;width:25.44pt;height:1.4399pt;mso-position-horizontal-relative:page;mso-position-vertical-relative:paragraph;z-index:-1553971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ind w:right="211"/>
      </w:pPr>
      <w:r>
        <w:rPr/>
        <w:t>89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03168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28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3"/>
        </w:rPr>
      </w:pPr>
    </w:p>
    <w:p>
      <w:pPr>
        <w:spacing w:before="52"/>
        <w:ind w:left="278" w:right="1076" w:firstLine="0"/>
        <w:jc w:val="both"/>
        <w:rPr>
          <w:sz w:val="24"/>
        </w:rPr>
      </w:pPr>
      <w:r>
        <w:rPr>
          <w:sz w:val="24"/>
        </w:rPr>
        <w:t>Tomando en consideración lo anterior, la propuesta planteada posee tres ejes fundamentales,</w:t>
      </w:r>
      <w:r>
        <w:rPr>
          <w:spacing w:val="1"/>
          <w:sz w:val="24"/>
        </w:rPr>
        <w:t> </w:t>
      </w:r>
      <w:r>
        <w:rPr>
          <w:sz w:val="24"/>
        </w:rPr>
        <w:t>siendo estos; 1. Formación Integral. 2. Colaboración e integración de la comunidad educativa. 3.</w:t>
      </w:r>
      <w:r>
        <w:rPr>
          <w:spacing w:val="1"/>
          <w:sz w:val="24"/>
        </w:rPr>
        <w:t> </w:t>
      </w:r>
      <w:r>
        <w:rPr>
          <w:sz w:val="24"/>
        </w:rPr>
        <w:t>Priorización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áreas</w:t>
      </w:r>
      <w:r>
        <w:rPr>
          <w:spacing w:val="-2"/>
          <w:sz w:val="24"/>
        </w:rPr>
        <w:t> </w:t>
      </w:r>
      <w:r>
        <w:rPr>
          <w:sz w:val="24"/>
        </w:rPr>
        <w:t>desatendidas.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999" w:val="left" w:leader="none"/>
        </w:tabs>
        <w:spacing w:line="240" w:lineRule="auto" w:before="0" w:after="0"/>
        <w:ind w:left="998" w:right="0" w:hanging="721"/>
        <w:jc w:val="left"/>
        <w:rPr>
          <w:b/>
          <w:sz w:val="24"/>
        </w:rPr>
      </w:pPr>
      <w:bookmarkStart w:name="_bookmark113" w:id="159"/>
      <w:bookmarkEnd w:id="159"/>
      <w:r>
        <w:rPr/>
      </w:r>
      <w:bookmarkStart w:name="_bookmark113" w:id="160"/>
      <w:bookmarkEnd w:id="160"/>
      <w:r>
        <w:rPr>
          <w:b/>
          <w:sz w:val="24"/>
        </w:rPr>
        <w:t>E</w:t>
      </w:r>
      <w:r>
        <w:rPr>
          <w:b/>
          <w:sz w:val="24"/>
        </w:rPr>
        <w:t>je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1: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Formación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Integral</w:t>
      </w:r>
    </w:p>
    <w:p>
      <w:pPr>
        <w:pStyle w:val="BodyText"/>
        <w:spacing w:before="8"/>
        <w:rPr>
          <w:b/>
          <w:sz w:val="19"/>
        </w:rPr>
      </w:pPr>
    </w:p>
    <w:p>
      <w:pPr>
        <w:spacing w:line="240" w:lineRule="auto" w:before="0"/>
        <w:ind w:left="278" w:right="1072" w:firstLine="0"/>
        <w:jc w:val="both"/>
        <w:rPr>
          <w:sz w:val="24"/>
        </w:rPr>
      </w:pPr>
      <w:r>
        <w:rPr>
          <w:sz w:val="24"/>
        </w:rPr>
        <w:t>En términos generales, cuando se hace referencia a la formación integral del ser humano, es</w:t>
      </w:r>
      <w:r>
        <w:rPr>
          <w:spacing w:val="1"/>
          <w:sz w:val="24"/>
        </w:rPr>
        <w:t> </w:t>
      </w:r>
      <w:r>
        <w:rPr>
          <w:sz w:val="24"/>
        </w:rPr>
        <w:t>necesario reconocer la existencia de elementos que lo configuran y que están vinculados a</w:t>
      </w:r>
      <w:r>
        <w:rPr>
          <w:spacing w:val="1"/>
          <w:sz w:val="24"/>
        </w:rPr>
        <w:t> </w:t>
      </w:r>
      <w:r>
        <w:rPr>
          <w:sz w:val="24"/>
        </w:rPr>
        <w:t>aspectos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desarrollo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capacidades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niñas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niños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adolescentes,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-52"/>
          <w:sz w:val="24"/>
        </w:rPr>
        <w:t> </w:t>
      </w:r>
      <w:r>
        <w:rPr>
          <w:sz w:val="24"/>
        </w:rPr>
        <w:t>comportamientos, relaciones sociales, actitudes y vínculos afectivos. De esta manera, potenciar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desarrollo</w:t>
      </w:r>
      <w:r>
        <w:rPr>
          <w:spacing w:val="-3"/>
          <w:sz w:val="24"/>
        </w:rPr>
        <w:t> </w:t>
      </w:r>
      <w:r>
        <w:rPr>
          <w:sz w:val="24"/>
        </w:rPr>
        <w:t>integral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niñas,</w:t>
      </w:r>
      <w:r>
        <w:rPr>
          <w:spacing w:val="-4"/>
          <w:sz w:val="24"/>
        </w:rPr>
        <w:t> </w:t>
      </w:r>
      <w:r>
        <w:rPr>
          <w:sz w:val="24"/>
        </w:rPr>
        <w:t>niños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adolescentes</w:t>
      </w:r>
      <w:r>
        <w:rPr>
          <w:spacing w:val="-4"/>
          <w:sz w:val="24"/>
        </w:rPr>
        <w:t> </w:t>
      </w:r>
      <w:r>
        <w:rPr>
          <w:sz w:val="24"/>
        </w:rPr>
        <w:t>hace</w:t>
      </w:r>
      <w:r>
        <w:rPr>
          <w:spacing w:val="-4"/>
          <w:sz w:val="24"/>
        </w:rPr>
        <w:t> </w:t>
      </w:r>
      <w:r>
        <w:rPr>
          <w:sz w:val="24"/>
        </w:rPr>
        <w:t>referencia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garantizar</w:t>
      </w:r>
      <w:r>
        <w:rPr>
          <w:spacing w:val="-4"/>
          <w:sz w:val="24"/>
        </w:rPr>
        <w:t> </w:t>
      </w:r>
      <w:r>
        <w:rPr>
          <w:sz w:val="24"/>
        </w:rPr>
        <w:t>su</w:t>
      </w:r>
      <w:r>
        <w:rPr>
          <w:spacing w:val="-3"/>
          <w:sz w:val="24"/>
        </w:rPr>
        <w:t> </w:t>
      </w:r>
      <w:r>
        <w:rPr>
          <w:sz w:val="24"/>
        </w:rPr>
        <w:t>derecho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51"/>
          <w:sz w:val="24"/>
        </w:rPr>
        <w:t> </w:t>
      </w:r>
      <w:r>
        <w:rPr>
          <w:sz w:val="24"/>
        </w:rPr>
        <w:t>la educación, a la diversidad, a ser cuidados y a participar de experiencias en las que aprendan y</w:t>
      </w:r>
      <w:r>
        <w:rPr>
          <w:spacing w:val="1"/>
          <w:sz w:val="24"/>
        </w:rPr>
        <w:t> </w:t>
      </w:r>
      <w:r>
        <w:rPr>
          <w:sz w:val="24"/>
        </w:rPr>
        <w:t>comprendan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mundo.</w:t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278" w:right="1072" w:firstLine="0"/>
        <w:jc w:val="both"/>
        <w:rPr>
          <w:sz w:val="24"/>
        </w:rPr>
      </w:pPr>
      <w:r>
        <w:rPr>
          <w:sz w:val="24"/>
        </w:rPr>
        <w:t>Para potenciar el desarrollo integral, también es necesario considerar que las niñas, niños y</w:t>
      </w:r>
      <w:r>
        <w:rPr>
          <w:spacing w:val="1"/>
          <w:sz w:val="24"/>
        </w:rPr>
        <w:t> </w:t>
      </w:r>
      <w:r>
        <w:rPr>
          <w:sz w:val="24"/>
        </w:rPr>
        <w:t>adolescentes son protagonistas activos y agentes de su propio desarrollo, deben participar en</w:t>
      </w:r>
      <w:r>
        <w:rPr>
          <w:spacing w:val="1"/>
          <w:sz w:val="24"/>
        </w:rPr>
        <w:t> </w:t>
      </w:r>
      <w:r>
        <w:rPr>
          <w:sz w:val="24"/>
        </w:rPr>
        <w:t>procesos de educación y formación integral que reconozcan sus capacidades, así mismo, la</w:t>
      </w:r>
      <w:r>
        <w:rPr>
          <w:spacing w:val="1"/>
          <w:sz w:val="24"/>
        </w:rPr>
        <w:t> </w:t>
      </w:r>
      <w:r>
        <w:rPr>
          <w:sz w:val="24"/>
        </w:rPr>
        <w:t>educación incide de manera directa en el desarrollo de las niñas, niños y adolescentes a lo largo</w:t>
      </w:r>
      <w:r>
        <w:rPr>
          <w:spacing w:val="1"/>
          <w:sz w:val="24"/>
        </w:rPr>
        <w:t> </w:t>
      </w:r>
      <w:r>
        <w:rPr>
          <w:sz w:val="24"/>
        </w:rPr>
        <w:t>de su curso de vida, en donde deberá promoverse el logro de la trayectoria educativa completa.</w:t>
      </w:r>
      <w:r>
        <w:rPr>
          <w:spacing w:val="1"/>
          <w:sz w:val="24"/>
        </w:rPr>
        <w:t> </w:t>
      </w:r>
      <w:r>
        <w:rPr>
          <w:sz w:val="24"/>
        </w:rPr>
        <w:t>Es importante precisar que éste, se configura de manera particular a través de los contextos,</w:t>
      </w:r>
      <w:r>
        <w:rPr>
          <w:spacing w:val="1"/>
          <w:sz w:val="24"/>
        </w:rPr>
        <w:t> </w:t>
      </w:r>
      <w:r>
        <w:rPr>
          <w:sz w:val="24"/>
        </w:rPr>
        <w:t>culturas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interacciones.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278" w:right="1076" w:firstLine="0"/>
        <w:jc w:val="both"/>
        <w:rPr>
          <w:sz w:val="24"/>
        </w:rPr>
      </w:pPr>
      <w:r>
        <w:rPr>
          <w:sz w:val="24"/>
        </w:rPr>
        <w:t>En el eje de formación integral se propone para todos los niveles el cuidado cariñoso y sensible,</w:t>
      </w:r>
      <w:r>
        <w:rPr>
          <w:spacing w:val="1"/>
          <w:sz w:val="24"/>
        </w:rPr>
        <w:t> </w:t>
      </w:r>
      <w:r>
        <w:rPr>
          <w:sz w:val="24"/>
        </w:rPr>
        <w:t>el cual, de acuerdo a Cavoukian (2018) se refiere a un entorno estable creado por los padres y</w:t>
      </w:r>
      <w:r>
        <w:rPr>
          <w:spacing w:val="1"/>
          <w:sz w:val="24"/>
        </w:rPr>
        <w:t> </w:t>
      </w:r>
      <w:r>
        <w:rPr>
          <w:sz w:val="24"/>
        </w:rPr>
        <w:t>otros cuidadores que asegura la salud y nutrición adecuadas de los niños, los protege de los</w:t>
      </w:r>
      <w:r>
        <w:rPr>
          <w:spacing w:val="1"/>
          <w:sz w:val="24"/>
        </w:rPr>
        <w:t> </w:t>
      </w:r>
      <w:r>
        <w:rPr>
          <w:sz w:val="24"/>
        </w:rPr>
        <w:t>riesgos y brinda oportunidades a los niños pequeños para el aprendizaje temprano, mediante</w:t>
      </w:r>
      <w:r>
        <w:rPr>
          <w:spacing w:val="1"/>
          <w:sz w:val="24"/>
        </w:rPr>
        <w:t> </w:t>
      </w:r>
      <w:r>
        <w:rPr>
          <w:sz w:val="24"/>
        </w:rPr>
        <w:t>interacciones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son</w:t>
      </w:r>
      <w:r>
        <w:rPr>
          <w:spacing w:val="-1"/>
          <w:sz w:val="24"/>
        </w:rPr>
        <w:t> </w:t>
      </w:r>
      <w:r>
        <w:rPr>
          <w:sz w:val="24"/>
        </w:rPr>
        <w:t>emocionalmente propicias y receptivas.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78" w:right="1072" w:firstLine="0"/>
        <w:jc w:val="both"/>
        <w:rPr>
          <w:sz w:val="24"/>
        </w:rPr>
      </w:pP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marco</w:t>
      </w:r>
      <w:r>
        <w:rPr>
          <w:spacing w:val="-13"/>
          <w:sz w:val="24"/>
        </w:rPr>
        <w:t> </w:t>
      </w:r>
      <w:r>
        <w:rPr>
          <w:sz w:val="24"/>
        </w:rPr>
        <w:t>para</w:t>
      </w:r>
      <w:r>
        <w:rPr>
          <w:spacing w:val="-13"/>
          <w:sz w:val="24"/>
        </w:rPr>
        <w:t> </w:t>
      </w:r>
      <w:r>
        <w:rPr>
          <w:sz w:val="24"/>
        </w:rPr>
        <w:t>un</w:t>
      </w:r>
      <w:r>
        <w:rPr>
          <w:spacing w:val="-12"/>
          <w:sz w:val="24"/>
        </w:rPr>
        <w:t> </w:t>
      </w:r>
      <w:r>
        <w:rPr>
          <w:i/>
          <w:sz w:val="24"/>
        </w:rPr>
        <w:t>cuidado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cariñoso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sensible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adopta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un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enfoque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totalidad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ciclo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vida</w:t>
      </w:r>
      <w:r>
        <w:rPr>
          <w:sz w:val="24"/>
        </w:rPr>
        <w:t>,</w:t>
      </w:r>
      <w:r>
        <w:rPr>
          <w:spacing w:val="-52"/>
          <w:sz w:val="24"/>
        </w:rPr>
        <w:t> </w:t>
      </w:r>
      <w:r>
        <w:rPr>
          <w:sz w:val="24"/>
        </w:rPr>
        <w:t>según el cual las inversiones en los primeros años deben consolidarse y ampliarse mediante</w:t>
      </w:r>
      <w:r>
        <w:rPr>
          <w:spacing w:val="1"/>
          <w:sz w:val="24"/>
        </w:rPr>
        <w:t> </w:t>
      </w:r>
      <w:r>
        <w:rPr>
          <w:sz w:val="24"/>
        </w:rPr>
        <w:t>inversiones complementarias en educación preescolar y a lo largo de toda la escolaridad y la</w:t>
      </w:r>
      <w:r>
        <w:rPr>
          <w:spacing w:val="1"/>
          <w:sz w:val="24"/>
        </w:rPr>
        <w:t> </w:t>
      </w:r>
      <w:r>
        <w:rPr>
          <w:sz w:val="24"/>
        </w:rPr>
        <w:t>adolescencia.</w:t>
      </w:r>
      <w:r>
        <w:rPr>
          <w:spacing w:val="-6"/>
          <w:sz w:val="24"/>
        </w:rPr>
        <w:t> </w:t>
      </w:r>
      <w:r>
        <w:rPr>
          <w:sz w:val="24"/>
        </w:rPr>
        <w:t>Cada</w:t>
      </w:r>
      <w:r>
        <w:rPr>
          <w:spacing w:val="-6"/>
          <w:sz w:val="24"/>
        </w:rPr>
        <w:t> </w:t>
      </w:r>
      <w:r>
        <w:rPr>
          <w:sz w:val="24"/>
        </w:rPr>
        <w:t>vez</w:t>
      </w:r>
      <w:r>
        <w:rPr>
          <w:spacing w:val="-6"/>
          <w:sz w:val="24"/>
        </w:rPr>
        <w:t> </w:t>
      </w:r>
      <w:r>
        <w:rPr>
          <w:sz w:val="24"/>
        </w:rPr>
        <w:t>se</w:t>
      </w:r>
      <w:r>
        <w:rPr>
          <w:spacing w:val="-6"/>
          <w:sz w:val="24"/>
        </w:rPr>
        <w:t> </w:t>
      </w:r>
      <w:r>
        <w:rPr>
          <w:sz w:val="24"/>
        </w:rPr>
        <w:t>reconoce</w:t>
      </w:r>
      <w:r>
        <w:rPr>
          <w:spacing w:val="-6"/>
          <w:sz w:val="24"/>
        </w:rPr>
        <w:t> </w:t>
      </w:r>
      <w:r>
        <w:rPr>
          <w:sz w:val="24"/>
        </w:rPr>
        <w:t>más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desarrollo</w:t>
      </w:r>
      <w:r>
        <w:rPr>
          <w:spacing w:val="-5"/>
          <w:sz w:val="24"/>
        </w:rPr>
        <w:t> </w:t>
      </w:r>
      <w:r>
        <w:rPr>
          <w:sz w:val="24"/>
        </w:rPr>
        <w:t>abarca</w:t>
      </w:r>
      <w:r>
        <w:rPr>
          <w:spacing w:val="-9"/>
          <w:sz w:val="24"/>
        </w:rPr>
        <w:t> </w:t>
      </w:r>
      <w:r>
        <w:rPr>
          <w:sz w:val="24"/>
        </w:rPr>
        <w:t>todo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ciclo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vida;</w:t>
      </w:r>
      <w:r>
        <w:rPr>
          <w:spacing w:val="-7"/>
          <w:sz w:val="24"/>
        </w:rPr>
        <w:t> </w:t>
      </w:r>
      <w:r>
        <w:rPr>
          <w:sz w:val="24"/>
        </w:rPr>
        <w:t>empieza</w:t>
      </w:r>
      <w:r>
        <w:rPr>
          <w:spacing w:val="-52"/>
          <w:sz w:val="24"/>
        </w:rPr>
        <w:t> </w:t>
      </w:r>
      <w:r>
        <w:rPr>
          <w:sz w:val="24"/>
        </w:rPr>
        <w:t>en el período previo a la concepción, continúa a lo largo del embarazo, el nacimiento, el período</w:t>
      </w:r>
      <w:r>
        <w:rPr>
          <w:spacing w:val="-52"/>
          <w:sz w:val="24"/>
        </w:rPr>
        <w:t> </w:t>
      </w:r>
      <w:r>
        <w:rPr>
          <w:sz w:val="24"/>
        </w:rPr>
        <w:t>neonatal, la niñez y la adolescencia y se extiende hasta la edad adulta, la vejez y la siguiente</w:t>
      </w:r>
      <w:r>
        <w:rPr>
          <w:spacing w:val="1"/>
          <w:sz w:val="24"/>
        </w:rPr>
        <w:t> </w:t>
      </w:r>
      <w:r>
        <w:rPr>
          <w:sz w:val="24"/>
        </w:rPr>
        <w:t>generación de</w:t>
      </w:r>
      <w:r>
        <w:rPr>
          <w:spacing w:val="-1"/>
          <w:sz w:val="24"/>
        </w:rPr>
        <w:t> </w:t>
      </w:r>
      <w:r>
        <w:rPr>
          <w:sz w:val="24"/>
        </w:rPr>
        <w:t>niños.</w:t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278" w:right="1078" w:firstLine="0"/>
        <w:jc w:val="both"/>
        <w:rPr>
          <w:sz w:val="24"/>
        </w:rPr>
      </w:pPr>
      <w:r>
        <w:rPr>
          <w:sz w:val="24"/>
        </w:rPr>
        <w:t>Las</w:t>
      </w:r>
      <w:r>
        <w:rPr>
          <w:spacing w:val="-7"/>
          <w:sz w:val="24"/>
        </w:rPr>
        <w:t> </w:t>
      </w:r>
      <w:r>
        <w:rPr>
          <w:sz w:val="24"/>
        </w:rPr>
        <w:t>habilidades</w:t>
      </w:r>
      <w:r>
        <w:rPr>
          <w:spacing w:val="-6"/>
          <w:sz w:val="24"/>
        </w:rPr>
        <w:t> </w:t>
      </w:r>
      <w:r>
        <w:rPr>
          <w:sz w:val="24"/>
        </w:rPr>
        <w:t>básicas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aprendizaje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capacidades</w:t>
      </w:r>
      <w:r>
        <w:rPr>
          <w:spacing w:val="-5"/>
          <w:sz w:val="24"/>
        </w:rPr>
        <w:t> </w:t>
      </w:r>
      <w:r>
        <w:rPr>
          <w:sz w:val="24"/>
        </w:rPr>
        <w:t>personales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sociales</w:t>
      </w:r>
      <w:r>
        <w:rPr>
          <w:spacing w:val="-6"/>
          <w:sz w:val="24"/>
        </w:rPr>
        <w:t> </w:t>
      </w:r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adquieren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52"/>
          <w:sz w:val="24"/>
        </w:rPr>
        <w:t> </w:t>
      </w:r>
      <w:r>
        <w:rPr>
          <w:sz w:val="24"/>
        </w:rPr>
        <w:t>una</w:t>
      </w:r>
      <w:r>
        <w:rPr>
          <w:spacing w:val="15"/>
          <w:sz w:val="24"/>
        </w:rPr>
        <w:t> </w:t>
      </w:r>
      <w:r>
        <w:rPr>
          <w:sz w:val="24"/>
        </w:rPr>
        <w:t>edad</w:t>
      </w:r>
      <w:r>
        <w:rPr>
          <w:spacing w:val="16"/>
          <w:sz w:val="24"/>
        </w:rPr>
        <w:t> </w:t>
      </w:r>
      <w:r>
        <w:rPr>
          <w:sz w:val="24"/>
        </w:rPr>
        <w:t>temprana,</w:t>
      </w:r>
      <w:r>
        <w:rPr>
          <w:spacing w:val="15"/>
          <w:sz w:val="24"/>
        </w:rPr>
        <w:t> </w:t>
      </w:r>
      <w:r>
        <w:rPr>
          <w:sz w:val="24"/>
        </w:rPr>
        <w:t>y</w:t>
      </w:r>
      <w:r>
        <w:rPr>
          <w:spacing w:val="17"/>
          <w:sz w:val="24"/>
        </w:rPr>
        <w:t> </w:t>
      </w:r>
      <w:r>
        <w:rPr>
          <w:sz w:val="24"/>
        </w:rPr>
        <w:t>constituyen</w:t>
      </w:r>
      <w:r>
        <w:rPr>
          <w:spacing w:val="18"/>
          <w:sz w:val="24"/>
        </w:rPr>
        <w:t> </w:t>
      </w:r>
      <w:r>
        <w:rPr>
          <w:sz w:val="24"/>
        </w:rPr>
        <w:t>los</w:t>
      </w:r>
      <w:r>
        <w:rPr>
          <w:spacing w:val="16"/>
          <w:sz w:val="24"/>
        </w:rPr>
        <w:t> </w:t>
      </w:r>
      <w:r>
        <w:rPr>
          <w:sz w:val="24"/>
        </w:rPr>
        <w:t>cimientos</w:t>
      </w:r>
      <w:r>
        <w:rPr>
          <w:spacing w:val="16"/>
          <w:sz w:val="24"/>
        </w:rPr>
        <w:t> </w:t>
      </w:r>
      <w:r>
        <w:rPr>
          <w:sz w:val="24"/>
        </w:rPr>
        <w:t>para</w:t>
      </w:r>
      <w:r>
        <w:rPr>
          <w:spacing w:val="16"/>
          <w:sz w:val="24"/>
        </w:rPr>
        <w:t> </w:t>
      </w:r>
      <w:r>
        <w:rPr>
          <w:sz w:val="24"/>
        </w:rPr>
        <w:t>las</w:t>
      </w:r>
      <w:r>
        <w:rPr>
          <w:spacing w:val="18"/>
          <w:sz w:val="24"/>
        </w:rPr>
        <w:t> </w:t>
      </w:r>
      <w:r>
        <w:rPr>
          <w:sz w:val="24"/>
        </w:rPr>
        <w:t>capacidades</w:t>
      </w:r>
      <w:r>
        <w:rPr>
          <w:spacing w:val="18"/>
          <w:sz w:val="24"/>
        </w:rPr>
        <w:t> </w:t>
      </w:r>
      <w:r>
        <w:rPr>
          <w:sz w:val="24"/>
        </w:rPr>
        <w:t>posteriores.</w:t>
      </w:r>
      <w:r>
        <w:rPr>
          <w:spacing w:val="15"/>
          <w:sz w:val="24"/>
        </w:rPr>
        <w:t> </w:t>
      </w:r>
      <w:r>
        <w:rPr>
          <w:sz w:val="24"/>
        </w:rPr>
        <w:t>Además,</w:t>
      </w:r>
      <w:r>
        <w:rPr>
          <w:spacing w:val="17"/>
          <w:sz w:val="24"/>
        </w:rPr>
        <w:t> </w:t>
      </w:r>
      <w:r>
        <w:rPr>
          <w:sz w:val="24"/>
        </w:rPr>
        <w:t>las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w:pict>
          <v:rect style="position:absolute;margin-left:563.880005pt;margin-top:12.759294pt;width:25.44pt;height:1.4399pt;mso-position-horizontal-relative:page;mso-position-vertical-relative:paragraph;z-index:-1553817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ind w:right="211"/>
      </w:pPr>
      <w:r>
        <w:rPr/>
        <w:t>90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04704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28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spacing w:before="52"/>
        <w:ind w:left="278" w:right="1078" w:firstLine="0"/>
        <w:jc w:val="both"/>
        <w:rPr>
          <w:sz w:val="24"/>
        </w:rPr>
      </w:pPr>
      <w:r>
        <w:rPr>
          <w:sz w:val="24"/>
        </w:rPr>
        <w:t>competencias tempranas facilitan el aprendizaje de nuevas habilidades y generan la confianza y</w:t>
      </w:r>
      <w:r>
        <w:rPr>
          <w:spacing w:val="1"/>
          <w:sz w:val="24"/>
        </w:rPr>
        <w:t> </w:t>
      </w:r>
      <w:r>
        <w:rPr>
          <w:sz w:val="24"/>
        </w:rPr>
        <w:t>la motivación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seguir</w:t>
      </w:r>
      <w:r>
        <w:rPr>
          <w:spacing w:val="-2"/>
          <w:sz w:val="24"/>
        </w:rPr>
        <w:t> </w:t>
      </w:r>
      <w:r>
        <w:rPr>
          <w:sz w:val="24"/>
        </w:rPr>
        <w:t>aprendiendo a</w:t>
      </w:r>
      <w:r>
        <w:rPr>
          <w:spacing w:val="-2"/>
          <w:sz w:val="24"/>
        </w:rPr>
        <w:t> </w:t>
      </w:r>
      <w:r>
        <w:rPr>
          <w:sz w:val="24"/>
        </w:rPr>
        <w:t>lo</w:t>
      </w:r>
      <w:r>
        <w:rPr>
          <w:spacing w:val="1"/>
          <w:sz w:val="24"/>
        </w:rPr>
        <w:t> </w:t>
      </w:r>
      <w:r>
        <w:rPr>
          <w:sz w:val="24"/>
        </w:rPr>
        <w:t>largo</w:t>
      </w:r>
      <w:r>
        <w:rPr>
          <w:spacing w:val="-1"/>
          <w:sz w:val="24"/>
        </w:rPr>
        <w:t> </w:t>
      </w:r>
      <w:r>
        <w:rPr>
          <w:sz w:val="24"/>
        </w:rPr>
        <w:t>de la</w:t>
      </w:r>
      <w:r>
        <w:rPr>
          <w:spacing w:val="1"/>
          <w:sz w:val="24"/>
        </w:rPr>
        <w:t> </w:t>
      </w:r>
      <w:r>
        <w:rPr>
          <w:sz w:val="24"/>
        </w:rPr>
        <w:t>vida.</w:t>
      </w:r>
    </w:p>
    <w:p>
      <w:pPr>
        <w:pStyle w:val="BodyText"/>
        <w:spacing w:before="11"/>
        <w:rPr>
          <w:sz w:val="23"/>
        </w:rPr>
      </w:pPr>
    </w:p>
    <w:p>
      <w:pPr>
        <w:spacing w:line="240" w:lineRule="auto" w:before="1"/>
        <w:ind w:left="278" w:right="1071" w:firstLine="0"/>
        <w:jc w:val="both"/>
        <w:rPr>
          <w:sz w:val="24"/>
        </w:rPr>
      </w:pPr>
      <w:r>
        <w:rPr>
          <w:sz w:val="24"/>
        </w:rPr>
        <w:t>El cuidado cariñoso y sensible es el conjunto de condiciones que permiten la atención óptima de</w:t>
      </w:r>
      <w:r>
        <w:rPr>
          <w:spacing w:val="-52"/>
          <w:sz w:val="24"/>
        </w:rPr>
        <w:t> </w:t>
      </w:r>
      <w:r>
        <w:rPr>
          <w:sz w:val="24"/>
        </w:rPr>
        <w:t>los</w:t>
      </w:r>
      <w:r>
        <w:rPr>
          <w:spacing w:val="-9"/>
          <w:sz w:val="24"/>
        </w:rPr>
        <w:t> </w:t>
      </w:r>
      <w:r>
        <w:rPr>
          <w:sz w:val="24"/>
        </w:rPr>
        <w:t>niños</w:t>
      </w:r>
      <w:r>
        <w:rPr>
          <w:spacing w:val="-11"/>
          <w:sz w:val="24"/>
        </w:rPr>
        <w:t> </w:t>
      </w:r>
      <w:r>
        <w:rPr>
          <w:sz w:val="24"/>
        </w:rPr>
        <w:t>pequeños.</w:t>
      </w:r>
      <w:r>
        <w:rPr>
          <w:spacing w:val="-8"/>
          <w:sz w:val="24"/>
        </w:rPr>
        <w:t> </w:t>
      </w:r>
      <w:r>
        <w:rPr>
          <w:sz w:val="24"/>
        </w:rPr>
        <w:t>Se</w:t>
      </w:r>
      <w:r>
        <w:rPr>
          <w:spacing w:val="-8"/>
          <w:sz w:val="24"/>
        </w:rPr>
        <w:t> </w:t>
      </w:r>
      <w:r>
        <w:rPr>
          <w:sz w:val="24"/>
        </w:rPr>
        <w:t>refiere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un</w:t>
      </w:r>
      <w:r>
        <w:rPr>
          <w:spacing w:val="-8"/>
          <w:sz w:val="24"/>
        </w:rPr>
        <w:t> </w:t>
      </w:r>
      <w:r>
        <w:rPr>
          <w:sz w:val="24"/>
        </w:rPr>
        <w:t>entorno</w:t>
      </w:r>
      <w:r>
        <w:rPr>
          <w:spacing w:val="-9"/>
          <w:sz w:val="24"/>
        </w:rPr>
        <w:t> </w:t>
      </w:r>
      <w:r>
        <w:rPr>
          <w:sz w:val="24"/>
        </w:rPr>
        <w:t>estable</w:t>
      </w:r>
      <w:r>
        <w:rPr>
          <w:spacing w:val="-6"/>
          <w:sz w:val="24"/>
        </w:rPr>
        <w:t> </w:t>
      </w:r>
      <w:r>
        <w:rPr>
          <w:sz w:val="24"/>
        </w:rPr>
        <w:t>creado</w:t>
      </w:r>
      <w:r>
        <w:rPr>
          <w:spacing w:val="-9"/>
          <w:sz w:val="24"/>
        </w:rPr>
        <w:t> </w:t>
      </w:r>
      <w:r>
        <w:rPr>
          <w:sz w:val="24"/>
        </w:rPr>
        <w:t>por</w:t>
      </w:r>
      <w:r>
        <w:rPr>
          <w:spacing w:val="-8"/>
          <w:sz w:val="24"/>
        </w:rPr>
        <w:t> </w:t>
      </w:r>
      <w:r>
        <w:rPr>
          <w:sz w:val="24"/>
        </w:rPr>
        <w:t>los</w:t>
      </w:r>
      <w:r>
        <w:rPr>
          <w:spacing w:val="-8"/>
          <w:sz w:val="24"/>
        </w:rPr>
        <w:t> </w:t>
      </w:r>
      <w:r>
        <w:rPr>
          <w:sz w:val="24"/>
        </w:rPr>
        <w:t>padres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otros</w:t>
      </w:r>
      <w:r>
        <w:rPr>
          <w:spacing w:val="-9"/>
          <w:sz w:val="24"/>
        </w:rPr>
        <w:t> </w:t>
      </w:r>
      <w:r>
        <w:rPr>
          <w:sz w:val="24"/>
        </w:rPr>
        <w:t>cuidadores,</w:t>
      </w:r>
      <w:r>
        <w:rPr>
          <w:spacing w:val="-7"/>
          <w:sz w:val="24"/>
        </w:rPr>
        <w:t> </w:t>
      </w:r>
      <w:r>
        <w:rPr>
          <w:sz w:val="24"/>
        </w:rPr>
        <w:t>con</w:t>
      </w:r>
      <w:r>
        <w:rPr>
          <w:spacing w:val="-52"/>
          <w:sz w:val="24"/>
        </w:rPr>
        <w:t> </w:t>
      </w:r>
      <w:r>
        <w:rPr>
          <w:sz w:val="24"/>
        </w:rPr>
        <w:t>apoyo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políticas,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servicios,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comunidad,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asegura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salud,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nutrición</w:t>
      </w:r>
      <w:r>
        <w:rPr>
          <w:spacing w:val="-4"/>
          <w:sz w:val="24"/>
        </w:rPr>
        <w:t> </w:t>
      </w:r>
      <w:r>
        <w:rPr>
          <w:sz w:val="24"/>
        </w:rPr>
        <w:t>adecuadas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los niños, los protege de los riesgos y les brinda oportunidades para el aprendizaje temprano,</w:t>
      </w:r>
      <w:r>
        <w:rPr>
          <w:spacing w:val="1"/>
          <w:sz w:val="24"/>
        </w:rPr>
        <w:t> </w:t>
      </w:r>
      <w:r>
        <w:rPr>
          <w:sz w:val="24"/>
        </w:rPr>
        <w:t>mediante interacciones que son emocionalmente, propicias y receptivas. El cuidado cariñoso y</w:t>
      </w:r>
      <w:r>
        <w:rPr>
          <w:spacing w:val="1"/>
          <w:sz w:val="24"/>
        </w:rPr>
        <w:t> </w:t>
      </w:r>
      <w:r>
        <w:rPr>
          <w:sz w:val="24"/>
        </w:rPr>
        <w:t>sensible es esencial para el desarrollo del niño. Sienta las bases para la salud y el bienestar a lo</w:t>
      </w:r>
      <w:r>
        <w:rPr>
          <w:spacing w:val="1"/>
          <w:sz w:val="24"/>
        </w:rPr>
        <w:t> </w:t>
      </w:r>
      <w:r>
        <w:rPr>
          <w:sz w:val="24"/>
        </w:rPr>
        <w:t>largo de toda la vida y construye capital humano en el niño hoy, en el adolescente y el adulto</w:t>
      </w:r>
      <w:r>
        <w:rPr>
          <w:spacing w:val="1"/>
          <w:sz w:val="24"/>
        </w:rPr>
        <w:t> </w:t>
      </w:r>
      <w:r>
        <w:rPr>
          <w:sz w:val="24"/>
        </w:rPr>
        <w:t>mañana</w:t>
      </w:r>
      <w:r>
        <w:rPr>
          <w:spacing w:val="-3"/>
          <w:sz w:val="24"/>
        </w:rPr>
        <w:t> </w:t>
      </w:r>
      <w:r>
        <w:rPr>
          <w:sz w:val="24"/>
        </w:rPr>
        <w:t>y en</w:t>
      </w:r>
      <w:r>
        <w:rPr>
          <w:spacing w:val="1"/>
          <w:sz w:val="24"/>
        </w:rPr>
        <w:t> </w:t>
      </w:r>
      <w:r>
        <w:rPr>
          <w:sz w:val="24"/>
        </w:rPr>
        <w:t>la siguiente</w:t>
      </w:r>
      <w:r>
        <w:rPr>
          <w:spacing w:val="-2"/>
          <w:sz w:val="24"/>
        </w:rPr>
        <w:t> </w:t>
      </w:r>
      <w:r>
        <w:rPr>
          <w:sz w:val="24"/>
        </w:rPr>
        <w:t>generación en el</w:t>
      </w:r>
      <w:r>
        <w:rPr>
          <w:spacing w:val="-2"/>
          <w:sz w:val="24"/>
        </w:rPr>
        <w:t> </w:t>
      </w:r>
      <w:r>
        <w:rPr>
          <w:sz w:val="24"/>
        </w:rPr>
        <w:t>futuro</w:t>
      </w:r>
      <w:r>
        <w:rPr>
          <w:spacing w:val="-3"/>
          <w:sz w:val="24"/>
        </w:rPr>
        <w:t> </w:t>
      </w:r>
      <w:r>
        <w:rPr>
          <w:sz w:val="24"/>
        </w:rPr>
        <w:t>(Cavoukian, 2018).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278" w:right="1076" w:firstLine="0"/>
        <w:jc w:val="both"/>
        <w:rPr>
          <w:sz w:val="24"/>
        </w:rPr>
      </w:pPr>
      <w:r>
        <w:rPr>
          <w:sz w:val="24"/>
        </w:rPr>
        <w:t>Además, en los primeros años de vida, los padres y los miembros de la familia inmediata son los</w:t>
      </w:r>
      <w:r>
        <w:rPr>
          <w:spacing w:val="1"/>
          <w:sz w:val="24"/>
        </w:rPr>
        <w:t> </w:t>
      </w:r>
      <w:r>
        <w:rPr>
          <w:sz w:val="24"/>
        </w:rPr>
        <w:t>mejores proveedores de cuidado cariñoso y sensible, por lo cual es importante la atención</w:t>
      </w:r>
      <w:r>
        <w:rPr>
          <w:spacing w:val="1"/>
          <w:sz w:val="24"/>
        </w:rPr>
        <w:t> </w:t>
      </w:r>
      <w:r>
        <w:rPr>
          <w:sz w:val="24"/>
        </w:rPr>
        <w:t>centrada en la familia. El vínculo entre los padres y su hijo pequeño, que se expresa antes del</w:t>
      </w:r>
      <w:r>
        <w:rPr>
          <w:spacing w:val="1"/>
          <w:sz w:val="24"/>
        </w:rPr>
        <w:t> </w:t>
      </w:r>
      <w:r>
        <w:rPr>
          <w:sz w:val="24"/>
        </w:rPr>
        <w:t>habla, se desarrolla al acunarlo y mediante contacto visual, sonrisas, vocalizaciones y gestos; es</w:t>
      </w:r>
      <w:r>
        <w:rPr>
          <w:spacing w:val="1"/>
          <w:sz w:val="24"/>
        </w:rPr>
        <w:t> </w:t>
      </w:r>
      <w:r>
        <w:rPr>
          <w:sz w:val="24"/>
        </w:rPr>
        <w:t>el motor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impulsa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desarrollo</w:t>
      </w:r>
      <w:r>
        <w:rPr>
          <w:spacing w:val="1"/>
          <w:sz w:val="24"/>
        </w:rPr>
        <w:t> </w:t>
      </w:r>
      <w:r>
        <w:rPr>
          <w:sz w:val="24"/>
        </w:rPr>
        <w:t>del cerebro.</w:t>
      </w:r>
    </w:p>
    <w:p>
      <w:pPr>
        <w:pStyle w:val="BodyText"/>
        <w:spacing w:before="11"/>
        <w:rPr>
          <w:sz w:val="23"/>
        </w:rPr>
      </w:pPr>
    </w:p>
    <w:p>
      <w:pPr>
        <w:spacing w:line="240" w:lineRule="auto" w:before="0"/>
        <w:ind w:left="278" w:right="1073" w:firstLine="0"/>
        <w:jc w:val="both"/>
        <w:rPr>
          <w:sz w:val="24"/>
        </w:rPr>
      </w:pPr>
      <w:r>
        <w:rPr>
          <w:sz w:val="24"/>
        </w:rPr>
        <w:t>El cuidado cariñoso y sensible consta de cinco componentes interrelacionados: </w:t>
      </w:r>
      <w:r>
        <w:rPr>
          <w:b/>
          <w:i/>
          <w:sz w:val="24"/>
        </w:rPr>
        <w:t>salud, nutrición,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seguridad y protección, aprendizaje temprano y atención receptiv</w:t>
      </w:r>
      <w:r>
        <w:rPr>
          <w:i/>
          <w:sz w:val="24"/>
        </w:rPr>
        <w:t>a. </w:t>
      </w:r>
      <w:r>
        <w:rPr>
          <w:sz w:val="24"/>
        </w:rPr>
        <w:t>Los niños necesitan contar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cinco</w:t>
      </w:r>
      <w:r>
        <w:rPr>
          <w:spacing w:val="-4"/>
          <w:sz w:val="24"/>
        </w:rPr>
        <w:t> </w:t>
      </w:r>
      <w:r>
        <w:rPr>
          <w:sz w:val="24"/>
        </w:rPr>
        <w:t>dominios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cuidado</w:t>
      </w:r>
      <w:r>
        <w:rPr>
          <w:spacing w:val="-4"/>
          <w:sz w:val="24"/>
        </w:rPr>
        <w:t> </w:t>
      </w:r>
      <w:r>
        <w:rPr>
          <w:sz w:val="24"/>
        </w:rPr>
        <w:t>cariñoso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sensible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desplegar</w:t>
      </w:r>
      <w:r>
        <w:rPr>
          <w:spacing w:val="-4"/>
          <w:sz w:val="24"/>
        </w:rPr>
        <w:t> </w:t>
      </w:r>
      <w:r>
        <w:rPr>
          <w:sz w:val="24"/>
        </w:rPr>
        <w:t>su</w:t>
      </w:r>
      <w:r>
        <w:rPr>
          <w:spacing w:val="-3"/>
          <w:sz w:val="24"/>
        </w:rPr>
        <w:t> </w:t>
      </w:r>
      <w:r>
        <w:rPr>
          <w:sz w:val="24"/>
        </w:rPr>
        <w:t>potencial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desarrollo.</w:t>
      </w:r>
      <w:r>
        <w:rPr>
          <w:spacing w:val="-52"/>
          <w:sz w:val="24"/>
        </w:rPr>
        <w:t> </w:t>
      </w:r>
      <w:r>
        <w:rPr>
          <w:sz w:val="24"/>
        </w:rPr>
        <w:t>En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siguiente</w:t>
      </w:r>
      <w:r>
        <w:rPr>
          <w:spacing w:val="-10"/>
          <w:sz w:val="24"/>
        </w:rPr>
        <w:t> </w:t>
      </w:r>
      <w:r>
        <w:rPr>
          <w:sz w:val="24"/>
        </w:rPr>
        <w:t>tabla,</w:t>
      </w:r>
      <w:r>
        <w:rPr>
          <w:spacing w:val="-11"/>
          <w:sz w:val="24"/>
        </w:rPr>
        <w:t> </w:t>
      </w:r>
      <w:r>
        <w:rPr>
          <w:sz w:val="24"/>
        </w:rPr>
        <w:t>se</w:t>
      </w:r>
      <w:r>
        <w:rPr>
          <w:spacing w:val="-10"/>
          <w:sz w:val="24"/>
        </w:rPr>
        <w:t> </w:t>
      </w:r>
      <w:r>
        <w:rPr>
          <w:sz w:val="24"/>
        </w:rPr>
        <w:t>enlistan</w:t>
      </w:r>
      <w:r>
        <w:rPr>
          <w:spacing w:val="-12"/>
          <w:sz w:val="24"/>
        </w:rPr>
        <w:t> </w:t>
      </w:r>
      <w:r>
        <w:rPr>
          <w:sz w:val="24"/>
        </w:rPr>
        <w:t>los</w:t>
      </w:r>
      <w:r>
        <w:rPr>
          <w:spacing w:val="-10"/>
          <w:sz w:val="24"/>
        </w:rPr>
        <w:t> </w:t>
      </w:r>
      <w:r>
        <w:rPr>
          <w:sz w:val="24"/>
        </w:rPr>
        <w:t>elementos</w:t>
      </w:r>
      <w:r>
        <w:rPr>
          <w:spacing w:val="-11"/>
          <w:sz w:val="24"/>
        </w:rPr>
        <w:t> </w:t>
      </w:r>
      <w:r>
        <w:rPr>
          <w:sz w:val="24"/>
        </w:rPr>
        <w:t>asociados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las</w:t>
      </w:r>
      <w:r>
        <w:rPr>
          <w:spacing w:val="-11"/>
          <w:sz w:val="24"/>
        </w:rPr>
        <w:t> </w:t>
      </w:r>
      <w:r>
        <w:rPr>
          <w:sz w:val="24"/>
        </w:rPr>
        <w:t>acciones</w:t>
      </w:r>
      <w:r>
        <w:rPr>
          <w:spacing w:val="-13"/>
          <w:sz w:val="24"/>
        </w:rPr>
        <w:t> </w:t>
      </w: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se</w:t>
      </w:r>
      <w:r>
        <w:rPr>
          <w:spacing w:val="-10"/>
          <w:sz w:val="24"/>
        </w:rPr>
        <w:t> </w:t>
      </w:r>
      <w:r>
        <w:rPr>
          <w:sz w:val="24"/>
        </w:rPr>
        <w:t>pueden</w:t>
      </w:r>
      <w:r>
        <w:rPr>
          <w:spacing w:val="-10"/>
          <w:sz w:val="24"/>
        </w:rPr>
        <w:t> </w:t>
      </w:r>
      <w:r>
        <w:rPr>
          <w:sz w:val="24"/>
        </w:rPr>
        <w:t>seguir</w:t>
      </w:r>
      <w:r>
        <w:rPr>
          <w:spacing w:val="-13"/>
          <w:sz w:val="24"/>
        </w:rPr>
        <w:t> </w:t>
      </w:r>
      <w:r>
        <w:rPr>
          <w:sz w:val="24"/>
        </w:rPr>
        <w:t>para</w:t>
      </w:r>
      <w:r>
        <w:rPr>
          <w:spacing w:val="-52"/>
          <w:sz w:val="24"/>
        </w:rPr>
        <w:t> </w:t>
      </w:r>
      <w:r>
        <w:rPr>
          <w:sz w:val="24"/>
        </w:rPr>
        <w:t>conseguirlo.</w:t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278" w:right="0" w:firstLine="0"/>
        <w:jc w:val="both"/>
        <w:rPr>
          <w:sz w:val="20"/>
        </w:rPr>
      </w:pPr>
      <w:r>
        <w:rPr>
          <w:sz w:val="20"/>
        </w:rPr>
        <w:t>Tabla</w:t>
      </w:r>
      <w:r>
        <w:rPr>
          <w:spacing w:val="-3"/>
          <w:sz w:val="20"/>
        </w:rPr>
        <w:t> </w:t>
      </w:r>
      <w:r>
        <w:rPr>
          <w:sz w:val="20"/>
        </w:rPr>
        <w:t>Nº.1</w:t>
      </w:r>
      <w:r>
        <w:rPr>
          <w:spacing w:val="-3"/>
          <w:sz w:val="20"/>
        </w:rPr>
        <w:t> </w:t>
      </w:r>
      <w:r>
        <w:rPr>
          <w:sz w:val="20"/>
        </w:rPr>
        <w:t>Elementos</w:t>
      </w:r>
      <w:r>
        <w:rPr>
          <w:spacing w:val="-4"/>
          <w:sz w:val="20"/>
        </w:rPr>
        <w:t> </w:t>
      </w:r>
      <w:r>
        <w:rPr>
          <w:sz w:val="20"/>
        </w:rPr>
        <w:t>esenciales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cuidado</w:t>
      </w:r>
      <w:r>
        <w:rPr>
          <w:spacing w:val="-2"/>
          <w:sz w:val="20"/>
        </w:rPr>
        <w:t> </w:t>
      </w:r>
      <w:r>
        <w:rPr>
          <w:sz w:val="20"/>
        </w:rPr>
        <w:t>cariñoso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sensible</w:t>
      </w:r>
    </w:p>
    <w:tbl>
      <w:tblPr>
        <w:tblW w:w="0" w:type="auto"/>
        <w:jc w:val="left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7655"/>
      </w:tblGrid>
      <w:tr>
        <w:trPr>
          <w:trHeight w:val="244" w:hRule="atLeast"/>
        </w:trPr>
        <w:tc>
          <w:tcPr>
            <w:tcW w:w="8898" w:type="dxa"/>
            <w:gridSpan w:val="2"/>
            <w:shd w:val="clear" w:color="auto" w:fill="4F81BC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Elementos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esenciales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cuidado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cariñoso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y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sensible</w:t>
            </w:r>
          </w:p>
        </w:tc>
      </w:tr>
      <w:tr>
        <w:trPr>
          <w:trHeight w:val="4152" w:hRule="atLeast"/>
        </w:trPr>
        <w:tc>
          <w:tcPr>
            <w:tcW w:w="1243" w:type="dxa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Salud</w:t>
            </w:r>
          </w:p>
        </w:tc>
        <w:tc>
          <w:tcPr>
            <w:tcW w:w="7655" w:type="dxa"/>
          </w:tcPr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Planificación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familiar</w:t>
            </w:r>
          </w:p>
          <w:p>
            <w:pPr>
              <w:pStyle w:val="TableParagraph"/>
              <w:spacing w:before="1"/>
              <w:ind w:left="105" w:right="440"/>
              <w:rPr>
                <w:sz w:val="20"/>
              </w:rPr>
            </w:pPr>
            <w:r>
              <w:rPr>
                <w:sz w:val="20"/>
              </w:rPr>
              <w:t>Prevención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interrupción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 consumo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tabaco,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alcohol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sustancias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psicoactivas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Atención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prenatal</w:t>
            </w:r>
          </w:p>
          <w:p>
            <w:pPr>
              <w:pStyle w:val="TableParagraph"/>
              <w:spacing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Atención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parto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Prevención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transmisión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infantil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VIH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Cuidados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esenciales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recién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nacido,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atención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neonatos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pequeños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enfermos</w:t>
            </w:r>
          </w:p>
          <w:p>
            <w:pPr>
              <w:pStyle w:val="TableParagraph"/>
              <w:spacing w:line="244" w:lineRule="exact"/>
              <w:ind w:left="105"/>
              <w:rPr>
                <w:sz w:val="20"/>
              </w:rPr>
            </w:pPr>
            <w:r>
              <w:rPr>
                <w:sz w:val="20"/>
              </w:rPr>
              <w:t>Contacto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atención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posnatal</w:t>
            </w:r>
          </w:p>
          <w:p>
            <w:pPr>
              <w:pStyle w:val="TableParagraph"/>
              <w:spacing w:before="1"/>
              <w:ind w:left="105" w:right="1772"/>
              <w:rPr>
                <w:sz w:val="20"/>
              </w:rPr>
            </w:pPr>
            <w:r>
              <w:rPr>
                <w:sz w:val="20"/>
              </w:rPr>
              <w:t>Método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madre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canguro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recién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nacidos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bajo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nacer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Inmunización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materna</w:t>
            </w:r>
          </w:p>
          <w:p>
            <w:pPr>
              <w:pStyle w:val="TableParagraph"/>
              <w:spacing w:line="243" w:lineRule="exact" w:before="1"/>
              <w:ind w:left="105"/>
              <w:rPr>
                <w:sz w:val="20"/>
              </w:rPr>
            </w:pPr>
            <w:r>
              <w:rPr>
                <w:sz w:val="20"/>
              </w:rPr>
              <w:t>Inmunización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infantil</w:t>
            </w:r>
          </w:p>
          <w:p>
            <w:pPr>
              <w:pStyle w:val="TableParagraph"/>
              <w:ind w:left="105" w:right="440"/>
              <w:rPr>
                <w:sz w:val="20"/>
              </w:rPr>
            </w:pPr>
            <w:r>
              <w:rPr>
                <w:sz w:val="20"/>
              </w:rPr>
              <w:t>Atención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niños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viven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dificultades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discapacidades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Apoyo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 la salud mental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padres</w:t>
            </w:r>
          </w:p>
          <w:p>
            <w:pPr>
              <w:pStyle w:val="TableParagraph"/>
              <w:ind w:left="105" w:right="46"/>
              <w:rPr>
                <w:sz w:val="20"/>
              </w:rPr>
            </w:pPr>
            <w:r>
              <w:rPr>
                <w:sz w:val="20"/>
              </w:rPr>
              <w:t>Detección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temprana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enfermedades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trastornos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discapacitantes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(por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ejemplo,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vista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 audición)</w:t>
            </w:r>
          </w:p>
          <w:p>
            <w:pPr>
              <w:pStyle w:val="TableParagraph"/>
              <w:spacing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Solicitud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pronta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apropiada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atención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niños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enfermos</w:t>
            </w:r>
          </w:p>
          <w:p>
            <w:pPr>
              <w:pStyle w:val="TableParagraph"/>
              <w:spacing w:line="223" w:lineRule="exact" w:before="1"/>
              <w:ind w:left="105"/>
              <w:rPr>
                <w:sz w:val="20"/>
              </w:rPr>
            </w:pPr>
            <w:r>
              <w:rPr>
                <w:sz w:val="20"/>
              </w:rPr>
              <w:t>Tratamiento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integrado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enfermedades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niño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  <w:r>
        <w:rPr/>
        <w:pict>
          <v:rect style="position:absolute;margin-left:563.880005pt;margin-top:18.140036pt;width:25.44pt;height:1.4399pt;mso-position-horizontal-relative:page;mso-position-vertical-relative:paragraph;z-index:-1553664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240" w:lineRule="auto" w:after="12"/>
        <w:ind w:right="211"/>
      </w:pPr>
      <w:r>
        <w:rPr/>
        <w:t>91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06240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29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</w:rPr>
      </w:pPr>
    </w:p>
    <w:tbl>
      <w:tblPr>
        <w:tblW w:w="0" w:type="auto"/>
        <w:jc w:val="left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7655"/>
      </w:tblGrid>
      <w:tr>
        <w:trPr>
          <w:trHeight w:val="1465" w:hRule="atLeast"/>
        </w:trPr>
        <w:tc>
          <w:tcPr>
            <w:tcW w:w="1243" w:type="dxa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Nutrición</w:t>
            </w:r>
          </w:p>
        </w:tc>
        <w:tc>
          <w:tcPr>
            <w:tcW w:w="7655" w:type="dxa"/>
          </w:tcPr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Nutrición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materna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Iniciación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temprana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lactancia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materna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exclusiva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Alimentación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complementaria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transición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alimentación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saludable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familia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Micronutrientes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según sea necesario</w:t>
            </w:r>
          </w:p>
          <w:p>
            <w:pPr>
              <w:pStyle w:val="TableParagraph"/>
              <w:spacing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Desparasitación</w:t>
            </w:r>
          </w:p>
          <w:p>
            <w:pPr>
              <w:pStyle w:val="TableParagraph"/>
              <w:spacing w:line="240" w:lineRule="atLeast"/>
              <w:ind w:left="105" w:right="1876"/>
              <w:rPr>
                <w:sz w:val="20"/>
              </w:rPr>
            </w:pPr>
            <w:r>
              <w:rPr>
                <w:sz w:val="20"/>
              </w:rPr>
              <w:t>Vigilancia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crecimiento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intervención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cuando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indicado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Atención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malnutrición</w:t>
            </w:r>
          </w:p>
        </w:tc>
      </w:tr>
      <w:tr>
        <w:trPr>
          <w:trHeight w:val="1953" w:hRule="atLeast"/>
        </w:trPr>
        <w:tc>
          <w:tcPr>
            <w:tcW w:w="1243" w:type="dxa"/>
          </w:tcPr>
          <w:p>
            <w:pPr>
              <w:pStyle w:val="TableParagraph"/>
              <w:spacing w:line="24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Seguridad</w:t>
            </w:r>
          </w:p>
        </w:tc>
        <w:tc>
          <w:tcPr>
            <w:tcW w:w="7655" w:type="dxa"/>
          </w:tcPr>
          <w:p>
            <w:pPr>
              <w:pStyle w:val="TableParagraph"/>
              <w:ind w:left="105" w:right="6445"/>
              <w:rPr>
                <w:sz w:val="20"/>
              </w:rPr>
            </w:pPr>
            <w:r>
              <w:rPr>
                <w:spacing w:val="-1"/>
                <w:sz w:val="20"/>
              </w:rPr>
              <w:t>Agua </w:t>
            </w:r>
            <w:r>
              <w:rPr>
                <w:sz w:val="20"/>
              </w:rPr>
              <w:t>potable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Saneamiento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Prevención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maltrato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descuido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infantiles</w:t>
            </w:r>
          </w:p>
          <w:p>
            <w:pPr>
              <w:pStyle w:val="TableParagraph"/>
              <w:spacing w:before="1"/>
              <w:ind w:left="105" w:right="1876"/>
              <w:rPr>
                <w:sz w:val="20"/>
              </w:rPr>
            </w:pPr>
            <w:r>
              <w:rPr>
                <w:sz w:val="20"/>
              </w:rPr>
              <w:t>Prevención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reducción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contaminación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interiores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exteriores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Ambientes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saludables, verdes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libres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toxinas</w:t>
            </w:r>
          </w:p>
          <w:p>
            <w:pPr>
              <w:pStyle w:val="TableParagraph"/>
              <w:ind w:left="105" w:right="440"/>
              <w:rPr>
                <w:sz w:val="20"/>
              </w:rPr>
            </w:pPr>
            <w:r>
              <w:rPr>
                <w:sz w:val="20"/>
              </w:rPr>
              <w:t>Prevención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violencia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compañero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íntimo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violencia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intrafamiliar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Prevención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castigos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severos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niños</w:t>
            </w:r>
          </w:p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Espacios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seguros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juego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zonas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urbanas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rurales</w:t>
            </w:r>
          </w:p>
        </w:tc>
      </w:tr>
      <w:tr>
        <w:trPr>
          <w:trHeight w:val="1463" w:hRule="atLeast"/>
        </w:trPr>
        <w:tc>
          <w:tcPr>
            <w:tcW w:w="1243" w:type="dxa"/>
          </w:tcPr>
          <w:p>
            <w:pPr>
              <w:pStyle w:val="TableParagraph"/>
              <w:ind w:left="107" w:right="339"/>
              <w:rPr>
                <w:b/>
                <w:sz w:val="20"/>
              </w:rPr>
            </w:pPr>
            <w:r>
              <w:rPr>
                <w:b/>
                <w:sz w:val="20"/>
              </w:rPr>
              <w:t>Atención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receptiva</w:t>
            </w:r>
          </w:p>
        </w:tc>
        <w:tc>
          <w:tcPr>
            <w:tcW w:w="7655" w:type="dxa"/>
          </w:tcPr>
          <w:p>
            <w:pPr>
              <w:pStyle w:val="TableParagraph"/>
              <w:spacing w:line="243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Contacto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piel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inmediatamente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después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nacimiento</w:t>
            </w:r>
          </w:p>
          <w:p>
            <w:pPr>
              <w:pStyle w:val="TableParagraph"/>
              <w:ind w:left="105" w:right="102" w:firstLine="45"/>
              <w:jc w:val="both"/>
              <w:rPr>
                <w:sz w:val="20"/>
              </w:rPr>
            </w:pPr>
            <w:r>
              <w:rPr>
                <w:sz w:val="20"/>
              </w:rPr>
              <w:t>Prestación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cuidados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afectuosos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seguros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adultos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familiar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Orientación para los niños en las actividades cotidianas y las relaciones con los demás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Rutinas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diaria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alimentación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sueño</w:t>
            </w:r>
          </w:p>
          <w:p>
            <w:pPr>
              <w:pStyle w:val="TableParagraph"/>
              <w:spacing w:line="244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Participación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padre,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familia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ampliada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otros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asociados</w:t>
            </w:r>
          </w:p>
          <w:p>
            <w:pPr>
              <w:pStyle w:val="TableParagraph"/>
              <w:spacing w:line="223" w:lineRule="exact" w:before="1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Apoyo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familias,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grupos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comunidad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comunidades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fe</w:t>
            </w:r>
          </w:p>
        </w:tc>
      </w:tr>
      <w:tr>
        <w:trPr>
          <w:trHeight w:val="1466" w:hRule="atLeast"/>
        </w:trPr>
        <w:tc>
          <w:tcPr>
            <w:tcW w:w="1243" w:type="dxa"/>
          </w:tcPr>
          <w:p>
            <w:pPr>
              <w:pStyle w:val="TableParagraph"/>
              <w:spacing w:before="1"/>
              <w:ind w:left="107" w:right="12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temprano</w:t>
            </w:r>
          </w:p>
        </w:tc>
        <w:tc>
          <w:tcPr>
            <w:tcW w:w="7655" w:type="dxa"/>
          </w:tcPr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Responder</w:t>
            </w:r>
            <w:r>
              <w:rPr>
                <w:spacing w:val="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comunicación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niño</w:t>
            </w:r>
            <w:r>
              <w:rPr>
                <w:spacing w:val="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mediante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vocalizaciones,</w:t>
            </w:r>
            <w:r>
              <w:rPr>
                <w:spacing w:val="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expresiones</w:t>
            </w:r>
            <w:r>
              <w:rPr>
                <w:spacing w:val="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faciales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gestos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Estimular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 lenguaje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mediante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conversación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canciones</w:t>
            </w:r>
          </w:p>
          <w:p>
            <w:pPr>
              <w:pStyle w:val="TableParagraph"/>
              <w:spacing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Alentar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exploración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objetos,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bajo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supervisión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cuidador</w:t>
            </w:r>
          </w:p>
          <w:p>
            <w:pPr>
              <w:pStyle w:val="TableParagraph"/>
              <w:spacing w:before="1"/>
              <w:ind w:left="105" w:right="440"/>
              <w:rPr>
                <w:sz w:val="20"/>
              </w:rPr>
            </w:pPr>
            <w:r>
              <w:rPr>
                <w:sz w:val="20"/>
              </w:rPr>
              <w:t>Juegos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cuidador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niño,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además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grupos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lectura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 cuentacuentos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Ludotecas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bibliotecas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itinerantes</w:t>
            </w:r>
          </w:p>
          <w:p>
            <w:pPr>
              <w:pStyle w:val="TableParagraph"/>
              <w:spacing w:line="223" w:lineRule="exact" w:before="1"/>
              <w:ind w:left="105"/>
              <w:rPr>
                <w:sz w:val="20"/>
              </w:rPr>
            </w:pPr>
            <w:r>
              <w:rPr>
                <w:sz w:val="20"/>
              </w:rPr>
              <w:t>Atención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guarderías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 educación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preescolar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calidad</w:t>
            </w:r>
          </w:p>
        </w:tc>
      </w:tr>
    </w:tbl>
    <w:p>
      <w:pPr>
        <w:spacing w:line="243" w:lineRule="exact" w:before="0"/>
        <w:ind w:left="278" w:right="0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partir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Cavoukian,</w:t>
      </w:r>
      <w:r>
        <w:rPr>
          <w:spacing w:val="-2"/>
          <w:sz w:val="20"/>
        </w:rPr>
        <w:t> </w:t>
      </w:r>
      <w:r>
        <w:rPr>
          <w:sz w:val="20"/>
        </w:rPr>
        <w:t>2018</w:t>
      </w:r>
    </w:p>
    <w:p>
      <w:pPr>
        <w:pStyle w:val="BodyText"/>
        <w:spacing w:before="11"/>
        <w:rPr>
          <w:sz w:val="19"/>
        </w:rPr>
      </w:pPr>
    </w:p>
    <w:p>
      <w:pPr>
        <w:spacing w:line="240" w:lineRule="auto" w:before="0"/>
        <w:ind w:left="278" w:right="1075" w:firstLine="0"/>
        <w:jc w:val="both"/>
        <w:rPr>
          <w:sz w:val="24"/>
        </w:rPr>
      </w:pP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observa,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cuidado</w:t>
      </w:r>
      <w:r>
        <w:rPr>
          <w:spacing w:val="1"/>
          <w:sz w:val="24"/>
        </w:rPr>
        <w:t> </w:t>
      </w:r>
      <w:r>
        <w:rPr>
          <w:sz w:val="24"/>
        </w:rPr>
        <w:t>cariñoso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sensible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constructo</w:t>
      </w:r>
      <w:r>
        <w:rPr>
          <w:spacing w:val="1"/>
          <w:sz w:val="24"/>
        </w:rPr>
        <w:t> </w:t>
      </w:r>
      <w:r>
        <w:rPr>
          <w:sz w:val="24"/>
        </w:rPr>
        <w:t>multidimensional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-52"/>
          <w:sz w:val="24"/>
        </w:rPr>
        <w:t> </w:t>
      </w:r>
      <w:r>
        <w:rPr>
          <w:sz w:val="24"/>
        </w:rPr>
        <w:t>elementos interrelacionados (</w:t>
      </w:r>
      <w:r>
        <w:rPr>
          <w:i/>
          <w:sz w:val="24"/>
        </w:rPr>
        <w:t>salud, nutrición, seguridad y protección, aprendizaje temprano 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atención receptiva) </w:t>
      </w:r>
      <w:r>
        <w:rPr>
          <w:sz w:val="24"/>
        </w:rPr>
        <w:t>cuya incidencia abarca múltiples sectores. Es decir, requiere un abordaje</w:t>
      </w:r>
      <w:r>
        <w:rPr>
          <w:spacing w:val="1"/>
          <w:sz w:val="24"/>
        </w:rPr>
        <w:t> </w:t>
      </w:r>
      <w:r>
        <w:rPr>
          <w:sz w:val="24"/>
        </w:rPr>
        <w:t>integral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integrador.</w:t>
      </w:r>
      <w:r>
        <w:rPr>
          <w:spacing w:val="-7"/>
          <w:sz w:val="24"/>
        </w:rPr>
        <w:t> </w:t>
      </w:r>
      <w:r>
        <w:rPr>
          <w:sz w:val="24"/>
        </w:rPr>
        <w:t>Se</w:t>
      </w:r>
      <w:r>
        <w:rPr>
          <w:spacing w:val="-11"/>
          <w:sz w:val="24"/>
        </w:rPr>
        <w:t> </w:t>
      </w:r>
      <w:r>
        <w:rPr>
          <w:sz w:val="24"/>
        </w:rPr>
        <w:t>ha</w:t>
      </w:r>
      <w:r>
        <w:rPr>
          <w:spacing w:val="-6"/>
          <w:sz w:val="24"/>
        </w:rPr>
        <w:t> </w:t>
      </w:r>
      <w:r>
        <w:rPr>
          <w:sz w:val="24"/>
        </w:rPr>
        <w:t>considerado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cuidado</w:t>
      </w:r>
      <w:r>
        <w:rPr>
          <w:spacing w:val="-6"/>
          <w:sz w:val="24"/>
        </w:rPr>
        <w:t> </w:t>
      </w:r>
      <w:r>
        <w:rPr>
          <w:sz w:val="24"/>
        </w:rPr>
        <w:t>cariñoso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sensible</w:t>
      </w:r>
      <w:r>
        <w:rPr>
          <w:spacing w:val="-6"/>
          <w:sz w:val="24"/>
        </w:rPr>
        <w:t> </w:t>
      </w:r>
      <w:r>
        <w:rPr>
          <w:sz w:val="24"/>
        </w:rPr>
        <w:t>como</w:t>
      </w:r>
      <w:r>
        <w:rPr>
          <w:spacing w:val="-6"/>
          <w:sz w:val="24"/>
        </w:rPr>
        <w:t> </w:t>
      </w:r>
      <w:r>
        <w:rPr>
          <w:sz w:val="24"/>
        </w:rPr>
        <w:t>base,</w:t>
      </w:r>
      <w:r>
        <w:rPr>
          <w:spacing w:val="-8"/>
          <w:sz w:val="24"/>
        </w:rPr>
        <w:t> </w:t>
      </w:r>
      <w:r>
        <w:rPr>
          <w:sz w:val="24"/>
        </w:rPr>
        <w:t>por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relación</w:t>
      </w:r>
      <w:r>
        <w:rPr>
          <w:spacing w:val="-51"/>
          <w:sz w:val="24"/>
        </w:rPr>
        <w:t> </w:t>
      </w:r>
      <w:r>
        <w:rPr>
          <w:sz w:val="24"/>
        </w:rPr>
        <w:t>que posee con la Gran Cruzada Nacional por la Nutrición 2020-2024 en donde, es un punto de</w:t>
      </w:r>
      <w:r>
        <w:rPr>
          <w:spacing w:val="1"/>
          <w:sz w:val="24"/>
        </w:rPr>
        <w:t> </w:t>
      </w:r>
      <w:r>
        <w:rPr>
          <w:sz w:val="24"/>
        </w:rPr>
        <w:t>partida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apoyar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procesos de</w:t>
      </w:r>
      <w:r>
        <w:rPr>
          <w:spacing w:val="-2"/>
          <w:sz w:val="24"/>
        </w:rPr>
        <w:t> </w:t>
      </w:r>
      <w:r>
        <w:rPr>
          <w:sz w:val="24"/>
        </w:rPr>
        <w:t>educación.</w:t>
      </w:r>
    </w:p>
    <w:p>
      <w:pPr>
        <w:pStyle w:val="BodyText"/>
        <w:spacing w:before="7"/>
        <w:rPr>
          <w:sz w:val="15"/>
        </w:rPr>
      </w:pPr>
    </w:p>
    <w:p>
      <w:pPr>
        <w:pStyle w:val="ListParagraph"/>
        <w:numPr>
          <w:ilvl w:val="2"/>
          <w:numId w:val="10"/>
        </w:numPr>
        <w:tabs>
          <w:tab w:pos="999" w:val="left" w:leader="none"/>
        </w:tabs>
        <w:spacing w:line="240" w:lineRule="auto" w:before="51" w:after="0"/>
        <w:ind w:left="998" w:right="0" w:hanging="721"/>
        <w:jc w:val="left"/>
        <w:rPr>
          <w:b/>
          <w:sz w:val="24"/>
        </w:rPr>
      </w:pPr>
      <w:bookmarkStart w:name="_bookmark114" w:id="161"/>
      <w:bookmarkEnd w:id="161"/>
      <w:r>
        <w:rPr/>
      </w:r>
      <w:bookmarkStart w:name="_bookmark114" w:id="162"/>
      <w:bookmarkEnd w:id="162"/>
      <w:r>
        <w:rPr>
          <w:b/>
          <w:sz w:val="24"/>
          <w:shd w:fill="FFFFFF" w:color="auto" w:val="clear"/>
        </w:rPr>
        <w:t>E</w:t>
      </w:r>
      <w:r>
        <w:rPr>
          <w:b/>
          <w:sz w:val="24"/>
          <w:shd w:fill="FFFFFF" w:color="auto" w:val="clear"/>
        </w:rPr>
        <w:t>je</w:t>
      </w:r>
      <w:r>
        <w:rPr>
          <w:b/>
          <w:spacing w:val="-5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2:</w:t>
      </w:r>
      <w:r>
        <w:rPr>
          <w:b/>
          <w:spacing w:val="-3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Colaboración</w:t>
      </w:r>
      <w:r>
        <w:rPr>
          <w:b/>
          <w:spacing w:val="-2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e</w:t>
      </w:r>
      <w:r>
        <w:rPr>
          <w:b/>
          <w:spacing w:val="-6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Integración</w:t>
      </w:r>
      <w:r>
        <w:rPr>
          <w:b/>
          <w:spacing w:val="-2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de</w:t>
      </w:r>
      <w:r>
        <w:rPr>
          <w:b/>
          <w:spacing w:val="-6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la</w:t>
      </w:r>
      <w:r>
        <w:rPr>
          <w:b/>
          <w:spacing w:val="-4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Comunidad</w:t>
      </w:r>
      <w:r>
        <w:rPr>
          <w:b/>
          <w:spacing w:val="-2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Educativa.</w:t>
      </w:r>
    </w:p>
    <w:p>
      <w:pPr>
        <w:pStyle w:val="BodyText"/>
        <w:spacing w:before="9"/>
        <w:rPr>
          <w:b/>
          <w:sz w:val="19"/>
        </w:rPr>
      </w:pPr>
    </w:p>
    <w:p>
      <w:pPr>
        <w:spacing w:before="0"/>
        <w:ind w:left="278" w:right="1072" w:firstLine="0"/>
        <w:jc w:val="both"/>
        <w:rPr>
          <w:sz w:val="24"/>
        </w:rPr>
      </w:pP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familias,</w:t>
      </w:r>
      <w:r>
        <w:rPr>
          <w:spacing w:val="1"/>
          <w:sz w:val="24"/>
        </w:rPr>
        <w:t> </w:t>
      </w:r>
      <w:r>
        <w:rPr>
          <w:sz w:val="24"/>
        </w:rPr>
        <w:t>comunidades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escuelas</w:t>
      </w:r>
      <w:r>
        <w:rPr>
          <w:spacing w:val="1"/>
          <w:sz w:val="24"/>
        </w:rPr>
        <w:t> </w:t>
      </w:r>
      <w:r>
        <w:rPr>
          <w:sz w:val="24"/>
        </w:rPr>
        <w:t>deben</w:t>
      </w:r>
      <w:r>
        <w:rPr>
          <w:spacing w:val="1"/>
          <w:sz w:val="24"/>
        </w:rPr>
        <w:t> </w:t>
      </w:r>
      <w:r>
        <w:rPr>
          <w:sz w:val="24"/>
        </w:rPr>
        <w:t>integrarse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colaborar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asumir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corresponsabilidad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promover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asegurar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oportunidades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condiciones</w:t>
      </w:r>
      <w:r>
        <w:rPr>
          <w:spacing w:val="-2"/>
          <w:sz w:val="24"/>
        </w:rPr>
        <w:t> </w:t>
      </w:r>
      <w:r>
        <w:rPr>
          <w:sz w:val="24"/>
        </w:rPr>
        <w:t>necesarias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51"/>
          <w:sz w:val="24"/>
        </w:rPr>
        <w:t> </w:t>
      </w:r>
      <w:r>
        <w:rPr>
          <w:sz w:val="24"/>
        </w:rPr>
        <w:t>todas las niñas, niños y adolescentes puedan disponer y acceder con oportunidad y de manera</w:t>
      </w:r>
      <w:r>
        <w:rPr>
          <w:spacing w:val="1"/>
          <w:sz w:val="24"/>
        </w:rPr>
        <w:t> </w:t>
      </w:r>
      <w:r>
        <w:rPr>
          <w:sz w:val="24"/>
        </w:rPr>
        <w:t>armónica al sistema educativo, y a participar de manera continua de los procesos pedagógicos y</w:t>
      </w:r>
      <w:r>
        <w:rPr>
          <w:spacing w:val="1"/>
          <w:sz w:val="24"/>
        </w:rPr>
        <w:t> </w:t>
      </w:r>
      <w:r>
        <w:rPr>
          <w:sz w:val="24"/>
        </w:rPr>
        <w:t>experiencias educativas pertinentes y oportunas en donde se les reconozca como el centro de la</w:t>
      </w:r>
      <w:r>
        <w:rPr>
          <w:spacing w:val="-52"/>
          <w:sz w:val="24"/>
        </w:rPr>
        <w:t> </w:t>
      </w:r>
      <w:r>
        <w:rPr>
          <w:sz w:val="24"/>
        </w:rPr>
        <w:t>gestión</w:t>
      </w:r>
      <w:r>
        <w:rPr>
          <w:spacing w:val="-7"/>
          <w:sz w:val="24"/>
        </w:rPr>
        <w:t> </w:t>
      </w:r>
      <w:r>
        <w:rPr>
          <w:sz w:val="24"/>
        </w:rPr>
        <w:t>escolar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pedagógica.</w:t>
      </w:r>
      <w:r>
        <w:rPr>
          <w:spacing w:val="-7"/>
          <w:sz w:val="24"/>
        </w:rPr>
        <w:t> </w:t>
      </w:r>
      <w:r>
        <w:rPr>
          <w:sz w:val="24"/>
        </w:rPr>
        <w:t>Según</w:t>
      </w:r>
      <w:r>
        <w:rPr>
          <w:spacing w:val="-7"/>
          <w:sz w:val="24"/>
        </w:rPr>
        <w:t> </w:t>
      </w:r>
      <w:r>
        <w:rPr>
          <w:sz w:val="24"/>
        </w:rPr>
        <w:t>OPS</w:t>
      </w:r>
      <w:r>
        <w:rPr>
          <w:spacing w:val="-8"/>
          <w:sz w:val="24"/>
        </w:rPr>
        <w:t> </w:t>
      </w:r>
      <w:r>
        <w:rPr>
          <w:sz w:val="24"/>
        </w:rPr>
        <w:t>(2018)</w:t>
      </w:r>
      <w:r>
        <w:rPr>
          <w:spacing w:val="-10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concepto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comunidad</w:t>
      </w:r>
      <w:r>
        <w:rPr>
          <w:spacing w:val="-8"/>
          <w:sz w:val="24"/>
        </w:rPr>
        <w:t> </w:t>
      </w:r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basa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un</w:t>
      </w:r>
      <w:r>
        <w:rPr>
          <w:spacing w:val="-7"/>
          <w:sz w:val="24"/>
        </w:rPr>
        <w:t> </w:t>
      </w:r>
      <w:r>
        <w:rPr>
          <w:sz w:val="24"/>
        </w:rPr>
        <w:t>término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  <w:r>
        <w:rPr/>
        <w:pict>
          <v:rect style="position:absolute;margin-left:563.880005pt;margin-top:20.034117pt;width:25.44pt;height:1.4399pt;mso-position-horizontal-relative:page;mso-position-vertical-relative:paragraph;z-index:-1553510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ind w:right="211"/>
      </w:pPr>
      <w:r>
        <w:rPr/>
        <w:t>92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0777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29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spacing w:before="52"/>
        <w:ind w:left="278" w:right="1079" w:firstLine="0"/>
        <w:jc w:val="both"/>
        <w:rPr>
          <w:sz w:val="24"/>
        </w:rPr>
      </w:pPr>
      <w:r>
        <w:rPr>
          <w:sz w:val="24"/>
        </w:rPr>
        <w:t>amplio, que abarca grupos locales, nacionales o internacionales de personas que pueden o no</w:t>
      </w:r>
      <w:r>
        <w:rPr>
          <w:spacing w:val="1"/>
          <w:sz w:val="24"/>
        </w:rPr>
        <w:t> </w:t>
      </w:r>
      <w:r>
        <w:rPr>
          <w:sz w:val="24"/>
        </w:rPr>
        <w:t>estar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contacto</w:t>
      </w:r>
      <w:r>
        <w:rPr>
          <w:spacing w:val="-1"/>
          <w:sz w:val="24"/>
        </w:rPr>
        <w:t> </w:t>
      </w:r>
      <w:r>
        <w:rPr>
          <w:sz w:val="24"/>
        </w:rPr>
        <w:t>espacial,</w:t>
      </w:r>
      <w:r>
        <w:rPr>
          <w:spacing w:val="-2"/>
          <w:sz w:val="24"/>
        </w:rPr>
        <w:t> </w:t>
      </w:r>
      <w:r>
        <w:rPr>
          <w:sz w:val="24"/>
        </w:rPr>
        <w:t>pero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comparten</w:t>
      </w:r>
      <w:r>
        <w:rPr>
          <w:spacing w:val="-1"/>
          <w:sz w:val="24"/>
        </w:rPr>
        <w:t> </w:t>
      </w:r>
      <w:r>
        <w:rPr>
          <w:sz w:val="24"/>
        </w:rPr>
        <w:t>intereses,</w:t>
      </w:r>
      <w:r>
        <w:rPr>
          <w:spacing w:val="-2"/>
          <w:sz w:val="24"/>
        </w:rPr>
        <w:t> </w:t>
      </w:r>
      <w:r>
        <w:rPr>
          <w:sz w:val="24"/>
        </w:rPr>
        <w:t>preocupaciones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identidades.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999" w:val="left" w:leader="none"/>
        </w:tabs>
        <w:spacing w:line="240" w:lineRule="auto" w:before="1" w:after="0"/>
        <w:ind w:left="998" w:right="0" w:hanging="721"/>
        <w:jc w:val="left"/>
        <w:rPr>
          <w:b/>
          <w:sz w:val="24"/>
        </w:rPr>
      </w:pPr>
      <w:bookmarkStart w:name="_bookmark115" w:id="163"/>
      <w:bookmarkEnd w:id="163"/>
      <w:r>
        <w:rPr/>
      </w:r>
      <w:bookmarkStart w:name="_bookmark115" w:id="164"/>
      <w:bookmarkEnd w:id="164"/>
      <w:r>
        <w:rPr>
          <w:b/>
          <w:sz w:val="24"/>
        </w:rPr>
        <w:t>E</w:t>
      </w:r>
      <w:r>
        <w:rPr>
          <w:b/>
          <w:sz w:val="24"/>
        </w:rPr>
        <w:t>je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3: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Priorización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áreas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desatendidas.</w:t>
      </w:r>
    </w:p>
    <w:p>
      <w:pPr>
        <w:pStyle w:val="BodyText"/>
        <w:spacing w:before="7"/>
        <w:rPr>
          <w:b/>
          <w:sz w:val="19"/>
        </w:rPr>
      </w:pPr>
    </w:p>
    <w:p>
      <w:pPr>
        <w:spacing w:line="240" w:lineRule="auto" w:before="1"/>
        <w:ind w:left="278" w:right="1072" w:firstLine="0"/>
        <w:jc w:val="both"/>
        <w:rPr>
          <w:sz w:val="24"/>
        </w:rPr>
      </w:pPr>
      <w:r>
        <w:rPr>
          <w:sz w:val="24"/>
        </w:rPr>
        <w:t>Según OPS (2018) las inequidades constituyen los mayores desafíos a superar en la Región. Por</w:t>
      </w:r>
      <w:r>
        <w:rPr>
          <w:spacing w:val="1"/>
          <w:sz w:val="24"/>
        </w:rPr>
        <w:t> </w:t>
      </w:r>
      <w:r>
        <w:rPr>
          <w:sz w:val="24"/>
        </w:rPr>
        <w:t>ello,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inequidades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ingreso,</w:t>
      </w:r>
      <w:r>
        <w:rPr>
          <w:spacing w:val="1"/>
          <w:sz w:val="24"/>
        </w:rPr>
        <w:t> </w:t>
      </w:r>
      <w:r>
        <w:rPr>
          <w:sz w:val="24"/>
        </w:rPr>
        <w:t>educación,</w:t>
      </w:r>
      <w:r>
        <w:rPr>
          <w:spacing w:val="1"/>
          <w:sz w:val="24"/>
        </w:rPr>
        <w:t> </w:t>
      </w:r>
      <w:r>
        <w:rPr>
          <w:sz w:val="24"/>
        </w:rPr>
        <w:t>género,</w:t>
      </w:r>
      <w:r>
        <w:rPr>
          <w:spacing w:val="1"/>
          <w:sz w:val="24"/>
        </w:rPr>
        <w:t> </w:t>
      </w:r>
      <w:r>
        <w:rPr>
          <w:sz w:val="24"/>
        </w:rPr>
        <w:t>étnicas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geográficas</w:t>
      </w:r>
      <w:r>
        <w:rPr>
          <w:spacing w:val="1"/>
          <w:sz w:val="24"/>
        </w:rPr>
        <w:t> </w:t>
      </w:r>
      <w:r>
        <w:rPr>
          <w:sz w:val="24"/>
        </w:rPr>
        <w:t>constituyen</w:t>
      </w:r>
      <w:r>
        <w:rPr>
          <w:spacing w:val="1"/>
          <w:sz w:val="24"/>
        </w:rPr>
        <w:t> </w:t>
      </w:r>
      <w:r>
        <w:rPr>
          <w:sz w:val="24"/>
        </w:rPr>
        <w:t>ejes</w:t>
      </w:r>
      <w:r>
        <w:rPr>
          <w:spacing w:val="1"/>
          <w:sz w:val="24"/>
        </w:rPr>
        <w:t> </w:t>
      </w:r>
      <w:r>
        <w:rPr>
          <w:sz w:val="24"/>
        </w:rPr>
        <w:t>estructurales de la matriz de la desigualdad social en ALC. Configuran brechas estructurales de</w:t>
      </w:r>
      <w:r>
        <w:rPr>
          <w:spacing w:val="1"/>
          <w:sz w:val="24"/>
        </w:rPr>
        <w:t> </w:t>
      </w:r>
      <w:r>
        <w:rPr>
          <w:sz w:val="24"/>
        </w:rPr>
        <w:t>bienestar, reconocimiento, autonomía y ejercicio de los derechos de las mujeres con relación a</w:t>
      </w:r>
      <w:r>
        <w:rPr>
          <w:spacing w:val="1"/>
          <w:sz w:val="24"/>
        </w:rPr>
        <w:t> </w:t>
      </w:r>
      <w:r>
        <w:rPr>
          <w:sz w:val="24"/>
        </w:rPr>
        <w:t>los hombres; de los pueblos indígenas y afrodescendientes con relación a las poblaciones no</w:t>
      </w:r>
      <w:r>
        <w:rPr>
          <w:spacing w:val="1"/>
          <w:sz w:val="24"/>
        </w:rPr>
        <w:t> </w:t>
      </w:r>
      <w:r>
        <w:rPr>
          <w:sz w:val="24"/>
        </w:rPr>
        <w:t>indígenas</w:t>
      </w:r>
      <w:r>
        <w:rPr>
          <w:spacing w:val="1"/>
          <w:sz w:val="24"/>
        </w:rPr>
        <w:t> </w:t>
      </w:r>
      <w:r>
        <w:rPr>
          <w:sz w:val="24"/>
        </w:rPr>
        <w:t>ni</w:t>
      </w:r>
      <w:r>
        <w:rPr>
          <w:spacing w:val="1"/>
          <w:sz w:val="24"/>
        </w:rPr>
        <w:t> </w:t>
      </w:r>
      <w:r>
        <w:rPr>
          <w:sz w:val="24"/>
        </w:rPr>
        <w:t>afrodescendientes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grupos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menores</w:t>
      </w:r>
      <w:r>
        <w:rPr>
          <w:spacing w:val="1"/>
          <w:sz w:val="24"/>
        </w:rPr>
        <w:t> </w:t>
      </w:r>
      <w:r>
        <w:rPr>
          <w:sz w:val="24"/>
        </w:rPr>
        <w:t>ingresos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otros</w:t>
      </w:r>
      <w:r>
        <w:rPr>
          <w:spacing w:val="1"/>
          <w:sz w:val="24"/>
        </w:rPr>
        <w:t> </w:t>
      </w:r>
      <w:r>
        <w:rPr>
          <w:sz w:val="24"/>
        </w:rPr>
        <w:t>excluidos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poblaciones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viven en zonas geográficas sin</w:t>
      </w:r>
      <w:r>
        <w:rPr>
          <w:spacing w:val="-2"/>
          <w:sz w:val="24"/>
        </w:rPr>
        <w:t> </w:t>
      </w:r>
      <w:r>
        <w:rPr>
          <w:sz w:val="24"/>
        </w:rPr>
        <w:t>acceso</w:t>
      </w:r>
      <w:r>
        <w:rPr>
          <w:spacing w:val="1"/>
          <w:sz w:val="24"/>
        </w:rPr>
        <w:t> </w:t>
      </w:r>
      <w:r>
        <w:rPr>
          <w:sz w:val="24"/>
        </w:rPr>
        <w:t>a servicios-.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278" w:right="1071" w:firstLine="0"/>
        <w:jc w:val="both"/>
        <w:rPr>
          <w:sz w:val="24"/>
        </w:rPr>
      </w:pP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priorización</w:t>
      </w:r>
      <w:r>
        <w:rPr>
          <w:spacing w:val="-5"/>
          <w:sz w:val="24"/>
        </w:rPr>
        <w:t> </w:t>
      </w:r>
      <w:r>
        <w:rPr>
          <w:sz w:val="24"/>
        </w:rPr>
        <w:t>es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proceso</w:t>
      </w:r>
      <w:r>
        <w:rPr>
          <w:spacing w:val="-6"/>
          <w:sz w:val="24"/>
        </w:rPr>
        <w:t> </w:t>
      </w:r>
      <w:r>
        <w:rPr>
          <w:sz w:val="24"/>
        </w:rPr>
        <w:t>por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cual</w:t>
      </w:r>
      <w:r>
        <w:rPr>
          <w:spacing w:val="-6"/>
          <w:sz w:val="24"/>
        </w:rPr>
        <w:t> </w:t>
      </w:r>
      <w:r>
        <w:rPr>
          <w:sz w:val="24"/>
        </w:rPr>
        <w:t>una</w:t>
      </w:r>
      <w:r>
        <w:rPr>
          <w:spacing w:val="-6"/>
          <w:sz w:val="24"/>
        </w:rPr>
        <w:t> </w:t>
      </w:r>
      <w:r>
        <w:rPr>
          <w:sz w:val="24"/>
        </w:rPr>
        <w:t>institución</w:t>
      </w:r>
      <w:r>
        <w:rPr>
          <w:spacing w:val="-5"/>
          <w:sz w:val="24"/>
        </w:rPr>
        <w:t> </w:t>
      </w:r>
      <w:r>
        <w:rPr>
          <w:sz w:val="24"/>
        </w:rPr>
        <w:t>determina</w:t>
      </w:r>
      <w:r>
        <w:rPr>
          <w:spacing w:val="-6"/>
          <w:sz w:val="24"/>
        </w:rPr>
        <w:t> </w:t>
      </w:r>
      <w:r>
        <w:rPr>
          <w:sz w:val="24"/>
        </w:rPr>
        <w:t>cuáles</w:t>
      </w:r>
      <w:r>
        <w:rPr>
          <w:spacing w:val="-6"/>
          <w:sz w:val="24"/>
        </w:rPr>
        <w:t> </w:t>
      </w:r>
      <w:r>
        <w:rPr>
          <w:sz w:val="24"/>
        </w:rPr>
        <w:t>son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áreas,</w:t>
      </w:r>
      <w:r>
        <w:rPr>
          <w:spacing w:val="-9"/>
          <w:sz w:val="24"/>
        </w:rPr>
        <w:t> </w:t>
      </w:r>
      <w:r>
        <w:rPr>
          <w:sz w:val="24"/>
        </w:rPr>
        <w:t>territorios</w:t>
      </w:r>
      <w:r>
        <w:rPr>
          <w:spacing w:val="-52"/>
          <w:sz w:val="24"/>
        </w:rPr>
        <w:t> </w:t>
      </w:r>
      <w:r>
        <w:rPr>
          <w:sz w:val="24"/>
        </w:rPr>
        <w:t>o componentes que se desea impulsar con mayor énfasis y que pueden tener mayor impacto en</w:t>
      </w:r>
      <w:r>
        <w:rPr>
          <w:spacing w:val="-52"/>
          <w:sz w:val="24"/>
        </w:rPr>
        <w:t> </w:t>
      </w:r>
      <w:r>
        <w:rPr>
          <w:sz w:val="24"/>
        </w:rPr>
        <w:t>su región y proyección nacional. Esta priorización es especialmente importante y recomendable,</w:t>
      </w:r>
      <w:r>
        <w:rPr>
          <w:spacing w:val="-52"/>
          <w:sz w:val="24"/>
        </w:rPr>
        <w:t> </w:t>
      </w:r>
      <w:r>
        <w:rPr>
          <w:sz w:val="24"/>
        </w:rPr>
        <w:t>sobre todo, en el contexto educativo en dónde se ha identificado una debilidad de cobertura en</w:t>
      </w:r>
      <w:r>
        <w:rPr>
          <w:spacing w:val="1"/>
          <w:sz w:val="24"/>
        </w:rPr>
        <w:t> </w:t>
      </w:r>
      <w:r>
        <w:rPr>
          <w:sz w:val="24"/>
        </w:rPr>
        <w:t>el área</w:t>
      </w:r>
      <w:r>
        <w:rPr>
          <w:spacing w:val="-2"/>
          <w:sz w:val="24"/>
        </w:rPr>
        <w:t> </w:t>
      </w:r>
      <w:r>
        <w:rPr>
          <w:sz w:val="24"/>
        </w:rPr>
        <w:t>rural, las mujeres</w:t>
      </w:r>
      <w:r>
        <w:rPr>
          <w:spacing w:val="-2"/>
          <w:sz w:val="24"/>
        </w:rPr>
        <w:t> </w:t>
      </w:r>
      <w:r>
        <w:rPr>
          <w:sz w:val="24"/>
        </w:rPr>
        <w:t>indígenas y</w:t>
      </w:r>
      <w:r>
        <w:rPr>
          <w:spacing w:val="-3"/>
          <w:sz w:val="24"/>
        </w:rPr>
        <w:t> </w:t>
      </w:r>
      <w:r>
        <w:rPr>
          <w:sz w:val="24"/>
        </w:rPr>
        <w:t>las mayorías</w:t>
      </w:r>
      <w:r>
        <w:rPr>
          <w:spacing w:val="-2"/>
          <w:sz w:val="24"/>
        </w:rPr>
        <w:t> </w:t>
      </w:r>
      <w:r>
        <w:rPr>
          <w:sz w:val="24"/>
        </w:rPr>
        <w:t>étnicas.</w:t>
      </w:r>
    </w:p>
    <w:p>
      <w:pPr>
        <w:pStyle w:val="BodyText"/>
        <w:spacing w:before="5"/>
        <w:rPr>
          <w:sz w:val="29"/>
        </w:rPr>
      </w:pPr>
    </w:p>
    <w:p>
      <w:pPr>
        <w:pStyle w:val="Heading3"/>
        <w:numPr>
          <w:ilvl w:val="1"/>
          <w:numId w:val="7"/>
        </w:numPr>
        <w:tabs>
          <w:tab w:pos="998" w:val="left" w:leader="none"/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116" w:id="165"/>
      <w:bookmarkEnd w:id="165"/>
      <w:r>
        <w:rPr>
          <w:b w:val="0"/>
        </w:rPr>
      </w:r>
      <w:bookmarkStart w:name="_bookmark116" w:id="166"/>
      <w:bookmarkEnd w:id="166"/>
      <w:r>
        <w:rPr>
          <w:color w:val="1F4E79"/>
        </w:rPr>
        <w:t>R</w:t>
      </w:r>
      <w:r>
        <w:rPr>
          <w:color w:val="1F4E79"/>
        </w:rPr>
        <w:t>elación</w:t>
      </w:r>
      <w:r>
        <w:rPr>
          <w:color w:val="1F4E79"/>
          <w:spacing w:val="-2"/>
        </w:rPr>
        <w:t> </w:t>
      </w:r>
      <w:r>
        <w:rPr>
          <w:color w:val="1F4E79"/>
        </w:rPr>
        <w:t>de</w:t>
      </w:r>
      <w:r>
        <w:rPr>
          <w:color w:val="1F4E79"/>
          <w:spacing w:val="-6"/>
        </w:rPr>
        <w:t> </w:t>
      </w:r>
      <w:r>
        <w:rPr>
          <w:color w:val="1F4E79"/>
        </w:rPr>
        <w:t>los</w:t>
      </w:r>
      <w:r>
        <w:rPr>
          <w:color w:val="1F4E79"/>
          <w:spacing w:val="-4"/>
        </w:rPr>
        <w:t> </w:t>
      </w:r>
      <w:r>
        <w:rPr>
          <w:color w:val="1F4E79"/>
        </w:rPr>
        <w:t>ejes</w:t>
      </w:r>
      <w:r>
        <w:rPr>
          <w:color w:val="1F4E79"/>
          <w:spacing w:val="-2"/>
        </w:rPr>
        <w:t> </w:t>
      </w:r>
      <w:r>
        <w:rPr>
          <w:color w:val="1F4E79"/>
        </w:rPr>
        <w:t>con</w:t>
      </w:r>
      <w:r>
        <w:rPr>
          <w:color w:val="1F4E79"/>
          <w:spacing w:val="-4"/>
        </w:rPr>
        <w:t> </w:t>
      </w:r>
      <w:r>
        <w:rPr>
          <w:color w:val="1F4E79"/>
        </w:rPr>
        <w:t>los</w:t>
      </w:r>
      <w:r>
        <w:rPr>
          <w:color w:val="1F4E79"/>
          <w:spacing w:val="-4"/>
        </w:rPr>
        <w:t> </w:t>
      </w:r>
      <w:r>
        <w:rPr>
          <w:color w:val="1F4E79"/>
        </w:rPr>
        <w:t>lineamientos</w:t>
      </w:r>
      <w:r>
        <w:rPr>
          <w:color w:val="1F4E79"/>
          <w:spacing w:val="-4"/>
        </w:rPr>
        <w:t> </w:t>
      </w:r>
      <w:r>
        <w:rPr>
          <w:color w:val="1F4E79"/>
        </w:rPr>
        <w:t>estratégico</w:t>
      </w:r>
    </w:p>
    <w:p>
      <w:pPr>
        <w:pStyle w:val="BodyText"/>
        <w:rPr>
          <w:b/>
          <w:sz w:val="24"/>
        </w:rPr>
      </w:pPr>
    </w:p>
    <w:p>
      <w:pPr>
        <w:spacing w:line="240" w:lineRule="auto" w:before="188"/>
        <w:ind w:left="278" w:right="1070" w:firstLine="0"/>
        <w:jc w:val="both"/>
        <w:rPr>
          <w:sz w:val="24"/>
        </w:rPr>
      </w:pPr>
      <w:r>
        <w:rPr>
          <w:sz w:val="24"/>
        </w:rPr>
        <w:t>En el gráfico siguiente se observan los principales ejes propuestos, así como su relación con la</w:t>
      </w:r>
      <w:r>
        <w:rPr>
          <w:spacing w:val="1"/>
          <w:sz w:val="24"/>
        </w:rPr>
        <w:t> </w:t>
      </w:r>
      <w:r>
        <w:rPr>
          <w:sz w:val="24"/>
        </w:rPr>
        <w:t>Línea</w:t>
      </w:r>
      <w:r>
        <w:rPr>
          <w:spacing w:val="-8"/>
          <w:sz w:val="24"/>
        </w:rPr>
        <w:t> </w:t>
      </w:r>
      <w:r>
        <w:rPr>
          <w:sz w:val="24"/>
        </w:rPr>
        <w:t>estratégica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Ampliación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Cobertura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las</w:t>
      </w:r>
      <w:r>
        <w:rPr>
          <w:spacing w:val="-11"/>
          <w:sz w:val="24"/>
        </w:rPr>
        <w:t> </w:t>
      </w:r>
      <w:r>
        <w:rPr>
          <w:sz w:val="24"/>
        </w:rPr>
        <w:t>líneas</w:t>
      </w:r>
      <w:r>
        <w:rPr>
          <w:spacing w:val="-9"/>
          <w:sz w:val="24"/>
        </w:rPr>
        <w:t> </w:t>
      </w:r>
      <w:r>
        <w:rPr>
          <w:sz w:val="24"/>
        </w:rPr>
        <w:t>relacionadas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acuerdo</w:t>
      </w:r>
      <w:r>
        <w:rPr>
          <w:spacing w:val="-8"/>
          <w:sz w:val="24"/>
        </w:rPr>
        <w:t> </w:t>
      </w:r>
      <w:r>
        <w:rPr>
          <w:sz w:val="24"/>
        </w:rPr>
        <w:t>con</w:t>
      </w:r>
      <w:r>
        <w:rPr>
          <w:spacing w:val="-6"/>
          <w:sz w:val="24"/>
        </w:rPr>
        <w:t> </w:t>
      </w:r>
      <w:r>
        <w:rPr>
          <w:sz w:val="24"/>
        </w:rPr>
        <w:t>PGG</w:t>
      </w:r>
      <w:r>
        <w:rPr>
          <w:spacing w:val="-11"/>
          <w:sz w:val="24"/>
        </w:rPr>
        <w:t> </w:t>
      </w:r>
      <w:r>
        <w:rPr>
          <w:sz w:val="24"/>
        </w:rPr>
        <w:t>2020-</w:t>
      </w:r>
      <w:r>
        <w:rPr>
          <w:spacing w:val="-52"/>
          <w:sz w:val="24"/>
        </w:rPr>
        <w:t> </w:t>
      </w:r>
      <w:r>
        <w:rPr>
          <w:sz w:val="24"/>
        </w:rPr>
        <w:t>2024, se hace una diferenciación por nivel educativo con respecto de cada eje planteado. La</w:t>
      </w:r>
      <w:r>
        <w:rPr>
          <w:spacing w:val="1"/>
          <w:sz w:val="24"/>
        </w:rPr>
        <w:t> </w:t>
      </w:r>
      <w:r>
        <w:rPr>
          <w:sz w:val="24"/>
        </w:rPr>
        <w:t>propuesta se enfoca en el aumento de la tasa neta de cobertura mediante, la reducción de las</w:t>
      </w:r>
      <w:r>
        <w:rPr>
          <w:spacing w:val="1"/>
          <w:sz w:val="24"/>
        </w:rPr>
        <w:t> </w:t>
      </w:r>
      <w:r>
        <w:rPr>
          <w:sz w:val="24"/>
        </w:rPr>
        <w:t>tasas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deserción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repitencia</w:t>
      </w:r>
      <w:r>
        <w:rPr>
          <w:spacing w:val="-1"/>
          <w:sz w:val="24"/>
        </w:rPr>
        <w:t> </w:t>
      </w:r>
      <w:r>
        <w:rPr>
          <w:sz w:val="24"/>
        </w:rPr>
        <w:t>en todos los</w:t>
      </w:r>
      <w:r>
        <w:rPr>
          <w:spacing w:val="1"/>
          <w:sz w:val="24"/>
        </w:rPr>
        <w:t> </w:t>
      </w:r>
      <w:r>
        <w:rPr>
          <w:sz w:val="24"/>
        </w:rPr>
        <w:t>niveles</w:t>
      </w:r>
      <w:r>
        <w:rPr>
          <w:spacing w:val="1"/>
          <w:sz w:val="24"/>
        </w:rPr>
        <w:t> </w:t>
      </w:r>
      <w:r>
        <w:rPr>
          <w:sz w:val="24"/>
        </w:rPr>
        <w:t>educativos.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278" w:right="0" w:firstLine="0"/>
        <w:jc w:val="both"/>
        <w:rPr>
          <w:sz w:val="24"/>
        </w:rPr>
      </w:pPr>
      <w:r>
        <w:rPr>
          <w:sz w:val="24"/>
        </w:rPr>
        <w:t>Gráfico</w:t>
      </w:r>
      <w:r>
        <w:rPr>
          <w:spacing w:val="-6"/>
          <w:sz w:val="24"/>
        </w:rPr>
        <w:t> </w:t>
      </w:r>
      <w:r>
        <w:rPr>
          <w:sz w:val="24"/>
        </w:rPr>
        <w:t>3.</w:t>
      </w:r>
      <w:r>
        <w:rPr>
          <w:spacing w:val="-6"/>
          <w:sz w:val="24"/>
        </w:rPr>
        <w:t> </w:t>
      </w:r>
      <w:r>
        <w:rPr>
          <w:sz w:val="24"/>
        </w:rPr>
        <w:t>Ejes</w:t>
      </w:r>
      <w:r>
        <w:rPr>
          <w:spacing w:val="-6"/>
          <w:sz w:val="24"/>
        </w:rPr>
        <w:t> </w:t>
      </w:r>
      <w:r>
        <w:rPr>
          <w:sz w:val="24"/>
        </w:rPr>
        <w:t>propuestos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su</w:t>
      </w:r>
      <w:r>
        <w:rPr>
          <w:spacing w:val="-5"/>
          <w:sz w:val="24"/>
        </w:rPr>
        <w:t> </w:t>
      </w:r>
      <w:r>
        <w:rPr>
          <w:sz w:val="24"/>
        </w:rPr>
        <w:t>relación</w:t>
      </w:r>
      <w:r>
        <w:rPr>
          <w:spacing w:val="-5"/>
          <w:sz w:val="24"/>
        </w:rPr>
        <w:t> </w:t>
      </w:r>
      <w:r>
        <w:rPr>
          <w:sz w:val="24"/>
        </w:rPr>
        <w:t>con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líneas</w:t>
      </w:r>
      <w:r>
        <w:rPr>
          <w:spacing w:val="-7"/>
          <w:sz w:val="24"/>
        </w:rPr>
        <w:t> </w:t>
      </w:r>
      <w:r>
        <w:rPr>
          <w:sz w:val="24"/>
        </w:rPr>
        <w:t>estratégicas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Ampliación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Cobertura.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  <w:r>
        <w:rPr/>
        <w:pict>
          <v:rect style="position:absolute;margin-left:563.880005pt;margin-top:14.745914pt;width:25.44pt;height:1.4399pt;mso-position-horizontal-relative:page;mso-position-vertical-relative:paragraph;z-index:-1553356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ind w:right="211"/>
      </w:pPr>
      <w:r>
        <w:rPr/>
        <w:t>93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09824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29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Arial MT"/>
          <w:sz w:val="26"/>
        </w:rPr>
      </w:pPr>
    </w:p>
    <w:p>
      <w:pPr>
        <w:pStyle w:val="BodyText"/>
        <w:ind w:left="628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404.25pt;height:238.05pt;mso-position-horizontal-relative:char;mso-position-vertical-relative:line" coordorigin="0,0" coordsize="8085,4761">
            <v:shape style="position:absolute;left:5573;top:906;width:2512;height:1086" type="#_x0000_t75" stroked="false">
              <v:imagedata r:id="rId93" o:title=""/>
            </v:shape>
            <v:shape style="position:absolute;left:6072;top:1004;width:1496;height:905" type="#_x0000_t75" stroked="false">
              <v:imagedata r:id="rId94" o:title=""/>
            </v:shape>
            <v:shape style="position:absolute;left:5648;top:958;width:2350;height:946" coordorigin="5648,959" coordsize="2350,946" path="m7822,959l5825,959,5756,971,5700,1005,5662,1055,5648,1117,5648,1746,5662,1808,5700,1858,5756,1892,5825,1904,7822,1904,7890,1892,7946,1858,7984,1808,7998,1746,7998,1117,7984,1055,7946,1005,7890,971,7822,959xe" filled="true" fillcolor="#244060" stroked="false">
              <v:path arrowok="t"/>
              <v:fill type="solid"/>
            </v:shape>
            <v:shape style="position:absolute;left:5648;top:958;width:2350;height:946" coordorigin="5648,959" coordsize="2350,946" path="m5648,1117l5662,1055,5700,1005,5756,971,5825,959,7822,959,7890,971,7946,1005,7984,1055,7998,1117,7998,1746,7984,1808,7946,1858,7890,1892,7822,1904,5825,1904,5756,1892,5700,1858,5662,1808,5648,1746,5648,1117xe" filled="false" stroked="true" strokeweight=".808241pt" strokecolor="#497dba">
              <v:path arrowok="t"/>
              <v:stroke dashstyle="solid"/>
            </v:shape>
            <v:shape style="position:absolute;left:0;top:906;width:2437;height:1037" type="#_x0000_t75" stroked="false">
              <v:imagedata r:id="rId95" o:title=""/>
            </v:shape>
            <v:shape style="position:absolute;left:276;top:1103;width:1883;height:658" type="#_x0000_t75" stroked="false">
              <v:imagedata r:id="rId96" o:title=""/>
            </v:shape>
            <v:shape style="position:absolute;left:85;top:958;width:2272;height:886" coordorigin="86,959" coordsize="2272,886" path="m2191,959l252,959,187,971,134,1002,86,1107,86,1698,134,1802,187,1833,252,1845,2191,1845,2256,1833,2309,1802,2344,1755,2357,1698,2357,1107,2344,1049,2309,1002,2256,971,2191,959xe" filled="true" fillcolor="#244060" stroked="false">
              <v:path arrowok="t"/>
              <v:fill type="solid"/>
            </v:shape>
            <v:shape style="position:absolute;left:85;top:958;width:2272;height:886" coordorigin="86,959" coordsize="2272,886" path="m86,1107l99,1049,134,1002,187,971,252,959,2191,959,2256,971,2309,1002,2357,1107,2357,1698,2344,1755,2309,1802,2256,1833,2191,1845,252,1845,187,1833,134,1802,99,1755,86,1698,86,1107xe" filled="false" stroked="true" strokeweight=".807535pt" strokecolor="#497dba">
              <v:path arrowok="t"/>
              <v:stroke dashstyle="solid"/>
            </v:shape>
            <v:shape style="position:absolute;left:2749;top:906;width:2567;height:1086" type="#_x0000_t75" stroked="false">
              <v:imagedata r:id="rId97" o:title=""/>
            </v:shape>
            <v:shape style="position:absolute;left:2970;top:888;width:2124;height:1136" type="#_x0000_t75" stroked="false">
              <v:imagedata r:id="rId98" o:title=""/>
            </v:shape>
            <v:shape style="position:absolute;left:2842;top:958;width:2388;height:946" coordorigin="2842,959" coordsize="2388,946" path="m5055,959l3018,959,2950,971,2894,1005,2856,1055,2842,1117,2842,1746,2856,1808,2894,1858,2950,1892,3018,1904,5055,1904,5123,1892,5179,1858,5216,1808,5230,1746,5230,1117,5216,1055,5179,1005,5123,971,5055,959xe" filled="true" fillcolor="#244060" stroked="false">
              <v:path arrowok="t"/>
              <v:fill type="solid"/>
            </v:shape>
            <v:shape style="position:absolute;left:2842;top:958;width:2388;height:946" coordorigin="2842,959" coordsize="2388,946" path="m2842,1117l2856,1055,2894,1005,2950,971,3018,959,5055,959,5123,971,5179,1005,5216,1055,5230,1117,5230,1746,5216,1808,5179,1858,5123,1892,5055,1904,3018,1904,2950,1892,2894,1858,2856,1808,2842,1746,2842,1117xe" filled="false" stroked="true" strokeweight=".807867pt" strokecolor="#497dba">
              <v:path arrowok="t"/>
              <v:stroke dashstyle="solid"/>
            </v:shape>
            <v:shape style="position:absolute;left:127;top:3673;width:2189;height:430" coordorigin="127,3673" coordsize="2189,430" path="m2268,3673l176,3673,127,3716,127,4059,176,4103,2268,4103,2286,4099,2302,4090,2312,4077,2316,4059,2316,3716,2312,3700,2302,3686,2286,3677,2268,3673xe" filled="true" fillcolor="#ffffff" stroked="false">
              <v:path arrowok="t"/>
              <v:fill type="solid"/>
            </v:shape>
            <v:shape style="position:absolute;left:127;top:3673;width:2189;height:430" coordorigin="127,3673" coordsize="2189,430" path="m127,3716l131,3700,142,3686,157,3677,176,3673,2268,3673,2316,3716,2316,4059,2312,4077,2302,4090,2286,4099,2268,4103,176,4103,157,4099,142,4090,131,4077,127,4059,127,3716xe" filled="false" stroked="true" strokeweight="1.043882pt" strokecolor="#4f81bc">
              <v:path arrowok="t"/>
              <v:stroke dashstyle="solid"/>
            </v:shape>
            <v:shape style="position:absolute;left:2821;top:3660;width:2430;height:430" coordorigin="2821,3661" coordsize="2430,430" path="m5202,3661l2870,3661,2821,3704,2821,4047,2870,4090,5202,4090,5221,4087,5237,4078,5247,4064,5251,4047,5251,3704,5247,3688,5237,3674,5221,3664,5202,3661xe" filled="true" fillcolor="#ffffff" stroked="false">
              <v:path arrowok="t"/>
              <v:fill type="solid"/>
            </v:shape>
            <v:shape style="position:absolute;left:2821;top:3660;width:2430;height:430" coordorigin="2821,3661" coordsize="2430,430" path="m2821,3704l2825,3688,2836,3674,2851,3664,2870,3661,5202,3661,5251,3704,5251,4047,5247,4064,5237,4078,5221,4087,5202,4090,2870,4090,2851,4087,2836,4078,2825,4064,2821,4047,2821,3704xe" filled="false" stroked="true" strokeweight="1.04302pt" strokecolor="#4f81bc">
              <v:path arrowok="t"/>
              <v:stroke dashstyle="solid"/>
            </v:shape>
            <v:shape style="position:absolute;left:113;top:2624;width:7858;height:686" coordorigin="113,2624" coordsize="7858,686" path="m7894,2624l189,2624,119,2667,113,2694,113,3242,160,3305,7894,3310,7924,3305,7949,3290,7965,3268,7971,3242,7971,2694,7965,2667,7949,2645,7924,2630,7894,2624xe" filled="true" fillcolor="#244060" stroked="false">
              <v:path arrowok="t"/>
              <v:fill type="solid"/>
            </v:shape>
            <v:shape style="position:absolute;left:113;top:2624;width:7858;height:686" coordorigin="113,2624" coordsize="7858,686" path="m113,2694l119,2667,136,2645,160,2630,189,2624,7894,2624,7965,2667,7971,3242,7965,3268,7949,3290,7924,3305,7894,3310,189,3310,160,3305,136,3290,119,3268,113,3242,113,2694xe" filled="false" stroked="true" strokeweight="1.040123pt" strokecolor="#4f81bc">
              <v:path arrowok="t"/>
              <v:stroke dashstyle="solid"/>
            </v:shape>
            <v:rect style="position:absolute;left:228;top:2645;width:7628;height:646" filled="true" fillcolor="#244060" stroked="false">
              <v:fill type="solid"/>
            </v:rect>
            <v:shape style="position:absolute;left:1052;top:3257;width:3082;height:593" type="#_x0000_t75" stroked="false">
              <v:imagedata r:id="rId99" o:title=""/>
            </v:shape>
            <v:shape style="position:absolute;left:1220;top:3310;width:2822;height:342" coordorigin="1221,3310" coordsize="2822,342" path="m4042,3310l4042,3492,1221,3492,1221,3652e" filled="false" stroked="true" strokeweight="1.041004pt" strokecolor="#ff0000">
              <v:path arrowok="t"/>
              <v:stroke dashstyle="solid"/>
            </v:shape>
            <v:shape style="position:absolute;left:1164;top:3573;width:115;height:100" coordorigin="1164,3573" coordsize="115,100" path="m1178,3573l1172,3577,1167,3579,1164,3587,1168,3592,1221,3673,1250,3630,1221,3630,1189,3581,1186,3576,1178,3573xm1265,3573l1257,3576,1254,3581,1221,3630,1250,3630,1275,3592,1279,3587,1276,3579,1271,3577,1265,3573xe" filled="true" fillcolor="#ff0000" stroked="false">
              <v:path arrowok="t"/>
              <v:fill type="solid"/>
            </v:shape>
            <v:shape style="position:absolute;left:0;top:2090;width:8048;height:477" type="#_x0000_t75" stroked="false">
              <v:imagedata r:id="rId100" o:title=""/>
            </v:shape>
            <v:shape style="position:absolute;left:85;top:2145;width:7877;height:320" coordorigin="86,2146" coordsize="7877,320" path="m7962,2146l7962,2208,7962,2259,7962,2294,7962,2306,4023,2306,4023,2319,4023,2353,4023,2403,4023,2465,4023,2403,4023,2353,4023,2319,4023,2306,86,2306,86,2294,86,2259,86,2208,86,2146e" filled="false" stroked="true" strokeweight="1.039369pt" strokecolor="#ff0000">
              <v:path arrowok="t"/>
              <v:stroke dashstyle="solid"/>
            </v:shape>
            <v:shape style="position:absolute;left:35;top:0;width:8030;height:610" type="#_x0000_t75" stroked="false">
              <v:imagedata r:id="rId101" o:title=""/>
            </v:shape>
            <v:shape style="position:absolute;left:3414;top:99;width:1274;height:428" type="#_x0000_t75" stroked="false">
              <v:imagedata r:id="rId102" o:title=""/>
            </v:shape>
            <v:shape style="position:absolute;left:127;top:48;width:7859;height:465" coordorigin="127,48" coordsize="7859,465" path="m7898,48l215,48,153,71,127,125,127,434,153,490,215,512,7898,512,7932,506,7960,490,7978,465,7985,434,7985,125,7978,95,7960,71,7932,54,7898,48xe" filled="true" fillcolor="#244060" stroked="false">
              <v:path arrowok="t"/>
              <v:fill type="solid"/>
            </v:shape>
            <v:shape style="position:absolute;left:127;top:48;width:7859;height:465" coordorigin="127,48" coordsize="7859,465" path="m127,125l134,95,153,71,180,54,215,48,7898,48,7960,71,7985,434,7978,465,7960,490,7932,506,7898,512,215,512,180,506,153,490,134,465,127,434,127,125xe" filled="false" stroked="true" strokeweight=".795017pt" strokecolor="#497dba">
              <v:path arrowok="t"/>
              <v:stroke dashstyle="solid"/>
            </v:shape>
            <v:shape style="position:absolute;left:1052;top:461;width:3082;height:674" type="#_x0000_t75" stroked="false">
              <v:imagedata r:id="rId103" o:title=""/>
            </v:shape>
            <v:shape style="position:absolute;left:1220;top:512;width:2836;height:425" coordorigin="1221,512" coordsize="2836,425" path="m4056,512l4056,736,1221,736,1221,937e" filled="false" stroked="true" strokeweight="1.041948pt" strokecolor="#ff0000">
              <v:path arrowok="t"/>
              <v:stroke dashstyle="solid"/>
            </v:shape>
            <v:shape style="position:absolute;left:1164;top:859;width:115;height:100" coordorigin="1164,859" coordsize="115,100" path="m1178,859l1172,862,1167,865,1164,871,1168,876,1221,959,1249,916,1221,916,1189,865,1186,860,1178,859xm1265,859l1257,860,1254,865,1221,916,1249,916,1275,876,1279,871,1276,865,1271,862,1265,859xe" filled="true" fillcolor="#ff0000" stroked="false">
              <v:path arrowok="t"/>
              <v:fill type="solid"/>
            </v:shape>
            <v:shape style="position:absolute;left:3856;top:461;width:352;height:674" type="#_x0000_t75" stroked="false">
              <v:imagedata r:id="rId104" o:title=""/>
            </v:shape>
            <v:shape style="position:absolute;left:4036;top:512;width:20;height:425" coordorigin="4037,512" coordsize="20,425" path="m4056,512l4056,512,4037,937e" filled="false" stroked="true" strokeweight="1.166241pt" strokecolor="#ff0000">
              <v:path arrowok="t"/>
              <v:stroke dashstyle="solid"/>
            </v:shape>
            <v:shape style="position:absolute;left:3982;top:857;width:116;height:101" type="#_x0000_t75" stroked="false">
              <v:imagedata r:id="rId105" o:title=""/>
            </v:shape>
            <v:shape style="position:absolute;left:3967;top:461;width:3028;height:674" type="#_x0000_t75" stroked="false">
              <v:imagedata r:id="rId106" o:title=""/>
            </v:shape>
            <v:shape style="position:absolute;left:4056;top:512;width:2768;height:425" coordorigin="4056,512" coordsize="2768,425" path="m4056,512l4056,736,6824,736,6824,937e" filled="false" stroked="true" strokeweight="1.042084pt" strokecolor="#ff0000">
              <v:path arrowok="t"/>
              <v:stroke dashstyle="solid"/>
            </v:shape>
            <v:shape style="position:absolute;left:6765;top:859;width:115;height:100" coordorigin="6765,859" coordsize="115,100" path="m6779,859l6774,862,6768,865,6765,871,6770,876,6824,959,6852,916,6824,916,6791,865,6788,860,6779,859xm6867,859l6860,860,6856,865,6824,916,6852,916,6878,876,6880,871,6879,865,6872,862,6867,859xe" filled="true" fillcolor="#ff0000" stroked="false">
              <v:path arrowok="t"/>
              <v:fill type="solid"/>
            </v:shape>
            <v:shape style="position:absolute;left:5659;top:3660;width:2246;height:430" coordorigin="5659,3661" coordsize="2246,430" path="m7857,3661l5707,3661,5659,3704,5659,4047,5707,4090,7857,4090,7875,4087,7891,4078,7901,4064,7905,4047,7905,3704,7901,3688,7891,3674,7875,3664,7857,3661xe" filled="true" fillcolor="#ffffff" stroked="false">
              <v:path arrowok="t"/>
              <v:fill type="solid"/>
            </v:shape>
            <v:shape style="position:absolute;left:5659;top:3660;width:2246;height:430" coordorigin="5659,3661" coordsize="2246,430" path="m5659,3704l5663,3688,5673,3674,5688,3664,5707,3661,7857,3661,7905,3704,7905,4047,7901,4064,7891,4078,7875,4087,7857,4090,5707,4090,5688,4087,5673,4078,5663,4064,5659,4047,5659,3704xe" filled="false" stroked="true" strokeweight="1.043655pt" strokecolor="#4f81bc">
              <v:path arrowok="t"/>
              <v:stroke dashstyle="solid"/>
            </v:shape>
            <v:shape style="position:absolute;left:3949;top:3257;width:3009;height:577" type="#_x0000_t75" stroked="false">
              <v:imagedata r:id="rId107" o:title=""/>
            </v:shape>
            <v:shape style="position:absolute;left:4042;top:3310;width:2740;height:330" coordorigin="4042,3310" coordsize="2740,330" path="m4042,3310l4042,3486,6782,3486,6782,3640e" filled="false" stroked="true" strokeweight="1.040977pt" strokecolor="#ff0000">
              <v:path arrowok="t"/>
              <v:stroke dashstyle="solid"/>
            </v:shape>
            <v:shape style="position:absolute;left:6724;top:3561;width:116;height:100" coordorigin="6724,3561" coordsize="116,100" path="m6738,3561l6733,3565,6727,3567,6724,3574,6728,3579,6782,3661,6811,3618,6782,3618,6749,3568,6746,3563,6738,3561xm6825,3561l6818,3563,6814,3568,6782,3618,6811,3618,6836,3579,6839,3574,6838,3567,6831,3565,6825,3561xe" filled="true" fillcolor="#ff0000" stroked="false">
              <v:path arrowok="t"/>
              <v:fill type="solid"/>
            </v:shape>
            <v:shape style="position:absolute;left:2807;top:4310;width:2444;height:390" coordorigin="2807,4310" coordsize="2444,390" path="m5208,4310l2852,4310,2807,4348,2807,4660,5208,4700,5225,4697,5238,4688,5247,4676,5251,4660,5251,4348,5247,4333,5238,4321,5225,4313,5208,4310xe" filled="true" fillcolor="#ffffff" stroked="false">
              <v:path arrowok="t"/>
              <v:fill type="solid"/>
            </v:shape>
            <v:shape style="position:absolute;left:2807;top:4310;width:2444;height:390" coordorigin="2807,4310" coordsize="2444,390" path="m2807,4348l2811,4333,2820,4321,2834,4313,2852,4310,5208,4310,5251,4660,5247,4676,5238,4688,5225,4697,5208,4700,2852,4700,2834,4697,2820,4688,2811,4676,2807,4660,2807,4348xe" filled="false" stroked="true" strokeweight="1.042318pt" strokecolor="#4f81bc">
              <v:path arrowok="t"/>
              <v:stroke dashstyle="solid"/>
            </v:shape>
            <v:shape style="position:absolute;left:3856;top:4047;width:352;height:428" type="#_x0000_t75" stroked="false">
              <v:imagedata r:id="rId108" o:title=""/>
            </v:shape>
            <v:shape style="position:absolute;left:4029;top:4090;width:7;height:198" coordorigin="4030,4090" coordsize="7,198" path="m4037,4090l4037,4090,4030,4288e" filled="false" stroked="true" strokeweight="1.16635pt" strokecolor="#ff0000">
              <v:path arrowok="t"/>
              <v:stroke dashstyle="solid"/>
            </v:shape>
            <v:shape style="position:absolute;left:3974;top:4208;width:115;height:102" coordorigin="3975,4209" coordsize="115,102" path="m3990,4209l3983,4211,3977,4213,3975,4221,3979,4226,4030,4310,4060,4266,4031,4266,4000,4216,3997,4210,3990,4209xm4076,4210l4069,4212,4065,4217,4031,4266,4060,4266,4085,4229,4089,4224,4088,4217,4081,4213,4076,4210xe" filled="true" fillcolor="#ff0000" stroked="false">
              <v:path arrowok="t"/>
              <v:fill type="solid"/>
            </v:shape>
            <v:shape style="position:absolute;left:5645;top:4282;width:2248;height:430" coordorigin="5646,4283" coordsize="2248,430" path="m7844,4283l5694,4283,5646,4326,5646,4669,5694,4712,7844,4712,7863,4709,7878,4699,7889,4686,7893,4669,7893,4326,7889,4309,7878,4295,7863,4286,7844,4283xe" filled="true" fillcolor="#ffffff" stroked="false">
              <v:path arrowok="t"/>
              <v:fill type="solid"/>
            </v:shape>
            <v:shape style="position:absolute;left:5645;top:4282;width:2248;height:430" coordorigin="5646,4283" coordsize="2248,430" path="m5646,4326l5649,4309,5660,4295,5675,4286,5694,4283,7844,4283,7893,4326,7893,4669,7889,4686,7878,4699,7863,4709,7844,4712,5694,4712,5675,4709,5660,4699,5649,4686,5646,4669,5646,4326xe" filled="false" stroked="true" strokeweight="1.043649pt" strokecolor="#4f81bc">
              <v:path arrowok="t"/>
              <v:stroke dashstyle="solid"/>
            </v:shape>
            <v:shape style="position:absolute;left:6589;top:4047;width:350;height:413" type="#_x0000_t75" stroked="false">
              <v:imagedata r:id="rId109" o:title=""/>
            </v:shape>
            <v:shape style="position:absolute;left:6771;top:4090;width:12;height:172" coordorigin="6771,4090" coordsize="12,172" path="m6782,4090l6782,4090,6771,4262e" filled="false" stroked="true" strokeweight="1.165981pt" strokecolor="#ff0000">
              <v:path arrowok="t"/>
              <v:stroke dashstyle="solid"/>
            </v:shape>
            <v:shape style="position:absolute;left:6718;top:4180;width:114;height:103" coordorigin="6718,4180" coordsize="114,103" path="m6733,4180l6727,4184,6720,4187,6718,4193,6721,4199,6770,4283,6801,4240,6772,4240,6744,4188,6739,4183,6733,4180xm6819,4185l6811,4187,6807,4191,6772,4240,6801,4240,6828,4204,6832,4199,6831,4191,6825,4189,6819,4185xe" filled="true" fillcolor="#ff0000" stroked="false">
              <v:path arrowok="t"/>
              <v:fill type="solid"/>
            </v:shape>
            <v:shape style="position:absolute;left:101;top:4321;width:2207;height:430" coordorigin="101,4321" coordsize="2207,430" path="m2261,4321l150,4321,101,4364,101,4707,150,4750,2261,4750,2279,4747,2294,4737,2304,4724,2308,4707,2308,4364,2304,4347,2294,4333,2279,4324,2261,4321xe" filled="true" fillcolor="#ffffff" stroked="false">
              <v:path arrowok="t"/>
              <v:fill type="solid"/>
            </v:shape>
            <v:shape style="position:absolute;left:101;top:4321;width:2207;height:430" coordorigin="101,4321" coordsize="2207,430" path="m101,4364l105,4347,115,4333,130,4324,150,4321,2261,4321,2308,4364,2308,4707,2304,4724,2294,4737,2279,4747,2261,4750,150,4750,130,4747,115,4737,105,4724,101,4707,101,4364xe" filled="false" stroked="true" strokeweight="1.043799pt" strokecolor="#4f81bc">
              <v:path arrowok="t"/>
              <v:stroke dashstyle="solid"/>
            </v:shape>
            <v:shape style="position:absolute;left:1032;top:4047;width:352;height:445" type="#_x0000_t75" stroked="false">
              <v:imagedata r:id="rId110" o:title=""/>
            </v:shape>
            <v:shape style="position:absolute;left:1205;top:4102;width:16;height:197" coordorigin="1206,4103" coordsize="16,197" path="m1221,4103l1221,4103,1206,4299e" filled="false" stroked="true" strokeweight="1.165760pt" strokecolor="#ff0000">
              <v:path arrowok="t"/>
              <v:stroke dashstyle="solid"/>
            </v:shape>
            <v:shape style="position:absolute;left:1154;top:4218;width:114;height:103" coordorigin="1155,4219" coordsize="114,103" path="m1168,4219l1157,4224,1155,4230,1157,4236,1205,4321,1237,4278,1209,4278,1177,4221,1168,4219xm1256,4224l1247,4225,1244,4230,1209,4278,1237,4278,1264,4242,1268,4237,1267,4231,1256,4224xe" filled="true" fillcolor="#ff0000" stroked="false">
              <v:path arrowok="t"/>
              <v:fill type="solid"/>
            </v:shape>
            <v:shape style="position:absolute;left:3856;top:3257;width:352;height:577" type="#_x0000_t75" stroked="false">
              <v:imagedata r:id="rId111" o:title=""/>
            </v:shape>
            <v:shape style="position:absolute;left:4036;top:3310;width:6;height:330" coordorigin="4037,3310" coordsize="6,330" path="m4042,3310l4042,3310,4037,3640e" filled="false" stroked="true" strokeweight="1.166477pt" strokecolor="#ff0000">
              <v:path arrowok="t"/>
              <v:stroke dashstyle="solid"/>
            </v:shape>
            <v:shape style="position:absolute;left:3980;top:3561;width:115;height:100" coordorigin="3980,3561" coordsize="115,100" path="m3994,3561l3988,3563,3983,3567,3980,3573,3984,3578,4037,3661,4065,3618,4037,3618,4005,3568,4002,3562,3994,3561xm4081,3562l4074,3563,4070,3568,4037,3618,4065,3618,4091,3579,4095,3574,4092,3568,4087,3565,4081,3562xe" filled="true" fillcolor="#ff0000" stroked="false">
              <v:path arrowok="t"/>
              <v:fill type="solid"/>
            </v:shape>
            <v:shape style="position:absolute;left:373;top:1215;width:1723;height:427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18" w:firstLine="0"/>
                      <w:jc w:val="center"/>
                      <w:rPr>
                        <w:sz w:val="19"/>
                      </w:rPr>
                    </w:pPr>
                    <w:r>
                      <w:rPr>
                        <w:color w:val="FFFFFF"/>
                        <w:w w:val="115"/>
                        <w:sz w:val="19"/>
                      </w:rPr>
                      <w:t>Eje</w:t>
                    </w:r>
                    <w:r>
                      <w:rPr>
                        <w:color w:val="FFFFFF"/>
                        <w:spacing w:val="2"/>
                        <w:w w:val="11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19"/>
                      </w:rPr>
                      <w:t>1.</w:t>
                    </w:r>
                  </w:p>
                  <w:p>
                    <w:pPr>
                      <w:spacing w:line="229" w:lineRule="exact" w:before="0"/>
                      <w:ind w:left="0" w:right="18" w:firstLine="0"/>
                      <w:jc w:val="center"/>
                      <w:rPr>
                        <w:sz w:val="19"/>
                      </w:rPr>
                    </w:pPr>
                    <w:r>
                      <w:rPr>
                        <w:color w:val="FFFFFF"/>
                        <w:w w:val="115"/>
                        <w:sz w:val="19"/>
                      </w:rPr>
                      <w:t>Formación</w:t>
                    </w:r>
                    <w:r>
                      <w:rPr>
                        <w:color w:val="FFFFFF"/>
                        <w:spacing w:val="12"/>
                        <w:w w:val="11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19"/>
                      </w:rPr>
                      <w:t>Integral</w:t>
                    </w:r>
                  </w:p>
                </w:txbxContent>
              </v:textbox>
              <w10:wrap type="none"/>
            </v:shape>
            <v:shape style="position:absolute;left:3073;top:1006;width:1954;height:900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705" w:right="724" w:firstLine="0"/>
                      <w:jc w:val="center"/>
                      <w:rPr>
                        <w:sz w:val="19"/>
                      </w:rPr>
                    </w:pPr>
                    <w:r>
                      <w:rPr>
                        <w:color w:val="FFFFFF"/>
                        <w:w w:val="115"/>
                        <w:sz w:val="19"/>
                      </w:rPr>
                      <w:t>Eje</w:t>
                    </w:r>
                    <w:r>
                      <w:rPr>
                        <w:color w:val="FFFFFF"/>
                        <w:spacing w:val="1"/>
                        <w:w w:val="11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19"/>
                      </w:rPr>
                      <w:t>2.</w:t>
                    </w:r>
                  </w:p>
                  <w:p>
                    <w:pPr>
                      <w:spacing w:line="244" w:lineRule="auto" w:before="0"/>
                      <w:ind w:left="-1" w:right="18" w:hanging="1"/>
                      <w:jc w:val="center"/>
                      <w:rPr>
                        <w:sz w:val="19"/>
                      </w:rPr>
                    </w:pPr>
                    <w:r>
                      <w:rPr>
                        <w:color w:val="FFFFFF"/>
                        <w:w w:val="115"/>
                        <w:sz w:val="19"/>
                      </w:rPr>
                      <w:t>Colaboración</w:t>
                    </w:r>
                    <w:r>
                      <w:rPr>
                        <w:color w:val="FFFFFF"/>
                        <w:spacing w:val="2"/>
                        <w:w w:val="11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19"/>
                      </w:rPr>
                      <w:t>e</w:t>
                    </w:r>
                    <w:r>
                      <w:rPr>
                        <w:color w:val="FFFFFF"/>
                        <w:spacing w:val="1"/>
                        <w:w w:val="11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19"/>
                      </w:rPr>
                      <w:t>integración de</w:t>
                    </w:r>
                    <w:r>
                      <w:rPr>
                        <w:color w:val="FFFFFF"/>
                        <w:spacing w:val="2"/>
                        <w:w w:val="11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19"/>
                      </w:rPr>
                      <w:t>la</w:t>
                    </w:r>
                    <w:r>
                      <w:rPr>
                        <w:color w:val="FFFFFF"/>
                        <w:spacing w:val="1"/>
                        <w:w w:val="11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19"/>
                      </w:rPr>
                      <w:t>comunidad</w:t>
                    </w:r>
                    <w:r>
                      <w:rPr>
                        <w:color w:val="FFFFFF"/>
                        <w:spacing w:val="11"/>
                        <w:w w:val="11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19"/>
                      </w:rPr>
                      <w:t>educativa</w:t>
                    </w:r>
                  </w:p>
                </w:txbxContent>
              </v:textbox>
              <w10:wrap type="none"/>
            </v:shape>
            <v:shape style="position:absolute;left:6180;top:1125;width:1314;height:670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16" w:firstLine="0"/>
                      <w:jc w:val="center"/>
                      <w:rPr>
                        <w:sz w:val="19"/>
                      </w:rPr>
                    </w:pPr>
                    <w:r>
                      <w:rPr>
                        <w:color w:val="FFFFFF"/>
                        <w:w w:val="115"/>
                        <w:sz w:val="19"/>
                      </w:rPr>
                      <w:t>Eje</w:t>
                    </w:r>
                    <w:r>
                      <w:rPr>
                        <w:color w:val="FFFFFF"/>
                        <w:spacing w:val="1"/>
                        <w:w w:val="11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19"/>
                      </w:rPr>
                      <w:t>3.</w:t>
                    </w:r>
                  </w:p>
                  <w:p>
                    <w:pPr>
                      <w:spacing w:line="249" w:lineRule="auto" w:before="0"/>
                      <w:ind w:left="0" w:right="18" w:firstLine="0"/>
                      <w:jc w:val="center"/>
                      <w:rPr>
                        <w:sz w:val="19"/>
                      </w:rPr>
                    </w:pPr>
                    <w:r>
                      <w:rPr>
                        <w:color w:val="FFFFFF"/>
                        <w:w w:val="115"/>
                        <w:sz w:val="19"/>
                      </w:rPr>
                      <w:t>Priorizar áreas</w:t>
                    </w:r>
                    <w:r>
                      <w:rPr>
                        <w:color w:val="FFFFFF"/>
                        <w:spacing w:val="-47"/>
                        <w:w w:val="11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19"/>
                      </w:rPr>
                      <w:t>desatendidas.</w:t>
                    </w:r>
                  </w:p>
                </w:txbxContent>
              </v:textbox>
              <w10:wrap type="none"/>
            </v:shape>
            <v:shape style="position:absolute;left:2730;top:2741;width:2650;height:494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1" w:right="18" w:firstLine="0"/>
                      <w:jc w:val="center"/>
                      <w:rPr>
                        <w:sz w:val="19"/>
                      </w:rPr>
                    </w:pPr>
                    <w:r>
                      <w:rPr>
                        <w:color w:val="FFFFFF"/>
                        <w:w w:val="115"/>
                        <w:sz w:val="19"/>
                      </w:rPr>
                      <w:t>Línea</w:t>
                    </w:r>
                    <w:r>
                      <w:rPr>
                        <w:color w:val="FFFFFF"/>
                        <w:spacing w:val="5"/>
                        <w:w w:val="11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19"/>
                      </w:rPr>
                      <w:t>Estratégica:</w:t>
                    </w:r>
                  </w:p>
                  <w:p>
                    <w:pPr>
                      <w:spacing w:line="230" w:lineRule="exact" w:before="64"/>
                      <w:ind w:left="-1" w:right="18" w:firstLine="0"/>
                      <w:jc w:val="center"/>
                      <w:rPr>
                        <w:sz w:val="19"/>
                      </w:rPr>
                    </w:pPr>
                    <w:r>
                      <w:rPr>
                        <w:color w:val="FFFFFF"/>
                        <w:w w:val="115"/>
                        <w:sz w:val="19"/>
                      </w:rPr>
                      <w:t>AMPLIACIÓN</w:t>
                    </w:r>
                    <w:r>
                      <w:rPr>
                        <w:color w:val="FFFFFF"/>
                        <w:spacing w:val="12"/>
                        <w:w w:val="11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19"/>
                      </w:rPr>
                      <w:t>DE</w:t>
                    </w:r>
                    <w:r>
                      <w:rPr>
                        <w:color w:val="FFFFFF"/>
                        <w:spacing w:val="11"/>
                        <w:w w:val="11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19"/>
                      </w:rPr>
                      <w:t>COBERTURA</w:t>
                    </w:r>
                  </w:p>
                </w:txbxContent>
              </v:textbox>
              <w10:wrap type="none"/>
            </v:shape>
            <v:shape style="position:absolute;left:561;top:3819;width:1348;height:176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15"/>
                        <w:sz w:val="17"/>
                      </w:rPr>
                      <w:t>Educación</w:t>
                    </w:r>
                    <w:r>
                      <w:rPr>
                        <w:spacing w:val="2"/>
                        <w:w w:val="115"/>
                        <w:sz w:val="17"/>
                      </w:rPr>
                      <w:t> </w:t>
                    </w:r>
                    <w:r>
                      <w:rPr>
                        <w:w w:val="115"/>
                        <w:sz w:val="17"/>
                      </w:rPr>
                      <w:t>Inicial</w:t>
                    </w:r>
                  </w:p>
                </w:txbxContent>
              </v:textbox>
              <w10:wrap type="none"/>
            </v:shape>
            <v:shape style="position:absolute;left:3119;top:3805;width:1861;height:176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15"/>
                        <w:sz w:val="17"/>
                      </w:rPr>
                      <w:t>Educación</w:t>
                    </w:r>
                    <w:r>
                      <w:rPr>
                        <w:spacing w:val="1"/>
                        <w:w w:val="115"/>
                        <w:sz w:val="17"/>
                      </w:rPr>
                      <w:t> </w:t>
                    </w:r>
                    <w:r>
                      <w:rPr>
                        <w:w w:val="115"/>
                        <w:sz w:val="17"/>
                      </w:rPr>
                      <w:t>Extraescolar</w:t>
                    </w:r>
                  </w:p>
                </w:txbxContent>
              </v:textbox>
              <w10:wrap type="none"/>
            </v:shape>
            <v:shape style="position:absolute;left:5948;top:3805;width:1692;height:176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15"/>
                        <w:sz w:val="17"/>
                      </w:rPr>
                      <w:t>Alimentación</w:t>
                    </w:r>
                    <w:r>
                      <w:rPr>
                        <w:spacing w:val="2"/>
                        <w:w w:val="115"/>
                        <w:sz w:val="17"/>
                      </w:rPr>
                      <w:t> </w:t>
                    </w:r>
                    <w:r>
                      <w:rPr>
                        <w:w w:val="115"/>
                        <w:sz w:val="17"/>
                      </w:rPr>
                      <w:t>Escolar</w:t>
                    </w:r>
                  </w:p>
                </w:txbxContent>
              </v:textbox>
              <w10:wrap type="none"/>
            </v:shape>
            <v:shape style="position:absolute;left:298;top:4465;width:1838;height:176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15"/>
                        <w:sz w:val="17"/>
                      </w:rPr>
                      <w:t>Seguro</w:t>
                    </w:r>
                    <w:r>
                      <w:rPr>
                        <w:spacing w:val="3"/>
                        <w:w w:val="115"/>
                        <w:sz w:val="17"/>
                      </w:rPr>
                      <w:t> </w:t>
                    </w:r>
                    <w:r>
                      <w:rPr>
                        <w:w w:val="115"/>
                        <w:sz w:val="17"/>
                      </w:rPr>
                      <w:t>Médico</w:t>
                    </w:r>
                    <w:r>
                      <w:rPr>
                        <w:spacing w:val="3"/>
                        <w:w w:val="115"/>
                        <w:sz w:val="17"/>
                      </w:rPr>
                      <w:t> </w:t>
                    </w:r>
                    <w:r>
                      <w:rPr>
                        <w:w w:val="115"/>
                        <w:sz w:val="17"/>
                      </w:rPr>
                      <w:t>Escolar</w:t>
                    </w:r>
                  </w:p>
                </w:txbxContent>
              </v:textbox>
              <w10:wrap type="none"/>
            </v:shape>
            <v:shape style="position:absolute;left:3019;top:4434;width:2047;height:176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15"/>
                        <w:sz w:val="17"/>
                      </w:rPr>
                      <w:t>Becas y Bolsas</w:t>
                    </w:r>
                    <w:r>
                      <w:rPr>
                        <w:spacing w:val="1"/>
                        <w:w w:val="115"/>
                        <w:sz w:val="17"/>
                      </w:rPr>
                      <w:t> </w:t>
                    </w:r>
                    <w:r>
                      <w:rPr>
                        <w:w w:val="115"/>
                        <w:sz w:val="17"/>
                      </w:rPr>
                      <w:t>de Estudio</w:t>
                    </w:r>
                  </w:p>
                </w:txbxContent>
              </v:textbox>
              <w10:wrap type="none"/>
            </v:shape>
            <v:shape style="position:absolute;left:5863;top:4427;width:1839;height:176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15"/>
                        <w:sz w:val="17"/>
                      </w:rPr>
                      <w:t>Infraestructura</w:t>
                    </w:r>
                    <w:r>
                      <w:rPr>
                        <w:spacing w:val="3"/>
                        <w:w w:val="115"/>
                        <w:sz w:val="17"/>
                      </w:rPr>
                      <w:t> </w:t>
                    </w:r>
                    <w:r>
                      <w:rPr>
                        <w:w w:val="115"/>
                        <w:sz w:val="17"/>
                      </w:rPr>
                      <w:t>Escolar</w:t>
                    </w:r>
                  </w:p>
                </w:txbxContent>
              </v:textbox>
              <w10:wrap type="none"/>
            </v:shape>
            <v:shape style="position:absolute;left:147;top:63;width:7816;height:434" type="#_x0000_t202" filled="false" stroked="false">
              <v:textbox inset="0,0,0,0">
                <w:txbxContent>
                  <w:p>
                    <w:pPr>
                      <w:spacing w:before="114"/>
                      <w:ind w:left="3356" w:right="3349" w:firstLine="0"/>
                      <w:jc w:val="center"/>
                      <w:rPr>
                        <w:sz w:val="19"/>
                      </w:rPr>
                    </w:pPr>
                    <w:r>
                      <w:rPr>
                        <w:color w:val="FFFFFF"/>
                        <w:w w:val="115"/>
                        <w:sz w:val="19"/>
                      </w:rPr>
                      <w:t>PROPUESTA</w:t>
                    </w:r>
                  </w:p>
                </w:txbxContent>
              </v:textbox>
              <w10:wrap type="none"/>
            </v:shape>
            <v:shape style="position:absolute;left:228;top:1966;width:7628;height:267" type="#_x0000_t202" filled="true" fillcolor="#d9d9d9" stroked="false">
              <v:textbox inset="0,0,0,0">
                <w:txbxContent>
                  <w:p>
                    <w:pPr>
                      <w:spacing w:before="51"/>
                      <w:ind w:left="1399" w:right="1392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Se</w:t>
                    </w:r>
                    <w:r>
                      <w:rPr>
                        <w:spacing w:val="-4"/>
                        <w:w w:val="115"/>
                        <w:sz w:val="15"/>
                      </w:rPr>
                      <w:t> </w:t>
                    </w:r>
                    <w:r>
                      <w:rPr>
                        <w:w w:val="115"/>
                        <w:sz w:val="15"/>
                      </w:rPr>
                      <w:t>relaciona</w:t>
                    </w:r>
                    <w:r>
                      <w:rPr>
                        <w:spacing w:val="-2"/>
                        <w:w w:val="115"/>
                        <w:sz w:val="15"/>
                      </w:rPr>
                      <w:t> </w:t>
                    </w:r>
                    <w:r>
                      <w:rPr>
                        <w:w w:val="115"/>
                        <w:sz w:val="15"/>
                      </w:rPr>
                      <w:t>con</w:t>
                    </w:r>
                    <w:r>
                      <w:rPr>
                        <w:spacing w:val="-4"/>
                        <w:w w:val="115"/>
                        <w:sz w:val="15"/>
                      </w:rPr>
                      <w:t> </w:t>
                    </w:r>
                    <w:r>
                      <w:rPr>
                        <w:w w:val="115"/>
                        <w:sz w:val="15"/>
                      </w:rPr>
                      <w:t>la</w:t>
                    </w:r>
                    <w:r>
                      <w:rPr>
                        <w:spacing w:val="-4"/>
                        <w:w w:val="115"/>
                        <w:sz w:val="15"/>
                      </w:rPr>
                      <w:t> </w:t>
                    </w:r>
                    <w:r>
                      <w:rPr>
                        <w:w w:val="115"/>
                        <w:sz w:val="15"/>
                      </w:rPr>
                      <w:t>Línea</w:t>
                    </w:r>
                    <w:r>
                      <w:rPr>
                        <w:spacing w:val="-3"/>
                        <w:w w:val="115"/>
                        <w:sz w:val="15"/>
                      </w:rPr>
                      <w:t> </w:t>
                    </w:r>
                    <w:r>
                      <w:rPr>
                        <w:w w:val="115"/>
                        <w:sz w:val="15"/>
                      </w:rPr>
                      <w:t>Estratégica</w:t>
                    </w:r>
                    <w:r>
                      <w:rPr>
                        <w:spacing w:val="-3"/>
                        <w:w w:val="115"/>
                        <w:sz w:val="15"/>
                      </w:rPr>
                      <w:t> </w:t>
                    </w:r>
                    <w:r>
                      <w:rPr>
                        <w:w w:val="115"/>
                        <w:sz w:val="15"/>
                      </w:rPr>
                      <w:t>de</w:t>
                    </w:r>
                    <w:r>
                      <w:rPr>
                        <w:spacing w:val="-3"/>
                        <w:w w:val="115"/>
                        <w:sz w:val="15"/>
                      </w:rPr>
                      <w:t> </w:t>
                    </w:r>
                    <w:r>
                      <w:rPr>
                        <w:w w:val="115"/>
                        <w:sz w:val="15"/>
                      </w:rPr>
                      <w:t>AMPLIACIÓN</w:t>
                    </w:r>
                    <w:r>
                      <w:rPr>
                        <w:spacing w:val="-5"/>
                        <w:w w:val="115"/>
                        <w:sz w:val="15"/>
                      </w:rPr>
                      <w:t> </w:t>
                    </w:r>
                    <w:r>
                      <w:rPr>
                        <w:w w:val="115"/>
                        <w:sz w:val="15"/>
                      </w:rPr>
                      <w:t>DE</w:t>
                    </w:r>
                    <w:r>
                      <w:rPr>
                        <w:spacing w:val="-3"/>
                        <w:w w:val="115"/>
                        <w:sz w:val="15"/>
                      </w:rPr>
                      <w:t> </w:t>
                    </w:r>
                    <w:r>
                      <w:rPr>
                        <w:w w:val="115"/>
                        <w:sz w:val="15"/>
                      </w:rPr>
                      <w:t>COBERTURA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 MT"/>
          <w:sz w:val="20"/>
        </w:rPr>
      </w:r>
    </w:p>
    <w:p>
      <w:pPr>
        <w:spacing w:before="96"/>
        <w:ind w:left="278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partir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PEI</w:t>
      </w:r>
      <w:r>
        <w:rPr>
          <w:spacing w:val="-1"/>
          <w:sz w:val="20"/>
        </w:rPr>
        <w:t> </w:t>
      </w:r>
      <w:r>
        <w:rPr>
          <w:sz w:val="20"/>
        </w:rPr>
        <w:t>2020-2024.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3"/>
        <w:numPr>
          <w:ilvl w:val="1"/>
          <w:numId w:val="7"/>
        </w:numPr>
        <w:tabs>
          <w:tab w:pos="998" w:val="left" w:leader="none"/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117" w:id="167"/>
      <w:bookmarkEnd w:id="167"/>
      <w:r>
        <w:rPr>
          <w:b w:val="0"/>
        </w:rPr>
      </w:r>
      <w:bookmarkStart w:name="_bookmark117" w:id="168"/>
      <w:bookmarkEnd w:id="168"/>
      <w:r>
        <w:rPr>
          <w:color w:val="1F4E79"/>
        </w:rPr>
        <w:t>Est</w:t>
      </w:r>
      <w:r>
        <w:rPr>
          <w:color w:val="1F4E79"/>
        </w:rPr>
        <w:t>rategia</w:t>
      </w:r>
      <w:r>
        <w:rPr>
          <w:color w:val="1F4E79"/>
          <w:spacing w:val="-4"/>
        </w:rPr>
        <w:t> </w:t>
      </w:r>
      <w:r>
        <w:rPr>
          <w:color w:val="1F4E79"/>
        </w:rPr>
        <w:t>de</w:t>
      </w:r>
      <w:r>
        <w:rPr>
          <w:color w:val="1F4E79"/>
          <w:spacing w:val="-4"/>
        </w:rPr>
        <w:t> </w:t>
      </w:r>
      <w:r>
        <w:rPr>
          <w:color w:val="1F4E79"/>
        </w:rPr>
        <w:t>cobertura</w:t>
      </w:r>
      <w:r>
        <w:rPr>
          <w:color w:val="1F4E79"/>
          <w:spacing w:val="-6"/>
        </w:rPr>
        <w:t> </w:t>
      </w:r>
      <w:r>
        <w:rPr>
          <w:color w:val="1F4E79"/>
        </w:rPr>
        <w:t>educativa</w:t>
      </w:r>
      <w:r>
        <w:rPr>
          <w:color w:val="1F4E79"/>
          <w:spacing w:val="-4"/>
        </w:rPr>
        <w:t> </w:t>
      </w:r>
      <w:r>
        <w:rPr>
          <w:color w:val="1F4E79"/>
        </w:rPr>
        <w:t>para</w:t>
      </w:r>
      <w:r>
        <w:rPr>
          <w:color w:val="1F4E79"/>
          <w:spacing w:val="-4"/>
        </w:rPr>
        <w:t> </w:t>
      </w:r>
      <w:r>
        <w:rPr>
          <w:color w:val="1F4E79"/>
        </w:rPr>
        <w:t>el</w:t>
      </w:r>
      <w:r>
        <w:rPr>
          <w:color w:val="1F4E79"/>
          <w:spacing w:val="-4"/>
        </w:rPr>
        <w:t> </w:t>
      </w:r>
      <w:r>
        <w:rPr>
          <w:color w:val="1F4E79"/>
        </w:rPr>
        <w:t>Nivel</w:t>
      </w:r>
      <w:r>
        <w:rPr>
          <w:color w:val="1F4E79"/>
          <w:spacing w:val="-3"/>
        </w:rPr>
        <w:t> </w:t>
      </w:r>
      <w:r>
        <w:rPr>
          <w:color w:val="1F4E79"/>
        </w:rPr>
        <w:t>Preprimaria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pStyle w:val="ListParagraph"/>
        <w:numPr>
          <w:ilvl w:val="2"/>
          <w:numId w:val="11"/>
        </w:numPr>
        <w:tabs>
          <w:tab w:pos="999" w:val="left" w:leader="none"/>
        </w:tabs>
        <w:spacing w:line="240" w:lineRule="auto" w:before="52" w:after="0"/>
        <w:ind w:left="998" w:right="1079" w:hanging="720"/>
        <w:jc w:val="left"/>
        <w:rPr>
          <w:b/>
          <w:sz w:val="24"/>
        </w:rPr>
      </w:pPr>
      <w:bookmarkStart w:name="_bookmark118" w:id="169"/>
      <w:bookmarkEnd w:id="169"/>
      <w:r>
        <w:rPr/>
      </w:r>
      <w:bookmarkStart w:name="_bookmark118" w:id="170"/>
      <w:bookmarkEnd w:id="170"/>
      <w:r>
        <w:rPr>
          <w:b/>
          <w:sz w:val="24"/>
          <w:shd w:fill="FFFFFF" w:color="auto" w:val="clear"/>
        </w:rPr>
        <w:t>E</w:t>
      </w:r>
      <w:r>
        <w:rPr>
          <w:b/>
          <w:sz w:val="24"/>
          <w:shd w:fill="FFFFFF" w:color="auto" w:val="clear"/>
        </w:rPr>
        <w:t>je</w:t>
      </w:r>
      <w:r>
        <w:rPr>
          <w:b/>
          <w:spacing w:val="37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1</w:t>
      </w:r>
      <w:r>
        <w:rPr>
          <w:b/>
          <w:spacing w:val="36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de</w:t>
      </w:r>
      <w:r>
        <w:rPr>
          <w:b/>
          <w:spacing w:val="37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Formación</w:t>
      </w:r>
      <w:r>
        <w:rPr>
          <w:b/>
          <w:spacing w:val="37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Integral:</w:t>
      </w:r>
      <w:r>
        <w:rPr>
          <w:b/>
          <w:spacing w:val="42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Incorporación</w:t>
      </w:r>
      <w:r>
        <w:rPr>
          <w:b/>
          <w:spacing w:val="37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de</w:t>
      </w:r>
      <w:r>
        <w:rPr>
          <w:b/>
          <w:spacing w:val="35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las</w:t>
      </w:r>
      <w:r>
        <w:rPr>
          <w:b/>
          <w:spacing w:val="36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prácticas</w:t>
      </w:r>
      <w:r>
        <w:rPr>
          <w:b/>
          <w:spacing w:val="37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culturales,</w:t>
      </w:r>
      <w:r>
        <w:rPr>
          <w:b/>
          <w:spacing w:val="38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sociales</w:t>
      </w:r>
      <w:r>
        <w:rPr>
          <w:b/>
          <w:spacing w:val="38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y</w:t>
      </w:r>
      <w:r>
        <w:rPr>
          <w:b/>
          <w:spacing w:val="37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de</w:t>
      </w:r>
      <w:r>
        <w:rPr>
          <w:b/>
          <w:spacing w:val="-51"/>
          <w:sz w:val="24"/>
        </w:rPr>
        <w:t> </w:t>
      </w:r>
      <w:r>
        <w:rPr>
          <w:b/>
          <w:sz w:val="24"/>
        </w:rPr>
        <w:t>género 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Nivel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Preprimaria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spacing w:before="0"/>
        <w:ind w:left="278" w:right="1071" w:firstLine="0"/>
        <w:jc w:val="both"/>
        <w:rPr>
          <w:sz w:val="24"/>
        </w:rPr>
      </w:pPr>
      <w:r>
        <w:rPr>
          <w:sz w:val="24"/>
        </w:rPr>
        <w:t>En el contexto del Nivel Preprimaria, formación integral se refiere a la incorporación de las</w:t>
      </w:r>
      <w:r>
        <w:rPr>
          <w:spacing w:val="1"/>
          <w:sz w:val="24"/>
        </w:rPr>
        <w:t> </w:t>
      </w:r>
      <w:r>
        <w:rPr>
          <w:sz w:val="24"/>
        </w:rPr>
        <w:t>prácticas culturales, sociales y de género. Este nivel representa la base de la formación y la</w:t>
      </w:r>
      <w:r>
        <w:rPr>
          <w:spacing w:val="1"/>
          <w:sz w:val="24"/>
        </w:rPr>
        <w:t> </w:t>
      </w:r>
      <w:r>
        <w:rPr>
          <w:sz w:val="24"/>
        </w:rPr>
        <w:t>plataforma que debe promover la permanencia y acceso al sistema educativo en esta temprana</w:t>
      </w:r>
      <w:r>
        <w:rPr>
          <w:spacing w:val="1"/>
          <w:sz w:val="24"/>
        </w:rPr>
        <w:t> </w:t>
      </w:r>
      <w:r>
        <w:rPr>
          <w:sz w:val="24"/>
        </w:rPr>
        <w:t>edad.</w:t>
      </w:r>
    </w:p>
    <w:p>
      <w:pPr>
        <w:pStyle w:val="BodyText"/>
        <w:rPr>
          <w:sz w:val="24"/>
        </w:rPr>
      </w:pPr>
    </w:p>
    <w:p>
      <w:pPr>
        <w:spacing w:before="0"/>
        <w:ind w:left="278" w:right="1076" w:firstLine="0"/>
        <w:jc w:val="both"/>
        <w:rPr>
          <w:sz w:val="24"/>
        </w:rPr>
      </w:pPr>
      <w:r>
        <w:rPr>
          <w:sz w:val="24"/>
        </w:rPr>
        <w:t>La educación preprimaria representa el primer encuentro del niño con el sistema educativo, es</w:t>
      </w:r>
      <w:r>
        <w:rPr>
          <w:spacing w:val="1"/>
          <w:sz w:val="24"/>
        </w:rPr>
        <w:t> </w:t>
      </w:r>
      <w:r>
        <w:rPr>
          <w:sz w:val="24"/>
        </w:rPr>
        <w:t>oficial, aunque no posee carácter obligatorio. Es la que precede a la primaria y, por tanto, un</w:t>
      </w:r>
      <w:r>
        <w:rPr>
          <w:spacing w:val="1"/>
          <w:sz w:val="24"/>
        </w:rPr>
        <w:t> </w:t>
      </w:r>
      <w:r>
        <w:rPr>
          <w:sz w:val="24"/>
        </w:rPr>
        <w:t>peldaño</w:t>
      </w:r>
      <w:r>
        <w:rPr>
          <w:spacing w:val="-9"/>
          <w:sz w:val="24"/>
        </w:rPr>
        <w:t> </w:t>
      </w:r>
      <w:r>
        <w:rPr>
          <w:sz w:val="24"/>
        </w:rPr>
        <w:t>fundamental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estructura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formación.</w:t>
      </w:r>
      <w:r>
        <w:rPr>
          <w:spacing w:val="-7"/>
          <w:sz w:val="24"/>
        </w:rPr>
        <w:t> </w:t>
      </w:r>
      <w:r>
        <w:rPr>
          <w:sz w:val="24"/>
        </w:rPr>
        <w:t>Debe</w:t>
      </w:r>
      <w:r>
        <w:rPr>
          <w:spacing w:val="-8"/>
          <w:sz w:val="24"/>
        </w:rPr>
        <w:t> </w:t>
      </w:r>
      <w:r>
        <w:rPr>
          <w:sz w:val="24"/>
        </w:rPr>
        <w:t>contribuir</w:t>
      </w:r>
      <w:r>
        <w:rPr>
          <w:spacing w:val="-9"/>
          <w:sz w:val="24"/>
        </w:rPr>
        <w:t> </w:t>
      </w:r>
      <w:r>
        <w:rPr>
          <w:sz w:val="24"/>
        </w:rPr>
        <w:t>al</w:t>
      </w:r>
      <w:r>
        <w:rPr>
          <w:spacing w:val="-9"/>
          <w:sz w:val="24"/>
        </w:rPr>
        <w:t> </w:t>
      </w:r>
      <w:r>
        <w:rPr>
          <w:sz w:val="24"/>
        </w:rPr>
        <w:t>desarrollo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evolución</w:t>
      </w:r>
      <w:r>
        <w:rPr>
          <w:spacing w:val="-8"/>
          <w:sz w:val="24"/>
        </w:rPr>
        <w:t> </w:t>
      </w:r>
      <w:r>
        <w:rPr>
          <w:sz w:val="24"/>
        </w:rPr>
        <w:t>del</w:t>
      </w:r>
      <w:r>
        <w:rPr>
          <w:spacing w:val="-51"/>
          <w:sz w:val="24"/>
        </w:rPr>
        <w:t> </w:t>
      </w:r>
      <w:r>
        <w:rPr>
          <w:sz w:val="24"/>
        </w:rPr>
        <w:t>niño en los planos físicos, emocionales, sociales y cognitivos aportando una formación integral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le</w:t>
      </w:r>
      <w:r>
        <w:rPr>
          <w:spacing w:val="-1"/>
          <w:sz w:val="24"/>
        </w:rPr>
        <w:t> </w:t>
      </w:r>
      <w:r>
        <w:rPr>
          <w:sz w:val="24"/>
        </w:rPr>
        <w:t>prepare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acceder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-2"/>
          <w:sz w:val="24"/>
        </w:rPr>
        <w:t> </w:t>
      </w:r>
      <w:r>
        <w:rPr>
          <w:sz w:val="24"/>
        </w:rPr>
        <w:t>primaria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las herramientas</w:t>
      </w:r>
      <w:r>
        <w:rPr>
          <w:spacing w:val="-5"/>
          <w:sz w:val="24"/>
        </w:rPr>
        <w:t> </w:t>
      </w:r>
      <w:r>
        <w:rPr>
          <w:sz w:val="24"/>
        </w:rPr>
        <w:t>necesarias.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pict>
          <v:rect style="position:absolute;margin-left:563.880005pt;margin-top:9.738993pt;width:25.44pt;height:1.4399pt;mso-position-horizontal-relative:page;mso-position-vertical-relative:paragraph;z-index:-1553152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ind w:right="211"/>
      </w:pPr>
      <w:r>
        <w:rPr/>
        <w:t>94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11360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29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spacing w:before="52"/>
        <w:ind w:left="278" w:right="1072" w:firstLine="0"/>
        <w:jc w:val="both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formación</w:t>
      </w:r>
      <w:r>
        <w:rPr>
          <w:spacing w:val="-3"/>
          <w:sz w:val="24"/>
        </w:rPr>
        <w:t> </w:t>
      </w:r>
      <w:r>
        <w:rPr>
          <w:sz w:val="24"/>
        </w:rPr>
        <w:t>integral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este</w:t>
      </w:r>
      <w:r>
        <w:rPr>
          <w:spacing w:val="-4"/>
          <w:sz w:val="24"/>
        </w:rPr>
        <w:t> </w:t>
      </w:r>
      <w:r>
        <w:rPr>
          <w:sz w:val="24"/>
        </w:rPr>
        <w:t>nivel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-5"/>
          <w:sz w:val="24"/>
        </w:rPr>
        <w:t> </w:t>
      </w:r>
      <w:r>
        <w:rPr>
          <w:sz w:val="24"/>
        </w:rPr>
        <w:t>solo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busca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niños</w:t>
      </w:r>
      <w:r>
        <w:rPr>
          <w:spacing w:val="-2"/>
          <w:sz w:val="24"/>
        </w:rPr>
        <w:t> </w:t>
      </w:r>
      <w:r>
        <w:rPr>
          <w:sz w:val="24"/>
        </w:rPr>
        <w:t>adquieran</w:t>
      </w:r>
      <w:r>
        <w:rPr>
          <w:spacing w:val="2"/>
          <w:sz w:val="24"/>
        </w:rPr>
        <w:t> </w:t>
      </w:r>
      <w:r>
        <w:rPr>
          <w:b/>
          <w:sz w:val="24"/>
        </w:rPr>
        <w:t>conocimientos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sino</w:t>
      </w:r>
      <w:r>
        <w:rPr>
          <w:spacing w:val="-52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también</w:t>
      </w:r>
      <w:r>
        <w:rPr>
          <w:spacing w:val="-5"/>
          <w:sz w:val="24"/>
        </w:rPr>
        <w:t> </w:t>
      </w:r>
      <w:r>
        <w:rPr>
          <w:sz w:val="24"/>
        </w:rPr>
        <w:t>potencien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desarrollo</w:t>
      </w:r>
      <w:r>
        <w:rPr>
          <w:spacing w:val="-6"/>
          <w:sz w:val="24"/>
        </w:rPr>
        <w:t> </w:t>
      </w:r>
      <w:r>
        <w:rPr>
          <w:sz w:val="24"/>
        </w:rPr>
        <w:t>de </w:t>
      </w:r>
      <w:r>
        <w:rPr>
          <w:b/>
          <w:sz w:val="24"/>
        </w:rPr>
        <w:t>habilidades,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actitudes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valores</w:t>
      </w:r>
      <w:r>
        <w:rPr>
          <w:sz w:val="24"/>
        </w:rPr>
        <w:t>.</w:t>
      </w:r>
      <w:r>
        <w:rPr>
          <w:spacing w:val="-8"/>
          <w:sz w:val="24"/>
        </w:rPr>
        <w:t> </w:t>
      </w:r>
      <w:r>
        <w:rPr>
          <w:sz w:val="24"/>
        </w:rPr>
        <w:t>Busca</w:t>
      </w:r>
      <w:r>
        <w:rPr>
          <w:spacing w:val="-3"/>
          <w:sz w:val="24"/>
        </w:rPr>
        <w:t> </w:t>
      </w:r>
      <w:r>
        <w:rPr>
          <w:sz w:val="24"/>
        </w:rPr>
        <w:t>atender</w:t>
      </w:r>
      <w:r>
        <w:rPr>
          <w:spacing w:val="-6"/>
          <w:sz w:val="24"/>
        </w:rPr>
        <w:t> </w:t>
      </w:r>
      <w:r>
        <w:rPr>
          <w:sz w:val="24"/>
        </w:rPr>
        <w:t>todas</w:t>
      </w:r>
      <w:r>
        <w:rPr>
          <w:spacing w:val="-7"/>
          <w:sz w:val="24"/>
        </w:rPr>
        <w:t> </w:t>
      </w:r>
      <w:r>
        <w:rPr>
          <w:sz w:val="24"/>
        </w:rPr>
        <w:t>las</w:t>
      </w:r>
      <w:r>
        <w:rPr>
          <w:spacing w:val="-52"/>
          <w:sz w:val="24"/>
        </w:rPr>
        <w:t> </w:t>
      </w:r>
      <w:r>
        <w:rPr>
          <w:sz w:val="24"/>
        </w:rPr>
        <w:t>necesidades y manifestaciones de la persona, educando también para la vida. Comprende una</w:t>
      </w:r>
      <w:r>
        <w:rPr>
          <w:spacing w:val="1"/>
          <w:sz w:val="24"/>
        </w:rPr>
        <w:t> </w:t>
      </w:r>
      <w:r>
        <w:rPr>
          <w:sz w:val="24"/>
        </w:rPr>
        <w:t>educación para la vida, que pueda brindarles las herramientas necesarias para que cuando sean</w:t>
      </w:r>
      <w:r>
        <w:rPr>
          <w:spacing w:val="1"/>
          <w:sz w:val="24"/>
        </w:rPr>
        <w:t> </w:t>
      </w:r>
      <w:r>
        <w:rPr>
          <w:sz w:val="24"/>
        </w:rPr>
        <w:t>mayores</w:t>
      </w:r>
      <w:r>
        <w:rPr>
          <w:spacing w:val="-8"/>
          <w:sz w:val="24"/>
        </w:rPr>
        <w:t> </w:t>
      </w:r>
      <w:r>
        <w:rPr>
          <w:sz w:val="24"/>
        </w:rPr>
        <w:t>tengan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capacidad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desenvolverse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mundo.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formación</w:t>
      </w:r>
      <w:r>
        <w:rPr>
          <w:spacing w:val="-8"/>
          <w:sz w:val="24"/>
        </w:rPr>
        <w:t> </w:t>
      </w:r>
      <w:r>
        <w:rPr>
          <w:sz w:val="24"/>
        </w:rPr>
        <w:t>integral,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esta</w:t>
      </w:r>
      <w:r>
        <w:rPr>
          <w:spacing w:val="-9"/>
          <w:sz w:val="24"/>
        </w:rPr>
        <w:t> </w:t>
      </w:r>
      <w:r>
        <w:rPr>
          <w:sz w:val="24"/>
        </w:rPr>
        <w:t>etapa</w:t>
      </w:r>
      <w:r>
        <w:rPr>
          <w:spacing w:val="-52"/>
          <w:sz w:val="24"/>
        </w:rPr>
        <w:t> </w:t>
      </w:r>
      <w:r>
        <w:rPr>
          <w:sz w:val="24"/>
        </w:rPr>
        <w:t>comprende:</w:t>
      </w:r>
    </w:p>
    <w:p>
      <w:pPr>
        <w:pStyle w:val="ListParagraph"/>
        <w:numPr>
          <w:ilvl w:val="3"/>
          <w:numId w:val="11"/>
        </w:numPr>
        <w:tabs>
          <w:tab w:pos="999" w:val="left" w:leader="none"/>
        </w:tabs>
        <w:spacing w:line="240" w:lineRule="auto" w:before="1" w:after="0"/>
        <w:ind w:left="998" w:right="1078" w:hanging="360"/>
        <w:jc w:val="both"/>
        <w:rPr>
          <w:sz w:val="24"/>
        </w:rPr>
      </w:pPr>
      <w:r>
        <w:rPr>
          <w:sz w:val="24"/>
        </w:rPr>
        <w:t>Conocimiento</w:t>
      </w:r>
      <w:r>
        <w:rPr>
          <w:spacing w:val="-7"/>
          <w:sz w:val="24"/>
        </w:rPr>
        <w:t> </w:t>
      </w:r>
      <w:r>
        <w:rPr>
          <w:sz w:val="24"/>
        </w:rPr>
        <w:t>personal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desarrollo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autonomía</w:t>
      </w:r>
      <w:r>
        <w:rPr>
          <w:spacing w:val="-4"/>
          <w:sz w:val="24"/>
        </w:rPr>
        <w:t> </w:t>
      </w:r>
      <w:r>
        <w:rPr>
          <w:sz w:val="24"/>
        </w:rPr>
        <w:t>individual,</w:t>
      </w:r>
      <w:r>
        <w:rPr>
          <w:spacing w:val="-5"/>
          <w:sz w:val="24"/>
        </w:rPr>
        <w:t> </w:t>
      </w:r>
      <w:r>
        <w:rPr>
          <w:sz w:val="24"/>
        </w:rPr>
        <w:t>aprender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vestirse</w:t>
      </w:r>
      <w:r>
        <w:rPr>
          <w:spacing w:val="-7"/>
          <w:sz w:val="24"/>
        </w:rPr>
        <w:t> </w:t>
      </w:r>
      <w:r>
        <w:rPr>
          <w:sz w:val="24"/>
        </w:rPr>
        <w:t>solos,</w:t>
      </w:r>
      <w:r>
        <w:rPr>
          <w:spacing w:val="-52"/>
          <w:sz w:val="24"/>
        </w:rPr>
        <w:t> </w:t>
      </w:r>
      <w:r>
        <w:rPr>
          <w:sz w:val="24"/>
        </w:rPr>
        <w:t>ir al</w:t>
      </w:r>
      <w:r>
        <w:rPr>
          <w:spacing w:val="-2"/>
          <w:sz w:val="24"/>
        </w:rPr>
        <w:t> </w:t>
      </w:r>
      <w:r>
        <w:rPr>
          <w:sz w:val="24"/>
        </w:rPr>
        <w:t>baño,</w:t>
      </w:r>
      <w:r>
        <w:rPr>
          <w:spacing w:val="-3"/>
          <w:sz w:val="24"/>
        </w:rPr>
        <w:t> </w:t>
      </w:r>
      <w:r>
        <w:rPr>
          <w:sz w:val="24"/>
        </w:rPr>
        <w:t>comer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manera adecuada</w:t>
      </w:r>
      <w:r>
        <w:rPr>
          <w:spacing w:val="-3"/>
          <w:sz w:val="24"/>
        </w:rPr>
        <w:t> </w:t>
      </w:r>
      <w:r>
        <w:rPr>
          <w:sz w:val="24"/>
        </w:rPr>
        <w:t>y conocer las partes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 cuerpo.</w:t>
      </w:r>
    </w:p>
    <w:p>
      <w:pPr>
        <w:pStyle w:val="ListParagraph"/>
        <w:numPr>
          <w:ilvl w:val="3"/>
          <w:numId w:val="11"/>
        </w:numPr>
        <w:tabs>
          <w:tab w:pos="999" w:val="left" w:leader="none"/>
        </w:tabs>
        <w:spacing w:line="240" w:lineRule="auto" w:before="0" w:after="0"/>
        <w:ind w:left="998" w:right="1075" w:hanging="360"/>
        <w:jc w:val="both"/>
        <w:rPr>
          <w:sz w:val="24"/>
        </w:rPr>
      </w:pPr>
      <w:r>
        <w:rPr>
          <w:sz w:val="24"/>
        </w:rPr>
        <w:t>Conocimiento del entorno que les rodea: desde lo más básico y cercano como es su</w:t>
      </w:r>
      <w:r>
        <w:rPr>
          <w:spacing w:val="1"/>
          <w:sz w:val="24"/>
        </w:rPr>
        <w:t> </w:t>
      </w:r>
      <w:r>
        <w:rPr>
          <w:sz w:val="24"/>
        </w:rPr>
        <w:t>comunidad,</w:t>
      </w:r>
      <w:r>
        <w:rPr>
          <w:spacing w:val="-1"/>
          <w:sz w:val="24"/>
        </w:rPr>
        <w:t> </w:t>
      </w:r>
      <w:r>
        <w:rPr>
          <w:sz w:val="24"/>
        </w:rPr>
        <w:t>costumbres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localidad y</w:t>
      </w:r>
      <w:r>
        <w:rPr>
          <w:spacing w:val="-2"/>
          <w:sz w:val="24"/>
        </w:rPr>
        <w:t> </w:t>
      </w:r>
      <w:r>
        <w:rPr>
          <w:sz w:val="24"/>
        </w:rPr>
        <w:t>particularidades de su</w:t>
      </w:r>
      <w:r>
        <w:rPr>
          <w:spacing w:val="-1"/>
          <w:sz w:val="24"/>
        </w:rPr>
        <w:t> </w:t>
      </w:r>
      <w:r>
        <w:rPr>
          <w:sz w:val="24"/>
        </w:rPr>
        <w:t>territorio.</w:t>
      </w:r>
    </w:p>
    <w:p>
      <w:pPr>
        <w:pStyle w:val="ListParagraph"/>
        <w:numPr>
          <w:ilvl w:val="3"/>
          <w:numId w:val="11"/>
        </w:numPr>
        <w:tabs>
          <w:tab w:pos="999" w:val="left" w:leader="none"/>
        </w:tabs>
        <w:spacing w:line="240" w:lineRule="auto" w:before="0" w:after="0"/>
        <w:ind w:left="998" w:right="1073" w:hanging="360"/>
        <w:jc w:val="both"/>
        <w:rPr>
          <w:sz w:val="24"/>
        </w:rPr>
      </w:pPr>
      <w:r>
        <w:rPr>
          <w:sz w:val="24"/>
        </w:rPr>
        <w:t>Desarrollo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lenguaje:</w:t>
      </w:r>
      <w:r>
        <w:rPr>
          <w:spacing w:val="1"/>
          <w:sz w:val="24"/>
        </w:rPr>
        <w:t> </w:t>
      </w:r>
      <w:r>
        <w:rPr>
          <w:sz w:val="24"/>
        </w:rPr>
        <w:t>Empieza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comunicarse,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tanto,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desarrollo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psicomotricidad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fundamental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siguiente</w:t>
      </w:r>
      <w:r>
        <w:rPr>
          <w:spacing w:val="1"/>
          <w:sz w:val="24"/>
        </w:rPr>
        <w:t> </w:t>
      </w:r>
      <w:r>
        <w:rPr>
          <w:sz w:val="24"/>
        </w:rPr>
        <w:t>etapa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sistema: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-52"/>
          <w:sz w:val="24"/>
        </w:rPr>
        <w:t> </w:t>
      </w:r>
      <w:r>
        <w:rPr>
          <w:sz w:val="24"/>
        </w:rPr>
        <w:t>primaria.</w:t>
      </w:r>
    </w:p>
    <w:p>
      <w:pPr>
        <w:pStyle w:val="ListParagraph"/>
        <w:numPr>
          <w:ilvl w:val="3"/>
          <w:numId w:val="11"/>
        </w:numPr>
        <w:tabs>
          <w:tab w:pos="999" w:val="left" w:leader="none"/>
        </w:tabs>
        <w:spacing w:line="240" w:lineRule="auto" w:before="0" w:after="0"/>
        <w:ind w:left="998" w:right="1076" w:hanging="360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desarrollo intelectual del</w:t>
      </w:r>
      <w:r>
        <w:rPr>
          <w:spacing w:val="1"/>
          <w:sz w:val="24"/>
        </w:rPr>
        <w:t> </w:t>
      </w:r>
      <w:r>
        <w:rPr>
          <w:sz w:val="24"/>
        </w:rPr>
        <w:t>niño.</w:t>
      </w:r>
      <w:r>
        <w:rPr>
          <w:spacing w:val="1"/>
          <w:sz w:val="24"/>
        </w:rPr>
        <w:t> </w:t>
      </w:r>
      <w:r>
        <w:rPr>
          <w:sz w:val="24"/>
        </w:rPr>
        <w:t>Adquiriendo</w:t>
      </w:r>
      <w:r>
        <w:rPr>
          <w:spacing w:val="1"/>
          <w:sz w:val="24"/>
        </w:rPr>
        <w:t> </w:t>
      </w:r>
      <w:r>
        <w:rPr>
          <w:sz w:val="24"/>
        </w:rPr>
        <w:t>conocimientos</w:t>
      </w:r>
      <w:r>
        <w:rPr>
          <w:spacing w:val="1"/>
          <w:sz w:val="24"/>
        </w:rPr>
        <w:t> </w:t>
      </w:r>
      <w:r>
        <w:rPr>
          <w:sz w:val="24"/>
        </w:rPr>
        <w:t>básicos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trazos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preparen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lectoescritura,</w:t>
      </w:r>
      <w:r>
        <w:rPr>
          <w:spacing w:val="-4"/>
          <w:sz w:val="24"/>
        </w:rPr>
        <w:t> </w:t>
      </w:r>
      <w:r>
        <w:rPr>
          <w:sz w:val="24"/>
        </w:rPr>
        <w:t>números,</w:t>
      </w:r>
      <w:r>
        <w:rPr>
          <w:spacing w:val="-4"/>
          <w:sz w:val="24"/>
        </w:rPr>
        <w:t> </w:t>
      </w:r>
      <w:r>
        <w:rPr>
          <w:sz w:val="24"/>
        </w:rPr>
        <w:t>entorno familiar,</w:t>
      </w:r>
      <w:r>
        <w:rPr>
          <w:spacing w:val="-1"/>
          <w:sz w:val="24"/>
        </w:rPr>
        <w:t> </w:t>
      </w:r>
      <w:r>
        <w:rPr>
          <w:sz w:val="24"/>
        </w:rPr>
        <w:t>comunitario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social,</w:t>
      </w:r>
      <w:r>
        <w:rPr>
          <w:spacing w:val="-2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3"/>
          <w:numId w:val="11"/>
        </w:numPr>
        <w:tabs>
          <w:tab w:pos="999" w:val="left" w:leader="none"/>
        </w:tabs>
        <w:spacing w:line="240" w:lineRule="auto" w:before="0" w:after="0"/>
        <w:ind w:left="998" w:right="1071" w:hanging="360"/>
        <w:jc w:val="both"/>
        <w:rPr>
          <w:sz w:val="24"/>
        </w:rPr>
      </w:pPr>
      <w:r>
        <w:rPr>
          <w:sz w:val="24"/>
        </w:rPr>
        <w:t>El desarrollo físico. Promoviendo a través del ejercicio físico que los niños estén sanos y</w:t>
      </w:r>
      <w:r>
        <w:rPr>
          <w:spacing w:val="1"/>
          <w:sz w:val="24"/>
        </w:rPr>
        <w:t> </w:t>
      </w:r>
      <w:r>
        <w:rPr>
          <w:sz w:val="24"/>
        </w:rPr>
        <w:t>ágiles.</w:t>
      </w:r>
    </w:p>
    <w:p>
      <w:pPr>
        <w:pStyle w:val="ListParagraph"/>
        <w:numPr>
          <w:ilvl w:val="3"/>
          <w:numId w:val="11"/>
        </w:numPr>
        <w:tabs>
          <w:tab w:pos="999" w:val="left" w:leader="none"/>
        </w:tabs>
        <w:spacing w:line="240" w:lineRule="auto" w:before="0" w:after="0"/>
        <w:ind w:left="998" w:right="1075" w:hanging="360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desarrollo</w:t>
      </w:r>
      <w:r>
        <w:rPr>
          <w:spacing w:val="1"/>
          <w:sz w:val="24"/>
        </w:rPr>
        <w:t> </w:t>
      </w:r>
      <w:r>
        <w:rPr>
          <w:sz w:val="24"/>
        </w:rPr>
        <w:t>emocional.</w:t>
      </w:r>
      <w:r>
        <w:rPr>
          <w:spacing w:val="1"/>
          <w:sz w:val="24"/>
        </w:rPr>
        <w:t> </w:t>
      </w:r>
      <w:r>
        <w:rPr>
          <w:sz w:val="24"/>
        </w:rPr>
        <w:t>Logrando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conocimiento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emociones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saber</w:t>
      </w:r>
      <w:r>
        <w:rPr>
          <w:spacing w:val="1"/>
          <w:sz w:val="24"/>
        </w:rPr>
        <w:t> </w:t>
      </w:r>
      <w:r>
        <w:rPr>
          <w:sz w:val="24"/>
        </w:rPr>
        <w:t>identificarlas,</w:t>
      </w:r>
      <w:r>
        <w:rPr>
          <w:spacing w:val="-3"/>
          <w:sz w:val="24"/>
        </w:rPr>
        <w:t> </w:t>
      </w:r>
      <w:r>
        <w:rPr>
          <w:sz w:val="24"/>
        </w:rPr>
        <w:t>expresarlas,</w:t>
      </w:r>
      <w:r>
        <w:rPr>
          <w:spacing w:val="-2"/>
          <w:sz w:val="24"/>
        </w:rPr>
        <w:t> </w:t>
      </w:r>
      <w:r>
        <w:rPr>
          <w:sz w:val="24"/>
        </w:rPr>
        <w:t>controlarlas</w:t>
      </w:r>
      <w:r>
        <w:rPr>
          <w:spacing w:val="-2"/>
          <w:sz w:val="24"/>
        </w:rPr>
        <w:t> </w:t>
      </w:r>
      <w:r>
        <w:rPr>
          <w:sz w:val="24"/>
        </w:rPr>
        <w:t>o manejarlas,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acuerdo a</w:t>
      </w:r>
      <w:r>
        <w:rPr>
          <w:spacing w:val="-3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nivel.</w:t>
      </w:r>
    </w:p>
    <w:p>
      <w:pPr>
        <w:pStyle w:val="ListParagraph"/>
        <w:numPr>
          <w:ilvl w:val="3"/>
          <w:numId w:val="11"/>
        </w:numPr>
        <w:tabs>
          <w:tab w:pos="999" w:val="left" w:leader="none"/>
        </w:tabs>
        <w:spacing w:line="240" w:lineRule="auto" w:before="0" w:after="0"/>
        <w:ind w:left="998" w:right="1072" w:hanging="360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desarrollo social. Fomentando</w:t>
      </w:r>
      <w:r>
        <w:rPr>
          <w:spacing w:val="1"/>
          <w:sz w:val="24"/>
        </w:rPr>
        <w:t> </w:t>
      </w:r>
      <w:r>
        <w:rPr>
          <w:sz w:val="24"/>
        </w:rPr>
        <w:t>conductas</w:t>
      </w:r>
      <w:r>
        <w:rPr>
          <w:spacing w:val="1"/>
          <w:sz w:val="24"/>
        </w:rPr>
        <w:t> </w:t>
      </w:r>
      <w:r>
        <w:rPr>
          <w:sz w:val="24"/>
        </w:rPr>
        <w:t>adecuadas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establecer</w:t>
      </w:r>
      <w:r>
        <w:rPr>
          <w:spacing w:val="1"/>
          <w:sz w:val="24"/>
        </w:rPr>
        <w:t> </w:t>
      </w:r>
      <w:r>
        <w:rPr>
          <w:sz w:val="24"/>
        </w:rPr>
        <w:t>relaciones</w:t>
      </w:r>
      <w:r>
        <w:rPr>
          <w:spacing w:val="1"/>
          <w:sz w:val="24"/>
        </w:rPr>
        <w:t> </w:t>
      </w:r>
      <w:r>
        <w:rPr>
          <w:sz w:val="24"/>
        </w:rPr>
        <w:t>armónicas, habilidades de interacción, resolución de problemas, comunicación, empatía,</w:t>
      </w:r>
      <w:r>
        <w:rPr>
          <w:spacing w:val="-52"/>
          <w:sz w:val="24"/>
        </w:rPr>
        <w:t> </w:t>
      </w:r>
      <w:r>
        <w:rPr>
          <w:sz w:val="24"/>
        </w:rPr>
        <w:t>entre otras.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278" w:right="1074" w:firstLine="0"/>
        <w:jc w:val="both"/>
        <w:rPr>
          <w:sz w:val="24"/>
        </w:rPr>
      </w:pPr>
      <w:r>
        <w:rPr>
          <w:sz w:val="24"/>
        </w:rPr>
        <w:t>Fomentar ambientes de aprendizaje que promuevan prácticas de protección infantil, cuidado</w:t>
      </w:r>
      <w:r>
        <w:rPr>
          <w:spacing w:val="1"/>
          <w:sz w:val="24"/>
        </w:rPr>
        <w:t> </w:t>
      </w:r>
      <w:r>
        <w:rPr>
          <w:sz w:val="24"/>
        </w:rPr>
        <w:t>cariñoso y relaciones equitativas de género en el Sistema Educativo Nacional con pertinencia</w:t>
      </w:r>
      <w:r>
        <w:rPr>
          <w:spacing w:val="1"/>
          <w:sz w:val="24"/>
        </w:rPr>
        <w:t> </w:t>
      </w:r>
      <w:r>
        <w:rPr>
          <w:sz w:val="24"/>
        </w:rPr>
        <w:t>étnica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cultural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cada</w:t>
      </w:r>
      <w:r>
        <w:rPr>
          <w:spacing w:val="-2"/>
          <w:sz w:val="24"/>
        </w:rPr>
        <w:t> </w:t>
      </w:r>
      <w:r>
        <w:rPr>
          <w:sz w:val="24"/>
        </w:rPr>
        <w:t>territorio.</w:t>
      </w:r>
    </w:p>
    <w:p>
      <w:pPr>
        <w:pStyle w:val="BodyText"/>
        <w:spacing w:before="5"/>
        <w:rPr>
          <w:sz w:val="15"/>
        </w:rPr>
      </w:pPr>
    </w:p>
    <w:p>
      <w:pPr>
        <w:pStyle w:val="ListParagraph"/>
        <w:numPr>
          <w:ilvl w:val="2"/>
          <w:numId w:val="11"/>
        </w:numPr>
        <w:tabs>
          <w:tab w:pos="999" w:val="left" w:leader="none"/>
        </w:tabs>
        <w:spacing w:line="240" w:lineRule="auto" w:before="51" w:after="0"/>
        <w:ind w:left="998" w:right="1084" w:hanging="720"/>
        <w:jc w:val="left"/>
        <w:rPr>
          <w:b/>
          <w:sz w:val="24"/>
        </w:rPr>
      </w:pPr>
      <w:bookmarkStart w:name="_bookmark119" w:id="171"/>
      <w:bookmarkEnd w:id="171"/>
      <w:r>
        <w:rPr/>
      </w:r>
      <w:bookmarkStart w:name="_bookmark119" w:id="172"/>
      <w:bookmarkEnd w:id="172"/>
      <w:r>
        <w:rPr>
          <w:b/>
          <w:sz w:val="24"/>
          <w:shd w:fill="FFFFFF" w:color="auto" w:val="clear"/>
        </w:rPr>
        <w:t>E</w:t>
      </w:r>
      <w:r>
        <w:rPr>
          <w:b/>
          <w:sz w:val="24"/>
          <w:shd w:fill="FFFFFF" w:color="auto" w:val="clear"/>
        </w:rPr>
        <w:t>je</w:t>
      </w:r>
      <w:r>
        <w:rPr>
          <w:b/>
          <w:spacing w:val="39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2</w:t>
      </w:r>
      <w:r>
        <w:rPr>
          <w:b/>
          <w:spacing w:val="40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de</w:t>
      </w:r>
      <w:r>
        <w:rPr>
          <w:b/>
          <w:spacing w:val="40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Colaboración</w:t>
      </w:r>
      <w:r>
        <w:rPr>
          <w:b/>
          <w:spacing w:val="37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e</w:t>
      </w:r>
      <w:r>
        <w:rPr>
          <w:b/>
          <w:spacing w:val="40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Integración</w:t>
      </w:r>
      <w:r>
        <w:rPr>
          <w:b/>
          <w:spacing w:val="42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de</w:t>
      </w:r>
      <w:r>
        <w:rPr>
          <w:b/>
          <w:spacing w:val="37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la</w:t>
      </w:r>
      <w:r>
        <w:rPr>
          <w:b/>
          <w:spacing w:val="40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Comunidad</w:t>
      </w:r>
      <w:r>
        <w:rPr>
          <w:b/>
          <w:spacing w:val="39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Educativa:</w:t>
      </w:r>
      <w:r>
        <w:rPr>
          <w:b/>
          <w:spacing w:val="41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Vinculación</w:t>
      </w:r>
      <w:r>
        <w:rPr>
          <w:b/>
          <w:spacing w:val="42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de</w:t>
      </w:r>
      <w:r>
        <w:rPr>
          <w:b/>
          <w:spacing w:val="38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las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familias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las comunidades.</w:t>
      </w:r>
    </w:p>
    <w:p>
      <w:pPr>
        <w:pStyle w:val="BodyText"/>
        <w:spacing w:before="10"/>
        <w:rPr>
          <w:b/>
          <w:sz w:val="19"/>
        </w:rPr>
      </w:pPr>
    </w:p>
    <w:p>
      <w:pPr>
        <w:spacing w:line="237" w:lineRule="auto" w:before="0"/>
        <w:ind w:left="998" w:right="1075" w:hanging="360"/>
        <w:jc w:val="both"/>
        <w:rPr>
          <w:sz w:val="24"/>
        </w:rPr>
      </w:pPr>
      <w:r>
        <w:rPr>
          <w:rFonts w:ascii="Courier New" w:hAnsi="Courier New"/>
          <w:sz w:val="24"/>
        </w:rPr>
        <w:t>o </w:t>
      </w:r>
      <w:r>
        <w:rPr>
          <w:sz w:val="24"/>
        </w:rPr>
        <w:t>Fortalecer las capacidades de las OPF en el Programa de Cuidados Infantiles para el</w:t>
      </w:r>
      <w:r>
        <w:rPr>
          <w:spacing w:val="1"/>
          <w:sz w:val="24"/>
        </w:rPr>
        <w:t> </w:t>
      </w:r>
      <w:r>
        <w:rPr>
          <w:sz w:val="24"/>
        </w:rPr>
        <w:t>Aprendizaje</w:t>
      </w:r>
      <w:r>
        <w:rPr>
          <w:spacing w:val="-7"/>
          <w:sz w:val="24"/>
        </w:rPr>
        <w:t> </w:t>
      </w:r>
      <w:r>
        <w:rPr>
          <w:sz w:val="24"/>
        </w:rPr>
        <w:t>del</w:t>
      </w:r>
      <w:r>
        <w:rPr>
          <w:spacing w:val="-6"/>
          <w:sz w:val="24"/>
        </w:rPr>
        <w:t> </w:t>
      </w:r>
      <w:r>
        <w:rPr>
          <w:sz w:val="24"/>
        </w:rPr>
        <w:t>MINEDUC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promover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territorio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importancia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educación</w:t>
      </w:r>
      <w:r>
        <w:rPr>
          <w:spacing w:val="-52"/>
          <w:sz w:val="24"/>
        </w:rPr>
        <w:t> </w:t>
      </w:r>
      <w:r>
        <w:rPr>
          <w:sz w:val="24"/>
        </w:rPr>
        <w:t>preprimaria.</w:t>
      </w:r>
    </w:p>
    <w:p>
      <w:pPr>
        <w:pStyle w:val="BodyText"/>
        <w:spacing w:before="11"/>
        <w:rPr>
          <w:sz w:val="23"/>
        </w:rPr>
      </w:pPr>
    </w:p>
    <w:p>
      <w:pPr>
        <w:spacing w:line="240" w:lineRule="auto" w:before="0"/>
        <w:ind w:left="278" w:right="1075" w:firstLine="0"/>
        <w:jc w:val="both"/>
        <w:rPr>
          <w:sz w:val="24"/>
        </w:rPr>
      </w:pPr>
      <w:r>
        <w:rPr>
          <w:sz w:val="24"/>
        </w:rPr>
        <w:t>En coherencia con la naturaleza y función de las –OPF– así como, los principales actores que la</w:t>
      </w:r>
      <w:r>
        <w:rPr>
          <w:spacing w:val="1"/>
          <w:sz w:val="24"/>
        </w:rPr>
        <w:t> </w:t>
      </w:r>
      <w:r>
        <w:rPr>
          <w:sz w:val="24"/>
        </w:rPr>
        <w:t>integran</w:t>
      </w:r>
      <w:r>
        <w:rPr>
          <w:spacing w:val="1"/>
          <w:sz w:val="24"/>
        </w:rPr>
        <w:t> </w:t>
      </w:r>
      <w:r>
        <w:rPr>
          <w:sz w:val="24"/>
        </w:rPr>
        <w:t>(padres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madres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familia,</w:t>
      </w:r>
      <w:r>
        <w:rPr>
          <w:spacing w:val="1"/>
          <w:sz w:val="24"/>
        </w:rPr>
        <w:t> </w:t>
      </w:r>
      <w:r>
        <w:rPr>
          <w:sz w:val="24"/>
        </w:rPr>
        <w:t>maestros,</w:t>
      </w:r>
      <w:r>
        <w:rPr>
          <w:spacing w:val="1"/>
          <w:sz w:val="24"/>
        </w:rPr>
        <w:t> </w:t>
      </w:r>
      <w:r>
        <w:rPr>
          <w:sz w:val="24"/>
        </w:rPr>
        <w:t>directores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líderes</w:t>
      </w:r>
      <w:r>
        <w:rPr>
          <w:spacing w:val="1"/>
          <w:sz w:val="24"/>
        </w:rPr>
        <w:t> </w:t>
      </w:r>
      <w:r>
        <w:rPr>
          <w:sz w:val="24"/>
        </w:rPr>
        <w:t>comunitarios)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vital</w:t>
      </w:r>
      <w:r>
        <w:rPr>
          <w:spacing w:val="-52"/>
          <w:sz w:val="24"/>
        </w:rPr>
        <w:t> </w:t>
      </w:r>
      <w:r>
        <w:rPr>
          <w:sz w:val="24"/>
        </w:rPr>
        <w:t>aprovechar esta figura para que a través de la capacitación en cuidado cariñoso y sensible se</w:t>
      </w:r>
      <w:r>
        <w:rPr>
          <w:spacing w:val="1"/>
          <w:sz w:val="24"/>
        </w:rPr>
        <w:t> </w:t>
      </w:r>
      <w:r>
        <w:rPr>
          <w:sz w:val="24"/>
        </w:rPr>
        <w:t>involucren siendo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principales agentes</w:t>
      </w:r>
      <w:r>
        <w:rPr>
          <w:spacing w:val="1"/>
          <w:sz w:val="24"/>
        </w:rPr>
        <w:t> </w:t>
      </w:r>
      <w:r>
        <w:rPr>
          <w:sz w:val="24"/>
        </w:rPr>
        <w:t>multiplicadores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cambio.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rect style="position:absolute;margin-left:563.880005pt;margin-top:15.300993pt;width:25.44pt;height:1.4399pt;mso-position-horizontal-relative:page;mso-position-vertical-relative:paragraph;z-index:-1552998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ind w:right="211"/>
      </w:pPr>
      <w:r>
        <w:rPr/>
        <w:t>95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1289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29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spacing w:line="240" w:lineRule="auto" w:before="52"/>
        <w:ind w:left="278" w:right="1075" w:firstLine="0"/>
        <w:jc w:val="both"/>
        <w:rPr>
          <w:sz w:val="24"/>
        </w:rPr>
      </w:pPr>
      <w:r>
        <w:rPr>
          <w:sz w:val="24"/>
        </w:rPr>
        <w:t>Es fundamental empoderar a las mujeres, las familias y las comunidades para promover la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importancia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educación</w:t>
      </w:r>
      <w:r>
        <w:rPr>
          <w:spacing w:val="-11"/>
          <w:sz w:val="24"/>
        </w:rPr>
        <w:t> </w:t>
      </w:r>
      <w:r>
        <w:rPr>
          <w:sz w:val="24"/>
        </w:rPr>
        <w:t>preprimaria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13"/>
          <w:sz w:val="24"/>
        </w:rPr>
        <w:t> </w:t>
      </w:r>
      <w:r>
        <w:rPr>
          <w:sz w:val="24"/>
        </w:rPr>
        <w:t>reducir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deserción.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comunicación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participación</w:t>
      </w:r>
      <w:r>
        <w:rPr>
          <w:spacing w:val="-52"/>
          <w:sz w:val="24"/>
        </w:rPr>
        <w:t> </w:t>
      </w:r>
      <w:r>
        <w:rPr>
          <w:sz w:val="24"/>
        </w:rPr>
        <w:t>contribuyen a hacer visible un problema invisible, al fijar metas sencillas y fáciles de comprender</w:t>
      </w:r>
      <w:r>
        <w:rPr>
          <w:spacing w:val="-52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ilustrar</w:t>
      </w:r>
      <w:r>
        <w:rPr>
          <w:spacing w:val="-4"/>
          <w:sz w:val="24"/>
        </w:rPr>
        <w:t> </w:t>
      </w:r>
      <w:r>
        <w:rPr>
          <w:sz w:val="24"/>
        </w:rPr>
        <w:t>cómo</w:t>
      </w:r>
      <w:r>
        <w:rPr>
          <w:spacing w:val="-6"/>
          <w:sz w:val="24"/>
        </w:rPr>
        <w:t> </w:t>
      </w:r>
      <w:r>
        <w:rPr>
          <w:sz w:val="24"/>
        </w:rPr>
        <w:t>pueden</w:t>
      </w:r>
      <w:r>
        <w:rPr>
          <w:spacing w:val="-4"/>
          <w:sz w:val="24"/>
        </w:rPr>
        <w:t> </w:t>
      </w:r>
      <w:r>
        <w:rPr>
          <w:sz w:val="24"/>
        </w:rPr>
        <w:t>alcanzarse.</w:t>
      </w:r>
      <w:r>
        <w:rPr>
          <w:spacing w:val="-5"/>
          <w:sz w:val="24"/>
        </w:rPr>
        <w:t> </w:t>
      </w:r>
      <w:r>
        <w:rPr>
          <w:sz w:val="24"/>
        </w:rPr>
        <w:t>Hay</w:t>
      </w:r>
      <w:r>
        <w:rPr>
          <w:spacing w:val="-5"/>
          <w:sz w:val="24"/>
        </w:rPr>
        <w:t> </w:t>
      </w:r>
      <w:r>
        <w:rPr>
          <w:sz w:val="24"/>
        </w:rPr>
        <w:t>numerosas</w:t>
      </w:r>
      <w:r>
        <w:rPr>
          <w:spacing w:val="-5"/>
          <w:sz w:val="24"/>
        </w:rPr>
        <w:t> </w:t>
      </w:r>
      <w:r>
        <w:rPr>
          <w:sz w:val="24"/>
        </w:rPr>
        <w:t>intervenciones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7"/>
          <w:sz w:val="24"/>
        </w:rPr>
        <w:t> </w:t>
      </w:r>
      <w:r>
        <w:rPr>
          <w:sz w:val="24"/>
        </w:rPr>
        <w:t>empoderar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mujeres</w:t>
      </w:r>
      <w:r>
        <w:rPr>
          <w:spacing w:val="-5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comunidades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fin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generar</w:t>
      </w:r>
      <w:r>
        <w:rPr>
          <w:spacing w:val="-8"/>
          <w:sz w:val="24"/>
        </w:rPr>
        <w:t> </w:t>
      </w:r>
      <w:r>
        <w:rPr>
          <w:sz w:val="24"/>
        </w:rPr>
        <w:t>un</w:t>
      </w:r>
      <w:r>
        <w:rPr>
          <w:spacing w:val="-5"/>
          <w:sz w:val="24"/>
        </w:rPr>
        <w:t> </w:t>
      </w:r>
      <w:r>
        <w:rPr>
          <w:sz w:val="24"/>
        </w:rPr>
        <w:t>entorno</w:t>
      </w:r>
      <w:r>
        <w:rPr>
          <w:spacing w:val="-8"/>
          <w:sz w:val="24"/>
        </w:rPr>
        <w:t> </w:t>
      </w:r>
      <w:r>
        <w:rPr>
          <w:sz w:val="24"/>
        </w:rPr>
        <w:t>propicio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fortalecer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prácticas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cuidado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52"/>
          <w:sz w:val="24"/>
        </w:rPr>
        <w:t> </w:t>
      </w:r>
      <w:r>
        <w:rPr>
          <w:sz w:val="24"/>
        </w:rPr>
        <w:t>hogar. Incluyen el que los grupos de OPF practiquen el aprendizaje y la acción participativos;</w:t>
      </w:r>
      <w:r>
        <w:rPr>
          <w:spacing w:val="1"/>
          <w:sz w:val="24"/>
        </w:rPr>
        <w:t> </w:t>
      </w:r>
      <w:r>
        <w:rPr>
          <w:sz w:val="24"/>
        </w:rPr>
        <w:t>visitas domiciliarias de los docentes de la comunidad para orientación, atención de casos y</w:t>
      </w:r>
      <w:r>
        <w:rPr>
          <w:spacing w:val="1"/>
          <w:sz w:val="24"/>
        </w:rPr>
        <w:t> </w:t>
      </w:r>
      <w:r>
        <w:rPr>
          <w:sz w:val="24"/>
        </w:rPr>
        <w:t>derivación;</w:t>
      </w:r>
      <w:r>
        <w:rPr>
          <w:spacing w:val="-1"/>
          <w:sz w:val="24"/>
        </w:rPr>
        <w:t> </w:t>
      </w:r>
      <w:r>
        <w:rPr>
          <w:sz w:val="24"/>
        </w:rPr>
        <w:t>y orientación</w:t>
      </w:r>
      <w:r>
        <w:rPr>
          <w:spacing w:val="-1"/>
          <w:sz w:val="24"/>
        </w:rPr>
        <w:t> </w:t>
      </w:r>
      <w:r>
        <w:rPr>
          <w:sz w:val="24"/>
        </w:rPr>
        <w:t>en los</w:t>
      </w:r>
      <w:r>
        <w:rPr>
          <w:spacing w:val="1"/>
          <w:sz w:val="24"/>
        </w:rPr>
        <w:t> </w:t>
      </w:r>
      <w:r>
        <w:rPr>
          <w:sz w:val="24"/>
        </w:rPr>
        <w:t>centros</w:t>
      </w:r>
      <w:r>
        <w:rPr>
          <w:spacing w:val="-2"/>
          <w:sz w:val="24"/>
        </w:rPr>
        <w:t> </w:t>
      </w:r>
      <w:r>
        <w:rPr>
          <w:sz w:val="24"/>
        </w:rPr>
        <w:t>educativos.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12"/>
        </w:numPr>
        <w:tabs>
          <w:tab w:pos="999" w:val="left" w:leader="none"/>
        </w:tabs>
        <w:spacing w:line="237" w:lineRule="auto" w:before="1" w:after="0"/>
        <w:ind w:left="998" w:right="1075" w:hanging="360"/>
        <w:jc w:val="both"/>
        <w:rPr>
          <w:sz w:val="24"/>
        </w:rPr>
      </w:pPr>
      <w:r>
        <w:rPr>
          <w:sz w:val="24"/>
        </w:rPr>
        <w:t>Integrar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capacitar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personas</w:t>
      </w:r>
      <w:r>
        <w:rPr>
          <w:spacing w:val="1"/>
          <w:sz w:val="24"/>
        </w:rPr>
        <w:t> </w:t>
      </w:r>
      <w:r>
        <w:rPr>
          <w:sz w:val="24"/>
        </w:rPr>
        <w:t>adultas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importancia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1"/>
          <w:sz w:val="24"/>
        </w:rPr>
        <w:t> </w:t>
      </w:r>
      <w:r>
        <w:rPr>
          <w:sz w:val="24"/>
        </w:rPr>
        <w:t>preprimaria, la crianza cariñosa, la protección infantil y las relaciones equitativas de</w:t>
      </w:r>
      <w:r>
        <w:rPr>
          <w:spacing w:val="1"/>
          <w:sz w:val="24"/>
        </w:rPr>
        <w:t> </w:t>
      </w:r>
      <w:r>
        <w:rPr>
          <w:sz w:val="24"/>
        </w:rPr>
        <w:t>género</w:t>
      </w:r>
      <w:r>
        <w:rPr>
          <w:spacing w:val="-3"/>
          <w:sz w:val="24"/>
        </w:rPr>
        <w:t> </w:t>
      </w:r>
      <w:r>
        <w:rPr>
          <w:sz w:val="24"/>
        </w:rPr>
        <w:t>con pertenencia</w:t>
      </w:r>
      <w:r>
        <w:rPr>
          <w:spacing w:val="-1"/>
          <w:sz w:val="24"/>
        </w:rPr>
        <w:t> </w:t>
      </w:r>
      <w:r>
        <w:rPr>
          <w:sz w:val="24"/>
        </w:rPr>
        <w:t>étnica y</w:t>
      </w:r>
      <w:r>
        <w:rPr>
          <w:spacing w:val="-4"/>
          <w:sz w:val="24"/>
        </w:rPr>
        <w:t> </w:t>
      </w:r>
      <w:r>
        <w:rPr>
          <w:sz w:val="24"/>
        </w:rPr>
        <w:t>cultural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territorios.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278" w:right="1070" w:firstLine="0"/>
        <w:jc w:val="both"/>
        <w:rPr>
          <w:sz w:val="24"/>
        </w:rPr>
      </w:pP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propuesta</w:t>
      </w:r>
      <w:r>
        <w:rPr>
          <w:spacing w:val="-6"/>
          <w:sz w:val="24"/>
        </w:rPr>
        <w:t> </w:t>
      </w:r>
      <w:r>
        <w:rPr>
          <w:sz w:val="24"/>
        </w:rPr>
        <w:t>es</w:t>
      </w:r>
      <w:r>
        <w:rPr>
          <w:spacing w:val="-8"/>
          <w:sz w:val="24"/>
        </w:rPr>
        <w:t> </w:t>
      </w:r>
      <w:r>
        <w:rPr>
          <w:sz w:val="24"/>
        </w:rPr>
        <w:t>ampliar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base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participantes,</w:t>
      </w:r>
      <w:r>
        <w:rPr>
          <w:spacing w:val="-8"/>
          <w:sz w:val="24"/>
        </w:rPr>
        <w:t> </w:t>
      </w:r>
      <w:r>
        <w:rPr>
          <w:sz w:val="24"/>
        </w:rPr>
        <w:t>-no</w:t>
      </w:r>
      <w:r>
        <w:rPr>
          <w:spacing w:val="-5"/>
          <w:sz w:val="24"/>
        </w:rPr>
        <w:t> </w:t>
      </w:r>
      <w:r>
        <w:rPr>
          <w:sz w:val="24"/>
        </w:rPr>
        <w:t>solamente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integrantes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OPF-</w:t>
      </w:r>
      <w:r>
        <w:rPr>
          <w:spacing w:val="-8"/>
          <w:sz w:val="24"/>
        </w:rPr>
        <w:t> </w:t>
      </w:r>
      <w:r>
        <w:rPr>
          <w:sz w:val="24"/>
        </w:rPr>
        <w:t>sino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todos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demás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adultos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(padres,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madres,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abuelos,</w:t>
      </w:r>
      <w:r>
        <w:rPr>
          <w:spacing w:val="-11"/>
          <w:sz w:val="24"/>
        </w:rPr>
        <w:t> </w:t>
      </w:r>
      <w:r>
        <w:rPr>
          <w:sz w:val="24"/>
        </w:rPr>
        <w:t>abuelas,</w:t>
      </w:r>
      <w:r>
        <w:rPr>
          <w:spacing w:val="-12"/>
          <w:sz w:val="24"/>
        </w:rPr>
        <w:t> </w:t>
      </w:r>
      <w:r>
        <w:rPr>
          <w:sz w:val="24"/>
        </w:rPr>
        <w:t>tíos,</w:t>
      </w:r>
      <w:r>
        <w:rPr>
          <w:spacing w:val="-11"/>
          <w:sz w:val="24"/>
        </w:rPr>
        <w:t> </w:t>
      </w:r>
      <w:r>
        <w:rPr>
          <w:sz w:val="24"/>
        </w:rPr>
        <w:t>tías,</w:t>
      </w:r>
      <w:r>
        <w:rPr>
          <w:spacing w:val="-13"/>
          <w:sz w:val="24"/>
        </w:rPr>
        <w:t> </w:t>
      </w:r>
      <w:r>
        <w:rPr>
          <w:sz w:val="24"/>
        </w:rPr>
        <w:t>encargados</w:t>
      </w:r>
      <w:r>
        <w:rPr>
          <w:spacing w:val="-11"/>
          <w:sz w:val="24"/>
        </w:rPr>
        <w:t> </w:t>
      </w:r>
      <w:r>
        <w:rPr>
          <w:sz w:val="24"/>
        </w:rPr>
        <w:t>o</w:t>
      </w:r>
      <w:r>
        <w:rPr>
          <w:spacing w:val="-13"/>
          <w:sz w:val="24"/>
        </w:rPr>
        <w:t> </w:t>
      </w:r>
      <w:r>
        <w:rPr>
          <w:sz w:val="24"/>
        </w:rPr>
        <w:t>tutores,</w:t>
      </w:r>
      <w:r>
        <w:rPr>
          <w:spacing w:val="-14"/>
          <w:sz w:val="24"/>
        </w:rPr>
        <w:t> </w:t>
      </w:r>
      <w:r>
        <w:rPr>
          <w:sz w:val="24"/>
        </w:rPr>
        <w:t>etc.)</w:t>
      </w:r>
      <w:r>
        <w:rPr>
          <w:spacing w:val="1"/>
          <w:sz w:val="24"/>
        </w:rPr>
        <w:t> </w:t>
      </w:r>
      <w:r>
        <w:rPr>
          <w:sz w:val="24"/>
        </w:rPr>
        <w:t>para que se involucren en el cuidado cariñoso y sensible de los niños y niñas de los centros</w:t>
      </w:r>
      <w:r>
        <w:rPr>
          <w:spacing w:val="1"/>
          <w:sz w:val="24"/>
        </w:rPr>
        <w:t> </w:t>
      </w:r>
      <w:r>
        <w:rPr>
          <w:sz w:val="24"/>
        </w:rPr>
        <w:t>educativos.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12"/>
        </w:numPr>
        <w:tabs>
          <w:tab w:pos="999" w:val="left" w:leader="none"/>
        </w:tabs>
        <w:spacing w:line="237" w:lineRule="auto" w:before="0" w:after="0"/>
        <w:ind w:left="998" w:right="1076" w:hanging="360"/>
        <w:jc w:val="both"/>
        <w:rPr>
          <w:sz w:val="24"/>
        </w:rPr>
      </w:pPr>
      <w:r>
        <w:rPr>
          <w:sz w:val="24"/>
        </w:rPr>
        <w:t>Cualificar</w:t>
      </w:r>
      <w:r>
        <w:rPr>
          <w:spacing w:val="-9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fortalecer</w:t>
      </w:r>
      <w:r>
        <w:rPr>
          <w:spacing w:val="-9"/>
          <w:sz w:val="24"/>
        </w:rPr>
        <w:t> </w:t>
      </w:r>
      <w:r>
        <w:rPr>
          <w:sz w:val="24"/>
        </w:rPr>
        <w:t>los</w:t>
      </w:r>
      <w:r>
        <w:rPr>
          <w:spacing w:val="-13"/>
          <w:sz w:val="24"/>
        </w:rPr>
        <w:t> </w:t>
      </w:r>
      <w:r>
        <w:rPr>
          <w:sz w:val="24"/>
        </w:rPr>
        <w:t>conocimientos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los</w:t>
      </w:r>
      <w:r>
        <w:rPr>
          <w:spacing w:val="-11"/>
          <w:sz w:val="24"/>
        </w:rPr>
        <w:t> </w:t>
      </w:r>
      <w:r>
        <w:rPr>
          <w:sz w:val="24"/>
        </w:rPr>
        <w:t>docentes</w:t>
      </w:r>
      <w:r>
        <w:rPr>
          <w:spacing w:val="-12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crianza</w:t>
      </w:r>
      <w:r>
        <w:rPr>
          <w:spacing w:val="-10"/>
          <w:sz w:val="24"/>
        </w:rPr>
        <w:t> </w:t>
      </w:r>
      <w:r>
        <w:rPr>
          <w:sz w:val="24"/>
        </w:rPr>
        <w:t>cariñosa,</w:t>
      </w:r>
      <w:r>
        <w:rPr>
          <w:spacing w:val="-9"/>
          <w:sz w:val="24"/>
        </w:rPr>
        <w:t> </w:t>
      </w:r>
      <w:r>
        <w:rPr>
          <w:sz w:val="24"/>
        </w:rPr>
        <w:t>protección</w:t>
      </w:r>
      <w:r>
        <w:rPr>
          <w:spacing w:val="-52"/>
          <w:sz w:val="24"/>
        </w:rPr>
        <w:t> </w:t>
      </w:r>
      <w:r>
        <w:rPr>
          <w:sz w:val="24"/>
        </w:rPr>
        <w:t>infantil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relaciones</w:t>
      </w:r>
      <w:r>
        <w:rPr>
          <w:spacing w:val="1"/>
          <w:sz w:val="24"/>
        </w:rPr>
        <w:t> </w:t>
      </w:r>
      <w:r>
        <w:rPr>
          <w:sz w:val="24"/>
        </w:rPr>
        <w:t>equitativas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género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pertinencia</w:t>
      </w:r>
      <w:r>
        <w:rPr>
          <w:spacing w:val="1"/>
          <w:sz w:val="24"/>
        </w:rPr>
        <w:t> </w:t>
      </w:r>
      <w:r>
        <w:rPr>
          <w:sz w:val="24"/>
        </w:rPr>
        <w:t>étnica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cultural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territorios.</w:t>
      </w:r>
    </w:p>
    <w:p>
      <w:pPr>
        <w:pStyle w:val="BodyText"/>
        <w:spacing w:before="1"/>
        <w:rPr>
          <w:sz w:val="24"/>
        </w:rPr>
      </w:pPr>
    </w:p>
    <w:p>
      <w:pPr>
        <w:spacing w:before="1"/>
        <w:ind w:left="278" w:right="1075" w:firstLine="0"/>
        <w:jc w:val="both"/>
        <w:rPr>
          <w:sz w:val="24"/>
        </w:rPr>
      </w:pPr>
      <w:r>
        <w:rPr>
          <w:sz w:val="24"/>
        </w:rPr>
        <w:t>El rol del docente es preponderante como agente multiplicador de cambio y uno de los pilares</w:t>
      </w:r>
      <w:r>
        <w:rPr>
          <w:spacing w:val="1"/>
          <w:sz w:val="24"/>
        </w:rPr>
        <w:t> </w:t>
      </w:r>
      <w:r>
        <w:rPr>
          <w:sz w:val="24"/>
        </w:rPr>
        <w:t>del sistema</w:t>
      </w:r>
      <w:r>
        <w:rPr>
          <w:spacing w:val="-1"/>
          <w:sz w:val="24"/>
        </w:rPr>
        <w:t> </w:t>
      </w:r>
      <w:r>
        <w:rPr>
          <w:sz w:val="24"/>
        </w:rPr>
        <w:t>educativo</w:t>
      </w:r>
      <w:r>
        <w:rPr>
          <w:spacing w:val="-2"/>
          <w:sz w:val="24"/>
        </w:rPr>
        <w:t> </w:t>
      </w:r>
      <w:r>
        <w:rPr>
          <w:sz w:val="24"/>
        </w:rPr>
        <w:t>nacional. Su</w:t>
      </w:r>
      <w:r>
        <w:rPr>
          <w:spacing w:val="-2"/>
          <w:sz w:val="24"/>
        </w:rPr>
        <w:t> </w:t>
      </w:r>
      <w:r>
        <w:rPr>
          <w:sz w:val="24"/>
        </w:rPr>
        <w:t>capacitación</w:t>
      </w:r>
      <w:r>
        <w:rPr>
          <w:spacing w:val="1"/>
          <w:sz w:val="24"/>
        </w:rPr>
        <w:t> </w:t>
      </w:r>
      <w:r>
        <w:rPr>
          <w:sz w:val="24"/>
        </w:rPr>
        <w:t>en esta materia</w:t>
      </w:r>
      <w:r>
        <w:rPr>
          <w:spacing w:val="-3"/>
          <w:sz w:val="24"/>
        </w:rPr>
        <w:t> </w:t>
      </w:r>
      <w:r>
        <w:rPr>
          <w:sz w:val="24"/>
        </w:rPr>
        <w:t>implicaría:</w:t>
      </w:r>
    </w:p>
    <w:p>
      <w:pPr>
        <w:pStyle w:val="ListParagraph"/>
        <w:numPr>
          <w:ilvl w:val="1"/>
          <w:numId w:val="12"/>
        </w:numPr>
        <w:tabs>
          <w:tab w:pos="1706" w:val="left" w:leader="none"/>
          <w:tab w:pos="1707" w:val="left" w:leader="none"/>
        </w:tabs>
        <w:spacing w:line="304" w:lineRule="exact" w:before="0" w:after="0"/>
        <w:ind w:left="1706" w:right="0" w:hanging="361"/>
        <w:jc w:val="left"/>
        <w:rPr>
          <w:sz w:val="24"/>
        </w:rPr>
      </w:pPr>
      <w:r>
        <w:rPr>
          <w:sz w:val="24"/>
        </w:rPr>
        <w:t>Conocimiento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cuidado</w:t>
      </w:r>
      <w:r>
        <w:rPr>
          <w:spacing w:val="-1"/>
          <w:sz w:val="24"/>
        </w:rPr>
        <w:t> </w:t>
      </w:r>
      <w:r>
        <w:rPr>
          <w:sz w:val="24"/>
        </w:rPr>
        <w:t>cariñoso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sensible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este</w:t>
      </w:r>
      <w:r>
        <w:rPr>
          <w:spacing w:val="-3"/>
          <w:sz w:val="24"/>
        </w:rPr>
        <w:t> </w:t>
      </w:r>
      <w:r>
        <w:rPr>
          <w:sz w:val="24"/>
        </w:rPr>
        <w:t>nivel.</w:t>
      </w:r>
    </w:p>
    <w:p>
      <w:pPr>
        <w:pStyle w:val="ListParagraph"/>
        <w:numPr>
          <w:ilvl w:val="1"/>
          <w:numId w:val="12"/>
        </w:numPr>
        <w:tabs>
          <w:tab w:pos="1706" w:val="left" w:leader="none"/>
          <w:tab w:pos="1707" w:val="left" w:leader="none"/>
        </w:tabs>
        <w:spacing w:line="305" w:lineRule="exact" w:before="0" w:after="0"/>
        <w:ind w:left="1706" w:right="0" w:hanging="361"/>
        <w:jc w:val="left"/>
        <w:rPr>
          <w:sz w:val="24"/>
        </w:rPr>
      </w:pPr>
      <w:r>
        <w:rPr>
          <w:sz w:val="24"/>
        </w:rPr>
        <w:t>Acciones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prácticas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cuidado</w:t>
      </w:r>
      <w:r>
        <w:rPr>
          <w:spacing w:val="-2"/>
          <w:sz w:val="24"/>
        </w:rPr>
        <w:t> </w:t>
      </w:r>
      <w:r>
        <w:rPr>
          <w:sz w:val="24"/>
        </w:rPr>
        <w:t>cariñoso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sensible.</w:t>
      </w:r>
    </w:p>
    <w:p>
      <w:pPr>
        <w:pStyle w:val="ListParagraph"/>
        <w:numPr>
          <w:ilvl w:val="1"/>
          <w:numId w:val="12"/>
        </w:numPr>
        <w:tabs>
          <w:tab w:pos="1706" w:val="left" w:leader="none"/>
          <w:tab w:pos="1707" w:val="left" w:leader="none"/>
        </w:tabs>
        <w:spacing w:line="305" w:lineRule="exact" w:before="1" w:after="0"/>
        <w:ind w:left="1706" w:right="0" w:hanging="361"/>
        <w:jc w:val="left"/>
        <w:rPr>
          <w:sz w:val="24"/>
        </w:rPr>
      </w:pPr>
      <w:r>
        <w:rPr>
          <w:sz w:val="24"/>
        </w:rPr>
        <w:t>Orientación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padres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familia.</w:t>
      </w:r>
    </w:p>
    <w:p>
      <w:pPr>
        <w:pStyle w:val="ListParagraph"/>
        <w:numPr>
          <w:ilvl w:val="1"/>
          <w:numId w:val="12"/>
        </w:numPr>
        <w:tabs>
          <w:tab w:pos="1706" w:val="left" w:leader="none"/>
          <w:tab w:pos="1707" w:val="left" w:leader="none"/>
        </w:tabs>
        <w:spacing w:line="305" w:lineRule="exact" w:before="0" w:after="0"/>
        <w:ind w:left="1706" w:right="0" w:hanging="361"/>
        <w:jc w:val="left"/>
        <w:rPr>
          <w:sz w:val="24"/>
        </w:rPr>
      </w:pPr>
      <w:r>
        <w:rPr>
          <w:sz w:val="24"/>
        </w:rPr>
        <w:t>Identificación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casos y</w:t>
      </w:r>
      <w:r>
        <w:rPr>
          <w:spacing w:val="-2"/>
          <w:sz w:val="24"/>
        </w:rPr>
        <w:t> </w:t>
      </w:r>
      <w:r>
        <w:rPr>
          <w:sz w:val="24"/>
        </w:rPr>
        <w:t>derivación.</w:t>
      </w:r>
    </w:p>
    <w:p>
      <w:pPr>
        <w:pStyle w:val="BodyText"/>
        <w:spacing w:before="5"/>
        <w:rPr>
          <w:sz w:val="15"/>
        </w:rPr>
      </w:pPr>
    </w:p>
    <w:p>
      <w:pPr>
        <w:pStyle w:val="ListParagraph"/>
        <w:numPr>
          <w:ilvl w:val="2"/>
          <w:numId w:val="11"/>
        </w:numPr>
        <w:tabs>
          <w:tab w:pos="999" w:val="left" w:leader="none"/>
        </w:tabs>
        <w:spacing w:line="240" w:lineRule="auto" w:before="52" w:after="0"/>
        <w:ind w:left="998" w:right="1082" w:hanging="720"/>
        <w:jc w:val="left"/>
        <w:rPr>
          <w:b/>
          <w:sz w:val="24"/>
        </w:rPr>
      </w:pPr>
      <w:bookmarkStart w:name="_bookmark120" w:id="173"/>
      <w:bookmarkEnd w:id="173"/>
      <w:r>
        <w:rPr/>
      </w:r>
      <w:bookmarkStart w:name="_bookmark120" w:id="174"/>
      <w:bookmarkEnd w:id="174"/>
      <w:r>
        <w:rPr>
          <w:b/>
          <w:sz w:val="24"/>
          <w:shd w:fill="FFFFFF" w:color="auto" w:val="clear"/>
        </w:rPr>
        <w:t>A</w:t>
      </w:r>
      <w:r>
        <w:rPr>
          <w:b/>
          <w:spacing w:val="14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Eje</w:t>
      </w:r>
      <w:r>
        <w:rPr>
          <w:b/>
          <w:spacing w:val="12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para</w:t>
      </w:r>
      <w:r>
        <w:rPr>
          <w:b/>
          <w:spacing w:val="10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la</w:t>
      </w:r>
      <w:r>
        <w:rPr>
          <w:b/>
          <w:spacing w:val="10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priorización</w:t>
      </w:r>
      <w:r>
        <w:rPr>
          <w:b/>
          <w:spacing w:val="14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de</w:t>
      </w:r>
      <w:r>
        <w:rPr>
          <w:b/>
          <w:spacing w:val="12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áreas</w:t>
      </w:r>
      <w:r>
        <w:rPr>
          <w:b/>
          <w:spacing w:val="13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territoriales:</w:t>
      </w:r>
      <w:r>
        <w:rPr>
          <w:b/>
          <w:spacing w:val="12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Priorizar</w:t>
      </w:r>
      <w:r>
        <w:rPr>
          <w:b/>
          <w:spacing w:val="11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territorialmente</w:t>
      </w:r>
      <w:r>
        <w:rPr>
          <w:b/>
          <w:spacing w:val="12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la</w:t>
      </w:r>
      <w:r>
        <w:rPr>
          <w:b/>
          <w:spacing w:val="12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cobertura</w:t>
      </w:r>
      <w:r>
        <w:rPr>
          <w:b/>
          <w:spacing w:val="-51"/>
          <w:sz w:val="24"/>
        </w:rPr>
        <w:t> </w:t>
      </w:r>
      <w:r>
        <w:rPr>
          <w:b/>
          <w:sz w:val="24"/>
        </w:rPr>
        <w:t>del Nivel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Preprimaria.</w:t>
      </w: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13"/>
        </w:numPr>
        <w:tabs>
          <w:tab w:pos="999" w:val="left" w:leader="none"/>
        </w:tabs>
        <w:spacing w:line="235" w:lineRule="auto" w:before="0" w:after="0"/>
        <w:ind w:left="998" w:right="1079" w:hanging="360"/>
        <w:jc w:val="both"/>
        <w:rPr>
          <w:sz w:val="24"/>
        </w:rPr>
      </w:pPr>
      <w:r>
        <w:rPr>
          <w:sz w:val="24"/>
        </w:rPr>
        <w:t>Establecer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Sistema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seguimiento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monitoreo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cobertura</w:t>
      </w:r>
      <w:r>
        <w:rPr>
          <w:spacing w:val="1"/>
          <w:sz w:val="24"/>
        </w:rPr>
        <w:t> </w:t>
      </w:r>
      <w:r>
        <w:rPr>
          <w:sz w:val="24"/>
        </w:rPr>
        <w:t>escolar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nivel</w:t>
      </w:r>
      <w:r>
        <w:rPr>
          <w:spacing w:val="1"/>
          <w:sz w:val="24"/>
        </w:rPr>
        <w:t> </w:t>
      </w:r>
      <w:r>
        <w:rPr>
          <w:sz w:val="24"/>
        </w:rPr>
        <w:t>Preprimaria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integre</w:t>
      </w:r>
      <w:r>
        <w:rPr>
          <w:spacing w:val="-3"/>
          <w:sz w:val="24"/>
        </w:rPr>
        <w:t> </w:t>
      </w:r>
      <w:r>
        <w:rPr>
          <w:sz w:val="24"/>
        </w:rPr>
        <w:t>prácticas</w:t>
      </w:r>
      <w:r>
        <w:rPr>
          <w:spacing w:val="-1"/>
          <w:sz w:val="24"/>
        </w:rPr>
        <w:t> </w:t>
      </w:r>
      <w:r>
        <w:rPr>
          <w:sz w:val="24"/>
        </w:rPr>
        <w:t>culturales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lingüísticas</w:t>
      </w:r>
      <w:r>
        <w:rPr>
          <w:spacing w:val="-2"/>
          <w:sz w:val="24"/>
        </w:rPr>
        <w:t> </w:t>
      </w:r>
      <w:r>
        <w:rPr>
          <w:sz w:val="24"/>
        </w:rPr>
        <w:t>adaptado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cada</w:t>
      </w:r>
      <w:r>
        <w:rPr>
          <w:spacing w:val="-3"/>
          <w:sz w:val="24"/>
        </w:rPr>
        <w:t> </w:t>
      </w:r>
      <w:r>
        <w:rPr>
          <w:sz w:val="24"/>
        </w:rPr>
        <w:t>territorio.</w:t>
      </w:r>
    </w:p>
    <w:p>
      <w:pPr>
        <w:pStyle w:val="ListParagraph"/>
        <w:numPr>
          <w:ilvl w:val="1"/>
          <w:numId w:val="13"/>
        </w:numPr>
        <w:tabs>
          <w:tab w:pos="1707" w:val="left" w:leader="none"/>
        </w:tabs>
        <w:spacing w:line="237" w:lineRule="auto" w:before="4" w:after="0"/>
        <w:ind w:left="1706" w:right="1074" w:hanging="360"/>
        <w:jc w:val="both"/>
        <w:rPr>
          <w:sz w:val="24"/>
        </w:rPr>
      </w:pP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sistema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seguimiento</w:t>
      </w:r>
      <w:r>
        <w:rPr>
          <w:spacing w:val="1"/>
          <w:sz w:val="24"/>
        </w:rPr>
        <w:t> </w:t>
      </w:r>
      <w:r>
        <w:rPr>
          <w:sz w:val="24"/>
        </w:rPr>
        <w:t>debe</w:t>
      </w:r>
      <w:r>
        <w:rPr>
          <w:spacing w:val="1"/>
          <w:sz w:val="24"/>
        </w:rPr>
        <w:t> </w:t>
      </w:r>
      <w:r>
        <w:rPr>
          <w:sz w:val="24"/>
        </w:rPr>
        <w:t>surgir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mesa</w:t>
      </w:r>
      <w:r>
        <w:rPr>
          <w:spacing w:val="1"/>
          <w:sz w:val="24"/>
        </w:rPr>
        <w:t> </w:t>
      </w:r>
      <w:r>
        <w:rPr>
          <w:sz w:val="24"/>
        </w:rPr>
        <w:t>técnica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trabajo</w:t>
      </w:r>
      <w:r>
        <w:rPr>
          <w:spacing w:val="1"/>
          <w:sz w:val="24"/>
        </w:rPr>
        <w:t> </w:t>
      </w:r>
      <w:r>
        <w:rPr>
          <w:sz w:val="24"/>
        </w:rPr>
        <w:t>colaborativo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donde</w:t>
      </w:r>
      <w:r>
        <w:rPr>
          <w:spacing w:val="-5"/>
          <w:sz w:val="24"/>
        </w:rPr>
        <w:t> </w:t>
      </w:r>
      <w:r>
        <w:rPr>
          <w:sz w:val="24"/>
        </w:rPr>
        <w:t>se</w:t>
      </w:r>
      <w:r>
        <w:rPr>
          <w:spacing w:val="-7"/>
          <w:sz w:val="24"/>
        </w:rPr>
        <w:t> </w:t>
      </w:r>
      <w:r>
        <w:rPr>
          <w:sz w:val="24"/>
        </w:rPr>
        <w:t>identifiquen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7"/>
          <w:sz w:val="24"/>
        </w:rPr>
        <w:t> </w:t>
      </w:r>
      <w:r>
        <w:rPr>
          <w:sz w:val="24"/>
        </w:rPr>
        <w:t>principales</w:t>
      </w:r>
      <w:r>
        <w:rPr>
          <w:spacing w:val="-4"/>
          <w:sz w:val="24"/>
        </w:rPr>
        <w:t> </w:t>
      </w:r>
      <w:r>
        <w:rPr>
          <w:sz w:val="24"/>
        </w:rPr>
        <w:t>causas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baja</w:t>
      </w:r>
      <w:r>
        <w:rPr>
          <w:spacing w:val="-7"/>
          <w:sz w:val="24"/>
        </w:rPr>
        <w:t> </w:t>
      </w:r>
      <w:r>
        <w:rPr>
          <w:sz w:val="24"/>
        </w:rPr>
        <w:t>cobertura</w:t>
      </w:r>
      <w:r>
        <w:rPr>
          <w:spacing w:val="-7"/>
          <w:sz w:val="24"/>
        </w:rPr>
        <w:t> </w:t>
      </w:r>
      <w:r>
        <w:rPr>
          <w:sz w:val="24"/>
        </w:rPr>
        <w:t>por</w:t>
      </w:r>
      <w:r>
        <w:rPr>
          <w:spacing w:val="-52"/>
          <w:sz w:val="24"/>
        </w:rPr>
        <w:t> </w:t>
      </w:r>
      <w:r>
        <w:rPr>
          <w:sz w:val="24"/>
        </w:rPr>
        <w:t>territorio para que sea un formato general pero diferenciado y que recoja las</w:t>
      </w:r>
      <w:r>
        <w:rPr>
          <w:spacing w:val="1"/>
          <w:sz w:val="24"/>
        </w:rPr>
        <w:t> </w:t>
      </w:r>
      <w:r>
        <w:rPr>
          <w:sz w:val="24"/>
        </w:rPr>
        <w:t>particularidades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cada</w:t>
      </w:r>
      <w:r>
        <w:rPr>
          <w:spacing w:val="-2"/>
          <w:sz w:val="24"/>
        </w:rPr>
        <w:t> </w:t>
      </w:r>
      <w:r>
        <w:rPr>
          <w:sz w:val="24"/>
        </w:rPr>
        <w:t>región.</w:t>
      </w:r>
    </w:p>
    <w:p>
      <w:pPr>
        <w:pStyle w:val="ListParagraph"/>
        <w:numPr>
          <w:ilvl w:val="0"/>
          <w:numId w:val="13"/>
        </w:numPr>
        <w:tabs>
          <w:tab w:pos="999" w:val="left" w:leader="none"/>
        </w:tabs>
        <w:spacing w:line="232" w:lineRule="auto" w:before="8" w:after="0"/>
        <w:ind w:left="998" w:right="1074" w:hanging="360"/>
        <w:jc w:val="both"/>
        <w:rPr>
          <w:sz w:val="24"/>
        </w:rPr>
      </w:pPr>
      <w:r>
        <w:rPr>
          <w:sz w:val="24"/>
        </w:rPr>
        <w:t>Diseñar</w:t>
      </w:r>
      <w:r>
        <w:rPr>
          <w:spacing w:val="-11"/>
          <w:sz w:val="24"/>
        </w:rPr>
        <w:t> </w:t>
      </w:r>
      <w:r>
        <w:rPr>
          <w:sz w:val="24"/>
        </w:rPr>
        <w:t>un</w:t>
      </w:r>
      <w:r>
        <w:rPr>
          <w:spacing w:val="-9"/>
          <w:sz w:val="24"/>
        </w:rPr>
        <w:t> </w:t>
      </w:r>
      <w:r>
        <w:rPr>
          <w:sz w:val="24"/>
        </w:rPr>
        <w:t>Sistema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Alerta</w:t>
      </w:r>
      <w:r>
        <w:rPr>
          <w:spacing w:val="-10"/>
          <w:sz w:val="24"/>
        </w:rPr>
        <w:t> </w:t>
      </w:r>
      <w:r>
        <w:rPr>
          <w:sz w:val="24"/>
        </w:rPr>
        <w:t>temprana</w:t>
      </w:r>
      <w:r>
        <w:rPr>
          <w:spacing w:val="-8"/>
          <w:sz w:val="24"/>
        </w:rPr>
        <w:t> </w:t>
      </w:r>
      <w:r>
        <w:rPr>
          <w:sz w:val="24"/>
        </w:rPr>
        <w:t>sobre</w:t>
      </w:r>
      <w:r>
        <w:rPr>
          <w:spacing w:val="-10"/>
          <w:sz w:val="24"/>
        </w:rPr>
        <w:t> </w:t>
      </w:r>
      <w:r>
        <w:rPr>
          <w:sz w:val="24"/>
        </w:rPr>
        <w:t>riesgo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deserción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nivel</w:t>
      </w:r>
      <w:r>
        <w:rPr>
          <w:spacing w:val="-8"/>
          <w:sz w:val="24"/>
        </w:rPr>
        <w:t> </w:t>
      </w:r>
      <w:r>
        <w:rPr>
          <w:sz w:val="24"/>
        </w:rPr>
        <w:t>preprimaria</w:t>
      </w:r>
      <w:r>
        <w:rPr>
          <w:spacing w:val="-11"/>
          <w:sz w:val="24"/>
        </w:rPr>
        <w:t> </w:t>
      </w:r>
      <w:r>
        <w:rPr>
          <w:sz w:val="24"/>
        </w:rPr>
        <w:t>para</w:t>
      </w:r>
      <w:r>
        <w:rPr>
          <w:spacing w:val="-51"/>
          <w:sz w:val="24"/>
        </w:rPr>
        <w:t> </w:t>
      </w:r>
      <w:r>
        <w:rPr>
          <w:sz w:val="24"/>
        </w:rPr>
        <w:t>activar</w:t>
      </w:r>
      <w:r>
        <w:rPr>
          <w:spacing w:val="-1"/>
          <w:sz w:val="24"/>
        </w:rPr>
        <w:t> </w:t>
      </w:r>
      <w:r>
        <w:rPr>
          <w:sz w:val="24"/>
        </w:rPr>
        <w:t>mecanismos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respuesta.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pict>
          <v:rect style="position:absolute;margin-left:563.880005pt;margin-top:20.176750pt;width:25.44pt;height:1.4399pt;mso-position-horizontal-relative:page;mso-position-vertical-relative:paragraph;z-index:-1552844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ind w:right="211"/>
      </w:pPr>
      <w:r>
        <w:rPr/>
        <w:t>96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14432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0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 MT"/>
          <w:sz w:val="15"/>
        </w:rPr>
      </w:pPr>
    </w:p>
    <w:p>
      <w:pPr>
        <w:pStyle w:val="ListParagraph"/>
        <w:numPr>
          <w:ilvl w:val="0"/>
          <w:numId w:val="13"/>
        </w:numPr>
        <w:tabs>
          <w:tab w:pos="999" w:val="left" w:leader="none"/>
        </w:tabs>
        <w:spacing w:line="237" w:lineRule="auto" w:before="74" w:after="0"/>
        <w:ind w:left="998" w:right="1074" w:hanging="360"/>
        <w:jc w:val="both"/>
        <w:rPr>
          <w:sz w:val="24"/>
        </w:rPr>
      </w:pPr>
      <w:r>
        <w:rPr>
          <w:sz w:val="24"/>
        </w:rPr>
        <w:t>Conjuntamente</w:t>
      </w:r>
      <w:r>
        <w:rPr>
          <w:spacing w:val="-4"/>
          <w:sz w:val="24"/>
        </w:rPr>
        <w:t> </w:t>
      </w:r>
      <w:r>
        <w:rPr>
          <w:sz w:val="24"/>
        </w:rPr>
        <w:t>con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7"/>
          <w:sz w:val="24"/>
        </w:rPr>
        <w:t> </w:t>
      </w:r>
      <w:r>
        <w:rPr>
          <w:sz w:val="24"/>
        </w:rPr>
        <w:t>OPF,</w:t>
      </w:r>
      <w:r>
        <w:rPr>
          <w:spacing w:val="-5"/>
          <w:sz w:val="24"/>
        </w:rPr>
        <w:t> </w:t>
      </w:r>
      <w:r>
        <w:rPr>
          <w:sz w:val="24"/>
        </w:rPr>
        <w:t>establecer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4"/>
          <w:sz w:val="24"/>
        </w:rPr>
        <w:t> </w:t>
      </w:r>
      <w:r>
        <w:rPr>
          <w:sz w:val="24"/>
        </w:rPr>
        <w:t>sistema</w:t>
      </w:r>
      <w:r>
        <w:rPr>
          <w:spacing w:val="-4"/>
          <w:sz w:val="24"/>
        </w:rPr>
        <w:t> </w:t>
      </w:r>
      <w:r>
        <w:rPr>
          <w:sz w:val="24"/>
        </w:rPr>
        <w:t>piramidal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información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permita</w:t>
      </w:r>
      <w:r>
        <w:rPr>
          <w:spacing w:val="-52"/>
          <w:sz w:val="24"/>
        </w:rPr>
        <w:t> </w:t>
      </w:r>
      <w:r>
        <w:rPr>
          <w:sz w:val="24"/>
        </w:rPr>
        <w:t>obtener los insumos de las inasistencias, causas y motivaciones para que semanalmente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reporte</w:t>
      </w:r>
      <w:r>
        <w:rPr>
          <w:spacing w:val="-2"/>
          <w:sz w:val="24"/>
        </w:rPr>
        <w:t> </w:t>
      </w:r>
      <w:r>
        <w:rPr>
          <w:sz w:val="24"/>
        </w:rPr>
        <w:t>y se</w:t>
      </w:r>
      <w:r>
        <w:rPr>
          <w:spacing w:val="-3"/>
          <w:sz w:val="24"/>
        </w:rPr>
        <w:t> </w:t>
      </w:r>
      <w:r>
        <w:rPr>
          <w:sz w:val="24"/>
        </w:rPr>
        <w:t>tomen las</w:t>
      </w:r>
      <w:r>
        <w:rPr>
          <w:spacing w:val="-2"/>
          <w:sz w:val="24"/>
        </w:rPr>
        <w:t> </w:t>
      </w:r>
      <w:r>
        <w:rPr>
          <w:sz w:val="24"/>
        </w:rPr>
        <w:t>acciones</w:t>
      </w:r>
      <w:r>
        <w:rPr>
          <w:spacing w:val="-2"/>
          <w:sz w:val="24"/>
        </w:rPr>
        <w:t> </w:t>
      </w:r>
      <w:r>
        <w:rPr>
          <w:sz w:val="24"/>
        </w:rPr>
        <w:t>pertinentes</w:t>
      </w:r>
      <w:r>
        <w:rPr>
          <w:spacing w:val="-2"/>
          <w:sz w:val="24"/>
        </w:rPr>
        <w:t> </w:t>
      </w:r>
      <w:r>
        <w:rPr>
          <w:sz w:val="24"/>
        </w:rPr>
        <w:t>tales</w:t>
      </w:r>
      <w:r>
        <w:rPr>
          <w:spacing w:val="1"/>
          <w:sz w:val="24"/>
        </w:rPr>
        <w:t> </w:t>
      </w:r>
      <w:r>
        <w:rPr>
          <w:sz w:val="24"/>
        </w:rPr>
        <w:t>como:</w:t>
      </w:r>
    </w:p>
    <w:p>
      <w:pPr>
        <w:pStyle w:val="ListParagraph"/>
        <w:numPr>
          <w:ilvl w:val="1"/>
          <w:numId w:val="13"/>
        </w:numPr>
        <w:tabs>
          <w:tab w:pos="1707" w:val="left" w:leader="none"/>
        </w:tabs>
        <w:spacing w:line="295" w:lineRule="exact" w:before="0" w:after="0"/>
        <w:ind w:left="1706" w:right="0" w:hanging="361"/>
        <w:jc w:val="both"/>
        <w:rPr>
          <w:sz w:val="24"/>
        </w:rPr>
      </w:pPr>
      <w:r>
        <w:rPr>
          <w:sz w:val="24"/>
        </w:rPr>
        <w:t>Tipificación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motivaciones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estructura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protocolo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atención</w:t>
      </w:r>
      <w:r>
        <w:rPr>
          <w:spacing w:val="-7"/>
          <w:sz w:val="24"/>
        </w:rPr>
        <w:t> </w:t>
      </w:r>
      <w:r>
        <w:rPr>
          <w:sz w:val="24"/>
        </w:rPr>
        <w:t>por</w:t>
      </w:r>
      <w:r>
        <w:rPr>
          <w:spacing w:val="-8"/>
          <w:sz w:val="24"/>
        </w:rPr>
        <w:t> </w:t>
      </w:r>
      <w:r>
        <w:rPr>
          <w:sz w:val="24"/>
        </w:rPr>
        <w:t>casos</w:t>
      </w:r>
      <w:r>
        <w:rPr>
          <w:spacing w:val="-6"/>
          <w:sz w:val="24"/>
        </w:rPr>
        <w:t> </w:t>
      </w:r>
      <w:r>
        <w:rPr>
          <w:sz w:val="24"/>
        </w:rPr>
        <w:t>leves</w:t>
      </w:r>
    </w:p>
    <w:p>
      <w:pPr>
        <w:spacing w:line="289" w:lineRule="exact" w:before="0"/>
        <w:ind w:left="1706" w:right="0" w:firstLine="0"/>
        <w:jc w:val="both"/>
        <w:rPr>
          <w:sz w:val="24"/>
        </w:rPr>
      </w:pP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críticos.</w:t>
      </w:r>
    </w:p>
    <w:p>
      <w:pPr>
        <w:pStyle w:val="ListParagraph"/>
        <w:numPr>
          <w:ilvl w:val="1"/>
          <w:numId w:val="13"/>
        </w:numPr>
        <w:tabs>
          <w:tab w:pos="1707" w:val="left" w:leader="none"/>
        </w:tabs>
        <w:spacing w:line="235" w:lineRule="auto" w:before="4" w:after="0"/>
        <w:ind w:left="1706" w:right="1081" w:hanging="360"/>
        <w:jc w:val="both"/>
        <w:rPr>
          <w:sz w:val="24"/>
        </w:rPr>
      </w:pPr>
      <w:r>
        <w:rPr>
          <w:sz w:val="24"/>
        </w:rPr>
        <w:t>Hacer una hoja de ruta que contenga por cada caso, los siguientes campos de</w:t>
      </w:r>
      <w:r>
        <w:rPr>
          <w:spacing w:val="1"/>
          <w:sz w:val="24"/>
        </w:rPr>
        <w:t> </w:t>
      </w:r>
      <w:r>
        <w:rPr>
          <w:sz w:val="24"/>
        </w:rPr>
        <w:t>información.</w:t>
      </w:r>
    </w:p>
    <w:p>
      <w:pPr>
        <w:pStyle w:val="ListParagraph"/>
        <w:numPr>
          <w:ilvl w:val="2"/>
          <w:numId w:val="13"/>
        </w:numPr>
        <w:tabs>
          <w:tab w:pos="2054" w:val="left" w:leader="none"/>
          <w:tab w:pos="2055" w:val="left" w:leader="none"/>
        </w:tabs>
        <w:spacing w:line="240" w:lineRule="auto" w:before="1" w:after="0"/>
        <w:ind w:left="2054" w:right="1078" w:hanging="360"/>
        <w:jc w:val="left"/>
        <w:rPr>
          <w:sz w:val="24"/>
        </w:rPr>
      </w:pPr>
      <w:r>
        <w:rPr>
          <w:sz w:val="24"/>
        </w:rPr>
        <w:t>Consulta</w:t>
      </w:r>
      <w:r>
        <w:rPr>
          <w:spacing w:val="39"/>
          <w:sz w:val="24"/>
        </w:rPr>
        <w:t> </w:t>
      </w:r>
      <w:r>
        <w:rPr>
          <w:sz w:val="24"/>
        </w:rPr>
        <w:t>(por</w:t>
      </w:r>
      <w:r>
        <w:rPr>
          <w:spacing w:val="40"/>
          <w:sz w:val="24"/>
        </w:rPr>
        <w:t> </w:t>
      </w:r>
      <w:r>
        <w:rPr>
          <w:sz w:val="24"/>
        </w:rPr>
        <w:t>escrito</w:t>
      </w:r>
      <w:r>
        <w:rPr>
          <w:spacing w:val="40"/>
          <w:sz w:val="24"/>
        </w:rPr>
        <w:t> </w:t>
      </w:r>
      <w:r>
        <w:rPr>
          <w:sz w:val="24"/>
        </w:rPr>
        <w:t>o</w:t>
      </w:r>
      <w:r>
        <w:rPr>
          <w:spacing w:val="40"/>
          <w:sz w:val="24"/>
        </w:rPr>
        <w:t> </w:t>
      </w:r>
      <w:r>
        <w:rPr>
          <w:sz w:val="24"/>
        </w:rPr>
        <w:t>telefónica),</w:t>
      </w:r>
      <w:r>
        <w:rPr>
          <w:spacing w:val="42"/>
          <w:sz w:val="24"/>
        </w:rPr>
        <w:t> </w:t>
      </w:r>
      <w:r>
        <w:rPr>
          <w:sz w:val="24"/>
        </w:rPr>
        <w:t>al</w:t>
      </w:r>
      <w:r>
        <w:rPr>
          <w:spacing w:val="40"/>
          <w:sz w:val="24"/>
        </w:rPr>
        <w:t> </w:t>
      </w:r>
      <w:r>
        <w:rPr>
          <w:sz w:val="24"/>
        </w:rPr>
        <w:t>adulto</w:t>
      </w:r>
      <w:r>
        <w:rPr>
          <w:spacing w:val="40"/>
          <w:sz w:val="24"/>
        </w:rPr>
        <w:t> </w:t>
      </w:r>
      <w:r>
        <w:rPr>
          <w:sz w:val="24"/>
        </w:rPr>
        <w:t>para</w:t>
      </w:r>
      <w:r>
        <w:rPr>
          <w:spacing w:val="43"/>
          <w:sz w:val="24"/>
        </w:rPr>
        <w:t> </w:t>
      </w:r>
      <w:r>
        <w:rPr>
          <w:sz w:val="24"/>
        </w:rPr>
        <w:t>conocer</w:t>
      </w:r>
      <w:r>
        <w:rPr>
          <w:spacing w:val="39"/>
          <w:sz w:val="24"/>
        </w:rPr>
        <w:t> </w:t>
      </w:r>
      <w:r>
        <w:rPr>
          <w:sz w:val="24"/>
        </w:rPr>
        <w:t>el</w:t>
      </w:r>
      <w:r>
        <w:rPr>
          <w:spacing w:val="43"/>
          <w:sz w:val="24"/>
        </w:rPr>
        <w:t> </w:t>
      </w:r>
      <w:r>
        <w:rPr>
          <w:sz w:val="24"/>
        </w:rPr>
        <w:t>motivo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3"/>
          <w:sz w:val="24"/>
        </w:rPr>
        <w:t> </w:t>
      </w:r>
      <w:r>
        <w:rPr>
          <w:sz w:val="24"/>
        </w:rPr>
        <w:t>la</w:t>
      </w:r>
      <w:r>
        <w:rPr>
          <w:spacing w:val="-51"/>
          <w:sz w:val="24"/>
        </w:rPr>
        <w:t> </w:t>
      </w:r>
      <w:r>
        <w:rPr>
          <w:sz w:val="24"/>
        </w:rPr>
        <w:t>ausencia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niño.</w:t>
      </w:r>
    </w:p>
    <w:p>
      <w:pPr>
        <w:pStyle w:val="ListParagraph"/>
        <w:numPr>
          <w:ilvl w:val="2"/>
          <w:numId w:val="13"/>
        </w:numPr>
        <w:tabs>
          <w:tab w:pos="2054" w:val="left" w:leader="none"/>
          <w:tab w:pos="2055" w:val="left" w:leader="none"/>
        </w:tabs>
        <w:spacing w:line="305" w:lineRule="exact" w:before="0" w:after="0"/>
        <w:ind w:left="2054" w:right="0" w:hanging="361"/>
        <w:jc w:val="left"/>
        <w:rPr>
          <w:sz w:val="24"/>
        </w:rPr>
      </w:pPr>
      <w:r>
        <w:rPr>
          <w:sz w:val="24"/>
        </w:rPr>
        <w:t>Identificación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problemática</w:t>
      </w:r>
      <w:r>
        <w:rPr>
          <w:spacing w:val="-2"/>
          <w:sz w:val="24"/>
        </w:rPr>
        <w:t> </w:t>
      </w:r>
      <w:r>
        <w:rPr>
          <w:sz w:val="24"/>
        </w:rPr>
        <w:t>(si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4"/>
          <w:sz w:val="24"/>
        </w:rPr>
        <w:t> </w:t>
      </w:r>
      <w:r>
        <w:rPr>
          <w:sz w:val="24"/>
        </w:rPr>
        <w:t>leve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crítica).</w:t>
      </w:r>
    </w:p>
    <w:p>
      <w:pPr>
        <w:pStyle w:val="ListParagraph"/>
        <w:numPr>
          <w:ilvl w:val="2"/>
          <w:numId w:val="13"/>
        </w:numPr>
        <w:tabs>
          <w:tab w:pos="2054" w:val="left" w:leader="none"/>
          <w:tab w:pos="2055" w:val="left" w:leader="none"/>
        </w:tabs>
        <w:spacing w:line="305" w:lineRule="exact" w:before="0" w:after="0"/>
        <w:ind w:left="2054" w:right="0" w:hanging="361"/>
        <w:jc w:val="left"/>
        <w:rPr>
          <w:sz w:val="24"/>
        </w:rPr>
      </w:pPr>
      <w:r>
        <w:rPr>
          <w:sz w:val="24"/>
        </w:rPr>
        <w:t>Notificación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dirección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 solución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caso</w:t>
      </w:r>
      <w:r>
        <w:rPr>
          <w:spacing w:val="-1"/>
          <w:sz w:val="24"/>
        </w:rPr>
        <w:t> </w:t>
      </w:r>
      <w:r>
        <w:rPr>
          <w:sz w:val="24"/>
        </w:rPr>
        <w:t>sea</w:t>
      </w:r>
      <w:r>
        <w:rPr>
          <w:spacing w:val="-1"/>
          <w:sz w:val="24"/>
        </w:rPr>
        <w:t> </w:t>
      </w:r>
      <w:r>
        <w:rPr>
          <w:sz w:val="24"/>
        </w:rPr>
        <w:t>leve.</w:t>
      </w:r>
    </w:p>
    <w:p>
      <w:pPr>
        <w:pStyle w:val="ListParagraph"/>
        <w:numPr>
          <w:ilvl w:val="2"/>
          <w:numId w:val="13"/>
        </w:numPr>
        <w:tabs>
          <w:tab w:pos="2054" w:val="left" w:leader="none"/>
          <w:tab w:pos="2055" w:val="left" w:leader="none"/>
        </w:tabs>
        <w:spacing w:line="305" w:lineRule="exact" w:before="2" w:after="0"/>
        <w:ind w:left="2054" w:right="0" w:hanging="361"/>
        <w:jc w:val="left"/>
        <w:rPr>
          <w:sz w:val="24"/>
        </w:rPr>
      </w:pPr>
      <w:r>
        <w:rPr>
          <w:sz w:val="24"/>
        </w:rPr>
        <w:t>Situación.</w:t>
      </w:r>
    </w:p>
    <w:p>
      <w:pPr>
        <w:pStyle w:val="ListParagraph"/>
        <w:numPr>
          <w:ilvl w:val="2"/>
          <w:numId w:val="13"/>
        </w:numPr>
        <w:tabs>
          <w:tab w:pos="2054" w:val="left" w:leader="none"/>
          <w:tab w:pos="2055" w:val="left" w:leader="none"/>
        </w:tabs>
        <w:spacing w:line="305" w:lineRule="exact" w:before="0" w:after="0"/>
        <w:ind w:left="2054" w:right="0" w:hanging="361"/>
        <w:jc w:val="left"/>
        <w:rPr>
          <w:sz w:val="24"/>
        </w:rPr>
      </w:pP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caso</w:t>
      </w:r>
      <w:r>
        <w:rPr>
          <w:spacing w:val="-2"/>
          <w:sz w:val="24"/>
        </w:rPr>
        <w:t> </w:t>
      </w:r>
      <w:r>
        <w:rPr>
          <w:sz w:val="24"/>
        </w:rPr>
        <w:t>sea</w:t>
      </w:r>
      <w:r>
        <w:rPr>
          <w:spacing w:val="-3"/>
          <w:sz w:val="24"/>
        </w:rPr>
        <w:t> </w:t>
      </w:r>
      <w:r>
        <w:rPr>
          <w:sz w:val="24"/>
        </w:rPr>
        <w:t>crítica</w:t>
      </w:r>
      <w:r>
        <w:rPr>
          <w:spacing w:val="-4"/>
          <w:sz w:val="24"/>
        </w:rPr>
        <w:t> </w:t>
      </w:r>
      <w:r>
        <w:rPr>
          <w:sz w:val="24"/>
        </w:rPr>
        <w:t>abordaje</w:t>
      </w:r>
      <w:r>
        <w:rPr>
          <w:spacing w:val="-2"/>
          <w:sz w:val="24"/>
        </w:rPr>
        <w:t> </w:t>
      </w:r>
      <w:r>
        <w:rPr>
          <w:sz w:val="24"/>
        </w:rPr>
        <w:t>comunitario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propuesta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solución</w:t>
      </w:r>
      <w:r>
        <w:rPr>
          <w:spacing w:val="-3"/>
          <w:sz w:val="24"/>
        </w:rPr>
        <w:t> </w:t>
      </w:r>
      <w:r>
        <w:rPr>
          <w:sz w:val="24"/>
        </w:rPr>
        <w:t>conjunta.</w:t>
      </w:r>
    </w:p>
    <w:p>
      <w:pPr>
        <w:pStyle w:val="ListParagraph"/>
        <w:numPr>
          <w:ilvl w:val="0"/>
          <w:numId w:val="13"/>
        </w:numPr>
        <w:tabs>
          <w:tab w:pos="999" w:val="left" w:leader="none"/>
        </w:tabs>
        <w:spacing w:line="237" w:lineRule="auto" w:before="4" w:after="0"/>
        <w:ind w:left="998" w:right="1071" w:hanging="360"/>
        <w:jc w:val="both"/>
        <w:rPr>
          <w:sz w:val="24"/>
        </w:rPr>
      </w:pPr>
      <w:r>
        <w:rPr>
          <w:sz w:val="24"/>
        </w:rPr>
        <w:t>Implementar estrategias de información dirigida a personas adultas sobre la importancia</w:t>
      </w:r>
      <w:r>
        <w:rPr>
          <w:spacing w:val="-52"/>
          <w:sz w:val="24"/>
        </w:rPr>
        <w:t> </w:t>
      </w:r>
      <w:r>
        <w:rPr>
          <w:sz w:val="24"/>
        </w:rPr>
        <w:t>de la educación preprimaria en la formación infantil. Dentro de éstas se incluirían las</w:t>
      </w:r>
      <w:r>
        <w:rPr>
          <w:spacing w:val="1"/>
          <w:sz w:val="24"/>
        </w:rPr>
        <w:t> </w:t>
      </w:r>
      <w:r>
        <w:rPr>
          <w:sz w:val="24"/>
        </w:rPr>
        <w:t>siguientes acciones:</w:t>
      </w:r>
    </w:p>
    <w:p>
      <w:pPr>
        <w:pStyle w:val="ListParagraph"/>
        <w:numPr>
          <w:ilvl w:val="0"/>
          <w:numId w:val="14"/>
        </w:numPr>
        <w:tabs>
          <w:tab w:pos="2055" w:val="left" w:leader="none"/>
        </w:tabs>
        <w:spacing w:line="240" w:lineRule="auto" w:before="0" w:after="0"/>
        <w:ind w:left="2054" w:right="1077" w:hanging="360"/>
        <w:jc w:val="both"/>
        <w:rPr>
          <w:sz w:val="24"/>
        </w:rPr>
      </w:pPr>
      <w:r>
        <w:rPr>
          <w:sz w:val="24"/>
        </w:rPr>
        <w:t>Campaña de comunicación sobre la importancia de la educación de los niños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-1"/>
          <w:sz w:val="24"/>
        </w:rPr>
        <w:t> </w:t>
      </w:r>
      <w:r>
        <w:rPr>
          <w:sz w:val="24"/>
        </w:rPr>
        <w:t>nivel.</w:t>
      </w:r>
    </w:p>
    <w:p>
      <w:pPr>
        <w:pStyle w:val="ListParagraph"/>
        <w:numPr>
          <w:ilvl w:val="0"/>
          <w:numId w:val="14"/>
        </w:numPr>
        <w:tabs>
          <w:tab w:pos="2055" w:val="left" w:leader="none"/>
        </w:tabs>
        <w:spacing w:line="305" w:lineRule="exact" w:before="0" w:after="0"/>
        <w:ind w:left="2054" w:right="0" w:hanging="361"/>
        <w:jc w:val="both"/>
        <w:rPr>
          <w:sz w:val="24"/>
        </w:rPr>
      </w:pPr>
      <w:r>
        <w:rPr>
          <w:sz w:val="24"/>
        </w:rPr>
        <w:t>Acompañamiento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OPF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identificar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deserción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territorio.</w:t>
      </w:r>
    </w:p>
    <w:p>
      <w:pPr>
        <w:pStyle w:val="BodyText"/>
        <w:rPr>
          <w:sz w:val="24"/>
        </w:rPr>
      </w:pPr>
    </w:p>
    <w:p>
      <w:pPr>
        <w:spacing w:before="0"/>
        <w:ind w:left="278" w:right="1061" w:firstLine="0"/>
        <w:jc w:val="left"/>
        <w:rPr>
          <w:sz w:val="24"/>
        </w:rPr>
      </w:pPr>
      <w:r>
        <w:rPr>
          <w:sz w:val="24"/>
        </w:rPr>
        <w:t>En</w:t>
      </w:r>
      <w:r>
        <w:rPr>
          <w:spacing w:val="18"/>
          <w:sz w:val="24"/>
        </w:rPr>
        <w:t> </w:t>
      </w:r>
      <w:r>
        <w:rPr>
          <w:sz w:val="24"/>
        </w:rPr>
        <w:t>el</w:t>
      </w:r>
      <w:r>
        <w:rPr>
          <w:spacing w:val="21"/>
          <w:sz w:val="24"/>
        </w:rPr>
        <w:t> </w:t>
      </w:r>
      <w:r>
        <w:rPr>
          <w:sz w:val="24"/>
        </w:rPr>
        <w:t>siguiente</w:t>
      </w:r>
      <w:r>
        <w:rPr>
          <w:spacing w:val="18"/>
          <w:sz w:val="24"/>
        </w:rPr>
        <w:t> </w:t>
      </w:r>
      <w:r>
        <w:rPr>
          <w:sz w:val="24"/>
        </w:rPr>
        <w:t>gráfico,</w:t>
      </w:r>
      <w:r>
        <w:rPr>
          <w:spacing w:val="17"/>
          <w:sz w:val="24"/>
        </w:rPr>
        <w:t> </w:t>
      </w:r>
      <w:r>
        <w:rPr>
          <w:sz w:val="24"/>
        </w:rPr>
        <w:t>se</w:t>
      </w:r>
      <w:r>
        <w:rPr>
          <w:spacing w:val="21"/>
          <w:sz w:val="24"/>
        </w:rPr>
        <w:t> </w:t>
      </w:r>
      <w:r>
        <w:rPr>
          <w:sz w:val="24"/>
        </w:rPr>
        <w:t>presenta</w:t>
      </w:r>
      <w:r>
        <w:rPr>
          <w:spacing w:val="18"/>
          <w:sz w:val="24"/>
        </w:rPr>
        <w:t> </w:t>
      </w:r>
      <w:r>
        <w:rPr>
          <w:sz w:val="24"/>
        </w:rPr>
        <w:t>la</w:t>
      </w:r>
      <w:r>
        <w:rPr>
          <w:spacing w:val="20"/>
          <w:sz w:val="24"/>
        </w:rPr>
        <w:t> </w:t>
      </w:r>
      <w:r>
        <w:rPr>
          <w:sz w:val="24"/>
        </w:rPr>
        <w:t>integración</w:t>
      </w:r>
      <w:r>
        <w:rPr>
          <w:spacing w:val="17"/>
          <w:sz w:val="24"/>
        </w:rPr>
        <w:t> </w:t>
      </w:r>
      <w:r>
        <w:rPr>
          <w:sz w:val="24"/>
        </w:rPr>
        <w:t>de</w:t>
      </w:r>
      <w:r>
        <w:rPr>
          <w:spacing w:val="18"/>
          <w:sz w:val="24"/>
        </w:rPr>
        <w:t> </w:t>
      </w:r>
      <w:r>
        <w:rPr>
          <w:sz w:val="24"/>
        </w:rPr>
        <w:t>los</w:t>
      </w:r>
      <w:r>
        <w:rPr>
          <w:spacing w:val="18"/>
          <w:sz w:val="24"/>
        </w:rPr>
        <w:t> </w:t>
      </w:r>
      <w:r>
        <w:rPr>
          <w:sz w:val="24"/>
        </w:rPr>
        <w:t>principales</w:t>
      </w:r>
      <w:r>
        <w:rPr>
          <w:spacing w:val="17"/>
          <w:sz w:val="24"/>
        </w:rPr>
        <w:t> </w:t>
      </w:r>
      <w:r>
        <w:rPr>
          <w:sz w:val="24"/>
        </w:rPr>
        <w:t>puntos</w:t>
      </w:r>
      <w:r>
        <w:rPr>
          <w:spacing w:val="17"/>
          <w:sz w:val="24"/>
        </w:rPr>
        <w:t> </w:t>
      </w:r>
      <w:r>
        <w:rPr>
          <w:sz w:val="24"/>
        </w:rPr>
        <w:t>de</w:t>
      </w:r>
      <w:r>
        <w:rPr>
          <w:spacing w:val="18"/>
          <w:sz w:val="24"/>
        </w:rPr>
        <w:t> </w:t>
      </w:r>
      <w:r>
        <w:rPr>
          <w:sz w:val="24"/>
        </w:rPr>
        <w:t>la</w:t>
      </w:r>
      <w:r>
        <w:rPr>
          <w:spacing w:val="18"/>
          <w:sz w:val="24"/>
        </w:rPr>
        <w:t> </w:t>
      </w:r>
      <w:r>
        <w:rPr>
          <w:sz w:val="24"/>
        </w:rPr>
        <w:t>estrategia</w:t>
      </w:r>
      <w:r>
        <w:rPr>
          <w:spacing w:val="18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cobertura</w:t>
      </w:r>
      <w:r>
        <w:rPr>
          <w:spacing w:val="-2"/>
          <w:sz w:val="24"/>
        </w:rPr>
        <w:t> </w:t>
      </w:r>
      <w:r>
        <w:rPr>
          <w:sz w:val="24"/>
        </w:rPr>
        <w:t>escolar</w:t>
      </w:r>
      <w:r>
        <w:rPr>
          <w:spacing w:val="-1"/>
          <w:sz w:val="24"/>
        </w:rPr>
        <w:t> </w:t>
      </w:r>
      <w:r>
        <w:rPr>
          <w:sz w:val="24"/>
        </w:rPr>
        <w:t>planteada.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pict>
          <v:rect style="position:absolute;margin-left:563.880005pt;margin-top:20.152170pt;width:25.44pt;height:1.4399pt;mso-position-horizontal-relative:page;mso-position-vertical-relative:paragraph;z-index:-1552691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ind w:right="211"/>
      </w:pPr>
      <w:r>
        <w:rPr/>
        <w:t>97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7"/>
        </w:rPr>
      </w:pPr>
    </w:p>
    <w:p>
      <w:pPr>
        <w:spacing w:before="59"/>
        <w:ind w:left="278" w:right="0" w:firstLine="0"/>
        <w:jc w:val="left"/>
        <w:rPr>
          <w:sz w:val="20"/>
        </w:rPr>
      </w:pPr>
      <w:r>
        <w:rPr>
          <w:sz w:val="20"/>
        </w:rPr>
        <w:t>Gráfico</w:t>
      </w:r>
      <w:r>
        <w:rPr>
          <w:spacing w:val="-2"/>
          <w:sz w:val="20"/>
        </w:rPr>
        <w:t> </w:t>
      </w:r>
      <w:r>
        <w:rPr>
          <w:sz w:val="20"/>
        </w:rPr>
        <w:t>4.</w:t>
      </w:r>
      <w:r>
        <w:rPr>
          <w:spacing w:val="-3"/>
          <w:sz w:val="20"/>
        </w:rPr>
        <w:t> </w:t>
      </w:r>
      <w:r>
        <w:rPr>
          <w:sz w:val="20"/>
        </w:rPr>
        <w:t>Estrategia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cobertura</w:t>
      </w:r>
      <w:r>
        <w:rPr>
          <w:spacing w:val="-2"/>
          <w:sz w:val="20"/>
        </w:rPr>
        <w:t> </w:t>
      </w:r>
      <w:r>
        <w:rPr>
          <w:sz w:val="20"/>
        </w:rPr>
        <w:t>escolar:</w:t>
      </w:r>
      <w:r>
        <w:rPr>
          <w:spacing w:val="-3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Educación</w:t>
      </w:r>
      <w:r>
        <w:rPr>
          <w:spacing w:val="-2"/>
          <w:sz w:val="20"/>
        </w:rPr>
        <w:t> </w:t>
      </w:r>
      <w:r>
        <w:rPr>
          <w:sz w:val="20"/>
        </w:rPr>
        <w:t>Preprimaria</w:t>
      </w:r>
    </w:p>
    <w:p>
      <w:pPr>
        <w:pStyle w:val="BodyText"/>
        <w:rPr>
          <w:sz w:val="23"/>
        </w:rPr>
      </w:pPr>
    </w:p>
    <w:p>
      <w:pPr>
        <w:spacing w:line="187" w:lineRule="auto" w:before="0"/>
        <w:ind w:left="680" w:right="5570" w:firstLine="187"/>
        <w:jc w:val="left"/>
        <w:rPr>
          <w:sz w:val="53"/>
        </w:rPr>
      </w:pPr>
      <w:r>
        <w:rPr/>
        <w:pict>
          <v:group style="position:absolute;margin-left:70.899994pt;margin-top:-6.197083pt;width:468pt;height:399.7pt;mso-position-horizontal-relative:page;mso-position-vertical-relative:paragraph;z-index:-28800000" coordorigin="1418,-124" coordsize="9360,7994">
            <v:rect style="position:absolute;left:1418;top:-123;width:9360;height:7992" filled="true" fillcolor="#ffffff" stroked="false">
              <v:fill type="solid"/>
            </v:rect>
            <v:shape style="position:absolute;left:7815;top:1387;width:2636;height:1493" type="#_x0000_t75" stroked="false">
              <v:imagedata r:id="rId112" o:title=""/>
            </v:shape>
            <v:shape style="position:absolute;left:7885;top:1466;width:2495;height:1279" coordorigin="7885,1466" coordsize="2495,1279" path="m10241,1466l8025,1466,7970,1483,7926,1529,7896,1597,7885,1680,7885,2531,7896,2614,7926,2682,7970,2728,8025,2745,10241,2745,10295,2728,10339,2682,10369,2614,10380,2531,10380,1680,10369,1597,10339,1529,10295,1483,10241,1466xe" filled="true" fillcolor="#1f3863" stroked="false">
              <v:path arrowok="t"/>
              <v:fill type="solid"/>
            </v:shape>
            <v:shape style="position:absolute;left:7885;top:1466;width:2495;height:1279" coordorigin="7885,1466" coordsize="2495,1279" path="m7885,1680l7896,1597,7926,1529,7970,1483,8025,1466,10241,1466,10339,1529,10369,1597,10380,1680,10380,2531,10369,2614,10339,2682,10295,2728,10241,2745,8025,2745,7970,2728,7926,2682,7896,2614,7885,2531,7885,1680xe" filled="false" stroked="true" strokeweight=".998532pt" strokecolor="#5597d2">
              <v:path arrowok="t"/>
              <v:stroke dashstyle="solid"/>
            </v:shape>
            <v:shape style="position:absolute;left:1592;top:1387;width:2548;height:1359" type="#_x0000_t75" stroked="false">
              <v:imagedata r:id="rId113" o:title=""/>
            </v:shape>
            <v:shape style="position:absolute;left:1660;top:1467;width:2413;height:1145" coordorigin="1661,1468" coordsize="2413,1145" path="m3948,1468l1786,1468,1737,1483,1697,1524,1671,1584,1661,1658,1661,2423,1671,2497,1697,2557,1737,2598,1786,2613,3948,2613,3997,2598,4037,2557,4064,2497,4073,2423,4073,1658,4064,1584,4037,1524,3997,1483,3948,1468xe" filled="true" fillcolor="#1f3863" stroked="false">
              <v:path arrowok="t"/>
              <v:fill type="solid"/>
            </v:shape>
            <v:shape style="position:absolute;left:1660;top:1467;width:2413;height:1145" coordorigin="1661,1468" coordsize="2413,1145" path="m1661,1658l1671,1584,1697,1524,1737,1483,1786,1468,3948,1468,4037,1524,4064,1584,4073,1658,4073,2423,4064,2497,4037,2557,3997,2598,3948,2613,1786,2613,1737,2598,1697,2557,1671,2497,1661,2423,1661,1658xe" filled="false" stroked="true" strokeweight="1.007387pt" strokecolor="#5597d2">
              <v:path arrowok="t"/>
              <v:stroke dashstyle="solid"/>
            </v:shape>
            <v:shape style="position:absolute;left:4683;top:1321;width:2665;height:1559" type="#_x0000_t75" stroked="false">
              <v:imagedata r:id="rId114" o:title=""/>
            </v:shape>
            <v:shape style="position:absolute;left:4799;top:1454;width:2432;height:1314" type="#_x0000_t75" stroked="false">
              <v:imagedata r:id="rId115" o:title=""/>
            </v:shape>
            <v:shape style="position:absolute;left:4746;top:1387;width:2538;height:1374" coordorigin="4747,1388" coordsize="2538,1374" path="m7133,1388l4897,1388,4838,1406,4791,1456,4758,1529,4747,1618,4747,2533,4758,2622,4791,2695,4838,2744,4897,2762,7133,2762,7192,2744,7240,2695,7272,2622,7284,2533,7284,1618,7272,1529,7240,1456,7192,1406,7133,1388xe" filled="true" fillcolor="#1f3863" stroked="false">
              <v:path arrowok="t"/>
              <v:fill type="solid"/>
            </v:shape>
            <v:shape style="position:absolute;left:4746;top:1387;width:2538;height:1374" coordorigin="4747,1388" coordsize="2538,1374" path="m4747,1618l4758,1529,4791,1456,4838,1406,4897,1388,7133,1388,7192,1406,7240,1456,7272,1529,7284,1618,7284,2533,7272,2622,7240,2695,7192,2744,7133,2762,4897,2762,4838,2744,4791,2695,4758,2622,4747,2533,4747,1618xe" filled="false" stroked="true" strokeweight=".991673pt" strokecolor="#5597d2">
              <v:path arrowok="t"/>
              <v:stroke dashstyle="solid"/>
            </v:shape>
            <v:shape style="position:absolute;left:2856;top:1009;width:6267;height:459" coordorigin="2856,1009" coordsize="6267,459" path="m2856,1066l2856,1066,9123,1009m2856,1066l2856,1066,2867,1468m6000,1009l6000,1009,6015,1388e" filled="false" stroked="true" strokeweight=".891384pt" strokecolor="#eb792b">
              <v:path arrowok="t"/>
              <v:stroke dashstyle="solid"/>
            </v:shape>
            <v:shape style="position:absolute;left:9122;top:1043;width:10;height:423" coordorigin="9123,1044" coordsize="10,423" path="m9123,1044l9123,1044,9133,1466e" filled="false" stroked="true" strokeweight=".708157pt" strokecolor="#ff0000">
              <v:path arrowok="t"/>
              <v:stroke dashstyle="solid"/>
            </v:shape>
            <v:rect style="position:absolute;left:1418;top:-124;width:5340;height:1170" filled="true" fillcolor="#001f5f" stroked="false">
              <v:fill type="solid"/>
            </v:rect>
            <w10:wrap type="none"/>
          </v:group>
        </w:pict>
      </w:r>
      <w:r>
        <w:rPr>
          <w:color w:val="FFFFFF"/>
          <w:w w:val="65"/>
          <w:sz w:val="53"/>
        </w:rPr>
        <w:t>Estrategia</w:t>
      </w:r>
      <w:r>
        <w:rPr>
          <w:color w:val="FFFFFF"/>
          <w:spacing w:val="1"/>
          <w:w w:val="65"/>
          <w:sz w:val="53"/>
        </w:rPr>
        <w:t> </w:t>
      </w:r>
      <w:r>
        <w:rPr>
          <w:color w:val="FFFFFF"/>
          <w:w w:val="65"/>
          <w:sz w:val="53"/>
        </w:rPr>
        <w:t>cobertura escolar</w:t>
      </w:r>
      <w:r>
        <w:rPr>
          <w:color w:val="FFFFFF"/>
          <w:spacing w:val="1"/>
          <w:w w:val="65"/>
          <w:sz w:val="53"/>
        </w:rPr>
        <w:t> </w:t>
      </w:r>
      <w:r>
        <w:rPr>
          <w:color w:val="FFFFFF"/>
          <w:w w:val="65"/>
          <w:sz w:val="53"/>
        </w:rPr>
        <w:t>Nivel</w:t>
      </w:r>
      <w:r>
        <w:rPr>
          <w:color w:val="FFFFFF"/>
          <w:spacing w:val="24"/>
          <w:w w:val="65"/>
          <w:sz w:val="53"/>
        </w:rPr>
        <w:t> </w:t>
      </w:r>
      <w:r>
        <w:rPr>
          <w:color w:val="FFFFFF"/>
          <w:w w:val="65"/>
          <w:sz w:val="53"/>
        </w:rPr>
        <w:t>de</w:t>
      </w:r>
      <w:r>
        <w:rPr>
          <w:color w:val="FFFFFF"/>
          <w:spacing w:val="22"/>
          <w:w w:val="65"/>
          <w:sz w:val="53"/>
        </w:rPr>
        <w:t> </w:t>
      </w:r>
      <w:r>
        <w:rPr>
          <w:color w:val="FFFFFF"/>
          <w:w w:val="65"/>
          <w:sz w:val="53"/>
        </w:rPr>
        <w:t>Educación</w:t>
      </w:r>
      <w:r>
        <w:rPr>
          <w:color w:val="FFFFFF"/>
          <w:spacing w:val="24"/>
          <w:w w:val="65"/>
          <w:sz w:val="53"/>
        </w:rPr>
        <w:t> </w:t>
      </w:r>
      <w:r>
        <w:rPr>
          <w:color w:val="FFFFFF"/>
          <w:w w:val="65"/>
          <w:sz w:val="53"/>
        </w:rPr>
        <w:t>Preprimaria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pgSz w:w="12240" w:h="15840"/>
          <w:pgMar w:top="1500" w:bottom="280" w:left="1140" w:right="340"/>
        </w:sectPr>
      </w:pPr>
    </w:p>
    <w:p>
      <w:pPr>
        <w:pStyle w:val="BodyText"/>
        <w:spacing w:before="2"/>
        <w:rPr>
          <w:sz w:val="30"/>
        </w:rPr>
      </w:pPr>
    </w:p>
    <w:p>
      <w:pPr>
        <w:spacing w:before="0"/>
        <w:ind w:left="742" w:right="0" w:firstLine="0"/>
        <w:jc w:val="left"/>
        <w:rPr>
          <w:sz w:val="29"/>
        </w:rPr>
      </w:pPr>
      <w:r>
        <w:rPr>
          <w:color w:val="FFFFFF"/>
          <w:w w:val="65"/>
          <w:sz w:val="29"/>
        </w:rPr>
        <w:t>Eje</w:t>
      </w:r>
      <w:r>
        <w:rPr>
          <w:color w:val="FFFFFF"/>
          <w:spacing w:val="15"/>
          <w:w w:val="65"/>
          <w:sz w:val="29"/>
        </w:rPr>
        <w:t> </w:t>
      </w:r>
      <w:r>
        <w:rPr>
          <w:color w:val="FFFFFF"/>
          <w:w w:val="65"/>
          <w:sz w:val="29"/>
        </w:rPr>
        <w:t>1.</w:t>
      </w:r>
      <w:r>
        <w:rPr>
          <w:color w:val="FFFFFF"/>
          <w:spacing w:val="14"/>
          <w:w w:val="65"/>
          <w:sz w:val="29"/>
        </w:rPr>
        <w:t> </w:t>
      </w:r>
      <w:r>
        <w:rPr>
          <w:color w:val="FFFFFF"/>
          <w:w w:val="65"/>
          <w:sz w:val="29"/>
        </w:rPr>
        <w:t>Formación</w:t>
      </w:r>
      <w:r>
        <w:rPr>
          <w:color w:val="FFFFFF"/>
          <w:spacing w:val="15"/>
          <w:w w:val="65"/>
          <w:sz w:val="29"/>
        </w:rPr>
        <w:t> </w:t>
      </w:r>
      <w:r>
        <w:rPr>
          <w:color w:val="FFFFFF"/>
          <w:w w:val="65"/>
          <w:sz w:val="29"/>
        </w:rPr>
        <w:t>Integral</w:t>
      </w:r>
    </w:p>
    <w:p>
      <w:pPr>
        <w:spacing w:line="242" w:lineRule="auto" w:before="46"/>
        <w:ind w:left="742" w:right="38" w:firstLine="0"/>
        <w:jc w:val="center"/>
        <w:rPr>
          <w:sz w:val="29"/>
        </w:rPr>
      </w:pPr>
      <w:r>
        <w:rPr/>
        <w:br w:type="column"/>
      </w:r>
      <w:r>
        <w:rPr>
          <w:color w:val="FFFFFF"/>
          <w:w w:val="65"/>
          <w:sz w:val="29"/>
        </w:rPr>
        <w:t>Eje</w:t>
      </w:r>
      <w:r>
        <w:rPr>
          <w:color w:val="FFFFFF"/>
          <w:spacing w:val="4"/>
          <w:w w:val="65"/>
          <w:sz w:val="29"/>
        </w:rPr>
        <w:t> </w:t>
      </w:r>
      <w:r>
        <w:rPr>
          <w:color w:val="FFFFFF"/>
          <w:w w:val="65"/>
          <w:sz w:val="29"/>
        </w:rPr>
        <w:t>2.</w:t>
      </w:r>
      <w:r>
        <w:rPr>
          <w:color w:val="FFFFFF"/>
          <w:spacing w:val="4"/>
          <w:w w:val="65"/>
          <w:sz w:val="29"/>
        </w:rPr>
        <w:t> </w:t>
      </w:r>
      <w:r>
        <w:rPr>
          <w:color w:val="FFFFFF"/>
          <w:w w:val="65"/>
          <w:sz w:val="29"/>
        </w:rPr>
        <w:t>Colaboración</w:t>
      </w:r>
      <w:r>
        <w:rPr>
          <w:color w:val="FFFFFF"/>
          <w:spacing w:val="4"/>
          <w:w w:val="65"/>
          <w:sz w:val="29"/>
        </w:rPr>
        <w:t> </w:t>
      </w:r>
      <w:r>
        <w:rPr>
          <w:color w:val="FFFFFF"/>
          <w:w w:val="65"/>
          <w:sz w:val="29"/>
        </w:rPr>
        <w:t>e</w:t>
      </w:r>
      <w:r>
        <w:rPr>
          <w:color w:val="FFFFFF"/>
          <w:spacing w:val="1"/>
          <w:w w:val="65"/>
          <w:sz w:val="29"/>
        </w:rPr>
        <w:t> </w:t>
      </w:r>
      <w:r>
        <w:rPr>
          <w:color w:val="FFFFFF"/>
          <w:w w:val="65"/>
          <w:sz w:val="29"/>
        </w:rPr>
        <w:t>integración</w:t>
      </w:r>
      <w:r>
        <w:rPr>
          <w:color w:val="FFFFFF"/>
          <w:spacing w:val="20"/>
          <w:w w:val="65"/>
          <w:sz w:val="29"/>
        </w:rPr>
        <w:t> </w:t>
      </w:r>
      <w:r>
        <w:rPr>
          <w:color w:val="FFFFFF"/>
          <w:w w:val="65"/>
          <w:sz w:val="29"/>
        </w:rPr>
        <w:t>de</w:t>
      </w:r>
      <w:r>
        <w:rPr>
          <w:color w:val="FFFFFF"/>
          <w:spacing w:val="20"/>
          <w:w w:val="65"/>
          <w:sz w:val="29"/>
        </w:rPr>
        <w:t> </w:t>
      </w:r>
      <w:r>
        <w:rPr>
          <w:color w:val="FFFFFF"/>
          <w:w w:val="65"/>
          <w:sz w:val="29"/>
        </w:rPr>
        <w:t>la</w:t>
      </w:r>
      <w:r>
        <w:rPr>
          <w:color w:val="FFFFFF"/>
          <w:spacing w:val="22"/>
          <w:w w:val="65"/>
          <w:sz w:val="29"/>
        </w:rPr>
        <w:t> </w:t>
      </w:r>
      <w:r>
        <w:rPr>
          <w:color w:val="FFFFFF"/>
          <w:w w:val="65"/>
          <w:sz w:val="29"/>
        </w:rPr>
        <w:t>comunidad</w:t>
      </w:r>
      <w:r>
        <w:rPr>
          <w:color w:val="FFFFFF"/>
          <w:spacing w:val="-40"/>
          <w:w w:val="65"/>
          <w:sz w:val="29"/>
        </w:rPr>
        <w:t> </w:t>
      </w:r>
      <w:r>
        <w:rPr>
          <w:color w:val="FFFFFF"/>
          <w:w w:val="75"/>
          <w:sz w:val="29"/>
        </w:rPr>
        <w:t>educativa</w:t>
      </w:r>
    </w:p>
    <w:p>
      <w:pPr>
        <w:spacing w:before="255"/>
        <w:ind w:left="729" w:right="1677" w:firstLine="0"/>
        <w:jc w:val="center"/>
        <w:rPr>
          <w:sz w:val="29"/>
        </w:rPr>
      </w:pPr>
      <w:r>
        <w:rPr/>
        <w:br w:type="column"/>
      </w:r>
      <w:r>
        <w:rPr>
          <w:color w:val="FFFFFF"/>
          <w:w w:val="65"/>
          <w:sz w:val="29"/>
        </w:rPr>
        <w:t>Eje</w:t>
      </w:r>
      <w:r>
        <w:rPr>
          <w:color w:val="FFFFFF"/>
          <w:spacing w:val="16"/>
          <w:w w:val="65"/>
          <w:sz w:val="29"/>
        </w:rPr>
        <w:t> </w:t>
      </w:r>
      <w:r>
        <w:rPr>
          <w:color w:val="FFFFFF"/>
          <w:w w:val="65"/>
          <w:sz w:val="29"/>
        </w:rPr>
        <w:t>3.</w:t>
      </w:r>
      <w:r>
        <w:rPr>
          <w:color w:val="FFFFFF"/>
          <w:spacing w:val="15"/>
          <w:w w:val="65"/>
          <w:sz w:val="29"/>
        </w:rPr>
        <w:t> </w:t>
      </w:r>
      <w:r>
        <w:rPr>
          <w:color w:val="FFFFFF"/>
          <w:w w:val="65"/>
          <w:sz w:val="29"/>
        </w:rPr>
        <w:t>Focalizar</w:t>
      </w:r>
      <w:r>
        <w:rPr>
          <w:color w:val="FFFFFF"/>
          <w:spacing w:val="15"/>
          <w:w w:val="65"/>
          <w:sz w:val="29"/>
        </w:rPr>
        <w:t> </w:t>
      </w:r>
      <w:r>
        <w:rPr>
          <w:color w:val="FFFFFF"/>
          <w:w w:val="65"/>
          <w:sz w:val="29"/>
        </w:rPr>
        <w:t>acciones</w:t>
      </w:r>
      <w:r>
        <w:rPr>
          <w:color w:val="FFFFFF"/>
          <w:spacing w:val="17"/>
          <w:w w:val="65"/>
          <w:sz w:val="29"/>
        </w:rPr>
        <w:t> </w:t>
      </w:r>
      <w:r>
        <w:rPr>
          <w:color w:val="FFFFFF"/>
          <w:w w:val="65"/>
          <w:sz w:val="29"/>
        </w:rPr>
        <w:t>en</w:t>
      </w:r>
    </w:p>
    <w:p>
      <w:pPr>
        <w:spacing w:before="1"/>
        <w:ind w:left="1027" w:right="1974" w:firstLine="0"/>
        <w:jc w:val="center"/>
        <w:rPr>
          <w:sz w:val="29"/>
        </w:rPr>
      </w:pPr>
      <w:r>
        <w:rPr>
          <w:color w:val="FFFFFF"/>
          <w:w w:val="65"/>
          <w:sz w:val="29"/>
        </w:rPr>
        <w:t>áreas</w:t>
      </w:r>
      <w:r>
        <w:rPr>
          <w:color w:val="FFFFFF"/>
          <w:spacing w:val="15"/>
          <w:w w:val="65"/>
          <w:sz w:val="29"/>
        </w:rPr>
        <w:t> </w:t>
      </w:r>
      <w:r>
        <w:rPr>
          <w:color w:val="FFFFFF"/>
          <w:w w:val="65"/>
          <w:sz w:val="29"/>
        </w:rPr>
        <w:t>desatendidas.</w:t>
      </w:r>
    </w:p>
    <w:p>
      <w:pPr>
        <w:spacing w:after="0"/>
        <w:jc w:val="center"/>
        <w:rPr>
          <w:sz w:val="29"/>
        </w:rPr>
        <w:sectPr>
          <w:type w:val="continuous"/>
          <w:pgSz w:w="12240" w:h="15840"/>
          <w:pgMar w:top="340" w:bottom="280" w:left="1140" w:right="340"/>
          <w:cols w:num="3" w:equalWidth="0">
            <w:col w:w="2758" w:space="248"/>
            <w:col w:w="3040" w:space="135"/>
            <w:col w:w="457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340" w:bottom="280" w:left="1140" w:right="340"/>
        </w:sectPr>
      </w:pPr>
    </w:p>
    <w:p>
      <w:pPr>
        <w:spacing w:before="71"/>
        <w:ind w:left="960" w:right="33" w:hanging="423"/>
        <w:jc w:val="left"/>
        <w:rPr>
          <w:b/>
          <w:sz w:val="17"/>
        </w:rPr>
      </w:pPr>
      <w:r>
        <w:rPr>
          <w:b/>
          <w:w w:val="65"/>
          <w:sz w:val="17"/>
        </w:rPr>
        <w:t>Incorporación de</w:t>
      </w:r>
      <w:r>
        <w:rPr>
          <w:b/>
          <w:spacing w:val="1"/>
          <w:w w:val="65"/>
          <w:sz w:val="17"/>
        </w:rPr>
        <w:t> </w:t>
      </w:r>
      <w:r>
        <w:rPr>
          <w:b/>
          <w:w w:val="65"/>
          <w:sz w:val="17"/>
        </w:rPr>
        <w:t>las</w:t>
      </w:r>
      <w:r>
        <w:rPr>
          <w:b/>
          <w:spacing w:val="1"/>
          <w:w w:val="65"/>
          <w:sz w:val="17"/>
        </w:rPr>
        <w:t> </w:t>
      </w:r>
      <w:r>
        <w:rPr>
          <w:b/>
          <w:w w:val="65"/>
          <w:sz w:val="17"/>
        </w:rPr>
        <w:t>prácticas</w:t>
      </w:r>
      <w:r>
        <w:rPr>
          <w:b/>
          <w:spacing w:val="1"/>
          <w:w w:val="65"/>
          <w:sz w:val="17"/>
        </w:rPr>
        <w:t> </w:t>
      </w:r>
      <w:r>
        <w:rPr>
          <w:b/>
          <w:w w:val="65"/>
          <w:sz w:val="17"/>
        </w:rPr>
        <w:t>culturales,</w:t>
      </w:r>
      <w:r>
        <w:rPr>
          <w:b/>
          <w:spacing w:val="11"/>
          <w:sz w:val="17"/>
        </w:rPr>
        <w:t> </w:t>
      </w:r>
      <w:r>
        <w:rPr>
          <w:b/>
          <w:w w:val="65"/>
          <w:sz w:val="17"/>
        </w:rPr>
        <w:t>sociales</w:t>
      </w:r>
      <w:r>
        <w:rPr>
          <w:b/>
          <w:spacing w:val="12"/>
          <w:sz w:val="17"/>
        </w:rPr>
        <w:t> </w:t>
      </w:r>
      <w:r>
        <w:rPr>
          <w:b/>
          <w:w w:val="65"/>
          <w:sz w:val="17"/>
        </w:rPr>
        <w:t>y</w:t>
      </w:r>
      <w:r>
        <w:rPr>
          <w:b/>
          <w:spacing w:val="-22"/>
          <w:w w:val="65"/>
          <w:sz w:val="17"/>
        </w:rPr>
        <w:t> </w:t>
      </w:r>
      <w:r>
        <w:rPr>
          <w:b/>
          <w:w w:val="65"/>
          <w:sz w:val="17"/>
        </w:rPr>
        <w:t>de</w:t>
      </w:r>
      <w:r>
        <w:rPr>
          <w:b/>
          <w:spacing w:val="4"/>
          <w:w w:val="65"/>
          <w:sz w:val="17"/>
        </w:rPr>
        <w:t> </w:t>
      </w:r>
      <w:r>
        <w:rPr>
          <w:b/>
          <w:w w:val="65"/>
          <w:sz w:val="17"/>
        </w:rPr>
        <w:t>género</w:t>
      </w:r>
      <w:r>
        <w:rPr>
          <w:b/>
          <w:spacing w:val="5"/>
          <w:w w:val="65"/>
          <w:sz w:val="17"/>
        </w:rPr>
        <w:t> </w:t>
      </w:r>
      <w:r>
        <w:rPr>
          <w:b/>
          <w:w w:val="65"/>
          <w:sz w:val="17"/>
        </w:rPr>
        <w:t>en</w:t>
      </w:r>
      <w:r>
        <w:rPr>
          <w:b/>
          <w:spacing w:val="4"/>
          <w:w w:val="65"/>
          <w:sz w:val="17"/>
        </w:rPr>
        <w:t> </w:t>
      </w:r>
      <w:r>
        <w:rPr>
          <w:b/>
          <w:w w:val="65"/>
          <w:sz w:val="17"/>
        </w:rPr>
        <w:t>el</w:t>
      </w:r>
      <w:r>
        <w:rPr>
          <w:b/>
          <w:spacing w:val="4"/>
          <w:w w:val="65"/>
          <w:sz w:val="17"/>
        </w:rPr>
        <w:t> </w:t>
      </w:r>
      <w:r>
        <w:rPr>
          <w:b/>
          <w:w w:val="65"/>
          <w:sz w:val="17"/>
        </w:rPr>
        <w:t>nivel</w:t>
      </w:r>
      <w:r>
        <w:rPr>
          <w:b/>
          <w:spacing w:val="3"/>
          <w:w w:val="65"/>
          <w:sz w:val="17"/>
        </w:rPr>
        <w:t> </w:t>
      </w:r>
      <w:r>
        <w:rPr>
          <w:b/>
          <w:w w:val="65"/>
          <w:sz w:val="17"/>
        </w:rPr>
        <w:t>preprimario</w:t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spacing w:line="247" w:lineRule="auto" w:before="0"/>
        <w:ind w:left="712" w:right="0" w:hanging="216"/>
        <w:jc w:val="both"/>
        <w:rPr>
          <w:sz w:val="17"/>
        </w:rPr>
      </w:pPr>
      <w:r>
        <w:rPr>
          <w:rFonts w:ascii="Courier New" w:hAnsi="Courier New"/>
          <w:w w:val="75"/>
          <w:sz w:val="17"/>
        </w:rPr>
        <w:t>o </w:t>
      </w:r>
      <w:r>
        <w:rPr>
          <w:w w:val="75"/>
          <w:sz w:val="17"/>
        </w:rPr>
        <w:t>Fomentar</w:t>
      </w:r>
      <w:r>
        <w:rPr>
          <w:spacing w:val="1"/>
          <w:w w:val="75"/>
          <w:sz w:val="17"/>
        </w:rPr>
        <w:t> </w:t>
      </w:r>
      <w:r>
        <w:rPr>
          <w:w w:val="75"/>
          <w:sz w:val="17"/>
        </w:rPr>
        <w:t>ambientes</w:t>
      </w:r>
      <w:r>
        <w:rPr>
          <w:spacing w:val="1"/>
          <w:w w:val="75"/>
          <w:sz w:val="17"/>
        </w:rPr>
        <w:t> </w:t>
      </w:r>
      <w:r>
        <w:rPr>
          <w:w w:val="75"/>
          <w:sz w:val="17"/>
        </w:rPr>
        <w:t>de</w:t>
      </w:r>
      <w:r>
        <w:rPr>
          <w:spacing w:val="1"/>
          <w:w w:val="75"/>
          <w:sz w:val="17"/>
        </w:rPr>
        <w:t> </w:t>
      </w:r>
      <w:r>
        <w:rPr>
          <w:w w:val="75"/>
          <w:sz w:val="17"/>
        </w:rPr>
        <w:t>aprendizaje</w:t>
      </w:r>
      <w:r>
        <w:rPr>
          <w:spacing w:val="1"/>
          <w:w w:val="75"/>
          <w:sz w:val="17"/>
        </w:rPr>
        <w:t> </w:t>
      </w:r>
      <w:r>
        <w:rPr>
          <w:w w:val="75"/>
          <w:sz w:val="17"/>
        </w:rPr>
        <w:t>que</w:t>
      </w:r>
      <w:r>
        <w:rPr>
          <w:spacing w:val="1"/>
          <w:w w:val="75"/>
          <w:sz w:val="17"/>
        </w:rPr>
        <w:t> </w:t>
      </w:r>
      <w:r>
        <w:rPr>
          <w:w w:val="70"/>
          <w:sz w:val="17"/>
        </w:rPr>
        <w:t>promuevan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prácticas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de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protección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infantil,</w:t>
      </w:r>
      <w:r>
        <w:rPr>
          <w:spacing w:val="-24"/>
          <w:w w:val="70"/>
          <w:sz w:val="17"/>
        </w:rPr>
        <w:t> </w:t>
      </w:r>
      <w:r>
        <w:rPr>
          <w:w w:val="70"/>
          <w:sz w:val="17"/>
        </w:rPr>
        <w:t>cuidado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cariñoso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y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relaciones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equitativas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de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género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en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el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Sistema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Educativo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Nacional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con</w:t>
      </w:r>
      <w:r>
        <w:rPr>
          <w:spacing w:val="-24"/>
          <w:w w:val="70"/>
          <w:sz w:val="17"/>
        </w:rPr>
        <w:t> </w:t>
      </w:r>
      <w:r>
        <w:rPr>
          <w:w w:val="65"/>
          <w:sz w:val="17"/>
        </w:rPr>
        <w:t>pertinencia</w:t>
      </w:r>
      <w:r>
        <w:rPr>
          <w:spacing w:val="10"/>
          <w:w w:val="65"/>
          <w:sz w:val="17"/>
        </w:rPr>
        <w:t> </w:t>
      </w:r>
      <w:r>
        <w:rPr>
          <w:w w:val="65"/>
          <w:sz w:val="17"/>
        </w:rPr>
        <w:t>étnica</w:t>
      </w:r>
      <w:r>
        <w:rPr>
          <w:spacing w:val="10"/>
          <w:w w:val="65"/>
          <w:sz w:val="17"/>
        </w:rPr>
        <w:t> </w:t>
      </w:r>
      <w:r>
        <w:rPr>
          <w:w w:val="65"/>
          <w:sz w:val="17"/>
        </w:rPr>
        <w:t>y</w:t>
      </w:r>
      <w:r>
        <w:rPr>
          <w:spacing w:val="12"/>
          <w:w w:val="65"/>
          <w:sz w:val="17"/>
        </w:rPr>
        <w:t> </w:t>
      </w:r>
      <w:r>
        <w:rPr>
          <w:w w:val="65"/>
          <w:sz w:val="17"/>
        </w:rPr>
        <w:t>cultural</w:t>
      </w:r>
      <w:r>
        <w:rPr>
          <w:spacing w:val="11"/>
          <w:w w:val="65"/>
          <w:sz w:val="17"/>
        </w:rPr>
        <w:t> </w:t>
      </w:r>
      <w:r>
        <w:rPr>
          <w:w w:val="65"/>
          <w:sz w:val="17"/>
        </w:rPr>
        <w:t>de</w:t>
      </w:r>
      <w:r>
        <w:rPr>
          <w:spacing w:val="10"/>
          <w:w w:val="65"/>
          <w:sz w:val="17"/>
        </w:rPr>
        <w:t> </w:t>
      </w:r>
      <w:r>
        <w:rPr>
          <w:w w:val="65"/>
          <w:sz w:val="17"/>
        </w:rPr>
        <w:t>cada</w:t>
      </w:r>
      <w:r>
        <w:rPr>
          <w:spacing w:val="10"/>
          <w:w w:val="65"/>
          <w:sz w:val="17"/>
        </w:rPr>
        <w:t> </w:t>
      </w:r>
      <w:r>
        <w:rPr>
          <w:w w:val="65"/>
          <w:sz w:val="17"/>
        </w:rPr>
        <w:t>territorio.</w:t>
      </w:r>
    </w:p>
    <w:p>
      <w:pPr>
        <w:spacing w:before="71"/>
        <w:ind w:left="575" w:right="0" w:firstLine="0"/>
        <w:jc w:val="left"/>
        <w:rPr>
          <w:sz w:val="17"/>
        </w:rPr>
      </w:pPr>
      <w:r>
        <w:rPr/>
        <w:br w:type="column"/>
      </w:r>
      <w:r>
        <w:rPr>
          <w:b/>
          <w:w w:val="65"/>
          <w:sz w:val="17"/>
        </w:rPr>
        <w:t>Vinculación</w:t>
      </w:r>
      <w:r>
        <w:rPr>
          <w:b/>
          <w:spacing w:val="16"/>
          <w:w w:val="65"/>
          <w:sz w:val="17"/>
        </w:rPr>
        <w:t> </w:t>
      </w:r>
      <w:r>
        <w:rPr>
          <w:b/>
          <w:w w:val="65"/>
          <w:sz w:val="17"/>
        </w:rPr>
        <w:t>de</w:t>
      </w:r>
      <w:r>
        <w:rPr>
          <w:b/>
          <w:spacing w:val="18"/>
          <w:w w:val="65"/>
          <w:sz w:val="17"/>
        </w:rPr>
        <w:t> </w:t>
      </w:r>
      <w:r>
        <w:rPr>
          <w:b/>
          <w:w w:val="65"/>
          <w:sz w:val="17"/>
        </w:rPr>
        <w:t>las</w:t>
      </w:r>
      <w:r>
        <w:rPr>
          <w:b/>
          <w:spacing w:val="18"/>
          <w:w w:val="65"/>
          <w:sz w:val="17"/>
        </w:rPr>
        <w:t> </w:t>
      </w:r>
      <w:r>
        <w:rPr>
          <w:b/>
          <w:w w:val="65"/>
          <w:sz w:val="17"/>
        </w:rPr>
        <w:t>familias</w:t>
      </w:r>
      <w:r>
        <w:rPr>
          <w:b/>
          <w:spacing w:val="18"/>
          <w:w w:val="65"/>
          <w:sz w:val="17"/>
        </w:rPr>
        <w:t> </w:t>
      </w:r>
      <w:r>
        <w:rPr>
          <w:b/>
          <w:w w:val="65"/>
          <w:sz w:val="17"/>
        </w:rPr>
        <w:t>y</w:t>
      </w:r>
      <w:r>
        <w:rPr>
          <w:b/>
          <w:spacing w:val="16"/>
          <w:w w:val="65"/>
          <w:sz w:val="17"/>
        </w:rPr>
        <w:t> </w:t>
      </w:r>
      <w:r>
        <w:rPr>
          <w:b/>
          <w:w w:val="65"/>
          <w:sz w:val="17"/>
        </w:rPr>
        <w:t>las</w:t>
      </w:r>
      <w:r>
        <w:rPr>
          <w:b/>
          <w:spacing w:val="18"/>
          <w:w w:val="65"/>
          <w:sz w:val="17"/>
        </w:rPr>
        <w:t> </w:t>
      </w:r>
      <w:r>
        <w:rPr>
          <w:b/>
          <w:w w:val="65"/>
          <w:sz w:val="17"/>
        </w:rPr>
        <w:t>comunidades</w:t>
      </w:r>
      <w:r>
        <w:rPr>
          <w:w w:val="65"/>
          <w:sz w:val="17"/>
        </w:rPr>
        <w:t>.</w:t>
      </w:r>
    </w:p>
    <w:p>
      <w:pPr>
        <w:pStyle w:val="BodyText"/>
        <w:rPr>
          <w:sz w:val="17"/>
        </w:rPr>
      </w:pPr>
    </w:p>
    <w:p>
      <w:pPr>
        <w:pStyle w:val="ListParagraph"/>
        <w:numPr>
          <w:ilvl w:val="0"/>
          <w:numId w:val="15"/>
        </w:numPr>
        <w:tabs>
          <w:tab w:pos="290" w:val="left" w:leader="none"/>
        </w:tabs>
        <w:spacing w:line="249" w:lineRule="auto" w:before="0" w:after="0"/>
        <w:ind w:left="285" w:right="38" w:hanging="128"/>
        <w:jc w:val="both"/>
        <w:rPr>
          <w:rFonts w:ascii="Courier New" w:hAnsi="Courier New"/>
          <w:sz w:val="17"/>
        </w:rPr>
      </w:pPr>
      <w:r>
        <w:rPr>
          <w:w w:val="70"/>
          <w:sz w:val="17"/>
        </w:rPr>
        <w:t>Fortalecer las capacidades de las OPF en el Programa de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Cuidados Infantiles para el Aprendizaje del MINEDUC y para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promover en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el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territorio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la importancia de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la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educación</w:t>
      </w:r>
      <w:r>
        <w:rPr>
          <w:spacing w:val="1"/>
          <w:w w:val="70"/>
          <w:sz w:val="17"/>
        </w:rPr>
        <w:t> </w:t>
      </w:r>
      <w:r>
        <w:rPr>
          <w:w w:val="80"/>
          <w:sz w:val="17"/>
        </w:rPr>
        <w:t>preprimaria.</w:t>
      </w:r>
    </w:p>
    <w:p>
      <w:pPr>
        <w:pStyle w:val="BodyText"/>
        <w:spacing w:before="4"/>
        <w:rPr>
          <w:sz w:val="16"/>
        </w:rPr>
      </w:pPr>
    </w:p>
    <w:p>
      <w:pPr>
        <w:pStyle w:val="ListParagraph"/>
        <w:numPr>
          <w:ilvl w:val="0"/>
          <w:numId w:val="15"/>
        </w:numPr>
        <w:tabs>
          <w:tab w:pos="291" w:val="left" w:leader="none"/>
        </w:tabs>
        <w:spacing w:line="249" w:lineRule="auto" w:before="0" w:after="0"/>
        <w:ind w:left="285" w:right="38" w:hanging="128"/>
        <w:jc w:val="both"/>
        <w:rPr>
          <w:rFonts w:ascii="Courier New" w:hAnsi="Courier New"/>
          <w:sz w:val="17"/>
        </w:rPr>
      </w:pPr>
      <w:r>
        <w:rPr>
          <w:w w:val="75"/>
          <w:sz w:val="17"/>
        </w:rPr>
        <w:t>Integrar</w:t>
      </w:r>
      <w:r>
        <w:rPr>
          <w:spacing w:val="1"/>
          <w:w w:val="75"/>
          <w:sz w:val="17"/>
        </w:rPr>
        <w:t> </w:t>
      </w:r>
      <w:r>
        <w:rPr>
          <w:w w:val="75"/>
          <w:sz w:val="17"/>
        </w:rPr>
        <w:t>y</w:t>
      </w:r>
      <w:r>
        <w:rPr>
          <w:spacing w:val="1"/>
          <w:w w:val="75"/>
          <w:sz w:val="17"/>
        </w:rPr>
        <w:t> </w:t>
      </w:r>
      <w:r>
        <w:rPr>
          <w:w w:val="75"/>
          <w:sz w:val="17"/>
        </w:rPr>
        <w:t>capacitar</w:t>
      </w:r>
      <w:r>
        <w:rPr>
          <w:spacing w:val="1"/>
          <w:w w:val="75"/>
          <w:sz w:val="17"/>
        </w:rPr>
        <w:t> </w:t>
      </w:r>
      <w:r>
        <w:rPr>
          <w:w w:val="75"/>
          <w:sz w:val="17"/>
        </w:rPr>
        <w:t>a</w:t>
      </w:r>
      <w:r>
        <w:rPr>
          <w:spacing w:val="1"/>
          <w:w w:val="75"/>
          <w:sz w:val="17"/>
        </w:rPr>
        <w:t> </w:t>
      </w:r>
      <w:r>
        <w:rPr>
          <w:w w:val="75"/>
          <w:sz w:val="17"/>
        </w:rPr>
        <w:t>las</w:t>
      </w:r>
      <w:r>
        <w:rPr>
          <w:spacing w:val="1"/>
          <w:w w:val="75"/>
          <w:sz w:val="17"/>
        </w:rPr>
        <w:t> </w:t>
      </w:r>
      <w:r>
        <w:rPr>
          <w:w w:val="75"/>
          <w:sz w:val="17"/>
        </w:rPr>
        <w:t>personas</w:t>
      </w:r>
      <w:r>
        <w:rPr>
          <w:spacing w:val="1"/>
          <w:w w:val="75"/>
          <w:sz w:val="17"/>
        </w:rPr>
        <w:t> </w:t>
      </w:r>
      <w:r>
        <w:rPr>
          <w:w w:val="75"/>
          <w:sz w:val="17"/>
        </w:rPr>
        <w:t>adultas</w:t>
      </w:r>
      <w:r>
        <w:rPr>
          <w:spacing w:val="1"/>
          <w:w w:val="75"/>
          <w:sz w:val="17"/>
        </w:rPr>
        <w:t> </w:t>
      </w:r>
      <w:r>
        <w:rPr>
          <w:w w:val="75"/>
          <w:sz w:val="17"/>
        </w:rPr>
        <w:t>sobre</w:t>
      </w:r>
      <w:r>
        <w:rPr>
          <w:spacing w:val="1"/>
          <w:w w:val="75"/>
          <w:sz w:val="17"/>
        </w:rPr>
        <w:t> </w:t>
      </w:r>
      <w:r>
        <w:rPr>
          <w:w w:val="75"/>
          <w:sz w:val="17"/>
        </w:rPr>
        <w:t>la</w:t>
      </w:r>
      <w:r>
        <w:rPr>
          <w:spacing w:val="1"/>
          <w:w w:val="75"/>
          <w:sz w:val="17"/>
        </w:rPr>
        <w:t> </w:t>
      </w:r>
      <w:r>
        <w:rPr>
          <w:w w:val="65"/>
          <w:sz w:val="17"/>
        </w:rPr>
        <w:t>importancia</w:t>
      </w:r>
      <w:r>
        <w:rPr>
          <w:spacing w:val="11"/>
          <w:sz w:val="17"/>
        </w:rPr>
        <w:t> </w:t>
      </w:r>
      <w:r>
        <w:rPr>
          <w:w w:val="65"/>
          <w:sz w:val="17"/>
        </w:rPr>
        <w:t>de</w:t>
      </w:r>
      <w:r>
        <w:rPr>
          <w:spacing w:val="12"/>
          <w:sz w:val="17"/>
        </w:rPr>
        <w:t> </w:t>
      </w:r>
      <w:r>
        <w:rPr>
          <w:w w:val="65"/>
          <w:sz w:val="17"/>
        </w:rPr>
        <w:t>la</w:t>
      </w:r>
      <w:r>
        <w:rPr>
          <w:spacing w:val="11"/>
          <w:sz w:val="17"/>
        </w:rPr>
        <w:t> </w:t>
      </w:r>
      <w:r>
        <w:rPr>
          <w:w w:val="65"/>
          <w:sz w:val="17"/>
        </w:rPr>
        <w:t>educación</w:t>
      </w:r>
      <w:r>
        <w:rPr>
          <w:spacing w:val="12"/>
          <w:sz w:val="17"/>
        </w:rPr>
        <w:t> </w:t>
      </w:r>
      <w:r>
        <w:rPr>
          <w:w w:val="65"/>
          <w:sz w:val="17"/>
        </w:rPr>
        <w:t>preprimaria, la</w:t>
      </w:r>
      <w:r>
        <w:rPr>
          <w:spacing w:val="11"/>
          <w:sz w:val="17"/>
        </w:rPr>
        <w:t> </w:t>
      </w:r>
      <w:r>
        <w:rPr>
          <w:w w:val="65"/>
          <w:sz w:val="17"/>
        </w:rPr>
        <w:t>crianza</w:t>
      </w:r>
      <w:r>
        <w:rPr>
          <w:spacing w:val="12"/>
          <w:sz w:val="17"/>
        </w:rPr>
        <w:t> </w:t>
      </w:r>
      <w:r>
        <w:rPr>
          <w:w w:val="65"/>
          <w:sz w:val="17"/>
        </w:rPr>
        <w:t>cariñosa,</w:t>
      </w:r>
      <w:r>
        <w:rPr>
          <w:spacing w:val="1"/>
          <w:w w:val="65"/>
          <w:sz w:val="17"/>
        </w:rPr>
        <w:t> </w:t>
      </w:r>
      <w:r>
        <w:rPr>
          <w:w w:val="70"/>
          <w:sz w:val="17"/>
        </w:rPr>
        <w:t>la protección infantil y las relaciones equitativas de género</w:t>
      </w:r>
      <w:r>
        <w:rPr>
          <w:spacing w:val="1"/>
          <w:w w:val="70"/>
          <w:sz w:val="17"/>
        </w:rPr>
        <w:t> </w:t>
      </w:r>
      <w:r>
        <w:rPr>
          <w:w w:val="65"/>
          <w:sz w:val="17"/>
        </w:rPr>
        <w:t>con</w:t>
      </w:r>
      <w:r>
        <w:rPr>
          <w:spacing w:val="5"/>
          <w:w w:val="65"/>
          <w:sz w:val="17"/>
        </w:rPr>
        <w:t> </w:t>
      </w:r>
      <w:r>
        <w:rPr>
          <w:w w:val="65"/>
          <w:sz w:val="17"/>
        </w:rPr>
        <w:t>pertenencia</w:t>
      </w:r>
      <w:r>
        <w:rPr>
          <w:spacing w:val="5"/>
          <w:w w:val="65"/>
          <w:sz w:val="17"/>
        </w:rPr>
        <w:t> </w:t>
      </w:r>
      <w:r>
        <w:rPr>
          <w:w w:val="65"/>
          <w:sz w:val="17"/>
        </w:rPr>
        <w:t>étnica</w:t>
      </w:r>
      <w:r>
        <w:rPr>
          <w:spacing w:val="6"/>
          <w:w w:val="65"/>
          <w:sz w:val="17"/>
        </w:rPr>
        <w:t> </w:t>
      </w:r>
      <w:r>
        <w:rPr>
          <w:w w:val="65"/>
          <w:sz w:val="17"/>
        </w:rPr>
        <w:t>y</w:t>
      </w:r>
      <w:r>
        <w:rPr>
          <w:spacing w:val="4"/>
          <w:w w:val="65"/>
          <w:sz w:val="17"/>
        </w:rPr>
        <w:t> </w:t>
      </w:r>
      <w:r>
        <w:rPr>
          <w:w w:val="65"/>
          <w:sz w:val="17"/>
        </w:rPr>
        <w:t>cultural</w:t>
      </w:r>
      <w:r>
        <w:rPr>
          <w:spacing w:val="5"/>
          <w:w w:val="65"/>
          <w:sz w:val="17"/>
        </w:rPr>
        <w:t> </w:t>
      </w:r>
      <w:r>
        <w:rPr>
          <w:w w:val="65"/>
          <w:sz w:val="17"/>
        </w:rPr>
        <w:t>de</w:t>
      </w:r>
      <w:r>
        <w:rPr>
          <w:spacing w:val="5"/>
          <w:w w:val="65"/>
          <w:sz w:val="17"/>
        </w:rPr>
        <w:t> </w:t>
      </w:r>
      <w:r>
        <w:rPr>
          <w:w w:val="65"/>
          <w:sz w:val="17"/>
        </w:rPr>
        <w:t>los</w:t>
      </w:r>
      <w:r>
        <w:rPr>
          <w:spacing w:val="5"/>
          <w:w w:val="65"/>
          <w:sz w:val="17"/>
        </w:rPr>
        <w:t> </w:t>
      </w:r>
      <w:r>
        <w:rPr>
          <w:w w:val="65"/>
          <w:sz w:val="17"/>
        </w:rPr>
        <w:t>territorios.</w:t>
      </w:r>
    </w:p>
    <w:p>
      <w:pPr>
        <w:pStyle w:val="BodyText"/>
        <w:spacing w:before="4"/>
        <w:rPr>
          <w:sz w:val="16"/>
        </w:rPr>
      </w:pPr>
    </w:p>
    <w:p>
      <w:pPr>
        <w:pStyle w:val="ListParagraph"/>
        <w:numPr>
          <w:ilvl w:val="0"/>
          <w:numId w:val="15"/>
        </w:numPr>
        <w:tabs>
          <w:tab w:pos="290" w:val="left" w:leader="none"/>
        </w:tabs>
        <w:spacing w:line="244" w:lineRule="auto" w:before="1" w:after="0"/>
        <w:ind w:left="285" w:right="38" w:hanging="128"/>
        <w:jc w:val="both"/>
        <w:rPr>
          <w:rFonts w:ascii="Courier New" w:hAnsi="Courier New"/>
          <w:sz w:val="17"/>
        </w:rPr>
      </w:pPr>
      <w:r>
        <w:rPr>
          <w:w w:val="65"/>
          <w:sz w:val="17"/>
        </w:rPr>
        <w:t>Cualificar y fortalecer los conocimiento de los docentes en la</w:t>
      </w:r>
      <w:r>
        <w:rPr>
          <w:spacing w:val="1"/>
          <w:w w:val="65"/>
          <w:sz w:val="17"/>
        </w:rPr>
        <w:t> </w:t>
      </w:r>
      <w:r>
        <w:rPr>
          <w:w w:val="70"/>
          <w:sz w:val="17"/>
        </w:rPr>
        <w:t>crianza cariñosa, protección infantil y relaciones equitativas</w:t>
      </w:r>
      <w:r>
        <w:rPr>
          <w:spacing w:val="1"/>
          <w:w w:val="70"/>
          <w:sz w:val="17"/>
        </w:rPr>
        <w:t> </w:t>
      </w:r>
      <w:r>
        <w:rPr>
          <w:w w:val="65"/>
          <w:sz w:val="17"/>
        </w:rPr>
        <w:t>de</w:t>
      </w:r>
      <w:r>
        <w:rPr>
          <w:spacing w:val="12"/>
          <w:w w:val="65"/>
          <w:sz w:val="17"/>
        </w:rPr>
        <w:t> </w:t>
      </w:r>
      <w:r>
        <w:rPr>
          <w:w w:val="65"/>
          <w:sz w:val="17"/>
        </w:rPr>
        <w:t>género</w:t>
      </w:r>
      <w:r>
        <w:rPr>
          <w:spacing w:val="14"/>
          <w:w w:val="65"/>
          <w:sz w:val="17"/>
        </w:rPr>
        <w:t> </w:t>
      </w:r>
      <w:r>
        <w:rPr>
          <w:w w:val="65"/>
          <w:sz w:val="17"/>
        </w:rPr>
        <w:t>con</w:t>
      </w:r>
      <w:r>
        <w:rPr>
          <w:spacing w:val="12"/>
          <w:w w:val="65"/>
          <w:sz w:val="17"/>
        </w:rPr>
        <w:t> </w:t>
      </w:r>
      <w:r>
        <w:rPr>
          <w:w w:val="65"/>
          <w:sz w:val="17"/>
        </w:rPr>
        <w:t>pertinencia</w:t>
      </w:r>
      <w:r>
        <w:rPr>
          <w:spacing w:val="12"/>
          <w:w w:val="65"/>
          <w:sz w:val="17"/>
        </w:rPr>
        <w:t> </w:t>
      </w:r>
      <w:r>
        <w:rPr>
          <w:w w:val="65"/>
          <w:sz w:val="17"/>
        </w:rPr>
        <w:t>étnica</w:t>
      </w:r>
      <w:r>
        <w:rPr>
          <w:spacing w:val="12"/>
          <w:w w:val="65"/>
          <w:sz w:val="17"/>
        </w:rPr>
        <w:t> </w:t>
      </w:r>
      <w:r>
        <w:rPr>
          <w:w w:val="65"/>
          <w:sz w:val="17"/>
        </w:rPr>
        <w:t>y</w:t>
      </w:r>
      <w:r>
        <w:rPr>
          <w:spacing w:val="14"/>
          <w:w w:val="65"/>
          <w:sz w:val="17"/>
        </w:rPr>
        <w:t> </w:t>
      </w:r>
      <w:r>
        <w:rPr>
          <w:w w:val="65"/>
          <w:sz w:val="17"/>
        </w:rPr>
        <w:t>cultural</w:t>
      </w:r>
      <w:r>
        <w:rPr>
          <w:spacing w:val="12"/>
          <w:w w:val="65"/>
          <w:sz w:val="17"/>
        </w:rPr>
        <w:t> </w:t>
      </w:r>
      <w:r>
        <w:rPr>
          <w:w w:val="65"/>
          <w:sz w:val="17"/>
        </w:rPr>
        <w:t>de</w:t>
      </w:r>
      <w:r>
        <w:rPr>
          <w:spacing w:val="13"/>
          <w:w w:val="65"/>
          <w:sz w:val="17"/>
        </w:rPr>
        <w:t> </w:t>
      </w:r>
      <w:r>
        <w:rPr>
          <w:w w:val="65"/>
          <w:sz w:val="17"/>
        </w:rPr>
        <w:t>los</w:t>
      </w:r>
      <w:r>
        <w:rPr>
          <w:spacing w:val="12"/>
          <w:w w:val="65"/>
          <w:sz w:val="17"/>
        </w:rPr>
        <w:t> </w:t>
      </w:r>
      <w:r>
        <w:rPr>
          <w:w w:val="65"/>
          <w:sz w:val="17"/>
        </w:rPr>
        <w:t>territorios.</w:t>
      </w:r>
    </w:p>
    <w:p>
      <w:pPr>
        <w:spacing w:before="71"/>
        <w:ind w:left="665" w:right="1494" w:firstLine="0"/>
        <w:jc w:val="center"/>
        <w:rPr>
          <w:b/>
          <w:sz w:val="17"/>
        </w:rPr>
      </w:pPr>
      <w:r>
        <w:rPr/>
        <w:br w:type="column"/>
      </w:r>
      <w:r>
        <w:rPr>
          <w:b/>
          <w:w w:val="65"/>
          <w:sz w:val="17"/>
        </w:rPr>
        <w:t>Priorizar</w:t>
      </w:r>
      <w:r>
        <w:rPr>
          <w:b/>
          <w:spacing w:val="1"/>
          <w:w w:val="65"/>
          <w:sz w:val="17"/>
        </w:rPr>
        <w:t> </w:t>
      </w:r>
      <w:r>
        <w:rPr>
          <w:b/>
          <w:w w:val="65"/>
          <w:sz w:val="17"/>
        </w:rPr>
        <w:t>territorialmente</w:t>
      </w:r>
      <w:r>
        <w:rPr>
          <w:b/>
          <w:spacing w:val="1"/>
          <w:w w:val="65"/>
          <w:sz w:val="17"/>
        </w:rPr>
        <w:t> </w:t>
      </w:r>
      <w:r>
        <w:rPr>
          <w:b/>
          <w:w w:val="65"/>
          <w:sz w:val="17"/>
        </w:rPr>
        <w:t>la</w:t>
      </w:r>
      <w:r>
        <w:rPr>
          <w:b/>
          <w:spacing w:val="1"/>
          <w:w w:val="65"/>
          <w:sz w:val="17"/>
        </w:rPr>
        <w:t> </w:t>
      </w:r>
      <w:r>
        <w:rPr>
          <w:b/>
          <w:w w:val="65"/>
          <w:sz w:val="17"/>
        </w:rPr>
        <w:t>cobertura</w:t>
      </w:r>
      <w:r>
        <w:rPr>
          <w:b/>
          <w:spacing w:val="1"/>
          <w:w w:val="65"/>
          <w:sz w:val="17"/>
        </w:rPr>
        <w:t> </w:t>
      </w:r>
      <w:r>
        <w:rPr>
          <w:b/>
          <w:w w:val="65"/>
          <w:sz w:val="17"/>
        </w:rPr>
        <w:t>del</w:t>
      </w:r>
      <w:r>
        <w:rPr>
          <w:b/>
          <w:spacing w:val="1"/>
          <w:w w:val="65"/>
          <w:sz w:val="17"/>
        </w:rPr>
        <w:t> </w:t>
      </w:r>
      <w:r>
        <w:rPr>
          <w:b/>
          <w:w w:val="65"/>
          <w:sz w:val="17"/>
        </w:rPr>
        <w:t>nivel</w:t>
      </w:r>
      <w:r>
        <w:rPr>
          <w:b/>
          <w:spacing w:val="-22"/>
          <w:w w:val="65"/>
          <w:sz w:val="17"/>
        </w:rPr>
        <w:t> </w:t>
      </w:r>
      <w:r>
        <w:rPr>
          <w:b/>
          <w:w w:val="80"/>
          <w:sz w:val="17"/>
        </w:rPr>
        <w:t>preprimario</w:t>
      </w:r>
    </w:p>
    <w:p>
      <w:pPr>
        <w:pStyle w:val="BodyText"/>
        <w:spacing w:before="2"/>
        <w:rPr>
          <w:b/>
          <w:sz w:val="18"/>
        </w:rPr>
      </w:pPr>
    </w:p>
    <w:p>
      <w:pPr>
        <w:pStyle w:val="ListParagraph"/>
        <w:numPr>
          <w:ilvl w:val="1"/>
          <w:numId w:val="15"/>
        </w:numPr>
        <w:tabs>
          <w:tab w:pos="720" w:val="left" w:leader="none"/>
        </w:tabs>
        <w:spacing w:line="244" w:lineRule="auto" w:before="1" w:after="0"/>
        <w:ind w:left="712" w:right="1324" w:hanging="216"/>
        <w:jc w:val="both"/>
        <w:rPr>
          <w:rFonts w:ascii="Courier New" w:hAnsi="Courier New"/>
          <w:sz w:val="17"/>
        </w:rPr>
      </w:pPr>
      <w:r>
        <w:rPr>
          <w:w w:val="75"/>
          <w:sz w:val="17"/>
        </w:rPr>
        <w:t>Establecer</w:t>
      </w:r>
      <w:r>
        <w:rPr>
          <w:spacing w:val="1"/>
          <w:w w:val="75"/>
          <w:sz w:val="17"/>
        </w:rPr>
        <w:t> </w:t>
      </w:r>
      <w:r>
        <w:rPr>
          <w:w w:val="75"/>
          <w:sz w:val="17"/>
        </w:rPr>
        <w:t>un</w:t>
      </w:r>
      <w:r>
        <w:rPr>
          <w:spacing w:val="1"/>
          <w:w w:val="75"/>
          <w:sz w:val="17"/>
        </w:rPr>
        <w:t> </w:t>
      </w:r>
      <w:r>
        <w:rPr>
          <w:w w:val="75"/>
          <w:sz w:val="17"/>
        </w:rPr>
        <w:t>Sistema</w:t>
      </w:r>
      <w:r>
        <w:rPr>
          <w:spacing w:val="1"/>
          <w:w w:val="75"/>
          <w:sz w:val="17"/>
        </w:rPr>
        <w:t> </w:t>
      </w:r>
      <w:r>
        <w:rPr>
          <w:w w:val="75"/>
          <w:sz w:val="17"/>
        </w:rPr>
        <w:t>de</w:t>
      </w:r>
      <w:r>
        <w:rPr>
          <w:spacing w:val="1"/>
          <w:w w:val="75"/>
          <w:sz w:val="17"/>
        </w:rPr>
        <w:t> </w:t>
      </w:r>
      <w:r>
        <w:rPr>
          <w:w w:val="75"/>
          <w:sz w:val="17"/>
        </w:rPr>
        <w:t>seguimiento</w:t>
      </w:r>
      <w:r>
        <w:rPr>
          <w:spacing w:val="1"/>
          <w:w w:val="75"/>
          <w:sz w:val="17"/>
        </w:rPr>
        <w:t> </w:t>
      </w:r>
      <w:r>
        <w:rPr>
          <w:w w:val="75"/>
          <w:sz w:val="17"/>
        </w:rPr>
        <w:t>y</w:t>
      </w:r>
      <w:r>
        <w:rPr>
          <w:spacing w:val="1"/>
          <w:w w:val="75"/>
          <w:sz w:val="17"/>
        </w:rPr>
        <w:t> </w:t>
      </w:r>
      <w:r>
        <w:rPr>
          <w:w w:val="75"/>
          <w:sz w:val="17"/>
        </w:rPr>
        <w:t>monitoreo</w:t>
      </w:r>
      <w:r>
        <w:rPr>
          <w:spacing w:val="1"/>
          <w:w w:val="75"/>
          <w:sz w:val="17"/>
        </w:rPr>
        <w:t> </w:t>
      </w:r>
      <w:r>
        <w:rPr>
          <w:w w:val="75"/>
          <w:sz w:val="17"/>
        </w:rPr>
        <w:t>de cobertura escolar del nivel</w:t>
      </w:r>
      <w:r>
        <w:rPr>
          <w:spacing w:val="1"/>
          <w:w w:val="75"/>
          <w:sz w:val="17"/>
        </w:rPr>
        <w:t> </w:t>
      </w:r>
      <w:r>
        <w:rPr>
          <w:w w:val="70"/>
          <w:sz w:val="17"/>
        </w:rPr>
        <w:t>preprimario que integre prácticas culturales y</w:t>
      </w:r>
      <w:r>
        <w:rPr>
          <w:spacing w:val="1"/>
          <w:w w:val="70"/>
          <w:sz w:val="17"/>
        </w:rPr>
        <w:t> </w:t>
      </w:r>
      <w:r>
        <w:rPr>
          <w:w w:val="65"/>
          <w:sz w:val="17"/>
        </w:rPr>
        <w:t>lingüísticas</w:t>
      </w:r>
      <w:r>
        <w:rPr>
          <w:spacing w:val="10"/>
          <w:w w:val="65"/>
          <w:sz w:val="17"/>
        </w:rPr>
        <w:t> </w:t>
      </w:r>
      <w:r>
        <w:rPr>
          <w:w w:val="65"/>
          <w:sz w:val="17"/>
        </w:rPr>
        <w:t>adaptado</w:t>
      </w:r>
      <w:r>
        <w:rPr>
          <w:spacing w:val="3"/>
          <w:w w:val="65"/>
          <w:sz w:val="17"/>
        </w:rPr>
        <w:t> </w:t>
      </w:r>
      <w:r>
        <w:rPr>
          <w:w w:val="65"/>
          <w:sz w:val="17"/>
        </w:rPr>
        <w:t>a</w:t>
      </w:r>
      <w:r>
        <w:rPr>
          <w:spacing w:val="5"/>
          <w:w w:val="65"/>
          <w:sz w:val="17"/>
        </w:rPr>
        <w:t> </w:t>
      </w:r>
      <w:r>
        <w:rPr>
          <w:w w:val="65"/>
          <w:sz w:val="17"/>
        </w:rPr>
        <w:t>cada</w:t>
      </w:r>
      <w:r>
        <w:rPr>
          <w:spacing w:val="6"/>
          <w:w w:val="65"/>
          <w:sz w:val="17"/>
        </w:rPr>
        <w:t> </w:t>
      </w:r>
      <w:r>
        <w:rPr>
          <w:w w:val="65"/>
          <w:sz w:val="17"/>
        </w:rPr>
        <w:t>territorio.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1"/>
          <w:numId w:val="15"/>
        </w:numPr>
        <w:tabs>
          <w:tab w:pos="718" w:val="left" w:leader="none"/>
        </w:tabs>
        <w:spacing w:line="244" w:lineRule="auto" w:before="0" w:after="0"/>
        <w:ind w:left="712" w:right="1324" w:hanging="216"/>
        <w:jc w:val="both"/>
        <w:rPr>
          <w:rFonts w:ascii="Courier New" w:hAnsi="Courier New"/>
          <w:sz w:val="17"/>
        </w:rPr>
      </w:pPr>
      <w:r>
        <w:rPr>
          <w:w w:val="70"/>
          <w:sz w:val="17"/>
        </w:rPr>
        <w:t>Diseñar un Sistema de Alerta temprana sobre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riesgo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de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deserción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a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nivel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preprimaria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para</w:t>
      </w:r>
      <w:r>
        <w:rPr>
          <w:spacing w:val="1"/>
          <w:w w:val="70"/>
          <w:sz w:val="17"/>
        </w:rPr>
        <w:t> </w:t>
      </w:r>
      <w:r>
        <w:rPr>
          <w:w w:val="65"/>
          <w:sz w:val="17"/>
        </w:rPr>
        <w:t>activar</w:t>
      </w:r>
      <w:r>
        <w:rPr>
          <w:spacing w:val="2"/>
          <w:w w:val="65"/>
          <w:sz w:val="17"/>
        </w:rPr>
        <w:t> </w:t>
      </w:r>
      <w:r>
        <w:rPr>
          <w:w w:val="65"/>
          <w:sz w:val="17"/>
        </w:rPr>
        <w:t>mecanismos</w:t>
      </w:r>
      <w:r>
        <w:rPr>
          <w:spacing w:val="5"/>
          <w:w w:val="65"/>
          <w:sz w:val="17"/>
        </w:rPr>
        <w:t> </w:t>
      </w:r>
      <w:r>
        <w:rPr>
          <w:w w:val="65"/>
          <w:sz w:val="17"/>
        </w:rPr>
        <w:t>de</w:t>
      </w:r>
      <w:r>
        <w:rPr>
          <w:spacing w:val="3"/>
          <w:w w:val="65"/>
          <w:sz w:val="17"/>
        </w:rPr>
        <w:t> </w:t>
      </w:r>
      <w:r>
        <w:rPr>
          <w:w w:val="65"/>
          <w:sz w:val="17"/>
        </w:rPr>
        <w:t>respuesta.</w:t>
      </w: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1"/>
          <w:numId w:val="15"/>
        </w:numPr>
        <w:tabs>
          <w:tab w:pos="718" w:val="left" w:leader="none"/>
        </w:tabs>
        <w:spacing w:line="244" w:lineRule="auto" w:before="1" w:after="0"/>
        <w:ind w:left="712" w:right="1324" w:hanging="216"/>
        <w:jc w:val="both"/>
        <w:rPr>
          <w:rFonts w:ascii="Courier New" w:hAnsi="Courier New"/>
          <w:sz w:val="17"/>
        </w:rPr>
      </w:pPr>
      <w:r>
        <w:rPr>
          <w:w w:val="65"/>
          <w:sz w:val="17"/>
        </w:rPr>
        <w:t>Implementar</w:t>
      </w:r>
      <w:r>
        <w:rPr>
          <w:spacing w:val="11"/>
          <w:sz w:val="17"/>
        </w:rPr>
        <w:t> </w:t>
      </w:r>
      <w:r>
        <w:rPr>
          <w:w w:val="65"/>
          <w:sz w:val="17"/>
        </w:rPr>
        <w:t>estrategias</w:t>
      </w:r>
      <w:r>
        <w:rPr>
          <w:spacing w:val="12"/>
          <w:sz w:val="17"/>
        </w:rPr>
        <w:t> </w:t>
      </w:r>
      <w:r>
        <w:rPr>
          <w:w w:val="65"/>
          <w:sz w:val="17"/>
        </w:rPr>
        <w:t>de</w:t>
      </w:r>
      <w:r>
        <w:rPr>
          <w:spacing w:val="11"/>
          <w:sz w:val="17"/>
        </w:rPr>
        <w:t> </w:t>
      </w:r>
      <w:r>
        <w:rPr>
          <w:w w:val="65"/>
          <w:sz w:val="17"/>
        </w:rPr>
        <w:t>información</w:t>
      </w:r>
      <w:r>
        <w:rPr>
          <w:spacing w:val="12"/>
          <w:sz w:val="17"/>
        </w:rPr>
        <w:t> </w:t>
      </w:r>
      <w:r>
        <w:rPr>
          <w:w w:val="65"/>
          <w:sz w:val="17"/>
        </w:rPr>
        <w:t>dirigida</w:t>
      </w:r>
      <w:r>
        <w:rPr>
          <w:spacing w:val="1"/>
          <w:w w:val="65"/>
          <w:sz w:val="17"/>
        </w:rPr>
        <w:t> </w:t>
      </w:r>
      <w:r>
        <w:rPr>
          <w:w w:val="70"/>
          <w:sz w:val="17"/>
        </w:rPr>
        <w:t>a personas adultas sobre la importancia de la</w:t>
      </w:r>
      <w:r>
        <w:rPr>
          <w:spacing w:val="1"/>
          <w:w w:val="70"/>
          <w:sz w:val="17"/>
        </w:rPr>
        <w:t> </w:t>
      </w:r>
      <w:r>
        <w:rPr>
          <w:w w:val="65"/>
          <w:sz w:val="17"/>
        </w:rPr>
        <w:t>educación</w:t>
      </w:r>
      <w:r>
        <w:rPr>
          <w:spacing w:val="13"/>
          <w:w w:val="65"/>
          <w:sz w:val="17"/>
        </w:rPr>
        <w:t> </w:t>
      </w:r>
      <w:r>
        <w:rPr>
          <w:w w:val="65"/>
          <w:sz w:val="17"/>
        </w:rPr>
        <w:t>preprimaria</w:t>
      </w:r>
      <w:r>
        <w:rPr>
          <w:spacing w:val="13"/>
          <w:w w:val="65"/>
          <w:sz w:val="17"/>
        </w:rPr>
        <w:t> </w:t>
      </w:r>
      <w:r>
        <w:rPr>
          <w:w w:val="65"/>
          <w:sz w:val="17"/>
        </w:rPr>
        <w:t>en</w:t>
      </w:r>
      <w:r>
        <w:rPr>
          <w:spacing w:val="14"/>
          <w:w w:val="65"/>
          <w:sz w:val="17"/>
        </w:rPr>
        <w:t> </w:t>
      </w:r>
      <w:r>
        <w:rPr>
          <w:w w:val="65"/>
          <w:sz w:val="17"/>
        </w:rPr>
        <w:t>la</w:t>
      </w:r>
      <w:r>
        <w:rPr>
          <w:spacing w:val="14"/>
          <w:w w:val="65"/>
          <w:sz w:val="17"/>
        </w:rPr>
        <w:t> </w:t>
      </w:r>
      <w:r>
        <w:rPr>
          <w:w w:val="65"/>
          <w:sz w:val="17"/>
        </w:rPr>
        <w:t>formación</w:t>
      </w:r>
      <w:r>
        <w:rPr>
          <w:spacing w:val="14"/>
          <w:w w:val="65"/>
          <w:sz w:val="17"/>
        </w:rPr>
        <w:t> </w:t>
      </w:r>
      <w:r>
        <w:rPr>
          <w:w w:val="65"/>
          <w:sz w:val="17"/>
        </w:rPr>
        <w:t>infantil.</w:t>
      </w:r>
    </w:p>
    <w:p>
      <w:pPr>
        <w:spacing w:after="0" w:line="244" w:lineRule="auto"/>
        <w:jc w:val="both"/>
        <w:rPr>
          <w:rFonts w:ascii="Courier New" w:hAnsi="Courier New"/>
          <w:sz w:val="17"/>
        </w:rPr>
        <w:sectPr>
          <w:type w:val="continuous"/>
          <w:pgSz w:w="12240" w:h="15840"/>
          <w:pgMar w:top="340" w:bottom="280" w:left="1140" w:right="340"/>
          <w:cols w:num="3" w:equalWidth="0">
            <w:col w:w="3047" w:space="40"/>
            <w:col w:w="3260" w:space="54"/>
            <w:col w:w="435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4515968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0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0"/>
        <w:ind w:left="278" w:right="0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propia,</w:t>
      </w:r>
      <w:r>
        <w:rPr>
          <w:spacing w:val="-2"/>
          <w:sz w:val="20"/>
        </w:rPr>
        <w:t> </w:t>
      </w:r>
      <w:r>
        <w:rPr>
          <w:sz w:val="20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3"/>
        <w:numPr>
          <w:ilvl w:val="1"/>
          <w:numId w:val="7"/>
        </w:numPr>
        <w:tabs>
          <w:tab w:pos="998" w:val="left" w:leader="none"/>
          <w:tab w:pos="999" w:val="left" w:leader="none"/>
        </w:tabs>
        <w:spacing w:line="240" w:lineRule="auto" w:before="0" w:after="0"/>
        <w:ind w:left="638" w:right="1080" w:hanging="360"/>
        <w:jc w:val="left"/>
      </w:pPr>
      <w:bookmarkStart w:name="_bookmark121" w:id="175"/>
      <w:bookmarkEnd w:id="175"/>
      <w:r>
        <w:rPr>
          <w:b w:val="0"/>
        </w:rPr>
      </w:r>
      <w:bookmarkStart w:name="_bookmark121" w:id="176"/>
      <w:bookmarkEnd w:id="176"/>
      <w:r>
        <w:rPr>
          <w:color w:val="1F4E79"/>
        </w:rPr>
        <w:t>Est</w:t>
      </w:r>
      <w:r>
        <w:rPr>
          <w:color w:val="1F4E79"/>
        </w:rPr>
        <w:t>rategia</w:t>
      </w:r>
      <w:r>
        <w:rPr>
          <w:color w:val="1F4E79"/>
          <w:spacing w:val="-9"/>
        </w:rPr>
        <w:t> </w:t>
      </w:r>
      <w:r>
        <w:rPr>
          <w:color w:val="1F4E79"/>
        </w:rPr>
        <w:t>de</w:t>
      </w:r>
      <w:r>
        <w:rPr>
          <w:color w:val="1F4E79"/>
          <w:spacing w:val="-10"/>
        </w:rPr>
        <w:t> </w:t>
      </w:r>
      <w:r>
        <w:rPr>
          <w:color w:val="1F4E79"/>
        </w:rPr>
        <w:t>cobertura</w:t>
      </w:r>
      <w:r>
        <w:rPr>
          <w:color w:val="1F4E79"/>
          <w:spacing w:val="-11"/>
        </w:rPr>
        <w:t> </w:t>
      </w:r>
      <w:r>
        <w:rPr>
          <w:color w:val="1F4E79"/>
        </w:rPr>
        <w:t>educativa</w:t>
      </w:r>
      <w:r>
        <w:rPr>
          <w:color w:val="1F4E79"/>
          <w:spacing w:val="-9"/>
        </w:rPr>
        <w:t> </w:t>
      </w:r>
      <w:r>
        <w:rPr>
          <w:color w:val="1F4E79"/>
        </w:rPr>
        <w:t>para</w:t>
      </w:r>
      <w:r>
        <w:rPr>
          <w:color w:val="1F4E79"/>
          <w:spacing w:val="-10"/>
        </w:rPr>
        <w:t> </w:t>
      </w:r>
      <w:r>
        <w:rPr>
          <w:color w:val="1F4E79"/>
        </w:rPr>
        <w:t>el</w:t>
      </w:r>
      <w:r>
        <w:rPr>
          <w:color w:val="1F4E79"/>
          <w:spacing w:val="-10"/>
        </w:rPr>
        <w:t> </w:t>
      </w:r>
      <w:r>
        <w:rPr>
          <w:color w:val="1F4E79"/>
        </w:rPr>
        <w:t>Nivel</w:t>
      </w:r>
      <w:r>
        <w:rPr>
          <w:color w:val="1F4E79"/>
          <w:spacing w:val="-9"/>
        </w:rPr>
        <w:t> </w:t>
      </w:r>
      <w:r>
        <w:rPr>
          <w:color w:val="1F4E79"/>
        </w:rPr>
        <w:t>de</w:t>
      </w:r>
      <w:r>
        <w:rPr>
          <w:color w:val="1F4E79"/>
          <w:spacing w:val="-8"/>
        </w:rPr>
        <w:t> </w:t>
      </w:r>
      <w:r>
        <w:rPr>
          <w:color w:val="1F4E79"/>
        </w:rPr>
        <w:t>Educación</w:t>
      </w:r>
      <w:r>
        <w:rPr>
          <w:color w:val="1F4E79"/>
          <w:spacing w:val="-8"/>
        </w:rPr>
        <w:t> </w:t>
      </w:r>
      <w:r>
        <w:rPr>
          <w:color w:val="1F4E79"/>
        </w:rPr>
        <w:t>Primaria:</w:t>
      </w:r>
      <w:r>
        <w:rPr>
          <w:color w:val="1F4E79"/>
          <w:spacing w:val="-9"/>
        </w:rPr>
        <w:t> </w:t>
      </w:r>
      <w:r>
        <w:rPr>
          <w:color w:val="1F4E79"/>
        </w:rPr>
        <w:t>Incorporación</w:t>
      </w:r>
      <w:r>
        <w:rPr>
          <w:color w:val="1F4E79"/>
          <w:spacing w:val="-9"/>
        </w:rPr>
        <w:t> </w:t>
      </w:r>
      <w:r>
        <w:rPr>
          <w:color w:val="1F4E79"/>
        </w:rPr>
        <w:t>de</w:t>
      </w:r>
      <w:r>
        <w:rPr>
          <w:color w:val="1F4E79"/>
          <w:spacing w:val="-51"/>
        </w:rPr>
        <w:t> </w:t>
      </w:r>
      <w:r>
        <w:rPr>
          <w:color w:val="1F4E79"/>
        </w:rPr>
        <w:t>las</w:t>
      </w:r>
      <w:r>
        <w:rPr>
          <w:color w:val="1F4E79"/>
          <w:spacing w:val="-1"/>
        </w:rPr>
        <w:t> </w:t>
      </w:r>
      <w:r>
        <w:rPr>
          <w:color w:val="1F4E79"/>
        </w:rPr>
        <w:t>prácticas</w:t>
      </w:r>
      <w:r>
        <w:rPr>
          <w:color w:val="1F4E79"/>
          <w:spacing w:val="-1"/>
        </w:rPr>
        <w:t> </w:t>
      </w:r>
      <w:r>
        <w:rPr>
          <w:color w:val="1F4E79"/>
        </w:rPr>
        <w:t>culturales</w:t>
      </w:r>
      <w:r>
        <w:rPr>
          <w:color w:val="1F4E79"/>
          <w:spacing w:val="-3"/>
        </w:rPr>
        <w:t> </w:t>
      </w:r>
      <w:r>
        <w:rPr>
          <w:color w:val="1F4E79"/>
        </w:rPr>
        <w:t>sociales</w:t>
      </w:r>
      <w:r>
        <w:rPr>
          <w:color w:val="1F4E79"/>
          <w:spacing w:val="-1"/>
        </w:rPr>
        <w:t> </w:t>
      </w:r>
      <w:r>
        <w:rPr>
          <w:color w:val="1F4E79"/>
        </w:rPr>
        <w:t>y</w:t>
      </w:r>
      <w:r>
        <w:rPr>
          <w:color w:val="1F4E79"/>
          <w:spacing w:val="-2"/>
        </w:rPr>
        <w:t> </w:t>
      </w:r>
      <w:r>
        <w:rPr>
          <w:color w:val="1F4E79"/>
        </w:rPr>
        <w:t>de</w:t>
      </w:r>
      <w:r>
        <w:rPr>
          <w:color w:val="1F4E79"/>
          <w:spacing w:val="-2"/>
        </w:rPr>
        <w:t> </w:t>
      </w:r>
      <w:r>
        <w:rPr>
          <w:color w:val="1F4E79"/>
        </w:rPr>
        <w:t>género</w:t>
      </w:r>
      <w:r>
        <w:rPr>
          <w:color w:val="1F4E79"/>
          <w:spacing w:val="-3"/>
        </w:rPr>
        <w:t> </w:t>
      </w:r>
      <w:r>
        <w:rPr>
          <w:color w:val="1F4E79"/>
        </w:rPr>
        <w:t>en el</w:t>
      </w:r>
      <w:r>
        <w:rPr>
          <w:color w:val="1F4E79"/>
          <w:spacing w:val="-2"/>
        </w:rPr>
        <w:t> </w:t>
      </w:r>
      <w:r>
        <w:rPr>
          <w:color w:val="1F4E79"/>
        </w:rPr>
        <w:t>Nivel de</w:t>
      </w:r>
      <w:r>
        <w:rPr>
          <w:color w:val="1F4E79"/>
          <w:spacing w:val="-4"/>
        </w:rPr>
        <w:t> </w:t>
      </w:r>
      <w:r>
        <w:rPr>
          <w:color w:val="1F4E79"/>
        </w:rPr>
        <w:t>Educación</w:t>
      </w:r>
      <w:r>
        <w:rPr>
          <w:color w:val="1F4E79"/>
          <w:spacing w:val="-2"/>
        </w:rPr>
        <w:t> </w:t>
      </w:r>
      <w:r>
        <w:rPr>
          <w:color w:val="1F4E79"/>
        </w:rPr>
        <w:t>Primaria</w:t>
      </w:r>
    </w:p>
    <w:p>
      <w:pPr>
        <w:pStyle w:val="BodyText"/>
        <w:rPr>
          <w:b/>
          <w:sz w:val="24"/>
        </w:rPr>
      </w:pPr>
    </w:p>
    <w:p>
      <w:pPr>
        <w:spacing w:before="187"/>
        <w:ind w:left="278" w:right="1078" w:firstLine="0"/>
        <w:jc w:val="both"/>
        <w:rPr>
          <w:sz w:val="24"/>
        </w:rPr>
      </w:pPr>
      <w:r>
        <w:rPr>
          <w:sz w:val="24"/>
        </w:rPr>
        <w:t>Constitucionalmente, la educación primaria está regida por derechos que aseguren el desarrollo</w:t>
      </w:r>
      <w:r>
        <w:rPr>
          <w:spacing w:val="-52"/>
          <w:sz w:val="24"/>
        </w:rPr>
        <w:t> </w:t>
      </w:r>
      <w:r>
        <w:rPr>
          <w:sz w:val="24"/>
        </w:rPr>
        <w:t>cognitivo, emocional y social del ser humano, desde la atención en salud, nutrición y educación</w:t>
      </w:r>
      <w:r>
        <w:rPr>
          <w:spacing w:val="1"/>
          <w:sz w:val="24"/>
        </w:rPr>
        <w:t> </w:t>
      </w:r>
      <w:r>
        <w:rPr>
          <w:sz w:val="24"/>
        </w:rPr>
        <w:t>inicial, entre</w:t>
      </w:r>
      <w:r>
        <w:rPr>
          <w:spacing w:val="-1"/>
          <w:sz w:val="24"/>
        </w:rPr>
        <w:t> </w:t>
      </w:r>
      <w:r>
        <w:rPr>
          <w:sz w:val="24"/>
        </w:rPr>
        <w:t>otros.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pict>
          <v:rect style="position:absolute;margin-left:563.880005pt;margin-top:11.899919pt;width:25.44pt;height:1.4399pt;mso-position-horizontal-relative:page;mso-position-vertical-relative:paragraph;z-index:-1552537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312" w:lineRule="exact" w:before="0" w:after="22"/>
        <w:ind w:left="0" w:right="211" w:firstLine="0"/>
        <w:jc w:val="right"/>
        <w:rPr>
          <w:rFonts w:ascii="Arial MT"/>
          <w:sz w:val="28"/>
        </w:rPr>
      </w:pPr>
      <w:r>
        <w:rPr>
          <w:rFonts w:ascii="Arial MT"/>
          <w:sz w:val="28"/>
        </w:rPr>
        <w:t>98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type w:val="continuous"/>
          <w:pgSz w:w="12240" w:h="15840"/>
          <w:pgMar w:top="34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1801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0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spacing w:before="52"/>
        <w:ind w:left="278" w:right="1074" w:firstLine="0"/>
        <w:jc w:val="both"/>
        <w:rPr>
          <w:sz w:val="24"/>
        </w:rPr>
      </w:pPr>
      <w:r>
        <w:rPr>
          <w:sz w:val="24"/>
        </w:rPr>
        <w:t>Por otro lado, al hablar de educación no solo se contempla la enseñanza de las ciencias exactas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garantías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aprendizaje,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necesario</w:t>
      </w:r>
      <w:r>
        <w:rPr>
          <w:spacing w:val="1"/>
          <w:sz w:val="24"/>
        </w:rPr>
        <w:t> </w:t>
      </w:r>
      <w:r>
        <w:rPr>
          <w:sz w:val="24"/>
        </w:rPr>
        <w:t>también</w:t>
      </w:r>
      <w:r>
        <w:rPr>
          <w:spacing w:val="1"/>
          <w:sz w:val="24"/>
        </w:rPr>
        <w:t> </w:t>
      </w:r>
      <w:r>
        <w:rPr>
          <w:sz w:val="24"/>
        </w:rPr>
        <w:t>hablar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aprendizajes</w:t>
      </w:r>
      <w:r>
        <w:rPr>
          <w:spacing w:val="1"/>
          <w:sz w:val="24"/>
        </w:rPr>
        <w:t> </w:t>
      </w:r>
      <w:r>
        <w:rPr>
          <w:sz w:val="24"/>
        </w:rPr>
        <w:t>sociales,</w:t>
      </w:r>
      <w:r>
        <w:rPr>
          <w:spacing w:val="1"/>
          <w:sz w:val="24"/>
        </w:rPr>
        <w:t> </w:t>
      </w:r>
      <w:r>
        <w:rPr>
          <w:sz w:val="24"/>
        </w:rPr>
        <w:t>emocionales,</w:t>
      </w:r>
      <w:r>
        <w:rPr>
          <w:spacing w:val="-3"/>
          <w:sz w:val="24"/>
        </w:rPr>
        <w:t> </w:t>
      </w:r>
      <w:r>
        <w:rPr>
          <w:sz w:val="24"/>
        </w:rPr>
        <w:t>creativos y</w:t>
      </w:r>
      <w:r>
        <w:rPr>
          <w:spacing w:val="-2"/>
          <w:sz w:val="24"/>
        </w:rPr>
        <w:t> </w:t>
      </w:r>
      <w:r>
        <w:rPr>
          <w:sz w:val="24"/>
        </w:rPr>
        <w:t>ciudadanos.</w:t>
      </w:r>
    </w:p>
    <w:p>
      <w:pPr>
        <w:pStyle w:val="BodyText"/>
        <w:spacing w:before="11"/>
        <w:rPr>
          <w:sz w:val="23"/>
        </w:rPr>
      </w:pPr>
    </w:p>
    <w:p>
      <w:pPr>
        <w:spacing w:line="240" w:lineRule="auto" w:before="0"/>
        <w:ind w:left="278" w:right="1071" w:firstLine="0"/>
        <w:jc w:val="both"/>
        <w:rPr>
          <w:sz w:val="24"/>
        </w:rPr>
      </w:pPr>
      <w:r>
        <w:rPr>
          <w:sz w:val="24"/>
        </w:rPr>
        <w:t>Durante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educación</w:t>
      </w:r>
      <w:r>
        <w:rPr>
          <w:spacing w:val="-12"/>
          <w:sz w:val="24"/>
        </w:rPr>
        <w:t> </w:t>
      </w:r>
      <w:r>
        <w:rPr>
          <w:sz w:val="24"/>
        </w:rPr>
        <w:t>primaria,</w:t>
      </w:r>
      <w:r>
        <w:rPr>
          <w:spacing w:val="-11"/>
          <w:sz w:val="24"/>
        </w:rPr>
        <w:t> </w:t>
      </w:r>
      <w:r>
        <w:rPr>
          <w:sz w:val="24"/>
        </w:rPr>
        <w:t>los</w:t>
      </w:r>
      <w:r>
        <w:rPr>
          <w:spacing w:val="-12"/>
          <w:sz w:val="24"/>
        </w:rPr>
        <w:t> </w:t>
      </w:r>
      <w:r>
        <w:rPr>
          <w:sz w:val="24"/>
        </w:rPr>
        <w:t>niños</w:t>
      </w:r>
      <w:r>
        <w:rPr>
          <w:spacing w:val="-13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niñas</w:t>
      </w:r>
      <w:r>
        <w:rPr>
          <w:spacing w:val="-11"/>
          <w:sz w:val="24"/>
        </w:rPr>
        <w:t> </w:t>
      </w:r>
      <w:r>
        <w:rPr>
          <w:sz w:val="24"/>
        </w:rPr>
        <w:t>reúnen</w:t>
      </w:r>
      <w:r>
        <w:rPr>
          <w:spacing w:val="-10"/>
          <w:sz w:val="24"/>
        </w:rPr>
        <w:t> </w:t>
      </w:r>
      <w:r>
        <w:rPr>
          <w:sz w:val="24"/>
        </w:rPr>
        <w:t>las</w:t>
      </w:r>
      <w:r>
        <w:rPr>
          <w:spacing w:val="-12"/>
          <w:sz w:val="24"/>
        </w:rPr>
        <w:t> </w:t>
      </w:r>
      <w:r>
        <w:rPr>
          <w:sz w:val="24"/>
        </w:rPr>
        <w:t>herramientas</w:t>
      </w:r>
      <w:r>
        <w:rPr>
          <w:spacing w:val="-11"/>
          <w:sz w:val="24"/>
        </w:rPr>
        <w:t> </w:t>
      </w:r>
      <w:r>
        <w:rPr>
          <w:sz w:val="24"/>
        </w:rPr>
        <w:t>necesarias</w:t>
      </w:r>
      <w:r>
        <w:rPr>
          <w:spacing w:val="-10"/>
          <w:sz w:val="24"/>
        </w:rPr>
        <w:t> </w:t>
      </w:r>
      <w:r>
        <w:rPr>
          <w:sz w:val="24"/>
        </w:rPr>
        <w:t>para</w:t>
      </w:r>
      <w:r>
        <w:rPr>
          <w:spacing w:val="-13"/>
          <w:sz w:val="24"/>
        </w:rPr>
        <w:t> </w:t>
      </w:r>
      <w:r>
        <w:rPr>
          <w:sz w:val="24"/>
        </w:rPr>
        <w:t>afrontar</w:t>
      </w:r>
      <w:r>
        <w:rPr>
          <w:spacing w:val="-52"/>
          <w:sz w:val="24"/>
        </w:rPr>
        <w:t> </w:t>
      </w:r>
      <w:r>
        <w:rPr>
          <w:sz w:val="24"/>
        </w:rPr>
        <w:t>los retos de su vida juvenil y adulta; la influencia de grupos sociales, entornos de interacción y</w:t>
      </w:r>
      <w:r>
        <w:rPr>
          <w:spacing w:val="1"/>
          <w:sz w:val="24"/>
        </w:rPr>
        <w:t> </w:t>
      </w:r>
      <w:r>
        <w:rPr>
          <w:sz w:val="24"/>
        </w:rPr>
        <w:t>contextos aleatorios son los que motivan al niño o niña a desarrollar esa parte de su educación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encuentran en los libros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texto.</w:t>
      </w:r>
    </w:p>
    <w:p>
      <w:pPr>
        <w:pStyle w:val="BodyText"/>
        <w:spacing w:before="2"/>
        <w:rPr>
          <w:sz w:val="24"/>
        </w:rPr>
      </w:pPr>
    </w:p>
    <w:p>
      <w:pPr>
        <w:spacing w:before="1"/>
        <w:ind w:left="278" w:right="1072" w:firstLine="0"/>
        <w:jc w:val="both"/>
        <w:rPr>
          <w:sz w:val="24"/>
        </w:rPr>
      </w:pPr>
      <w:r>
        <w:rPr>
          <w:sz w:val="24"/>
        </w:rPr>
        <w:t>Es aquí donde el rol de los padres, adultos y tutores encargados, así como, el acompañamiento</w:t>
      </w:r>
      <w:r>
        <w:rPr>
          <w:spacing w:val="1"/>
          <w:sz w:val="24"/>
        </w:rPr>
        <w:t> </w:t>
      </w:r>
      <w:r>
        <w:rPr>
          <w:sz w:val="24"/>
        </w:rPr>
        <w:t>de los docentes tiene un papel protagónico. Actualmente, los niños y niñas no cuentan con esos</w:t>
      </w:r>
      <w:r>
        <w:rPr>
          <w:spacing w:val="1"/>
          <w:sz w:val="24"/>
        </w:rPr>
        <w:t> </w:t>
      </w:r>
      <w:r>
        <w:rPr>
          <w:sz w:val="24"/>
        </w:rPr>
        <w:t>espacios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motivación</w:t>
      </w:r>
      <w:r>
        <w:rPr>
          <w:spacing w:val="1"/>
          <w:sz w:val="24"/>
        </w:rPr>
        <w:t> </w:t>
      </w:r>
      <w:r>
        <w:rPr>
          <w:sz w:val="24"/>
        </w:rPr>
        <w:t>y encuentro</w:t>
      </w:r>
      <w:r>
        <w:rPr>
          <w:spacing w:val="1"/>
          <w:sz w:val="24"/>
        </w:rPr>
        <w:t> </w:t>
      </w:r>
      <w:r>
        <w:rPr>
          <w:sz w:val="24"/>
        </w:rPr>
        <w:t>social que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ayudan a</w:t>
      </w:r>
      <w:r>
        <w:rPr>
          <w:spacing w:val="1"/>
          <w:sz w:val="24"/>
        </w:rPr>
        <w:t> </w:t>
      </w:r>
      <w:r>
        <w:rPr>
          <w:sz w:val="24"/>
        </w:rPr>
        <w:t>avanzar en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desarrollo y la</w:t>
      </w:r>
      <w:r>
        <w:rPr>
          <w:spacing w:val="1"/>
          <w:sz w:val="24"/>
        </w:rPr>
        <w:t> </w:t>
      </w:r>
      <w:r>
        <w:rPr>
          <w:sz w:val="24"/>
        </w:rPr>
        <w:t>pandemia</w:t>
      </w:r>
      <w:r>
        <w:rPr>
          <w:spacing w:val="1"/>
          <w:sz w:val="24"/>
        </w:rPr>
        <w:t> </w:t>
      </w:r>
      <w:r>
        <w:rPr>
          <w:sz w:val="24"/>
        </w:rPr>
        <w:t>ha</w:t>
      </w:r>
      <w:r>
        <w:rPr>
          <w:spacing w:val="1"/>
          <w:sz w:val="24"/>
        </w:rPr>
        <w:t> </w:t>
      </w:r>
      <w:r>
        <w:rPr>
          <w:sz w:val="24"/>
        </w:rPr>
        <w:t>complicado</w:t>
      </w:r>
      <w:r>
        <w:rPr>
          <w:spacing w:val="1"/>
          <w:sz w:val="24"/>
        </w:rPr>
        <w:t> </w:t>
      </w:r>
      <w:r>
        <w:rPr>
          <w:sz w:val="24"/>
        </w:rPr>
        <w:t>aún</w:t>
      </w:r>
      <w:r>
        <w:rPr>
          <w:spacing w:val="1"/>
          <w:sz w:val="24"/>
        </w:rPr>
        <w:t> </w:t>
      </w:r>
      <w:r>
        <w:rPr>
          <w:sz w:val="24"/>
        </w:rPr>
        <w:t>más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escenario.</w:t>
      </w:r>
      <w:r>
        <w:rPr>
          <w:spacing w:val="1"/>
          <w:sz w:val="24"/>
        </w:rPr>
        <w:t> </w:t>
      </w:r>
      <w:r>
        <w:rPr>
          <w:sz w:val="24"/>
        </w:rPr>
        <w:t>Adicionalmente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esto,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necesidades</w:t>
      </w:r>
      <w:r>
        <w:rPr>
          <w:spacing w:val="1"/>
          <w:sz w:val="24"/>
        </w:rPr>
        <w:t> </w:t>
      </w:r>
      <w:r>
        <w:rPr>
          <w:sz w:val="24"/>
        </w:rPr>
        <w:t>afectivas y emocionales de los infantes poco a poco están quedando relegadas, tanto a otros</w:t>
      </w:r>
      <w:r>
        <w:rPr>
          <w:spacing w:val="1"/>
          <w:sz w:val="24"/>
        </w:rPr>
        <w:t> </w:t>
      </w:r>
      <w:r>
        <w:rPr>
          <w:sz w:val="24"/>
        </w:rPr>
        <w:t>miembros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familia</w:t>
      </w:r>
      <w:r>
        <w:rPr>
          <w:spacing w:val="-4"/>
          <w:sz w:val="24"/>
        </w:rPr>
        <w:t> </w:t>
      </w:r>
      <w:r>
        <w:rPr>
          <w:sz w:val="24"/>
        </w:rPr>
        <w:t>como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dispositivos</w:t>
      </w:r>
      <w:r>
        <w:rPr>
          <w:spacing w:val="-6"/>
          <w:sz w:val="24"/>
        </w:rPr>
        <w:t> </w:t>
      </w:r>
      <w:r>
        <w:rPr>
          <w:sz w:val="24"/>
        </w:rPr>
        <w:t>electrónicos,</w:t>
      </w:r>
      <w:r>
        <w:rPr>
          <w:spacing w:val="-6"/>
          <w:sz w:val="24"/>
        </w:rPr>
        <w:t> </w:t>
      </w:r>
      <w:r>
        <w:rPr>
          <w:sz w:val="24"/>
        </w:rPr>
        <w:t>por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afán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padres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cumplir</w:t>
      </w:r>
      <w:r>
        <w:rPr>
          <w:spacing w:val="-6"/>
          <w:sz w:val="24"/>
        </w:rPr>
        <w:t> </w:t>
      </w:r>
      <w:r>
        <w:rPr>
          <w:sz w:val="24"/>
        </w:rPr>
        <w:t>con</w:t>
      </w:r>
      <w:r>
        <w:rPr>
          <w:spacing w:val="-52"/>
          <w:sz w:val="24"/>
        </w:rPr>
        <w:t> </w:t>
      </w:r>
      <w:r>
        <w:rPr>
          <w:sz w:val="24"/>
        </w:rPr>
        <w:t>las necesidades académicas de los niños. Gran parte de la atención está en entregar tareas</w:t>
      </w:r>
      <w:r>
        <w:rPr>
          <w:spacing w:val="1"/>
          <w:sz w:val="24"/>
        </w:rPr>
        <w:t> </w:t>
      </w:r>
      <w:r>
        <w:rPr>
          <w:sz w:val="24"/>
        </w:rPr>
        <w:t>escolares.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16"/>
        </w:numPr>
        <w:tabs>
          <w:tab w:pos="999" w:val="left" w:leader="none"/>
        </w:tabs>
        <w:spacing w:line="240" w:lineRule="auto" w:before="0" w:after="0"/>
        <w:ind w:left="998" w:right="0" w:hanging="721"/>
        <w:jc w:val="left"/>
        <w:rPr>
          <w:b/>
          <w:sz w:val="24"/>
        </w:rPr>
      </w:pPr>
      <w:bookmarkStart w:name="_bookmark122" w:id="177"/>
      <w:bookmarkEnd w:id="177"/>
      <w:r>
        <w:rPr/>
      </w:r>
      <w:bookmarkStart w:name="_bookmark122" w:id="178"/>
      <w:bookmarkEnd w:id="178"/>
      <w:r>
        <w:rPr>
          <w:b/>
          <w:sz w:val="24"/>
        </w:rPr>
        <w:t>E</w:t>
      </w:r>
      <w:r>
        <w:rPr>
          <w:b/>
          <w:sz w:val="24"/>
        </w:rPr>
        <w:t>je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1: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Formación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integral</w:t>
      </w:r>
    </w:p>
    <w:p>
      <w:pPr>
        <w:pStyle w:val="BodyText"/>
        <w:spacing w:before="8"/>
        <w:rPr>
          <w:b/>
          <w:sz w:val="19"/>
        </w:rPr>
      </w:pPr>
    </w:p>
    <w:p>
      <w:pPr>
        <w:spacing w:line="240" w:lineRule="auto" w:before="0"/>
        <w:ind w:left="278" w:right="1069" w:firstLine="0"/>
        <w:jc w:val="both"/>
        <w:rPr>
          <w:sz w:val="24"/>
        </w:rPr>
      </w:pPr>
      <w:r>
        <w:rPr>
          <w:sz w:val="24"/>
        </w:rPr>
        <w:t>Pero el enfoque correcto para acompañar a los niños y niñas en un desarrollo integral de sí</w:t>
      </w:r>
      <w:r>
        <w:rPr>
          <w:spacing w:val="1"/>
          <w:sz w:val="24"/>
        </w:rPr>
        <w:t> </w:t>
      </w:r>
      <w:r>
        <w:rPr>
          <w:sz w:val="24"/>
        </w:rPr>
        <w:t>mismos abarca diferentes frentes de desarrollo: el físico, emociones y acciones; el cognoscitivo,</w:t>
      </w:r>
      <w:r>
        <w:rPr>
          <w:spacing w:val="1"/>
          <w:sz w:val="24"/>
        </w:rPr>
        <w:t> </w:t>
      </w:r>
      <w:r>
        <w:rPr>
          <w:sz w:val="24"/>
        </w:rPr>
        <w:t>hábitos; el social, desarrollo afectivo con los demás y el intelectual, respecto a conocimientos</w:t>
      </w:r>
      <w:r>
        <w:rPr>
          <w:spacing w:val="1"/>
          <w:sz w:val="24"/>
        </w:rPr>
        <w:t> </w:t>
      </w:r>
      <w:r>
        <w:rPr>
          <w:sz w:val="24"/>
        </w:rPr>
        <w:t>adquiridos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estudio.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17"/>
        </w:numPr>
        <w:tabs>
          <w:tab w:pos="999" w:val="left" w:leader="none"/>
        </w:tabs>
        <w:spacing w:line="232" w:lineRule="auto" w:before="0" w:after="0"/>
        <w:ind w:left="998" w:right="1078" w:hanging="360"/>
        <w:jc w:val="both"/>
        <w:rPr>
          <w:sz w:val="24"/>
        </w:rPr>
      </w:pPr>
      <w:r>
        <w:rPr>
          <w:sz w:val="24"/>
        </w:rPr>
        <w:t>Ambientes de aprendizaje que fomenten seguridad y protección infantil que integre</w:t>
      </w:r>
      <w:r>
        <w:rPr>
          <w:spacing w:val="1"/>
          <w:sz w:val="24"/>
        </w:rPr>
        <w:t> </w:t>
      </w:r>
      <w:r>
        <w:rPr>
          <w:sz w:val="24"/>
        </w:rPr>
        <w:t>prácticas</w:t>
      </w:r>
      <w:r>
        <w:rPr>
          <w:spacing w:val="-1"/>
          <w:sz w:val="24"/>
        </w:rPr>
        <w:t> </w:t>
      </w:r>
      <w:r>
        <w:rPr>
          <w:sz w:val="24"/>
        </w:rPr>
        <w:t>culturales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lingüísticas adaptadas</w:t>
      </w:r>
      <w:r>
        <w:rPr>
          <w:spacing w:val="-3"/>
          <w:sz w:val="24"/>
        </w:rPr>
        <w:t> </w:t>
      </w:r>
      <w:r>
        <w:rPr>
          <w:sz w:val="24"/>
        </w:rPr>
        <w:t>a cada territorio.</w:t>
      </w:r>
    </w:p>
    <w:p>
      <w:pPr>
        <w:pStyle w:val="ListParagraph"/>
        <w:numPr>
          <w:ilvl w:val="0"/>
          <w:numId w:val="17"/>
        </w:numPr>
        <w:tabs>
          <w:tab w:pos="999" w:val="left" w:leader="none"/>
        </w:tabs>
        <w:spacing w:line="237" w:lineRule="auto" w:before="5" w:after="0"/>
        <w:ind w:left="998" w:right="1077" w:hanging="360"/>
        <w:jc w:val="both"/>
        <w:rPr>
          <w:sz w:val="24"/>
        </w:rPr>
      </w:pPr>
      <w:r>
        <w:rPr>
          <w:sz w:val="24"/>
        </w:rPr>
        <w:t>Fomentar</w:t>
      </w:r>
      <w:r>
        <w:rPr>
          <w:spacing w:val="1"/>
          <w:sz w:val="24"/>
        </w:rPr>
        <w:t> </w:t>
      </w:r>
      <w:r>
        <w:rPr>
          <w:sz w:val="24"/>
        </w:rPr>
        <w:t>prácticas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actitudes</w:t>
      </w:r>
      <w:r>
        <w:rPr>
          <w:spacing w:val="1"/>
          <w:sz w:val="24"/>
        </w:rPr>
        <w:t> </w:t>
      </w:r>
      <w:r>
        <w:rPr>
          <w:sz w:val="24"/>
        </w:rPr>
        <w:t>vinculadas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relaciones</w:t>
      </w:r>
      <w:r>
        <w:rPr>
          <w:spacing w:val="1"/>
          <w:sz w:val="24"/>
        </w:rPr>
        <w:t> </w:t>
      </w:r>
      <w:r>
        <w:rPr>
          <w:sz w:val="24"/>
        </w:rPr>
        <w:t>equitativas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género,</w:t>
      </w:r>
      <w:r>
        <w:rPr>
          <w:spacing w:val="1"/>
          <w:sz w:val="24"/>
        </w:rPr>
        <w:t> </w:t>
      </w:r>
      <w:r>
        <w:rPr>
          <w:sz w:val="24"/>
        </w:rPr>
        <w:t>autoestima y autocuidado (establecidos en el CNB) para fortalecer el deseo de culminar</w:t>
      </w:r>
      <w:r>
        <w:rPr>
          <w:spacing w:val="1"/>
          <w:sz w:val="24"/>
        </w:rPr>
        <w:t> </w:t>
      </w:r>
      <w:r>
        <w:rPr>
          <w:sz w:val="24"/>
        </w:rPr>
        <w:t>su educación</w:t>
      </w:r>
      <w:r>
        <w:rPr>
          <w:spacing w:val="-1"/>
          <w:sz w:val="24"/>
        </w:rPr>
        <w:t> </w:t>
      </w:r>
      <w:r>
        <w:rPr>
          <w:sz w:val="24"/>
        </w:rPr>
        <w:t>escolar.</w:t>
      </w:r>
    </w:p>
    <w:p>
      <w:pPr>
        <w:pStyle w:val="BodyText"/>
        <w:spacing w:before="4"/>
        <w:rPr>
          <w:sz w:val="15"/>
        </w:rPr>
      </w:pPr>
    </w:p>
    <w:p>
      <w:pPr>
        <w:pStyle w:val="Heading3"/>
        <w:numPr>
          <w:ilvl w:val="2"/>
          <w:numId w:val="16"/>
        </w:numPr>
        <w:tabs>
          <w:tab w:pos="999" w:val="left" w:leader="none"/>
        </w:tabs>
        <w:spacing w:line="240" w:lineRule="auto" w:before="51" w:after="0"/>
        <w:ind w:left="998" w:right="1077" w:hanging="720"/>
        <w:jc w:val="left"/>
      </w:pPr>
      <w:bookmarkStart w:name="_bookmark123" w:id="179"/>
      <w:bookmarkEnd w:id="179"/>
      <w:r>
        <w:rPr>
          <w:b w:val="0"/>
        </w:rPr>
      </w:r>
      <w:bookmarkStart w:name="_bookmark123" w:id="180"/>
      <w:bookmarkEnd w:id="180"/>
      <w:r>
        <w:rPr>
          <w:shd w:fill="FFFFFF" w:color="auto" w:val="clear"/>
        </w:rPr>
        <w:t>E</w:t>
      </w:r>
      <w:r>
        <w:rPr>
          <w:shd w:fill="FFFFFF" w:color="auto" w:val="clear"/>
        </w:rPr>
        <w:t>je</w:t>
      </w:r>
      <w:r>
        <w:rPr>
          <w:spacing w:val="-11"/>
          <w:shd w:fill="FFFFFF" w:color="auto" w:val="clear"/>
        </w:rPr>
        <w:t> </w:t>
      </w:r>
      <w:r>
        <w:rPr>
          <w:shd w:fill="FFFFFF" w:color="auto" w:val="clear"/>
        </w:rPr>
        <w:t>2:</w:t>
      </w:r>
      <w:r>
        <w:rPr>
          <w:spacing w:val="-8"/>
          <w:shd w:fill="FFFFFF" w:color="auto" w:val="clear"/>
        </w:rPr>
        <w:t> </w:t>
      </w:r>
      <w:r>
        <w:rPr>
          <w:shd w:fill="FFFFFF" w:color="auto" w:val="clear"/>
        </w:rPr>
        <w:t>Colaboración</w:t>
      </w:r>
      <w:r>
        <w:rPr>
          <w:spacing w:val="-9"/>
          <w:shd w:fill="FFFFFF" w:color="auto" w:val="clear"/>
        </w:rPr>
        <w:t> </w:t>
      </w:r>
      <w:r>
        <w:rPr>
          <w:shd w:fill="FFFFFF" w:color="auto" w:val="clear"/>
        </w:rPr>
        <w:t>e</w:t>
      </w:r>
      <w:r>
        <w:rPr>
          <w:spacing w:val="-11"/>
          <w:shd w:fill="FFFFFF" w:color="auto" w:val="clear"/>
        </w:rPr>
        <w:t> </w:t>
      </w:r>
      <w:r>
        <w:rPr>
          <w:shd w:fill="FFFFFF" w:color="auto" w:val="clear"/>
        </w:rPr>
        <w:t>Integración</w:t>
      </w:r>
      <w:r>
        <w:rPr>
          <w:spacing w:val="-9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-11"/>
          <w:shd w:fill="FFFFFF" w:color="auto" w:val="clear"/>
        </w:rPr>
        <w:t> </w:t>
      </w:r>
      <w:r>
        <w:rPr>
          <w:shd w:fill="FFFFFF" w:color="auto" w:val="clear"/>
        </w:rPr>
        <w:t>la</w:t>
      </w:r>
      <w:r>
        <w:rPr>
          <w:spacing w:val="-11"/>
          <w:shd w:fill="FFFFFF" w:color="auto" w:val="clear"/>
        </w:rPr>
        <w:t> </w:t>
      </w:r>
      <w:r>
        <w:rPr>
          <w:shd w:fill="FFFFFF" w:color="auto" w:val="clear"/>
        </w:rPr>
        <w:t>Comunidad</w:t>
      </w:r>
      <w:r>
        <w:rPr>
          <w:spacing w:val="-9"/>
          <w:shd w:fill="FFFFFF" w:color="auto" w:val="clear"/>
        </w:rPr>
        <w:t> </w:t>
      </w:r>
      <w:r>
        <w:rPr>
          <w:shd w:fill="FFFFFF" w:color="auto" w:val="clear"/>
        </w:rPr>
        <w:t>Educativa:</w:t>
      </w:r>
      <w:r>
        <w:rPr>
          <w:spacing w:val="-8"/>
          <w:shd w:fill="FFFFFF" w:color="auto" w:val="clear"/>
        </w:rPr>
        <w:t> </w:t>
      </w:r>
      <w:r>
        <w:rPr>
          <w:shd w:fill="FFFFFF" w:color="auto" w:val="clear"/>
        </w:rPr>
        <w:t>Vinculación</w:t>
      </w:r>
      <w:r>
        <w:rPr>
          <w:spacing w:val="-11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-11"/>
          <w:shd w:fill="FFFFFF" w:color="auto" w:val="clear"/>
        </w:rPr>
        <w:t> </w:t>
      </w:r>
      <w:r>
        <w:rPr>
          <w:shd w:fill="FFFFFF" w:color="auto" w:val="clear"/>
        </w:rPr>
        <w:t>las</w:t>
      </w:r>
      <w:r>
        <w:rPr>
          <w:spacing w:val="-9"/>
          <w:shd w:fill="FFFFFF" w:color="auto" w:val="clear"/>
        </w:rPr>
        <w:t> </w:t>
      </w:r>
      <w:r>
        <w:rPr>
          <w:shd w:fill="FFFFFF" w:color="auto" w:val="clear"/>
        </w:rPr>
        <w:t>familias</w:t>
      </w:r>
      <w:r>
        <w:rPr>
          <w:spacing w:val="-51"/>
        </w:rPr>
        <w:t> </w:t>
      </w:r>
      <w:r>
        <w:rPr/>
        <w:t>y</w:t>
      </w:r>
      <w:r>
        <w:rPr>
          <w:spacing w:val="-2"/>
        </w:rPr>
        <w:t> </w:t>
      </w:r>
      <w:r>
        <w:rPr/>
        <w:t>las comunidades.</w:t>
      </w:r>
    </w:p>
    <w:p>
      <w:pPr>
        <w:pStyle w:val="BodyText"/>
        <w:spacing w:before="11"/>
        <w:rPr>
          <w:b/>
          <w:sz w:val="19"/>
        </w:rPr>
      </w:pPr>
    </w:p>
    <w:p>
      <w:pPr>
        <w:spacing w:line="237" w:lineRule="auto" w:before="0"/>
        <w:ind w:left="998" w:right="1076" w:hanging="360"/>
        <w:jc w:val="both"/>
        <w:rPr>
          <w:sz w:val="24"/>
        </w:rPr>
      </w:pPr>
      <w:r>
        <w:rPr>
          <w:rFonts w:ascii="Courier New" w:hAnsi="Courier New"/>
          <w:sz w:val="24"/>
        </w:rPr>
        <w:t>o </w:t>
      </w:r>
      <w:r>
        <w:rPr>
          <w:sz w:val="24"/>
        </w:rPr>
        <w:t>Fortalecer las capacidades de las OPF en el Programa de Cuidados Infantiles para el</w:t>
      </w:r>
      <w:r>
        <w:rPr>
          <w:spacing w:val="1"/>
          <w:sz w:val="24"/>
        </w:rPr>
        <w:t> </w:t>
      </w:r>
      <w:r>
        <w:rPr>
          <w:sz w:val="24"/>
        </w:rPr>
        <w:t>Aprendizaje del MINEDUC y para que promuevan en el territorio la importancia de la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-2"/>
          <w:sz w:val="24"/>
        </w:rPr>
        <w:t> </w:t>
      </w:r>
      <w:r>
        <w:rPr>
          <w:sz w:val="24"/>
        </w:rPr>
        <w:t>primaria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erradicación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violencia de</w:t>
      </w:r>
      <w:r>
        <w:rPr>
          <w:spacing w:val="-2"/>
          <w:sz w:val="24"/>
        </w:rPr>
        <w:t> </w:t>
      </w:r>
      <w:r>
        <w:rPr>
          <w:sz w:val="24"/>
        </w:rPr>
        <w:t>género.</w:t>
      </w:r>
    </w:p>
    <w:p>
      <w:pPr>
        <w:pStyle w:val="BodyText"/>
        <w:spacing w:before="10"/>
        <w:rPr>
          <w:sz w:val="23"/>
        </w:rPr>
      </w:pPr>
    </w:p>
    <w:p>
      <w:pPr>
        <w:spacing w:line="242" w:lineRule="auto" w:before="0"/>
        <w:ind w:left="278" w:right="1061" w:firstLine="0"/>
        <w:jc w:val="left"/>
        <w:rPr>
          <w:sz w:val="24"/>
        </w:rPr>
      </w:pPr>
      <w:r>
        <w:rPr>
          <w:sz w:val="24"/>
        </w:rPr>
        <w:t>La</w:t>
      </w:r>
      <w:r>
        <w:rPr>
          <w:spacing w:val="41"/>
          <w:sz w:val="24"/>
        </w:rPr>
        <w:t> </w:t>
      </w:r>
      <w:r>
        <w:rPr>
          <w:sz w:val="24"/>
        </w:rPr>
        <w:t>propuesta</w:t>
      </w:r>
      <w:r>
        <w:rPr>
          <w:spacing w:val="41"/>
          <w:sz w:val="24"/>
        </w:rPr>
        <w:t> </w:t>
      </w:r>
      <w:r>
        <w:rPr>
          <w:sz w:val="24"/>
        </w:rPr>
        <w:t>es</w:t>
      </w:r>
      <w:r>
        <w:rPr>
          <w:spacing w:val="42"/>
          <w:sz w:val="24"/>
        </w:rPr>
        <w:t> </w:t>
      </w:r>
      <w:r>
        <w:rPr>
          <w:sz w:val="24"/>
        </w:rPr>
        <w:t>continuar</w:t>
      </w:r>
      <w:r>
        <w:rPr>
          <w:spacing w:val="42"/>
          <w:sz w:val="24"/>
        </w:rPr>
        <w:t> </w:t>
      </w:r>
      <w:r>
        <w:rPr>
          <w:sz w:val="24"/>
        </w:rPr>
        <w:t>fortaleciendo</w:t>
      </w:r>
      <w:r>
        <w:rPr>
          <w:spacing w:val="42"/>
          <w:sz w:val="24"/>
        </w:rPr>
        <w:t> </w:t>
      </w:r>
      <w:r>
        <w:rPr>
          <w:sz w:val="24"/>
        </w:rPr>
        <w:t>los</w:t>
      </w:r>
      <w:r>
        <w:rPr>
          <w:spacing w:val="42"/>
          <w:sz w:val="24"/>
        </w:rPr>
        <w:t> </w:t>
      </w:r>
      <w:r>
        <w:rPr>
          <w:sz w:val="24"/>
        </w:rPr>
        <w:t>espacios</w:t>
      </w:r>
      <w:r>
        <w:rPr>
          <w:spacing w:val="41"/>
          <w:sz w:val="24"/>
        </w:rPr>
        <w:t> </w:t>
      </w:r>
      <w:r>
        <w:rPr>
          <w:sz w:val="24"/>
        </w:rPr>
        <w:t>de</w:t>
      </w:r>
      <w:r>
        <w:rPr>
          <w:spacing w:val="42"/>
          <w:sz w:val="24"/>
        </w:rPr>
        <w:t> </w:t>
      </w:r>
      <w:r>
        <w:rPr>
          <w:sz w:val="24"/>
        </w:rPr>
        <w:t>las</w:t>
      </w:r>
      <w:r>
        <w:rPr>
          <w:spacing w:val="45"/>
          <w:sz w:val="24"/>
        </w:rPr>
        <w:t> </w:t>
      </w:r>
      <w:r>
        <w:rPr>
          <w:sz w:val="24"/>
        </w:rPr>
        <w:t>–OPF–</w:t>
      </w:r>
      <w:r>
        <w:rPr>
          <w:spacing w:val="42"/>
          <w:sz w:val="24"/>
        </w:rPr>
        <w:t> </w:t>
      </w:r>
      <w:r>
        <w:rPr>
          <w:sz w:val="24"/>
        </w:rPr>
        <w:t>así</w:t>
      </w:r>
      <w:r>
        <w:rPr>
          <w:spacing w:val="39"/>
          <w:sz w:val="24"/>
        </w:rPr>
        <w:t> </w:t>
      </w:r>
      <w:r>
        <w:rPr>
          <w:sz w:val="24"/>
        </w:rPr>
        <w:t>como,</w:t>
      </w:r>
      <w:r>
        <w:rPr>
          <w:spacing w:val="43"/>
          <w:sz w:val="24"/>
        </w:rPr>
        <w:t> </w:t>
      </w:r>
      <w:r>
        <w:rPr>
          <w:sz w:val="24"/>
        </w:rPr>
        <w:t>los</w:t>
      </w:r>
      <w:r>
        <w:rPr>
          <w:spacing w:val="42"/>
          <w:sz w:val="24"/>
        </w:rPr>
        <w:t> </w:t>
      </w:r>
      <w:r>
        <w:rPr>
          <w:sz w:val="24"/>
        </w:rPr>
        <w:t>principales</w:t>
      </w:r>
      <w:r>
        <w:rPr>
          <w:spacing w:val="-52"/>
          <w:sz w:val="24"/>
        </w:rPr>
        <w:t> </w:t>
      </w:r>
      <w:r>
        <w:rPr>
          <w:sz w:val="24"/>
        </w:rPr>
        <w:t>actores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integran</w:t>
      </w:r>
      <w:r>
        <w:rPr>
          <w:spacing w:val="-5"/>
          <w:sz w:val="24"/>
        </w:rPr>
        <w:t> </w:t>
      </w:r>
      <w:r>
        <w:rPr>
          <w:sz w:val="24"/>
        </w:rPr>
        <w:t>(padres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madres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familia,</w:t>
      </w:r>
      <w:r>
        <w:rPr>
          <w:spacing w:val="-7"/>
          <w:sz w:val="24"/>
        </w:rPr>
        <w:t> </w:t>
      </w:r>
      <w:r>
        <w:rPr>
          <w:sz w:val="24"/>
        </w:rPr>
        <w:t>maestros,</w:t>
      </w:r>
      <w:r>
        <w:rPr>
          <w:spacing w:val="-9"/>
          <w:sz w:val="24"/>
        </w:rPr>
        <w:t> </w:t>
      </w:r>
      <w:r>
        <w:rPr>
          <w:sz w:val="24"/>
        </w:rPr>
        <w:t>directores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10"/>
          <w:sz w:val="24"/>
        </w:rPr>
        <w:t> </w:t>
      </w:r>
      <w:r>
        <w:rPr>
          <w:sz w:val="24"/>
        </w:rPr>
        <w:t>líderes</w:t>
      </w:r>
      <w:r>
        <w:rPr>
          <w:spacing w:val="-6"/>
          <w:sz w:val="24"/>
        </w:rPr>
        <w:t> </w:t>
      </w:r>
      <w:r>
        <w:rPr>
          <w:sz w:val="24"/>
        </w:rPr>
        <w:t>comunitarios),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  <w:r>
        <w:rPr/>
        <w:pict>
          <v:rect style="position:absolute;margin-left:563.880005pt;margin-top:15.445719pt;width:25.44pt;height:1.4399pt;mso-position-horizontal-relative:page;mso-position-vertical-relative:paragraph;z-index:-1552332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ind w:right="211"/>
      </w:pPr>
      <w:r>
        <w:rPr/>
        <w:t>99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19552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0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spacing w:before="52"/>
        <w:ind w:left="278" w:right="1076" w:firstLine="0"/>
        <w:jc w:val="both"/>
        <w:rPr>
          <w:sz w:val="24"/>
        </w:rPr>
      </w:pPr>
      <w:r>
        <w:rPr>
          <w:sz w:val="24"/>
        </w:rPr>
        <w:t>es</w:t>
      </w:r>
      <w:r>
        <w:rPr>
          <w:spacing w:val="-7"/>
          <w:sz w:val="24"/>
        </w:rPr>
        <w:t> </w:t>
      </w:r>
      <w:r>
        <w:rPr>
          <w:sz w:val="24"/>
        </w:rPr>
        <w:t>vital</w:t>
      </w:r>
      <w:r>
        <w:rPr>
          <w:spacing w:val="-9"/>
          <w:sz w:val="24"/>
        </w:rPr>
        <w:t> </w:t>
      </w:r>
      <w:r>
        <w:rPr>
          <w:sz w:val="24"/>
        </w:rPr>
        <w:t>aprovechar</w:t>
      </w:r>
      <w:r>
        <w:rPr>
          <w:spacing w:val="-8"/>
          <w:sz w:val="24"/>
        </w:rPr>
        <w:t> </w:t>
      </w:r>
      <w:r>
        <w:rPr>
          <w:sz w:val="24"/>
        </w:rPr>
        <w:t>esta</w:t>
      </w:r>
      <w:r>
        <w:rPr>
          <w:spacing w:val="-9"/>
          <w:sz w:val="24"/>
        </w:rPr>
        <w:t> </w:t>
      </w:r>
      <w:r>
        <w:rPr>
          <w:sz w:val="24"/>
        </w:rPr>
        <w:t>figura</w:t>
      </w:r>
      <w:r>
        <w:rPr>
          <w:spacing w:val="-8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través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capacitación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cuidado</w:t>
      </w:r>
      <w:r>
        <w:rPr>
          <w:spacing w:val="-7"/>
          <w:sz w:val="24"/>
        </w:rPr>
        <w:t> </w:t>
      </w:r>
      <w:r>
        <w:rPr>
          <w:sz w:val="24"/>
        </w:rPr>
        <w:t>cariñoso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sensible</w:t>
      </w:r>
      <w:r>
        <w:rPr>
          <w:spacing w:val="-52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involucren</w:t>
      </w:r>
      <w:r>
        <w:rPr>
          <w:spacing w:val="-1"/>
          <w:sz w:val="24"/>
        </w:rPr>
        <w:t> </w:t>
      </w:r>
      <w:r>
        <w:rPr>
          <w:sz w:val="24"/>
        </w:rPr>
        <w:t>siendo los</w:t>
      </w:r>
      <w:r>
        <w:rPr>
          <w:spacing w:val="-2"/>
          <w:sz w:val="24"/>
        </w:rPr>
        <w:t> </w:t>
      </w:r>
      <w:r>
        <w:rPr>
          <w:sz w:val="24"/>
        </w:rPr>
        <w:t>principales agentes</w:t>
      </w:r>
      <w:r>
        <w:rPr>
          <w:spacing w:val="-2"/>
          <w:sz w:val="24"/>
        </w:rPr>
        <w:t> </w:t>
      </w:r>
      <w:r>
        <w:rPr>
          <w:sz w:val="24"/>
        </w:rPr>
        <w:t>multiplicadores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cambio.</w:t>
      </w:r>
    </w:p>
    <w:p>
      <w:pPr>
        <w:pStyle w:val="BodyText"/>
        <w:spacing w:before="11"/>
        <w:rPr>
          <w:sz w:val="23"/>
        </w:rPr>
      </w:pPr>
    </w:p>
    <w:p>
      <w:pPr>
        <w:spacing w:before="1"/>
        <w:ind w:left="278" w:right="1074" w:firstLine="0"/>
        <w:jc w:val="both"/>
        <w:rPr>
          <w:sz w:val="24"/>
        </w:rPr>
      </w:pPr>
      <w:r>
        <w:rPr>
          <w:sz w:val="24"/>
        </w:rPr>
        <w:t>Además,</w:t>
      </w:r>
      <w:r>
        <w:rPr>
          <w:spacing w:val="-7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este</w:t>
      </w:r>
      <w:r>
        <w:rPr>
          <w:spacing w:val="-6"/>
          <w:sz w:val="24"/>
        </w:rPr>
        <w:t> </w:t>
      </w:r>
      <w:r>
        <w:rPr>
          <w:sz w:val="24"/>
        </w:rPr>
        <w:t>Nivel</w:t>
      </w:r>
      <w:r>
        <w:rPr>
          <w:spacing w:val="-4"/>
          <w:sz w:val="24"/>
        </w:rPr>
        <w:t> </w:t>
      </w:r>
      <w:r>
        <w:rPr>
          <w:sz w:val="24"/>
        </w:rPr>
        <w:t>se</w:t>
      </w:r>
      <w:r>
        <w:rPr>
          <w:spacing w:val="-6"/>
          <w:sz w:val="24"/>
        </w:rPr>
        <w:t> </w:t>
      </w:r>
      <w:r>
        <w:rPr>
          <w:sz w:val="24"/>
        </w:rPr>
        <w:t>propone</w:t>
      </w:r>
      <w:r>
        <w:rPr>
          <w:spacing w:val="-4"/>
          <w:sz w:val="24"/>
        </w:rPr>
        <w:t> </w:t>
      </w:r>
      <w:r>
        <w:rPr>
          <w:sz w:val="24"/>
        </w:rPr>
        <w:t>ir</w:t>
      </w:r>
      <w:r>
        <w:rPr>
          <w:spacing w:val="-3"/>
          <w:sz w:val="24"/>
        </w:rPr>
        <w:t> </w:t>
      </w:r>
      <w:r>
        <w:rPr>
          <w:sz w:val="24"/>
        </w:rPr>
        <w:t>incorporando</w:t>
      </w:r>
      <w:r>
        <w:rPr>
          <w:spacing w:val="-6"/>
          <w:sz w:val="24"/>
        </w:rPr>
        <w:t> </w:t>
      </w:r>
      <w:r>
        <w:rPr>
          <w:sz w:val="24"/>
        </w:rPr>
        <w:t>prácticas</w:t>
      </w:r>
      <w:r>
        <w:rPr>
          <w:spacing w:val="-4"/>
          <w:sz w:val="24"/>
        </w:rPr>
        <w:t> </w:t>
      </w:r>
      <w:r>
        <w:rPr>
          <w:sz w:val="24"/>
        </w:rPr>
        <w:t>contextualizadas</w:t>
      </w:r>
      <w:r>
        <w:rPr>
          <w:spacing w:val="-4"/>
          <w:sz w:val="24"/>
        </w:rPr>
        <w:t> </w:t>
      </w:r>
      <w:r>
        <w:rPr>
          <w:sz w:val="24"/>
        </w:rPr>
        <w:t>al</w:t>
      </w:r>
      <w:r>
        <w:rPr>
          <w:spacing w:val="-4"/>
          <w:sz w:val="24"/>
        </w:rPr>
        <w:t> </w:t>
      </w:r>
      <w:r>
        <w:rPr>
          <w:sz w:val="24"/>
        </w:rPr>
        <w:t>ciclo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edades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los niños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2"/>
          <w:sz w:val="24"/>
        </w:rPr>
        <w:t> </w:t>
      </w:r>
      <w:r>
        <w:rPr>
          <w:sz w:val="24"/>
        </w:rPr>
        <w:t>esta</w:t>
      </w:r>
      <w:r>
        <w:rPr>
          <w:spacing w:val="-2"/>
          <w:sz w:val="24"/>
        </w:rPr>
        <w:t> </w:t>
      </w:r>
      <w:r>
        <w:rPr>
          <w:sz w:val="24"/>
        </w:rPr>
        <w:t>etapa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formación.</w:t>
      </w:r>
    </w:p>
    <w:p>
      <w:pPr>
        <w:pStyle w:val="BodyText"/>
        <w:spacing w:before="1"/>
        <w:rPr>
          <w:sz w:val="24"/>
        </w:rPr>
      </w:pPr>
    </w:p>
    <w:p>
      <w:pPr>
        <w:spacing w:before="1"/>
        <w:ind w:left="278" w:right="1074" w:firstLine="0"/>
        <w:jc w:val="both"/>
        <w:rPr>
          <w:sz w:val="24"/>
        </w:rPr>
      </w:pPr>
      <w:r>
        <w:rPr>
          <w:spacing w:val="-1"/>
          <w:sz w:val="24"/>
        </w:rPr>
        <w:t>La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participación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adultos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(madres,</w:t>
      </w:r>
      <w:r>
        <w:rPr>
          <w:spacing w:val="-14"/>
          <w:sz w:val="24"/>
        </w:rPr>
        <w:t> </w:t>
      </w:r>
      <w:r>
        <w:rPr>
          <w:sz w:val="24"/>
        </w:rPr>
        <w:t>padres,</w:t>
      </w:r>
      <w:r>
        <w:rPr>
          <w:spacing w:val="-11"/>
          <w:sz w:val="24"/>
        </w:rPr>
        <w:t> </w:t>
      </w:r>
      <w:r>
        <w:rPr>
          <w:sz w:val="24"/>
        </w:rPr>
        <w:t>abuelo,</w:t>
      </w:r>
      <w:r>
        <w:rPr>
          <w:spacing w:val="-11"/>
          <w:sz w:val="24"/>
        </w:rPr>
        <w:t> </w:t>
      </w:r>
      <w:r>
        <w:rPr>
          <w:sz w:val="24"/>
        </w:rPr>
        <w:t>abuelas,</w:t>
      </w:r>
      <w:r>
        <w:rPr>
          <w:spacing w:val="-12"/>
          <w:sz w:val="24"/>
        </w:rPr>
        <w:t> </w:t>
      </w:r>
      <w:r>
        <w:rPr>
          <w:sz w:val="24"/>
        </w:rPr>
        <w:t>tíos,</w:t>
      </w:r>
      <w:r>
        <w:rPr>
          <w:spacing w:val="-10"/>
          <w:sz w:val="24"/>
        </w:rPr>
        <w:t> </w:t>
      </w:r>
      <w:r>
        <w:rPr>
          <w:sz w:val="24"/>
        </w:rPr>
        <w:t>tías</w:t>
      </w:r>
      <w:r>
        <w:rPr>
          <w:spacing w:val="-14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responsables</w:t>
      </w:r>
      <w:r>
        <w:rPr>
          <w:spacing w:val="-13"/>
          <w:sz w:val="24"/>
        </w:rPr>
        <w:t> </w:t>
      </w:r>
      <w:r>
        <w:rPr>
          <w:sz w:val="24"/>
        </w:rPr>
        <w:t>del</w:t>
      </w:r>
      <w:r>
        <w:rPr>
          <w:spacing w:val="-13"/>
          <w:sz w:val="24"/>
        </w:rPr>
        <w:t> </w:t>
      </w:r>
      <w:r>
        <w:rPr>
          <w:sz w:val="24"/>
        </w:rPr>
        <w:t>niño)</w:t>
      </w:r>
      <w:r>
        <w:rPr>
          <w:spacing w:val="-52"/>
          <w:sz w:val="24"/>
        </w:rPr>
        <w:t> </w:t>
      </w:r>
      <w:r>
        <w:rPr>
          <w:sz w:val="24"/>
        </w:rPr>
        <w:t>es importante para promover la importancia de la educación primaria y reducir la deserción.</w:t>
      </w:r>
      <w:r>
        <w:rPr>
          <w:spacing w:val="1"/>
          <w:sz w:val="24"/>
        </w:rPr>
        <w:t> </w:t>
      </w:r>
      <w:r>
        <w:rPr>
          <w:sz w:val="24"/>
        </w:rPr>
        <w:t>Dentro de las intervenciones que se propone para los grupos de OPF e los grupos de OPF</w:t>
      </w:r>
      <w:r>
        <w:rPr>
          <w:spacing w:val="1"/>
          <w:sz w:val="24"/>
        </w:rPr>
        <w:t> </w:t>
      </w:r>
      <w:r>
        <w:rPr>
          <w:sz w:val="24"/>
        </w:rPr>
        <w:t>practiquen el aprendizaje y la acción participativos; visitas domiciliarias de los docentes de la</w:t>
      </w:r>
      <w:r>
        <w:rPr>
          <w:spacing w:val="1"/>
          <w:sz w:val="24"/>
        </w:rPr>
        <w:t> </w:t>
      </w:r>
      <w:r>
        <w:rPr>
          <w:sz w:val="24"/>
        </w:rPr>
        <w:t>comunidad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orientación,</w:t>
      </w:r>
      <w:r>
        <w:rPr>
          <w:spacing w:val="1"/>
          <w:sz w:val="24"/>
        </w:rPr>
        <w:t> </w:t>
      </w:r>
      <w:r>
        <w:rPr>
          <w:sz w:val="24"/>
        </w:rPr>
        <w:t>atención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casos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derivación;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orientación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centros</w:t>
      </w:r>
      <w:r>
        <w:rPr>
          <w:spacing w:val="1"/>
          <w:sz w:val="24"/>
        </w:rPr>
        <w:t> </w:t>
      </w:r>
      <w:r>
        <w:rPr>
          <w:sz w:val="24"/>
        </w:rPr>
        <w:t>educativos.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18"/>
        </w:numPr>
        <w:tabs>
          <w:tab w:pos="999" w:val="left" w:leader="none"/>
        </w:tabs>
        <w:spacing w:line="237" w:lineRule="auto" w:before="0" w:after="0"/>
        <w:ind w:left="998" w:right="1076" w:hanging="360"/>
        <w:jc w:val="both"/>
        <w:rPr>
          <w:sz w:val="24"/>
        </w:rPr>
      </w:pPr>
      <w:r>
        <w:rPr>
          <w:sz w:val="24"/>
        </w:rPr>
        <w:t>Integrar</w:t>
      </w:r>
      <w:r>
        <w:rPr>
          <w:spacing w:val="1"/>
          <w:sz w:val="24"/>
        </w:rPr>
        <w:t> </w:t>
      </w:r>
      <w:r>
        <w:rPr>
          <w:sz w:val="24"/>
        </w:rPr>
        <w:t>y capacitar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personas</w:t>
      </w:r>
      <w:r>
        <w:rPr>
          <w:spacing w:val="1"/>
          <w:sz w:val="24"/>
        </w:rPr>
        <w:t> </w:t>
      </w:r>
      <w:r>
        <w:rPr>
          <w:sz w:val="24"/>
        </w:rPr>
        <w:t>adultas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importancia de que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niño/as</w:t>
      </w:r>
      <w:r>
        <w:rPr>
          <w:spacing w:val="1"/>
          <w:sz w:val="24"/>
        </w:rPr>
        <w:t> </w:t>
      </w:r>
      <w:r>
        <w:rPr>
          <w:sz w:val="24"/>
        </w:rPr>
        <w:t>culminen la educación primaria, la crianza cariñosa, la protección infantil y la eliminación</w:t>
      </w:r>
      <w:r>
        <w:rPr>
          <w:spacing w:val="-52"/>
          <w:sz w:val="24"/>
        </w:rPr>
        <w:t> </w:t>
      </w:r>
      <w:r>
        <w:rPr>
          <w:sz w:val="24"/>
        </w:rPr>
        <w:t>de violencia</w:t>
      </w:r>
      <w:r>
        <w:rPr>
          <w:spacing w:val="-2"/>
          <w:sz w:val="24"/>
        </w:rPr>
        <w:t> </w:t>
      </w:r>
      <w:r>
        <w:rPr>
          <w:sz w:val="24"/>
        </w:rPr>
        <w:t>de género con</w:t>
      </w:r>
      <w:r>
        <w:rPr>
          <w:spacing w:val="-1"/>
          <w:sz w:val="24"/>
        </w:rPr>
        <w:t> </w:t>
      </w:r>
      <w:r>
        <w:rPr>
          <w:sz w:val="24"/>
        </w:rPr>
        <w:t>pertinencia étnica y</w:t>
      </w:r>
      <w:r>
        <w:rPr>
          <w:spacing w:val="-1"/>
          <w:sz w:val="24"/>
        </w:rPr>
        <w:t> </w:t>
      </w:r>
      <w:r>
        <w:rPr>
          <w:sz w:val="24"/>
        </w:rPr>
        <w:t>cultural</w:t>
      </w:r>
      <w:r>
        <w:rPr>
          <w:spacing w:val="-2"/>
          <w:sz w:val="24"/>
        </w:rPr>
        <w:t> </w:t>
      </w:r>
      <w:r>
        <w:rPr>
          <w:sz w:val="24"/>
        </w:rPr>
        <w:t>de los territorios.</w:t>
      </w:r>
    </w:p>
    <w:p>
      <w:pPr>
        <w:pStyle w:val="BodyText"/>
        <w:spacing w:before="10"/>
        <w:rPr>
          <w:sz w:val="23"/>
        </w:rPr>
      </w:pPr>
    </w:p>
    <w:p>
      <w:pPr>
        <w:spacing w:line="240" w:lineRule="auto" w:before="1"/>
        <w:ind w:left="278" w:right="1071" w:firstLine="0"/>
        <w:jc w:val="both"/>
        <w:rPr>
          <w:sz w:val="24"/>
        </w:rPr>
      </w:pPr>
      <w:r>
        <w:rPr>
          <w:sz w:val="24"/>
        </w:rPr>
        <w:t>Extender la base de participantes, -no solamente a los integrantes de las OPF- sino a todos los</w:t>
      </w:r>
      <w:r>
        <w:rPr>
          <w:spacing w:val="1"/>
          <w:sz w:val="24"/>
        </w:rPr>
        <w:t> </w:t>
      </w:r>
      <w:r>
        <w:rPr>
          <w:sz w:val="24"/>
        </w:rPr>
        <w:t>demás adultos (padres, madres, abuelos, abuelas, tíos, tías, encargados o tutores, etc.) para que</w:t>
      </w:r>
      <w:r>
        <w:rPr>
          <w:spacing w:val="-52"/>
          <w:sz w:val="24"/>
        </w:rPr>
        <w:t> </w:t>
      </w: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involucren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cuidado</w:t>
      </w:r>
      <w:r>
        <w:rPr>
          <w:spacing w:val="-3"/>
          <w:sz w:val="24"/>
        </w:rPr>
        <w:t> </w:t>
      </w:r>
      <w:r>
        <w:rPr>
          <w:sz w:val="24"/>
        </w:rPr>
        <w:t>cariñoso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sensible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niños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niñas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centros</w:t>
      </w:r>
      <w:r>
        <w:rPr>
          <w:spacing w:val="-4"/>
          <w:sz w:val="24"/>
        </w:rPr>
        <w:t> </w:t>
      </w:r>
      <w:r>
        <w:rPr>
          <w:sz w:val="24"/>
        </w:rPr>
        <w:t>educativos.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52"/>
          <w:sz w:val="24"/>
        </w:rPr>
        <w:t> </w:t>
      </w:r>
      <w:r>
        <w:rPr>
          <w:sz w:val="24"/>
        </w:rPr>
        <w:t>capacitaciones deben ser adaptadas a las edades y contextos comunitarios a la cual pertenece</w:t>
      </w:r>
      <w:r>
        <w:rPr>
          <w:spacing w:val="1"/>
          <w:sz w:val="24"/>
        </w:rPr>
        <w:t> </w:t>
      </w:r>
      <w:r>
        <w:rPr>
          <w:sz w:val="24"/>
        </w:rPr>
        <w:t>cada</w:t>
      </w:r>
      <w:r>
        <w:rPr>
          <w:spacing w:val="-1"/>
          <w:sz w:val="24"/>
        </w:rPr>
        <w:t> </w:t>
      </w:r>
      <w:r>
        <w:rPr>
          <w:sz w:val="24"/>
        </w:rPr>
        <w:t>población.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18"/>
        </w:numPr>
        <w:tabs>
          <w:tab w:pos="999" w:val="left" w:leader="none"/>
        </w:tabs>
        <w:spacing w:line="237" w:lineRule="auto" w:before="1" w:after="0"/>
        <w:ind w:left="998" w:right="1074" w:hanging="360"/>
        <w:jc w:val="both"/>
        <w:rPr>
          <w:sz w:val="24"/>
        </w:rPr>
      </w:pPr>
      <w:r>
        <w:rPr>
          <w:sz w:val="24"/>
        </w:rPr>
        <w:t>Cualificar y fortalecer los conocimientos de los docentes sobre la crianza cariñosa, la</w:t>
      </w:r>
      <w:r>
        <w:rPr>
          <w:spacing w:val="1"/>
          <w:sz w:val="24"/>
        </w:rPr>
        <w:t> </w:t>
      </w:r>
      <w:r>
        <w:rPr>
          <w:sz w:val="24"/>
        </w:rPr>
        <w:t>protección</w:t>
      </w:r>
      <w:r>
        <w:rPr>
          <w:spacing w:val="-9"/>
          <w:sz w:val="24"/>
        </w:rPr>
        <w:t> </w:t>
      </w:r>
      <w:r>
        <w:rPr>
          <w:sz w:val="24"/>
        </w:rPr>
        <w:t>infantil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eliminación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violencia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género</w:t>
      </w:r>
      <w:r>
        <w:rPr>
          <w:spacing w:val="-11"/>
          <w:sz w:val="24"/>
        </w:rPr>
        <w:t> </w:t>
      </w:r>
      <w:r>
        <w:rPr>
          <w:sz w:val="24"/>
        </w:rPr>
        <w:t>con</w:t>
      </w:r>
      <w:r>
        <w:rPr>
          <w:spacing w:val="-10"/>
          <w:sz w:val="24"/>
        </w:rPr>
        <w:t> </w:t>
      </w:r>
      <w:r>
        <w:rPr>
          <w:sz w:val="24"/>
        </w:rPr>
        <w:t>pertinencia</w:t>
      </w:r>
      <w:r>
        <w:rPr>
          <w:spacing w:val="-11"/>
          <w:sz w:val="24"/>
        </w:rPr>
        <w:t> </w:t>
      </w:r>
      <w:r>
        <w:rPr>
          <w:sz w:val="24"/>
        </w:rPr>
        <w:t>étnica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cultural</w:t>
      </w:r>
      <w:r>
        <w:rPr>
          <w:spacing w:val="-52"/>
          <w:sz w:val="24"/>
        </w:rPr>
        <w:t> </w:t>
      </w:r>
      <w:r>
        <w:rPr>
          <w:sz w:val="24"/>
        </w:rPr>
        <w:t>de los</w:t>
      </w:r>
      <w:r>
        <w:rPr>
          <w:spacing w:val="-2"/>
          <w:sz w:val="24"/>
        </w:rPr>
        <w:t> </w:t>
      </w:r>
      <w:r>
        <w:rPr>
          <w:sz w:val="24"/>
        </w:rPr>
        <w:t>territorios.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278" w:right="1070" w:firstLine="0"/>
        <w:jc w:val="both"/>
        <w:rPr>
          <w:sz w:val="24"/>
        </w:rPr>
      </w:pPr>
      <w:r>
        <w:rPr>
          <w:sz w:val="24"/>
        </w:rPr>
        <w:t>La capacitación del cuerpo docente es fundamental como agentes de cambio debido a que</w:t>
      </w:r>
      <w:r>
        <w:rPr>
          <w:spacing w:val="1"/>
          <w:sz w:val="24"/>
        </w:rPr>
        <w:t> </w:t>
      </w:r>
      <w:r>
        <w:rPr>
          <w:sz w:val="24"/>
        </w:rPr>
        <w:t>representan un elemento articulador entre el niño y sus padres (adultos responsables), para</w:t>
      </w:r>
      <w:r>
        <w:rPr>
          <w:spacing w:val="1"/>
          <w:sz w:val="24"/>
        </w:rPr>
        <w:t> </w:t>
      </w:r>
      <w:r>
        <w:rPr>
          <w:sz w:val="24"/>
        </w:rPr>
        <w:t>identificar</w:t>
      </w:r>
      <w:r>
        <w:rPr>
          <w:spacing w:val="-3"/>
          <w:sz w:val="24"/>
        </w:rPr>
        <w:t> </w:t>
      </w:r>
      <w:r>
        <w:rPr>
          <w:sz w:val="24"/>
        </w:rPr>
        <w:t>actitudes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comportamientos</w:t>
      </w:r>
      <w:r>
        <w:rPr>
          <w:spacing w:val="-2"/>
          <w:sz w:val="24"/>
        </w:rPr>
        <w:t> </w:t>
      </w:r>
      <w:r>
        <w:rPr>
          <w:sz w:val="24"/>
        </w:rPr>
        <w:t>relevantes.</w:t>
      </w:r>
    </w:p>
    <w:p>
      <w:pPr>
        <w:spacing w:before="0"/>
        <w:ind w:left="278" w:right="1079" w:firstLine="0"/>
        <w:jc w:val="both"/>
        <w:rPr>
          <w:sz w:val="24"/>
        </w:rPr>
      </w:pPr>
      <w:r>
        <w:rPr>
          <w:sz w:val="24"/>
        </w:rPr>
        <w:t>El rol del docente es preponderante como agente multiplicador de cambio y uno de los pilares</w:t>
      </w:r>
      <w:r>
        <w:rPr>
          <w:spacing w:val="1"/>
          <w:sz w:val="24"/>
        </w:rPr>
        <w:t> </w:t>
      </w:r>
      <w:r>
        <w:rPr>
          <w:sz w:val="24"/>
        </w:rPr>
        <w:t>del sistema</w:t>
      </w:r>
      <w:r>
        <w:rPr>
          <w:spacing w:val="-1"/>
          <w:sz w:val="24"/>
        </w:rPr>
        <w:t> </w:t>
      </w:r>
      <w:r>
        <w:rPr>
          <w:sz w:val="24"/>
        </w:rPr>
        <w:t>educativo</w:t>
      </w:r>
      <w:r>
        <w:rPr>
          <w:spacing w:val="-2"/>
          <w:sz w:val="24"/>
        </w:rPr>
        <w:t> </w:t>
      </w:r>
      <w:r>
        <w:rPr>
          <w:sz w:val="24"/>
        </w:rPr>
        <w:t>nacional. Su</w:t>
      </w:r>
      <w:r>
        <w:rPr>
          <w:spacing w:val="-2"/>
          <w:sz w:val="24"/>
        </w:rPr>
        <w:t> </w:t>
      </w:r>
      <w:r>
        <w:rPr>
          <w:sz w:val="24"/>
        </w:rPr>
        <w:t>capacitación</w:t>
      </w:r>
      <w:r>
        <w:rPr>
          <w:spacing w:val="1"/>
          <w:sz w:val="24"/>
        </w:rPr>
        <w:t> </w:t>
      </w:r>
      <w:r>
        <w:rPr>
          <w:sz w:val="24"/>
        </w:rPr>
        <w:t>en esta materia</w:t>
      </w:r>
      <w:r>
        <w:rPr>
          <w:spacing w:val="-3"/>
          <w:sz w:val="24"/>
        </w:rPr>
        <w:t> </w:t>
      </w:r>
      <w:r>
        <w:rPr>
          <w:sz w:val="24"/>
        </w:rPr>
        <w:t>implicaría;</w:t>
      </w:r>
    </w:p>
    <w:p>
      <w:pPr>
        <w:pStyle w:val="ListParagraph"/>
        <w:numPr>
          <w:ilvl w:val="1"/>
          <w:numId w:val="18"/>
        </w:numPr>
        <w:tabs>
          <w:tab w:pos="1706" w:val="left" w:leader="none"/>
          <w:tab w:pos="1707" w:val="left" w:leader="none"/>
        </w:tabs>
        <w:spacing w:line="305" w:lineRule="exact" w:before="0" w:after="0"/>
        <w:ind w:left="1706" w:right="0" w:hanging="361"/>
        <w:jc w:val="left"/>
        <w:rPr>
          <w:sz w:val="24"/>
        </w:rPr>
      </w:pPr>
      <w:r>
        <w:rPr>
          <w:sz w:val="24"/>
        </w:rPr>
        <w:t>Conocimiento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cuidado</w:t>
      </w:r>
      <w:r>
        <w:rPr>
          <w:spacing w:val="2"/>
          <w:sz w:val="24"/>
        </w:rPr>
        <w:t> </w:t>
      </w:r>
      <w:r>
        <w:rPr>
          <w:sz w:val="24"/>
        </w:rPr>
        <w:t>cariñoso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sensible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este</w:t>
      </w:r>
      <w:r>
        <w:rPr>
          <w:spacing w:val="-3"/>
          <w:sz w:val="24"/>
        </w:rPr>
        <w:t> </w:t>
      </w:r>
      <w:r>
        <w:rPr>
          <w:sz w:val="24"/>
        </w:rPr>
        <w:t>nivel.</w:t>
      </w:r>
    </w:p>
    <w:p>
      <w:pPr>
        <w:pStyle w:val="ListParagraph"/>
        <w:numPr>
          <w:ilvl w:val="1"/>
          <w:numId w:val="18"/>
        </w:numPr>
        <w:tabs>
          <w:tab w:pos="1706" w:val="left" w:leader="none"/>
          <w:tab w:pos="1707" w:val="left" w:leader="none"/>
        </w:tabs>
        <w:spacing w:line="305" w:lineRule="exact" w:before="1" w:after="0"/>
        <w:ind w:left="1706" w:right="0" w:hanging="361"/>
        <w:jc w:val="left"/>
        <w:rPr>
          <w:sz w:val="24"/>
        </w:rPr>
      </w:pPr>
      <w:r>
        <w:rPr>
          <w:sz w:val="24"/>
        </w:rPr>
        <w:t>Acciones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prácticas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cuidado</w:t>
      </w:r>
      <w:r>
        <w:rPr>
          <w:spacing w:val="-2"/>
          <w:sz w:val="24"/>
        </w:rPr>
        <w:t> </w:t>
      </w:r>
      <w:r>
        <w:rPr>
          <w:sz w:val="24"/>
        </w:rPr>
        <w:t>cariñoso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sensible.</w:t>
      </w:r>
    </w:p>
    <w:p>
      <w:pPr>
        <w:pStyle w:val="ListParagraph"/>
        <w:numPr>
          <w:ilvl w:val="1"/>
          <w:numId w:val="18"/>
        </w:numPr>
        <w:tabs>
          <w:tab w:pos="1706" w:val="left" w:leader="none"/>
          <w:tab w:pos="1707" w:val="left" w:leader="none"/>
        </w:tabs>
        <w:spacing w:line="305" w:lineRule="exact" w:before="0" w:after="0"/>
        <w:ind w:left="1706" w:right="0" w:hanging="361"/>
        <w:jc w:val="left"/>
        <w:rPr>
          <w:sz w:val="24"/>
        </w:rPr>
      </w:pPr>
      <w:r>
        <w:rPr>
          <w:sz w:val="24"/>
        </w:rPr>
        <w:t>Orientación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padres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familia.</w:t>
      </w:r>
    </w:p>
    <w:p>
      <w:pPr>
        <w:pStyle w:val="ListParagraph"/>
        <w:numPr>
          <w:ilvl w:val="1"/>
          <w:numId w:val="18"/>
        </w:numPr>
        <w:tabs>
          <w:tab w:pos="1706" w:val="left" w:leader="none"/>
          <w:tab w:pos="1707" w:val="left" w:leader="none"/>
        </w:tabs>
        <w:spacing w:line="240" w:lineRule="auto" w:before="2" w:after="0"/>
        <w:ind w:left="1706" w:right="0" w:hanging="361"/>
        <w:jc w:val="left"/>
        <w:rPr>
          <w:sz w:val="24"/>
        </w:rPr>
      </w:pPr>
      <w:r>
        <w:rPr>
          <w:sz w:val="24"/>
        </w:rPr>
        <w:t>Identificación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casos y</w:t>
      </w:r>
      <w:r>
        <w:rPr>
          <w:spacing w:val="-2"/>
          <w:sz w:val="24"/>
        </w:rPr>
        <w:t> </w:t>
      </w:r>
      <w:r>
        <w:rPr>
          <w:sz w:val="24"/>
        </w:rPr>
        <w:t>derivación.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  <w:r>
        <w:rPr/>
        <w:pict>
          <v:rect style="position:absolute;margin-left:563.880005pt;margin-top:12.236139pt;width:25.44pt;height:1.4399pt;mso-position-horizontal-relative:page;mso-position-vertical-relative:paragraph;z-index:-1552179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100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21088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0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2"/>
          <w:numId w:val="16"/>
        </w:numPr>
        <w:tabs>
          <w:tab w:pos="999" w:val="left" w:leader="none"/>
        </w:tabs>
        <w:spacing w:line="240" w:lineRule="auto" w:before="52" w:after="0"/>
        <w:ind w:left="998" w:right="1080" w:hanging="720"/>
        <w:jc w:val="left"/>
      </w:pPr>
      <w:bookmarkStart w:name="_bookmark124" w:id="181"/>
      <w:bookmarkEnd w:id="181"/>
      <w:r>
        <w:rPr>
          <w:b w:val="0"/>
        </w:rPr>
      </w:r>
      <w:bookmarkStart w:name="_bookmark124" w:id="182"/>
      <w:bookmarkEnd w:id="182"/>
      <w:r>
        <w:rPr/>
        <w:t>E</w:t>
      </w:r>
      <w:r>
        <w:rPr/>
        <w:t>je</w:t>
      </w:r>
      <w:r>
        <w:rPr>
          <w:spacing w:val="8"/>
        </w:rPr>
        <w:t> </w:t>
      </w:r>
      <w:r>
        <w:rPr/>
        <w:t>3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Priorización</w:t>
      </w:r>
      <w:r>
        <w:rPr>
          <w:spacing w:val="10"/>
        </w:rPr>
        <w:t> </w:t>
      </w:r>
      <w:r>
        <w:rPr/>
        <w:t>de</w:t>
      </w:r>
      <w:r>
        <w:rPr>
          <w:spacing w:val="4"/>
        </w:rPr>
        <w:t> </w:t>
      </w:r>
      <w:r>
        <w:rPr/>
        <w:t>áreas</w:t>
      </w:r>
      <w:r>
        <w:rPr>
          <w:spacing w:val="10"/>
        </w:rPr>
        <w:t> </w:t>
      </w:r>
      <w:r>
        <w:rPr/>
        <w:t>desatendidas:</w:t>
      </w:r>
      <w:r>
        <w:rPr>
          <w:spacing w:val="8"/>
        </w:rPr>
        <w:t> </w:t>
      </w:r>
      <w:r>
        <w:rPr/>
        <w:t>Priorizar</w:t>
      </w:r>
      <w:r>
        <w:rPr>
          <w:spacing w:val="8"/>
        </w:rPr>
        <w:t> </w:t>
      </w:r>
      <w:r>
        <w:rPr/>
        <w:t>territorialmente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cobertura</w:t>
      </w:r>
      <w:r>
        <w:rPr>
          <w:spacing w:val="8"/>
        </w:rPr>
        <w:t> </w:t>
      </w:r>
      <w:r>
        <w:rPr/>
        <w:t>del</w:t>
      </w:r>
      <w:r>
        <w:rPr>
          <w:spacing w:val="-5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Primaria.</w:t>
      </w:r>
    </w:p>
    <w:p>
      <w:pPr>
        <w:pStyle w:val="BodyText"/>
        <w:spacing w:before="2"/>
        <w:rPr>
          <w:b/>
          <w:sz w:val="20"/>
        </w:rPr>
      </w:pPr>
    </w:p>
    <w:p>
      <w:pPr>
        <w:pStyle w:val="ListParagraph"/>
        <w:numPr>
          <w:ilvl w:val="0"/>
          <w:numId w:val="19"/>
        </w:numPr>
        <w:tabs>
          <w:tab w:pos="999" w:val="left" w:leader="none"/>
        </w:tabs>
        <w:spacing w:line="232" w:lineRule="auto" w:before="0" w:after="0"/>
        <w:ind w:left="998" w:right="1076" w:hanging="360"/>
        <w:jc w:val="both"/>
        <w:rPr>
          <w:sz w:val="24"/>
        </w:rPr>
      </w:pPr>
      <w:r>
        <w:rPr>
          <w:spacing w:val="-1"/>
          <w:sz w:val="24"/>
        </w:rPr>
        <w:t>Establecer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un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Sistema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seguimiento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monitoreo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cobertura</w:t>
      </w:r>
      <w:r>
        <w:rPr>
          <w:spacing w:val="-11"/>
          <w:sz w:val="24"/>
        </w:rPr>
        <w:t> </w:t>
      </w:r>
      <w:r>
        <w:rPr>
          <w:sz w:val="24"/>
        </w:rPr>
        <w:t>escolar</w:t>
      </w:r>
      <w:r>
        <w:rPr>
          <w:spacing w:val="-9"/>
          <w:sz w:val="24"/>
        </w:rPr>
        <w:t> </w:t>
      </w:r>
      <w:r>
        <w:rPr>
          <w:sz w:val="24"/>
        </w:rPr>
        <w:t>del</w:t>
      </w:r>
      <w:r>
        <w:rPr>
          <w:spacing w:val="-9"/>
          <w:sz w:val="24"/>
        </w:rPr>
        <w:t> </w:t>
      </w:r>
      <w:r>
        <w:rPr>
          <w:sz w:val="24"/>
        </w:rPr>
        <w:t>nivel</w:t>
      </w:r>
      <w:r>
        <w:rPr>
          <w:spacing w:val="-10"/>
          <w:sz w:val="24"/>
        </w:rPr>
        <w:t> </w:t>
      </w:r>
      <w:r>
        <w:rPr>
          <w:sz w:val="24"/>
        </w:rPr>
        <w:t>primario</w:t>
      </w:r>
      <w:r>
        <w:rPr>
          <w:spacing w:val="-52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integre</w:t>
      </w:r>
      <w:r>
        <w:rPr>
          <w:spacing w:val="-2"/>
          <w:sz w:val="24"/>
        </w:rPr>
        <w:t> </w:t>
      </w:r>
      <w:r>
        <w:rPr>
          <w:sz w:val="24"/>
        </w:rPr>
        <w:t>prácticas</w:t>
      </w:r>
      <w:r>
        <w:rPr>
          <w:spacing w:val="-3"/>
          <w:sz w:val="24"/>
        </w:rPr>
        <w:t> </w:t>
      </w:r>
      <w:r>
        <w:rPr>
          <w:sz w:val="24"/>
        </w:rPr>
        <w:t>culturales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lingüísticas</w:t>
      </w:r>
      <w:r>
        <w:rPr>
          <w:spacing w:val="-1"/>
          <w:sz w:val="24"/>
        </w:rPr>
        <w:t> </w:t>
      </w:r>
      <w:r>
        <w:rPr>
          <w:sz w:val="24"/>
        </w:rPr>
        <w:t>adaptado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cada</w:t>
      </w:r>
      <w:r>
        <w:rPr>
          <w:spacing w:val="-3"/>
          <w:sz w:val="24"/>
        </w:rPr>
        <w:t> </w:t>
      </w:r>
      <w:r>
        <w:rPr>
          <w:sz w:val="24"/>
        </w:rPr>
        <w:t>territorio.</w:t>
      </w:r>
    </w:p>
    <w:p>
      <w:pPr>
        <w:pStyle w:val="BodyText"/>
        <w:spacing w:before="3"/>
        <w:rPr>
          <w:sz w:val="24"/>
        </w:rPr>
      </w:pPr>
    </w:p>
    <w:p>
      <w:pPr>
        <w:spacing w:line="240" w:lineRule="auto" w:before="0"/>
        <w:ind w:left="278" w:right="1073" w:firstLine="0"/>
        <w:jc w:val="both"/>
        <w:rPr>
          <w:sz w:val="24"/>
        </w:rPr>
      </w:pPr>
      <w:r>
        <w:rPr>
          <w:sz w:val="24"/>
        </w:rPr>
        <w:t>Este sistema de seguimiento debe surgir de una mesa técnica de trabajo colaborativo en donde</w:t>
      </w:r>
      <w:r>
        <w:rPr>
          <w:spacing w:val="1"/>
          <w:sz w:val="24"/>
        </w:rPr>
        <w:t> </w:t>
      </w:r>
      <w:r>
        <w:rPr>
          <w:sz w:val="24"/>
        </w:rPr>
        <w:t>se identifiquen las principales causas de baja cobertura por territorio para que sea un formato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-3"/>
          <w:sz w:val="24"/>
        </w:rPr>
        <w:t> </w:t>
      </w:r>
      <w:r>
        <w:rPr>
          <w:sz w:val="24"/>
        </w:rPr>
        <w:t>pero</w:t>
      </w:r>
      <w:r>
        <w:rPr>
          <w:spacing w:val="1"/>
          <w:sz w:val="24"/>
        </w:rPr>
        <w:t> </w:t>
      </w:r>
      <w:r>
        <w:rPr>
          <w:sz w:val="24"/>
        </w:rPr>
        <w:t>diferenciado y que</w:t>
      </w:r>
      <w:r>
        <w:rPr>
          <w:spacing w:val="1"/>
          <w:sz w:val="24"/>
        </w:rPr>
        <w:t> </w:t>
      </w:r>
      <w:r>
        <w:rPr>
          <w:sz w:val="24"/>
        </w:rPr>
        <w:t>recoja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particularidades de</w:t>
      </w:r>
      <w:r>
        <w:rPr>
          <w:spacing w:val="1"/>
          <w:sz w:val="24"/>
        </w:rPr>
        <w:t> </w:t>
      </w:r>
      <w:r>
        <w:rPr>
          <w:sz w:val="24"/>
        </w:rPr>
        <w:t>cada</w:t>
      </w:r>
      <w:r>
        <w:rPr>
          <w:spacing w:val="-2"/>
          <w:sz w:val="24"/>
        </w:rPr>
        <w:t> </w:t>
      </w:r>
      <w:r>
        <w:rPr>
          <w:sz w:val="24"/>
        </w:rPr>
        <w:t>región.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19"/>
        </w:numPr>
        <w:tabs>
          <w:tab w:pos="999" w:val="left" w:leader="none"/>
        </w:tabs>
        <w:spacing w:line="232" w:lineRule="auto" w:before="0" w:after="0"/>
        <w:ind w:left="998" w:right="1071" w:hanging="360"/>
        <w:jc w:val="both"/>
        <w:rPr>
          <w:sz w:val="24"/>
        </w:rPr>
      </w:pPr>
      <w:r>
        <w:rPr>
          <w:sz w:val="24"/>
        </w:rPr>
        <w:t>Diseñar un Sistema de Alerta temprana sobre riesgo de deserción a nivel primaria para</w:t>
      </w:r>
      <w:r>
        <w:rPr>
          <w:spacing w:val="1"/>
          <w:sz w:val="24"/>
        </w:rPr>
        <w:t> </w:t>
      </w:r>
      <w:r>
        <w:rPr>
          <w:sz w:val="24"/>
        </w:rPr>
        <w:t>activar</w:t>
      </w:r>
      <w:r>
        <w:rPr>
          <w:spacing w:val="-1"/>
          <w:sz w:val="24"/>
        </w:rPr>
        <w:t> </w:t>
      </w:r>
      <w:r>
        <w:rPr>
          <w:sz w:val="24"/>
        </w:rPr>
        <w:t>mecanismos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respuesta.</w:t>
      </w:r>
    </w:p>
    <w:p>
      <w:pPr>
        <w:pStyle w:val="BodyText"/>
        <w:spacing w:before="2"/>
        <w:rPr>
          <w:sz w:val="24"/>
        </w:rPr>
      </w:pPr>
    </w:p>
    <w:p>
      <w:pPr>
        <w:spacing w:before="1"/>
        <w:ind w:left="278" w:right="1075" w:firstLine="0"/>
        <w:jc w:val="both"/>
        <w:rPr>
          <w:sz w:val="24"/>
        </w:rPr>
      </w:pPr>
      <w:r>
        <w:rPr>
          <w:spacing w:val="-1"/>
          <w:sz w:val="24"/>
        </w:rPr>
        <w:t>Conjuntamente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con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las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OPF,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establecer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un</w:t>
      </w:r>
      <w:r>
        <w:rPr>
          <w:spacing w:val="-10"/>
          <w:sz w:val="24"/>
        </w:rPr>
        <w:t> </w:t>
      </w:r>
      <w:r>
        <w:rPr>
          <w:sz w:val="24"/>
        </w:rPr>
        <w:t>sistema</w:t>
      </w:r>
      <w:r>
        <w:rPr>
          <w:spacing w:val="-10"/>
          <w:sz w:val="24"/>
        </w:rPr>
        <w:t> </w:t>
      </w:r>
      <w:r>
        <w:rPr>
          <w:sz w:val="24"/>
        </w:rPr>
        <w:t>piramidal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información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permita</w:t>
      </w:r>
      <w:r>
        <w:rPr>
          <w:spacing w:val="-11"/>
          <w:sz w:val="24"/>
        </w:rPr>
        <w:t> </w:t>
      </w:r>
      <w:r>
        <w:rPr>
          <w:sz w:val="24"/>
        </w:rPr>
        <w:t>obtener</w:t>
      </w:r>
      <w:r>
        <w:rPr>
          <w:spacing w:val="-51"/>
          <w:sz w:val="24"/>
        </w:rPr>
        <w:t> </w:t>
      </w:r>
      <w:r>
        <w:rPr>
          <w:sz w:val="24"/>
        </w:rPr>
        <w:t>los insumos de las inasistencias, causas y motivaciones para que semanalmente se reporte y se</w:t>
      </w:r>
      <w:r>
        <w:rPr>
          <w:spacing w:val="1"/>
          <w:sz w:val="24"/>
        </w:rPr>
        <w:t> </w:t>
      </w:r>
      <w:r>
        <w:rPr>
          <w:sz w:val="24"/>
        </w:rPr>
        <w:t>tomen las acciones</w:t>
      </w:r>
      <w:r>
        <w:rPr>
          <w:spacing w:val="-1"/>
          <w:sz w:val="24"/>
        </w:rPr>
        <w:t> </w:t>
      </w:r>
      <w:r>
        <w:rPr>
          <w:sz w:val="24"/>
        </w:rPr>
        <w:t>pertinentes</w:t>
      </w:r>
      <w:r>
        <w:rPr>
          <w:spacing w:val="-1"/>
          <w:sz w:val="24"/>
        </w:rPr>
        <w:t> </w:t>
      </w:r>
      <w:r>
        <w:rPr>
          <w:sz w:val="24"/>
        </w:rPr>
        <w:t>tales como;</w:t>
      </w:r>
    </w:p>
    <w:p>
      <w:pPr>
        <w:pStyle w:val="ListParagraph"/>
        <w:numPr>
          <w:ilvl w:val="1"/>
          <w:numId w:val="19"/>
        </w:numPr>
        <w:tabs>
          <w:tab w:pos="1707" w:val="left" w:leader="none"/>
        </w:tabs>
        <w:spacing w:line="296" w:lineRule="exact" w:before="0" w:after="0"/>
        <w:ind w:left="1706" w:right="0" w:hanging="361"/>
        <w:jc w:val="both"/>
        <w:rPr>
          <w:sz w:val="24"/>
        </w:rPr>
      </w:pPr>
      <w:r>
        <w:rPr>
          <w:sz w:val="24"/>
        </w:rPr>
        <w:t>Tipificación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motivaciones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estructura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protocolo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atención</w:t>
      </w:r>
      <w:r>
        <w:rPr>
          <w:spacing w:val="-7"/>
          <w:sz w:val="24"/>
        </w:rPr>
        <w:t> </w:t>
      </w:r>
      <w:r>
        <w:rPr>
          <w:sz w:val="24"/>
        </w:rPr>
        <w:t>por</w:t>
      </w:r>
      <w:r>
        <w:rPr>
          <w:spacing w:val="-8"/>
          <w:sz w:val="24"/>
        </w:rPr>
        <w:t> </w:t>
      </w:r>
      <w:r>
        <w:rPr>
          <w:sz w:val="24"/>
        </w:rPr>
        <w:t>casos</w:t>
      </w:r>
      <w:r>
        <w:rPr>
          <w:spacing w:val="-6"/>
          <w:sz w:val="24"/>
        </w:rPr>
        <w:t> </w:t>
      </w:r>
      <w:r>
        <w:rPr>
          <w:sz w:val="24"/>
        </w:rPr>
        <w:t>leves</w:t>
      </w:r>
    </w:p>
    <w:p>
      <w:pPr>
        <w:spacing w:line="289" w:lineRule="exact" w:before="0"/>
        <w:ind w:left="1706" w:right="0" w:firstLine="0"/>
        <w:jc w:val="both"/>
        <w:rPr>
          <w:sz w:val="24"/>
        </w:rPr>
      </w:pP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críticos.</w:t>
      </w:r>
    </w:p>
    <w:p>
      <w:pPr>
        <w:pStyle w:val="ListParagraph"/>
        <w:numPr>
          <w:ilvl w:val="1"/>
          <w:numId w:val="19"/>
        </w:numPr>
        <w:tabs>
          <w:tab w:pos="1707" w:val="left" w:leader="none"/>
        </w:tabs>
        <w:spacing w:line="232" w:lineRule="auto" w:before="6" w:after="0"/>
        <w:ind w:left="1706" w:right="1081" w:hanging="360"/>
        <w:jc w:val="both"/>
        <w:rPr>
          <w:sz w:val="24"/>
        </w:rPr>
      </w:pPr>
      <w:r>
        <w:rPr>
          <w:sz w:val="24"/>
        </w:rPr>
        <w:t>Hacer una hoja de ruta que contenga por cada caso, los siguientes campos de</w:t>
      </w:r>
      <w:r>
        <w:rPr>
          <w:spacing w:val="1"/>
          <w:sz w:val="24"/>
        </w:rPr>
        <w:t> </w:t>
      </w:r>
      <w:r>
        <w:rPr>
          <w:sz w:val="24"/>
        </w:rPr>
        <w:t>información.</w:t>
      </w:r>
    </w:p>
    <w:p>
      <w:pPr>
        <w:pStyle w:val="ListParagraph"/>
        <w:numPr>
          <w:ilvl w:val="2"/>
          <w:numId w:val="19"/>
        </w:numPr>
        <w:tabs>
          <w:tab w:pos="2054" w:val="left" w:leader="none"/>
          <w:tab w:pos="2055" w:val="left" w:leader="none"/>
        </w:tabs>
        <w:spacing w:line="242" w:lineRule="auto" w:before="2" w:after="0"/>
        <w:ind w:left="2054" w:right="1075" w:hanging="360"/>
        <w:jc w:val="left"/>
        <w:rPr>
          <w:sz w:val="24"/>
        </w:rPr>
      </w:pPr>
      <w:r>
        <w:rPr>
          <w:sz w:val="24"/>
        </w:rPr>
        <w:t>Consulta</w:t>
      </w:r>
      <w:r>
        <w:rPr>
          <w:spacing w:val="40"/>
          <w:sz w:val="24"/>
        </w:rPr>
        <w:t> </w:t>
      </w:r>
      <w:r>
        <w:rPr>
          <w:sz w:val="24"/>
        </w:rPr>
        <w:t>(por</w:t>
      </w:r>
      <w:r>
        <w:rPr>
          <w:spacing w:val="40"/>
          <w:sz w:val="24"/>
        </w:rPr>
        <w:t> </w:t>
      </w:r>
      <w:r>
        <w:rPr>
          <w:sz w:val="24"/>
        </w:rPr>
        <w:t>escrito</w:t>
      </w:r>
      <w:r>
        <w:rPr>
          <w:spacing w:val="40"/>
          <w:sz w:val="24"/>
        </w:rPr>
        <w:t> </w:t>
      </w:r>
      <w:r>
        <w:rPr>
          <w:sz w:val="24"/>
        </w:rPr>
        <w:t>o</w:t>
      </w:r>
      <w:r>
        <w:rPr>
          <w:spacing w:val="40"/>
          <w:sz w:val="24"/>
        </w:rPr>
        <w:t> </w:t>
      </w:r>
      <w:r>
        <w:rPr>
          <w:sz w:val="24"/>
        </w:rPr>
        <w:t>telefónica),</w:t>
      </w:r>
      <w:r>
        <w:rPr>
          <w:spacing w:val="43"/>
          <w:sz w:val="24"/>
        </w:rPr>
        <w:t> </w:t>
      </w:r>
      <w:r>
        <w:rPr>
          <w:sz w:val="24"/>
        </w:rPr>
        <w:t>al</w:t>
      </w:r>
      <w:r>
        <w:rPr>
          <w:spacing w:val="40"/>
          <w:sz w:val="24"/>
        </w:rPr>
        <w:t> </w:t>
      </w:r>
      <w:r>
        <w:rPr>
          <w:sz w:val="24"/>
        </w:rPr>
        <w:t>adulto</w:t>
      </w:r>
      <w:r>
        <w:rPr>
          <w:spacing w:val="40"/>
          <w:sz w:val="24"/>
        </w:rPr>
        <w:t> </w:t>
      </w:r>
      <w:r>
        <w:rPr>
          <w:sz w:val="24"/>
        </w:rPr>
        <w:t>para</w:t>
      </w:r>
      <w:r>
        <w:rPr>
          <w:spacing w:val="43"/>
          <w:sz w:val="24"/>
        </w:rPr>
        <w:t> </w:t>
      </w:r>
      <w:r>
        <w:rPr>
          <w:sz w:val="24"/>
        </w:rPr>
        <w:t>conocer</w:t>
      </w:r>
      <w:r>
        <w:rPr>
          <w:spacing w:val="40"/>
          <w:sz w:val="24"/>
        </w:rPr>
        <w:t> </w:t>
      </w:r>
      <w:r>
        <w:rPr>
          <w:sz w:val="24"/>
        </w:rPr>
        <w:t>el</w:t>
      </w:r>
      <w:r>
        <w:rPr>
          <w:spacing w:val="44"/>
          <w:sz w:val="24"/>
        </w:rPr>
        <w:t> </w:t>
      </w:r>
      <w:r>
        <w:rPr>
          <w:sz w:val="24"/>
        </w:rPr>
        <w:t>motivo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3"/>
          <w:sz w:val="24"/>
        </w:rPr>
        <w:t> </w:t>
      </w:r>
      <w:r>
        <w:rPr>
          <w:sz w:val="24"/>
        </w:rPr>
        <w:t>la</w:t>
      </w:r>
      <w:r>
        <w:rPr>
          <w:spacing w:val="-51"/>
          <w:sz w:val="24"/>
        </w:rPr>
        <w:t> </w:t>
      </w:r>
      <w:r>
        <w:rPr>
          <w:sz w:val="24"/>
        </w:rPr>
        <w:t>ausencia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niño.</w:t>
      </w:r>
    </w:p>
    <w:p>
      <w:pPr>
        <w:pStyle w:val="ListParagraph"/>
        <w:numPr>
          <w:ilvl w:val="2"/>
          <w:numId w:val="19"/>
        </w:numPr>
        <w:tabs>
          <w:tab w:pos="2054" w:val="left" w:leader="none"/>
          <w:tab w:pos="2055" w:val="left" w:leader="none"/>
        </w:tabs>
        <w:spacing w:line="301" w:lineRule="exact" w:before="0" w:after="0"/>
        <w:ind w:left="2054" w:right="0" w:hanging="361"/>
        <w:jc w:val="left"/>
        <w:rPr>
          <w:sz w:val="24"/>
        </w:rPr>
      </w:pPr>
      <w:r>
        <w:rPr>
          <w:sz w:val="24"/>
        </w:rPr>
        <w:t>Identificación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problemática</w:t>
      </w:r>
      <w:r>
        <w:rPr>
          <w:spacing w:val="-2"/>
          <w:sz w:val="24"/>
        </w:rPr>
        <w:t> </w:t>
      </w:r>
      <w:r>
        <w:rPr>
          <w:sz w:val="24"/>
        </w:rPr>
        <w:t>(si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4"/>
          <w:sz w:val="24"/>
        </w:rPr>
        <w:t> </w:t>
      </w:r>
      <w:r>
        <w:rPr>
          <w:sz w:val="24"/>
        </w:rPr>
        <w:t>leve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crítica).</w:t>
      </w:r>
    </w:p>
    <w:p>
      <w:pPr>
        <w:pStyle w:val="ListParagraph"/>
        <w:numPr>
          <w:ilvl w:val="2"/>
          <w:numId w:val="19"/>
        </w:numPr>
        <w:tabs>
          <w:tab w:pos="2054" w:val="left" w:leader="none"/>
          <w:tab w:pos="2055" w:val="left" w:leader="none"/>
        </w:tabs>
        <w:spacing w:line="305" w:lineRule="exact" w:before="0" w:after="0"/>
        <w:ind w:left="2054" w:right="0" w:hanging="361"/>
        <w:jc w:val="left"/>
        <w:rPr>
          <w:sz w:val="24"/>
        </w:rPr>
      </w:pPr>
      <w:r>
        <w:rPr>
          <w:sz w:val="24"/>
        </w:rPr>
        <w:t>Notificación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dirección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solución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caso</w:t>
      </w:r>
      <w:r>
        <w:rPr>
          <w:spacing w:val="-1"/>
          <w:sz w:val="24"/>
        </w:rPr>
        <w:t> </w:t>
      </w:r>
      <w:r>
        <w:rPr>
          <w:sz w:val="24"/>
        </w:rPr>
        <w:t>sea</w:t>
      </w:r>
      <w:r>
        <w:rPr>
          <w:spacing w:val="-1"/>
          <w:sz w:val="24"/>
        </w:rPr>
        <w:t> </w:t>
      </w:r>
      <w:r>
        <w:rPr>
          <w:sz w:val="24"/>
        </w:rPr>
        <w:t>leve.</w:t>
      </w:r>
    </w:p>
    <w:p>
      <w:pPr>
        <w:pStyle w:val="ListParagraph"/>
        <w:numPr>
          <w:ilvl w:val="2"/>
          <w:numId w:val="19"/>
        </w:numPr>
        <w:tabs>
          <w:tab w:pos="2054" w:val="left" w:leader="none"/>
          <w:tab w:pos="2055" w:val="left" w:leader="none"/>
        </w:tabs>
        <w:spacing w:line="305" w:lineRule="exact" w:before="2" w:after="0"/>
        <w:ind w:left="2054" w:right="0" w:hanging="361"/>
        <w:jc w:val="left"/>
        <w:rPr>
          <w:sz w:val="24"/>
        </w:rPr>
      </w:pPr>
      <w:r>
        <w:rPr>
          <w:sz w:val="24"/>
        </w:rPr>
        <w:t>Situación.</w:t>
      </w:r>
    </w:p>
    <w:p>
      <w:pPr>
        <w:pStyle w:val="ListParagraph"/>
        <w:numPr>
          <w:ilvl w:val="2"/>
          <w:numId w:val="19"/>
        </w:numPr>
        <w:tabs>
          <w:tab w:pos="2054" w:val="left" w:leader="none"/>
          <w:tab w:pos="2055" w:val="left" w:leader="none"/>
        </w:tabs>
        <w:spacing w:line="305" w:lineRule="exact" w:before="0" w:after="0"/>
        <w:ind w:left="2054" w:right="0" w:hanging="361"/>
        <w:jc w:val="left"/>
        <w:rPr>
          <w:sz w:val="24"/>
        </w:rPr>
      </w:pP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caso</w:t>
      </w:r>
      <w:r>
        <w:rPr>
          <w:spacing w:val="-2"/>
          <w:sz w:val="24"/>
        </w:rPr>
        <w:t> </w:t>
      </w:r>
      <w:r>
        <w:rPr>
          <w:sz w:val="24"/>
        </w:rPr>
        <w:t>sea</w:t>
      </w:r>
      <w:r>
        <w:rPr>
          <w:spacing w:val="-3"/>
          <w:sz w:val="24"/>
        </w:rPr>
        <w:t> </w:t>
      </w:r>
      <w:r>
        <w:rPr>
          <w:sz w:val="24"/>
        </w:rPr>
        <w:t>crítica</w:t>
      </w:r>
      <w:r>
        <w:rPr>
          <w:spacing w:val="-4"/>
          <w:sz w:val="24"/>
        </w:rPr>
        <w:t> </w:t>
      </w:r>
      <w:r>
        <w:rPr>
          <w:sz w:val="24"/>
        </w:rPr>
        <w:t>abordaje</w:t>
      </w:r>
      <w:r>
        <w:rPr>
          <w:spacing w:val="-2"/>
          <w:sz w:val="24"/>
        </w:rPr>
        <w:t> </w:t>
      </w:r>
      <w:r>
        <w:rPr>
          <w:sz w:val="24"/>
        </w:rPr>
        <w:t>comunitario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propuesta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solución</w:t>
      </w:r>
      <w:r>
        <w:rPr>
          <w:spacing w:val="-3"/>
          <w:sz w:val="24"/>
        </w:rPr>
        <w:t> </w:t>
      </w:r>
      <w:r>
        <w:rPr>
          <w:sz w:val="24"/>
        </w:rPr>
        <w:t>conjunta.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19"/>
        </w:numPr>
        <w:tabs>
          <w:tab w:pos="999" w:val="left" w:leader="none"/>
        </w:tabs>
        <w:spacing w:line="237" w:lineRule="auto" w:before="0" w:after="0"/>
        <w:ind w:left="998" w:right="1075" w:hanging="360"/>
        <w:jc w:val="both"/>
        <w:rPr>
          <w:sz w:val="24"/>
        </w:rPr>
      </w:pPr>
      <w:r>
        <w:rPr>
          <w:spacing w:val="-1"/>
          <w:sz w:val="24"/>
        </w:rPr>
        <w:t>Implementar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estrategias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informativas</w:t>
      </w:r>
      <w:r>
        <w:rPr>
          <w:spacing w:val="-11"/>
          <w:sz w:val="24"/>
        </w:rPr>
        <w:t> </w:t>
      </w:r>
      <w:r>
        <w:rPr>
          <w:sz w:val="24"/>
        </w:rPr>
        <w:t>dirigidas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personas</w:t>
      </w:r>
      <w:r>
        <w:rPr>
          <w:spacing w:val="-7"/>
          <w:sz w:val="24"/>
        </w:rPr>
        <w:t> </w:t>
      </w:r>
      <w:r>
        <w:rPr>
          <w:sz w:val="24"/>
        </w:rPr>
        <w:t>adultas</w:t>
      </w:r>
      <w:r>
        <w:rPr>
          <w:spacing w:val="-8"/>
          <w:sz w:val="24"/>
        </w:rPr>
        <w:t> </w:t>
      </w:r>
      <w:r>
        <w:rPr>
          <w:sz w:val="24"/>
        </w:rPr>
        <w:t>sobre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importancia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la educación primaria para el desarrollo de hábitos, capacidades y habilidades educativas</w:t>
      </w:r>
      <w:r>
        <w:rPr>
          <w:spacing w:val="-52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los/as niños.</w:t>
      </w:r>
    </w:p>
    <w:p>
      <w:pPr>
        <w:pStyle w:val="ListParagraph"/>
        <w:numPr>
          <w:ilvl w:val="1"/>
          <w:numId w:val="19"/>
        </w:numPr>
        <w:tabs>
          <w:tab w:pos="2415" w:val="left" w:leader="none"/>
        </w:tabs>
        <w:spacing w:line="232" w:lineRule="auto" w:before="5" w:after="0"/>
        <w:ind w:left="2414" w:right="1073" w:hanging="360"/>
        <w:jc w:val="both"/>
        <w:rPr>
          <w:sz w:val="24"/>
        </w:rPr>
      </w:pPr>
      <w:r>
        <w:rPr>
          <w:sz w:val="24"/>
        </w:rPr>
        <w:t>Campaña de comunicación sobre la importancia de la educación de los</w:t>
      </w:r>
      <w:r>
        <w:rPr>
          <w:spacing w:val="1"/>
          <w:sz w:val="24"/>
        </w:rPr>
        <w:t> </w:t>
      </w:r>
      <w:r>
        <w:rPr>
          <w:sz w:val="24"/>
        </w:rPr>
        <w:t>niños</w:t>
      </w:r>
      <w:r>
        <w:rPr>
          <w:spacing w:val="-2"/>
          <w:sz w:val="24"/>
        </w:rPr>
        <w:t> </w:t>
      </w:r>
      <w:r>
        <w:rPr>
          <w:sz w:val="24"/>
        </w:rPr>
        <w:t>en este</w:t>
      </w:r>
      <w:r>
        <w:rPr>
          <w:spacing w:val="-2"/>
          <w:sz w:val="24"/>
        </w:rPr>
        <w:t> </w:t>
      </w:r>
      <w:r>
        <w:rPr>
          <w:sz w:val="24"/>
        </w:rPr>
        <w:t>nivel.</w:t>
      </w:r>
    </w:p>
    <w:p>
      <w:pPr>
        <w:pStyle w:val="ListParagraph"/>
        <w:numPr>
          <w:ilvl w:val="1"/>
          <w:numId w:val="19"/>
        </w:numPr>
        <w:tabs>
          <w:tab w:pos="2415" w:val="left" w:leader="none"/>
        </w:tabs>
        <w:spacing w:line="240" w:lineRule="auto" w:before="4" w:after="0"/>
        <w:ind w:left="2414" w:right="0" w:hanging="361"/>
        <w:jc w:val="both"/>
        <w:rPr>
          <w:sz w:val="24"/>
        </w:rPr>
      </w:pPr>
      <w:r>
        <w:rPr>
          <w:sz w:val="24"/>
        </w:rPr>
        <w:t>Acompañamiento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OPF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identificar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deserción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territorio.</w:t>
      </w:r>
    </w:p>
    <w:p>
      <w:pPr>
        <w:pStyle w:val="BodyText"/>
        <w:spacing w:before="4"/>
        <w:rPr>
          <w:sz w:val="23"/>
        </w:rPr>
      </w:pPr>
    </w:p>
    <w:p>
      <w:pPr>
        <w:spacing w:before="0"/>
        <w:ind w:left="278" w:right="1080" w:firstLine="0"/>
        <w:jc w:val="both"/>
        <w:rPr>
          <w:sz w:val="24"/>
        </w:rPr>
      </w:pPr>
      <w:r>
        <w:rPr>
          <w:sz w:val="24"/>
        </w:rPr>
        <w:t>En el siguiente gráfico, se presenta la integración de los principales puntos de la estrategia de</w:t>
      </w:r>
      <w:r>
        <w:rPr>
          <w:spacing w:val="1"/>
          <w:sz w:val="24"/>
        </w:rPr>
        <w:t> </w:t>
      </w:r>
      <w:r>
        <w:rPr>
          <w:sz w:val="24"/>
        </w:rPr>
        <w:t>cobertura</w:t>
      </w:r>
      <w:r>
        <w:rPr>
          <w:spacing w:val="-2"/>
          <w:sz w:val="24"/>
        </w:rPr>
        <w:t> </w:t>
      </w:r>
      <w:r>
        <w:rPr>
          <w:sz w:val="24"/>
        </w:rPr>
        <w:t>escolar</w:t>
      </w:r>
      <w:r>
        <w:rPr>
          <w:spacing w:val="-1"/>
          <w:sz w:val="24"/>
        </w:rPr>
        <w:t> </w:t>
      </w:r>
      <w:r>
        <w:rPr>
          <w:sz w:val="24"/>
        </w:rPr>
        <w:t>planteada.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rect style="position:absolute;margin-left:563.880005pt;margin-top:14.296019pt;width:25.44pt;height:1.4399pt;mso-position-horizontal-relative:page;mso-position-vertical-relative:paragraph;z-index:-1552025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101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7"/>
        </w:rPr>
      </w:pPr>
    </w:p>
    <w:p>
      <w:pPr>
        <w:spacing w:before="59"/>
        <w:ind w:left="278" w:right="0" w:firstLine="0"/>
        <w:jc w:val="left"/>
        <w:rPr>
          <w:sz w:val="20"/>
        </w:rPr>
      </w:pPr>
      <w:r>
        <w:rPr/>
        <w:pict>
          <v:group style="position:absolute;margin-left:70.900002pt;margin-top:28.57147pt;width:441.6pt;height:306.75pt;mso-position-horizontal-relative:page;mso-position-vertical-relative:paragraph;z-index:-28793344" coordorigin="1418,571" coordsize="8832,6135">
            <v:rect style="position:absolute;left:1418;top:571;width:8832;height:6135" filled="true" fillcolor="#ffffff" stroked="false">
              <v:fill type="solid"/>
            </v:rect>
            <v:rect style="position:absolute;left:1418;top:571;width:5883;height:939" filled="true" fillcolor="#001f5f" stroked="false">
              <v:fill type="solid"/>
            </v:rect>
            <v:shape style="position:absolute;left:7454;top:1935;width:2474;height:1146" type="#_x0000_t75" stroked="false">
              <v:imagedata r:id="rId116" o:title=""/>
            </v:shape>
            <v:shape style="position:absolute;left:7518;top:1995;width:2355;height:982" coordorigin="7518,1996" coordsize="2355,982" path="m9741,1996l7650,1996,7557,2044,7518,2160,7518,2813,7529,2877,7599,2964,9741,2977,9792,2964,9834,2929,9862,2877,9872,2813,9872,2160,9862,2096,9834,2044,9792,2009,9741,1996xe" filled="true" fillcolor="#1f3863" stroked="false">
              <v:path arrowok="t"/>
              <v:fill type="solid"/>
            </v:shape>
            <v:shape style="position:absolute;left:7518;top:1995;width:2355;height:982" coordorigin="7518,1996" coordsize="2355,982" path="m7518,2160l7529,2096,7557,2044,7599,2009,7650,1996,9741,1996,9834,2044,9872,2160,9872,2813,9862,2877,9834,2929,9792,2964,9741,2977,7650,2977,7599,2964,7557,2929,7529,2877,7518,2813,7518,2160xe" filled="false" stroked="true" strokeweight=".80182pt" strokecolor="#5597d2">
              <v:path arrowok="t"/>
              <v:stroke dashstyle="solid"/>
            </v:shape>
            <v:shape style="position:absolute;left:1582;top:1935;width:2404;height:1043" type="#_x0000_t75" stroked="false">
              <v:imagedata r:id="rId117" o:title=""/>
            </v:shape>
            <v:shape style="position:absolute;left:1644;top:1997;width:2277;height:881" coordorigin="1645,1997" coordsize="2277,881" path="m3803,1997l1763,1997,1679,2040,1645,2143,1645,2730,1679,2834,1763,2877,3803,2877,3849,2866,3887,2834,3912,2787,3922,2730,3922,2143,3912,2086,3887,2040,3849,2009,3803,1997xe" filled="true" fillcolor="#1f3863" stroked="false">
              <v:path arrowok="t"/>
              <v:fill type="solid"/>
            </v:shape>
            <v:shape style="position:absolute;left:1644;top:1997;width:2277;height:881" coordorigin="1645,1997" coordsize="2277,881" path="m1645,2143l1654,2086,1679,2040,1717,2009,1763,1997,3803,1997,3887,2040,3922,2143,3922,2730,3912,2787,3887,2834,3849,2866,3803,2877,1763,2877,1717,2866,1679,2834,1654,2787,1645,2730,1645,2143xe" filled="false" stroked="true" strokeweight=".804647pt" strokecolor="#5597d2">
              <v:path arrowok="t"/>
              <v:stroke dashstyle="solid"/>
            </v:shape>
            <v:shape style="position:absolute;left:4291;top:1884;width:2514;height:1197" type="#_x0000_t75" stroked="false">
              <v:imagedata r:id="rId118" o:title=""/>
            </v:shape>
            <v:shape style="position:absolute;left:4415;top:1986;width:2280;height:1009" type="#_x0000_t75" stroked="false">
              <v:imagedata r:id="rId119" o:title=""/>
            </v:shape>
            <v:shape style="position:absolute;left:4355;top:1936;width:2395;height:1055" coordorigin="4356,1937" coordsize="2395,1055" path="m6608,1937l4499,1937,4398,1988,4367,2044,4356,2112,4356,2814,4367,2883,4398,2939,4499,2991,6608,2991,6664,2977,6709,2939,6739,2883,6751,2814,6751,2112,6739,2044,6709,1988,6664,1950,6608,1937xe" filled="true" fillcolor="#1f3863" stroked="false">
              <v:path arrowok="t"/>
              <v:fill type="solid"/>
            </v:shape>
            <v:shape style="position:absolute;left:4355;top:1936;width:2395;height:1055" coordorigin="4356,1937" coordsize="2395,1055" path="m4356,2112l4367,2044,4398,1988,4443,1950,4499,1937,6608,1937,6709,1988,6739,2044,6751,2112,6751,2814,6739,2883,6709,2939,6664,2977,6608,2991,4499,2991,4443,2977,4398,2939,4367,2883,4356,2814,4356,2112xe" filled="false" stroked="true" strokeweight=".799563pt" strokecolor="#5597d2">
              <v:path arrowok="t"/>
              <v:stroke dashstyle="solid"/>
            </v:shape>
            <v:shape style="position:absolute;left:2774;top:1407;width:5912;height:590" coordorigin="2774,1408" coordsize="5912,590" path="m4296,1408l4296,1408,4296,1646m2774,1688l2774,1688,8686,1646m2774,1688l2774,1688,2783,1997m5539,1646l5539,1646,5554,1937e" filled="false" stroked="true" strokeweight=".746542pt" strokecolor="#eb792b">
              <v:path arrowok="t"/>
              <v:stroke dashstyle="solid"/>
            </v:shape>
            <v:shape style="position:absolute;left:8686;top:1671;width:10;height:325" coordorigin="8686,1672" coordsize="10,325" path="m8686,1672l8686,1672,8695,1996e" filled="false" stroked="true" strokeweight=".668148pt" strokecolor="#ff0000">
              <v:path arrowok="t"/>
              <v:stroke dashstyle="solid"/>
            </v:shape>
            <v:shape style="position:absolute;left:1418;top:571;width:5883;height:939" type="#_x0000_t202" filled="false" stroked="false">
              <v:textbox inset="0,0,0,0">
                <w:txbxContent>
                  <w:p>
                    <w:pPr>
                      <w:spacing w:before="214"/>
                      <w:ind w:left="66" w:right="0" w:firstLine="0"/>
                      <w:jc w:val="left"/>
                      <w:rPr>
                        <w:sz w:val="41"/>
                      </w:rPr>
                    </w:pPr>
                    <w:r>
                      <w:rPr>
                        <w:color w:val="FFFFFF"/>
                        <w:w w:val="80"/>
                        <w:sz w:val="41"/>
                      </w:rPr>
                      <w:t>Estrategia</w:t>
                    </w:r>
                    <w:r>
                      <w:rPr>
                        <w:color w:val="FFFFFF"/>
                        <w:spacing w:val="6"/>
                        <w:w w:val="80"/>
                        <w:sz w:val="4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41"/>
                      </w:rPr>
                      <w:t>Nivel</w:t>
                    </w:r>
                    <w:r>
                      <w:rPr>
                        <w:color w:val="FFFFFF"/>
                        <w:spacing w:val="7"/>
                        <w:w w:val="80"/>
                        <w:sz w:val="4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41"/>
                      </w:rPr>
                      <w:t>de</w:t>
                    </w:r>
                    <w:r>
                      <w:rPr>
                        <w:color w:val="FFFFFF"/>
                        <w:spacing w:val="7"/>
                        <w:w w:val="80"/>
                        <w:sz w:val="4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41"/>
                      </w:rPr>
                      <w:t>Educación</w:t>
                    </w:r>
                    <w:r>
                      <w:rPr>
                        <w:color w:val="FFFFFF"/>
                        <w:spacing w:val="7"/>
                        <w:w w:val="80"/>
                        <w:sz w:val="4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41"/>
                      </w:rPr>
                      <w:t>Primaria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t>Gráfico</w:t>
      </w:r>
      <w:r>
        <w:rPr>
          <w:spacing w:val="-2"/>
          <w:sz w:val="20"/>
        </w:rPr>
        <w:t> </w:t>
      </w:r>
      <w:r>
        <w:rPr>
          <w:sz w:val="20"/>
        </w:rPr>
        <w:t>5.</w:t>
      </w:r>
      <w:r>
        <w:rPr>
          <w:spacing w:val="-3"/>
          <w:sz w:val="20"/>
        </w:rPr>
        <w:t> </w:t>
      </w:r>
      <w:r>
        <w:rPr>
          <w:sz w:val="20"/>
        </w:rPr>
        <w:t>Estrategia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cobertura</w:t>
      </w:r>
      <w:r>
        <w:rPr>
          <w:spacing w:val="-2"/>
          <w:sz w:val="20"/>
        </w:rPr>
        <w:t> </w:t>
      </w:r>
      <w:r>
        <w:rPr>
          <w:sz w:val="20"/>
        </w:rPr>
        <w:t>escolar:</w:t>
      </w:r>
      <w:r>
        <w:rPr>
          <w:spacing w:val="-3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Educación</w:t>
      </w:r>
      <w:r>
        <w:rPr>
          <w:spacing w:val="-2"/>
          <w:sz w:val="20"/>
        </w:rPr>
        <w:t> </w:t>
      </w:r>
      <w:r>
        <w:rPr>
          <w:sz w:val="20"/>
        </w:rPr>
        <w:t>Primaria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top="1500" w:bottom="280" w:left="1140" w:right="340"/>
        </w:sect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714"/>
      </w:pPr>
      <w:r>
        <w:rPr>
          <w:color w:val="FFFFFF"/>
          <w:w w:val="80"/>
        </w:rPr>
        <w:t>Eje</w:t>
      </w:r>
      <w:r>
        <w:rPr>
          <w:color w:val="FFFFFF"/>
          <w:spacing w:val="18"/>
          <w:w w:val="80"/>
        </w:rPr>
        <w:t> </w:t>
      </w:r>
      <w:r>
        <w:rPr>
          <w:color w:val="FFFFFF"/>
          <w:w w:val="80"/>
        </w:rPr>
        <w:t>1.</w:t>
      </w:r>
      <w:r>
        <w:rPr>
          <w:color w:val="FFFFFF"/>
          <w:spacing w:val="18"/>
          <w:w w:val="80"/>
        </w:rPr>
        <w:t> </w:t>
      </w:r>
      <w:r>
        <w:rPr>
          <w:color w:val="FFFFFF"/>
          <w:w w:val="80"/>
        </w:rPr>
        <w:t>Formación</w:t>
      </w:r>
      <w:r>
        <w:rPr>
          <w:color w:val="FFFFFF"/>
          <w:spacing w:val="18"/>
          <w:w w:val="80"/>
        </w:rPr>
        <w:t> </w:t>
      </w:r>
      <w:r>
        <w:rPr>
          <w:color w:val="FFFFFF"/>
          <w:w w:val="80"/>
        </w:rPr>
        <w:t>Integral</w:t>
      </w:r>
    </w:p>
    <w:p>
      <w:pPr>
        <w:pStyle w:val="BodyText"/>
        <w:spacing w:line="244" w:lineRule="auto" w:before="61"/>
        <w:ind w:left="741" w:right="65"/>
        <w:jc w:val="center"/>
      </w:pPr>
      <w:r>
        <w:rPr/>
        <w:br w:type="column"/>
      </w:r>
      <w:r>
        <w:rPr>
          <w:color w:val="FFFFFF"/>
          <w:w w:val="85"/>
        </w:rPr>
        <w:t>Eje 2. Colaboración e</w:t>
      </w:r>
      <w:r>
        <w:rPr>
          <w:color w:val="FFFFFF"/>
          <w:spacing w:val="1"/>
          <w:w w:val="85"/>
        </w:rPr>
        <w:t> </w:t>
      </w:r>
      <w:r>
        <w:rPr>
          <w:color w:val="FFFFFF"/>
          <w:w w:val="80"/>
        </w:rPr>
        <w:t>integración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80"/>
        </w:rPr>
        <w:t>de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80"/>
        </w:rPr>
        <w:t>la comunidad</w:t>
      </w:r>
      <w:r>
        <w:rPr>
          <w:color w:val="FFFFFF"/>
          <w:spacing w:val="-37"/>
          <w:w w:val="80"/>
        </w:rPr>
        <w:t> </w:t>
      </w:r>
      <w:r>
        <w:rPr>
          <w:color w:val="FFFFFF"/>
          <w:w w:val="95"/>
        </w:rPr>
        <w:t>educativa</w:t>
      </w:r>
    </w:p>
    <w:p>
      <w:pPr>
        <w:pStyle w:val="BodyText"/>
        <w:spacing w:before="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4" w:lineRule="auto"/>
        <w:ind w:left="955" w:right="1295" w:hanging="242"/>
      </w:pPr>
      <w:r>
        <w:rPr>
          <w:color w:val="FFFFFF"/>
          <w:spacing w:val="-2"/>
          <w:w w:val="85"/>
        </w:rPr>
        <w:t>Eje</w:t>
      </w:r>
      <w:r>
        <w:rPr>
          <w:color w:val="FFFFFF"/>
          <w:spacing w:val="-1"/>
          <w:w w:val="85"/>
        </w:rPr>
        <w:t> </w:t>
      </w:r>
      <w:r>
        <w:rPr>
          <w:color w:val="FFFFFF"/>
          <w:spacing w:val="-2"/>
          <w:w w:val="85"/>
        </w:rPr>
        <w:t>3. Priorizar</w:t>
      </w:r>
      <w:r>
        <w:rPr>
          <w:color w:val="FFFFFF"/>
          <w:w w:val="85"/>
        </w:rPr>
        <w:t> </w:t>
      </w:r>
      <w:r>
        <w:rPr>
          <w:color w:val="FFFFFF"/>
          <w:spacing w:val="-2"/>
          <w:w w:val="85"/>
        </w:rPr>
        <w:t>áreas</w:t>
      </w:r>
      <w:r>
        <w:rPr>
          <w:color w:val="FFFFFF"/>
          <w:spacing w:val="-39"/>
          <w:w w:val="85"/>
        </w:rPr>
        <w:t> </w:t>
      </w:r>
      <w:r>
        <w:rPr>
          <w:color w:val="FFFFFF"/>
          <w:w w:val="95"/>
        </w:rPr>
        <w:t>desatendidas.</w:t>
      </w:r>
    </w:p>
    <w:p>
      <w:pPr>
        <w:spacing w:after="0" w:line="244" w:lineRule="auto"/>
        <w:sectPr>
          <w:type w:val="continuous"/>
          <w:pgSz w:w="12240" w:h="15840"/>
          <w:pgMar w:top="340" w:bottom="280" w:left="1140" w:right="340"/>
          <w:cols w:num="3" w:equalWidth="0">
            <w:col w:w="2579" w:space="58"/>
            <w:col w:w="2884" w:space="561"/>
            <w:col w:w="4678"/>
          </w:cols>
        </w:sectPr>
      </w:pP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340" w:bottom="280" w:left="1140" w:right="340"/>
        </w:sectPr>
      </w:pPr>
    </w:p>
    <w:p>
      <w:pPr>
        <w:pStyle w:val="BodyText"/>
        <w:spacing w:before="7"/>
        <w:rPr>
          <w:sz w:val="10"/>
        </w:rPr>
      </w:pPr>
    </w:p>
    <w:p>
      <w:pPr>
        <w:spacing w:before="0"/>
        <w:ind w:left="850" w:right="13" w:hanging="400"/>
        <w:jc w:val="left"/>
        <w:rPr>
          <w:b/>
          <w:sz w:val="13"/>
        </w:rPr>
      </w:pPr>
      <w:r>
        <w:rPr>
          <w:b/>
          <w:spacing w:val="-1"/>
          <w:w w:val="85"/>
          <w:sz w:val="13"/>
        </w:rPr>
        <w:t>Incorporación </w:t>
      </w:r>
      <w:r>
        <w:rPr>
          <w:b/>
          <w:w w:val="85"/>
          <w:sz w:val="13"/>
        </w:rPr>
        <w:t>de las prácticas culturales, sociales</w:t>
      </w:r>
      <w:r>
        <w:rPr>
          <w:b/>
          <w:spacing w:val="-22"/>
          <w:w w:val="85"/>
          <w:sz w:val="13"/>
        </w:rPr>
        <w:t> </w:t>
      </w:r>
      <w:r>
        <w:rPr>
          <w:b/>
          <w:w w:val="85"/>
          <w:sz w:val="13"/>
        </w:rPr>
        <w:t>y</w:t>
      </w:r>
      <w:r>
        <w:rPr>
          <w:b/>
          <w:spacing w:val="-1"/>
          <w:w w:val="85"/>
          <w:sz w:val="13"/>
        </w:rPr>
        <w:t> </w:t>
      </w:r>
      <w:r>
        <w:rPr>
          <w:b/>
          <w:w w:val="85"/>
          <w:sz w:val="13"/>
        </w:rPr>
        <w:t>de género en</w:t>
      </w:r>
      <w:r>
        <w:rPr>
          <w:b/>
          <w:spacing w:val="-1"/>
          <w:w w:val="85"/>
          <w:sz w:val="13"/>
        </w:rPr>
        <w:t> </w:t>
      </w:r>
      <w:r>
        <w:rPr>
          <w:b/>
          <w:w w:val="85"/>
          <w:sz w:val="13"/>
        </w:rPr>
        <w:t>el</w:t>
      </w:r>
      <w:r>
        <w:rPr>
          <w:b/>
          <w:spacing w:val="-1"/>
          <w:w w:val="85"/>
          <w:sz w:val="13"/>
        </w:rPr>
        <w:t> </w:t>
      </w:r>
      <w:r>
        <w:rPr>
          <w:b/>
          <w:w w:val="85"/>
          <w:sz w:val="13"/>
        </w:rPr>
        <w:t>nivel</w:t>
      </w:r>
      <w:r>
        <w:rPr>
          <w:b/>
          <w:spacing w:val="-1"/>
          <w:w w:val="85"/>
          <w:sz w:val="13"/>
        </w:rPr>
        <w:t> </w:t>
      </w:r>
      <w:r>
        <w:rPr>
          <w:b/>
          <w:w w:val="85"/>
          <w:sz w:val="13"/>
        </w:rPr>
        <w:t>primario</w:t>
      </w:r>
    </w:p>
    <w:p>
      <w:pPr>
        <w:pStyle w:val="BodyText"/>
        <w:spacing w:before="1"/>
        <w:rPr>
          <w:b/>
          <w:sz w:val="14"/>
        </w:rPr>
      </w:pPr>
    </w:p>
    <w:p>
      <w:pPr>
        <w:pStyle w:val="ListParagraph"/>
        <w:numPr>
          <w:ilvl w:val="0"/>
          <w:numId w:val="20"/>
        </w:numPr>
        <w:tabs>
          <w:tab w:pos="643" w:val="left" w:leader="none"/>
        </w:tabs>
        <w:spacing w:line="244" w:lineRule="auto" w:before="0" w:after="0"/>
        <w:ind w:left="637" w:right="0" w:hanging="203"/>
        <w:jc w:val="both"/>
        <w:rPr>
          <w:sz w:val="13"/>
        </w:rPr>
      </w:pPr>
      <w:r>
        <w:rPr>
          <w:w w:val="90"/>
          <w:sz w:val="13"/>
        </w:rPr>
        <w:t>Ambientes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de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aprendizaje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que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fomenten</w:t>
      </w:r>
      <w:r>
        <w:rPr>
          <w:spacing w:val="1"/>
          <w:w w:val="90"/>
          <w:sz w:val="13"/>
        </w:rPr>
        <w:t> </w:t>
      </w:r>
      <w:r>
        <w:rPr>
          <w:spacing w:val="-1"/>
          <w:w w:val="90"/>
          <w:sz w:val="13"/>
        </w:rPr>
        <w:t>seguridad </w:t>
      </w:r>
      <w:r>
        <w:rPr>
          <w:w w:val="90"/>
          <w:sz w:val="13"/>
        </w:rPr>
        <w:t>y protección infantil que integre</w:t>
      </w:r>
      <w:r>
        <w:rPr>
          <w:spacing w:val="1"/>
          <w:w w:val="90"/>
          <w:sz w:val="13"/>
        </w:rPr>
        <w:t> </w:t>
      </w:r>
      <w:r>
        <w:rPr>
          <w:w w:val="85"/>
          <w:sz w:val="13"/>
        </w:rPr>
        <w:t>prácticas culturales y lingüísticas</w:t>
      </w:r>
      <w:r>
        <w:rPr>
          <w:spacing w:val="1"/>
          <w:w w:val="85"/>
          <w:sz w:val="13"/>
        </w:rPr>
        <w:t> </w:t>
      </w:r>
      <w:r>
        <w:rPr>
          <w:w w:val="85"/>
          <w:sz w:val="13"/>
        </w:rPr>
        <w:t>adaptadas a</w:t>
      </w:r>
      <w:r>
        <w:rPr>
          <w:spacing w:val="1"/>
          <w:w w:val="85"/>
          <w:sz w:val="13"/>
        </w:rPr>
        <w:t> </w:t>
      </w:r>
      <w:r>
        <w:rPr>
          <w:w w:val="95"/>
          <w:sz w:val="13"/>
        </w:rPr>
        <w:t>cada</w:t>
      </w:r>
      <w:r>
        <w:rPr>
          <w:spacing w:val="-5"/>
          <w:w w:val="95"/>
          <w:sz w:val="13"/>
        </w:rPr>
        <w:t> </w:t>
      </w:r>
      <w:r>
        <w:rPr>
          <w:w w:val="95"/>
          <w:sz w:val="13"/>
        </w:rPr>
        <w:t>territorio.</w:t>
      </w:r>
    </w:p>
    <w:p>
      <w:pPr>
        <w:pStyle w:val="BodyText"/>
        <w:spacing w:before="10"/>
        <w:rPr>
          <w:sz w:val="13"/>
        </w:rPr>
      </w:pPr>
    </w:p>
    <w:p>
      <w:pPr>
        <w:pStyle w:val="ListParagraph"/>
        <w:numPr>
          <w:ilvl w:val="0"/>
          <w:numId w:val="20"/>
        </w:numPr>
        <w:tabs>
          <w:tab w:pos="643" w:val="left" w:leader="none"/>
        </w:tabs>
        <w:spacing w:line="244" w:lineRule="auto" w:before="0" w:after="0"/>
        <w:ind w:left="637" w:right="0" w:hanging="203"/>
        <w:jc w:val="both"/>
        <w:rPr>
          <w:sz w:val="13"/>
        </w:rPr>
      </w:pPr>
      <w:r>
        <w:rPr>
          <w:spacing w:val="-1"/>
          <w:w w:val="90"/>
          <w:sz w:val="13"/>
        </w:rPr>
        <w:t>Fomentar prácticas y actitudes vinculadas </w:t>
      </w:r>
      <w:r>
        <w:rPr>
          <w:w w:val="90"/>
          <w:sz w:val="13"/>
        </w:rPr>
        <w:t>a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las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relaciones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equitativas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de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género,</w:t>
      </w:r>
      <w:r>
        <w:rPr>
          <w:spacing w:val="1"/>
          <w:w w:val="90"/>
          <w:sz w:val="13"/>
        </w:rPr>
        <w:t> </w:t>
      </w:r>
      <w:r>
        <w:rPr>
          <w:w w:val="85"/>
          <w:sz w:val="13"/>
        </w:rPr>
        <w:t>autoestima y autocuidado (establecidos en el</w:t>
      </w:r>
      <w:r>
        <w:rPr>
          <w:spacing w:val="1"/>
          <w:w w:val="85"/>
          <w:sz w:val="13"/>
        </w:rPr>
        <w:t> </w:t>
      </w:r>
      <w:r>
        <w:rPr>
          <w:w w:val="85"/>
          <w:sz w:val="13"/>
        </w:rPr>
        <w:t>CNB) para fortalecer el deseo de culminar su</w:t>
      </w:r>
      <w:r>
        <w:rPr>
          <w:spacing w:val="1"/>
          <w:w w:val="85"/>
          <w:sz w:val="13"/>
        </w:rPr>
        <w:t> </w:t>
      </w:r>
      <w:r>
        <w:rPr>
          <w:w w:val="95"/>
          <w:sz w:val="13"/>
        </w:rPr>
        <w:t>educación</w:t>
      </w:r>
      <w:r>
        <w:rPr>
          <w:spacing w:val="-6"/>
          <w:w w:val="95"/>
          <w:sz w:val="13"/>
        </w:rPr>
        <w:t> </w:t>
      </w:r>
      <w:r>
        <w:rPr>
          <w:w w:val="95"/>
          <w:sz w:val="13"/>
        </w:rPr>
        <w:t>escolar.</w:t>
      </w:r>
    </w:p>
    <w:p>
      <w:pPr>
        <w:spacing w:before="78"/>
        <w:ind w:left="610" w:right="0" w:firstLine="0"/>
        <w:jc w:val="left"/>
        <w:rPr>
          <w:sz w:val="13"/>
        </w:rPr>
      </w:pPr>
      <w:r>
        <w:rPr/>
        <w:br w:type="column"/>
      </w:r>
      <w:r>
        <w:rPr>
          <w:b/>
          <w:spacing w:val="-1"/>
          <w:w w:val="85"/>
          <w:sz w:val="13"/>
        </w:rPr>
        <w:t>Vinculación</w:t>
      </w:r>
      <w:r>
        <w:rPr>
          <w:b/>
          <w:spacing w:val="-2"/>
          <w:w w:val="85"/>
          <w:sz w:val="13"/>
        </w:rPr>
        <w:t> </w:t>
      </w:r>
      <w:r>
        <w:rPr>
          <w:b/>
          <w:w w:val="85"/>
          <w:sz w:val="13"/>
        </w:rPr>
        <w:t>de</w:t>
      </w:r>
      <w:r>
        <w:rPr>
          <w:b/>
          <w:spacing w:val="-2"/>
          <w:w w:val="85"/>
          <w:sz w:val="13"/>
        </w:rPr>
        <w:t> </w:t>
      </w:r>
      <w:r>
        <w:rPr>
          <w:b/>
          <w:w w:val="85"/>
          <w:sz w:val="13"/>
        </w:rPr>
        <w:t>las</w:t>
      </w:r>
      <w:r>
        <w:rPr>
          <w:b/>
          <w:spacing w:val="-1"/>
          <w:w w:val="85"/>
          <w:sz w:val="13"/>
        </w:rPr>
        <w:t> </w:t>
      </w:r>
      <w:r>
        <w:rPr>
          <w:b/>
          <w:w w:val="85"/>
          <w:sz w:val="13"/>
        </w:rPr>
        <w:t>familias</w:t>
      </w:r>
      <w:r>
        <w:rPr>
          <w:b/>
          <w:spacing w:val="-3"/>
          <w:w w:val="85"/>
          <w:sz w:val="13"/>
        </w:rPr>
        <w:t> </w:t>
      </w:r>
      <w:r>
        <w:rPr>
          <w:b/>
          <w:w w:val="85"/>
          <w:sz w:val="13"/>
        </w:rPr>
        <w:t>y</w:t>
      </w:r>
      <w:r>
        <w:rPr>
          <w:b/>
          <w:spacing w:val="-1"/>
          <w:w w:val="85"/>
          <w:sz w:val="13"/>
        </w:rPr>
        <w:t> </w:t>
      </w:r>
      <w:r>
        <w:rPr>
          <w:b/>
          <w:w w:val="85"/>
          <w:sz w:val="13"/>
        </w:rPr>
        <w:t>las</w:t>
      </w:r>
      <w:r>
        <w:rPr>
          <w:b/>
          <w:spacing w:val="-1"/>
          <w:w w:val="85"/>
          <w:sz w:val="13"/>
        </w:rPr>
        <w:t> </w:t>
      </w:r>
      <w:r>
        <w:rPr>
          <w:b/>
          <w:w w:val="85"/>
          <w:sz w:val="13"/>
        </w:rPr>
        <w:t>comunidades</w:t>
      </w:r>
      <w:r>
        <w:rPr>
          <w:w w:val="85"/>
          <w:sz w:val="13"/>
        </w:rPr>
        <w:t>.</w:t>
      </w:r>
    </w:p>
    <w:p>
      <w:pPr>
        <w:pStyle w:val="BodyText"/>
        <w:spacing w:before="1"/>
        <w:rPr>
          <w:sz w:val="13"/>
        </w:rPr>
      </w:pPr>
    </w:p>
    <w:p>
      <w:pPr>
        <w:spacing w:line="249" w:lineRule="auto" w:before="0"/>
        <w:ind w:left="362" w:right="0" w:hanging="121"/>
        <w:jc w:val="both"/>
        <w:rPr>
          <w:sz w:val="13"/>
        </w:rPr>
      </w:pPr>
      <w:r>
        <w:rPr>
          <w:rFonts w:ascii="Courier New" w:hAnsi="Courier New"/>
          <w:w w:val="80"/>
          <w:sz w:val="13"/>
        </w:rPr>
        <w:t>o </w:t>
      </w:r>
      <w:r>
        <w:rPr>
          <w:w w:val="80"/>
          <w:sz w:val="13"/>
        </w:rPr>
        <w:t>Fortalecer</w:t>
      </w:r>
      <w:r>
        <w:rPr>
          <w:spacing w:val="1"/>
          <w:w w:val="80"/>
          <w:sz w:val="13"/>
        </w:rPr>
        <w:t> </w:t>
      </w:r>
      <w:r>
        <w:rPr>
          <w:w w:val="80"/>
          <w:sz w:val="13"/>
        </w:rPr>
        <w:t>las</w:t>
      </w:r>
      <w:r>
        <w:rPr>
          <w:spacing w:val="1"/>
          <w:w w:val="80"/>
          <w:sz w:val="13"/>
        </w:rPr>
        <w:t> </w:t>
      </w:r>
      <w:r>
        <w:rPr>
          <w:w w:val="80"/>
          <w:sz w:val="13"/>
        </w:rPr>
        <w:t>capacidades</w:t>
      </w:r>
      <w:r>
        <w:rPr>
          <w:spacing w:val="1"/>
          <w:w w:val="80"/>
          <w:sz w:val="13"/>
        </w:rPr>
        <w:t> </w:t>
      </w:r>
      <w:r>
        <w:rPr>
          <w:w w:val="80"/>
          <w:sz w:val="13"/>
        </w:rPr>
        <w:t>de</w:t>
      </w:r>
      <w:r>
        <w:rPr>
          <w:spacing w:val="1"/>
          <w:w w:val="80"/>
          <w:sz w:val="13"/>
        </w:rPr>
        <w:t> </w:t>
      </w:r>
      <w:r>
        <w:rPr>
          <w:w w:val="80"/>
          <w:sz w:val="13"/>
        </w:rPr>
        <w:t>las</w:t>
      </w:r>
      <w:r>
        <w:rPr>
          <w:spacing w:val="1"/>
          <w:w w:val="80"/>
          <w:sz w:val="13"/>
        </w:rPr>
        <w:t> </w:t>
      </w:r>
      <w:r>
        <w:rPr>
          <w:w w:val="80"/>
          <w:sz w:val="13"/>
        </w:rPr>
        <w:t>OPF</w:t>
      </w:r>
      <w:r>
        <w:rPr>
          <w:spacing w:val="1"/>
          <w:w w:val="80"/>
          <w:sz w:val="13"/>
        </w:rPr>
        <w:t> </w:t>
      </w:r>
      <w:r>
        <w:rPr>
          <w:w w:val="80"/>
          <w:sz w:val="13"/>
        </w:rPr>
        <w:t>en</w:t>
      </w:r>
      <w:r>
        <w:rPr>
          <w:spacing w:val="1"/>
          <w:w w:val="80"/>
          <w:sz w:val="13"/>
        </w:rPr>
        <w:t> </w:t>
      </w:r>
      <w:r>
        <w:rPr>
          <w:w w:val="80"/>
          <w:sz w:val="13"/>
        </w:rPr>
        <w:t>el</w:t>
      </w:r>
      <w:r>
        <w:rPr>
          <w:spacing w:val="1"/>
          <w:w w:val="80"/>
          <w:sz w:val="13"/>
        </w:rPr>
        <w:t> </w:t>
      </w:r>
      <w:r>
        <w:rPr>
          <w:w w:val="80"/>
          <w:sz w:val="13"/>
        </w:rPr>
        <w:t>Programa</w:t>
      </w:r>
      <w:r>
        <w:rPr>
          <w:spacing w:val="1"/>
          <w:w w:val="80"/>
          <w:sz w:val="13"/>
        </w:rPr>
        <w:t> </w:t>
      </w:r>
      <w:r>
        <w:rPr>
          <w:w w:val="80"/>
          <w:sz w:val="13"/>
        </w:rPr>
        <w:t>de</w:t>
      </w:r>
      <w:r>
        <w:rPr>
          <w:spacing w:val="1"/>
          <w:w w:val="80"/>
          <w:sz w:val="13"/>
        </w:rPr>
        <w:t> </w:t>
      </w:r>
      <w:r>
        <w:rPr>
          <w:w w:val="85"/>
          <w:sz w:val="13"/>
        </w:rPr>
        <w:t>Cuidados Infantiles para el Aprendizaje del MINEDUC y para</w:t>
      </w:r>
      <w:r>
        <w:rPr>
          <w:spacing w:val="1"/>
          <w:w w:val="85"/>
          <w:sz w:val="13"/>
        </w:rPr>
        <w:t> </w:t>
      </w:r>
      <w:r>
        <w:rPr>
          <w:w w:val="90"/>
          <w:sz w:val="13"/>
        </w:rPr>
        <w:t>que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promueven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en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el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territorio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la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importancia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de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la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educación primaria y la erradicación de la violencia de</w:t>
      </w:r>
      <w:r>
        <w:rPr>
          <w:spacing w:val="1"/>
          <w:w w:val="90"/>
          <w:sz w:val="13"/>
        </w:rPr>
        <w:t> </w:t>
      </w:r>
      <w:r>
        <w:rPr>
          <w:w w:val="95"/>
          <w:sz w:val="13"/>
        </w:rPr>
        <w:t>género.</w:t>
      </w:r>
    </w:p>
    <w:p>
      <w:pPr>
        <w:pStyle w:val="BodyText"/>
        <w:spacing w:before="3"/>
        <w:rPr>
          <w:sz w:val="13"/>
        </w:rPr>
      </w:pPr>
    </w:p>
    <w:p>
      <w:pPr>
        <w:pStyle w:val="ListParagraph"/>
        <w:numPr>
          <w:ilvl w:val="0"/>
          <w:numId w:val="15"/>
        </w:numPr>
        <w:tabs>
          <w:tab w:pos="367" w:val="left" w:leader="none"/>
        </w:tabs>
        <w:spacing w:line="244" w:lineRule="auto" w:before="0" w:after="0"/>
        <w:ind w:left="362" w:right="0" w:hanging="121"/>
        <w:jc w:val="both"/>
        <w:rPr>
          <w:rFonts w:ascii="Courier New" w:hAnsi="Courier New"/>
          <w:sz w:val="13"/>
        </w:rPr>
      </w:pPr>
      <w:r>
        <w:rPr>
          <w:w w:val="90"/>
          <w:sz w:val="13"/>
        </w:rPr>
        <w:t>Integrar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y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capacitar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a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las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personas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adultas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sobre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la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importancia de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que los niño/as culminen la educación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primaria, la crianza cariñosa, la protección infantil y la</w:t>
      </w:r>
      <w:r>
        <w:rPr>
          <w:spacing w:val="1"/>
          <w:w w:val="90"/>
          <w:sz w:val="13"/>
        </w:rPr>
        <w:t> </w:t>
      </w:r>
      <w:r>
        <w:rPr>
          <w:w w:val="85"/>
          <w:sz w:val="13"/>
        </w:rPr>
        <w:t>eliminación de violencia de género con</w:t>
      </w:r>
      <w:r>
        <w:rPr>
          <w:spacing w:val="1"/>
          <w:w w:val="85"/>
          <w:sz w:val="13"/>
        </w:rPr>
        <w:t> </w:t>
      </w:r>
      <w:r>
        <w:rPr>
          <w:w w:val="85"/>
          <w:sz w:val="13"/>
        </w:rPr>
        <w:t>pertinencia étnica y</w:t>
      </w:r>
      <w:r>
        <w:rPr>
          <w:spacing w:val="1"/>
          <w:w w:val="85"/>
          <w:sz w:val="13"/>
        </w:rPr>
        <w:t> </w:t>
      </w:r>
      <w:r>
        <w:rPr>
          <w:w w:val="90"/>
          <w:sz w:val="13"/>
        </w:rPr>
        <w:t>cultural</w:t>
      </w:r>
      <w:r>
        <w:rPr>
          <w:spacing w:val="-5"/>
          <w:w w:val="90"/>
          <w:sz w:val="13"/>
        </w:rPr>
        <w:t> </w:t>
      </w:r>
      <w:r>
        <w:rPr>
          <w:w w:val="90"/>
          <w:sz w:val="13"/>
        </w:rPr>
        <w:t>de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los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territorios.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0"/>
          <w:numId w:val="15"/>
        </w:numPr>
        <w:tabs>
          <w:tab w:pos="367" w:val="left" w:leader="none"/>
        </w:tabs>
        <w:spacing w:line="244" w:lineRule="auto" w:before="0" w:after="0"/>
        <w:ind w:left="362" w:right="0" w:hanging="121"/>
        <w:jc w:val="both"/>
        <w:rPr>
          <w:rFonts w:ascii="Courier New" w:hAnsi="Courier New"/>
          <w:sz w:val="13"/>
        </w:rPr>
      </w:pPr>
      <w:r>
        <w:rPr>
          <w:spacing w:val="-1"/>
          <w:w w:val="90"/>
          <w:sz w:val="13"/>
        </w:rPr>
        <w:t>Cualificar </w:t>
      </w:r>
      <w:r>
        <w:rPr>
          <w:w w:val="90"/>
          <w:sz w:val="13"/>
        </w:rPr>
        <w:t>y fortalecer los conocimiento de los docentes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sobre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la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crianza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cariñosa,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la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protección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infantil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y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la</w:t>
      </w:r>
      <w:r>
        <w:rPr>
          <w:spacing w:val="1"/>
          <w:w w:val="90"/>
          <w:sz w:val="13"/>
        </w:rPr>
        <w:t> </w:t>
      </w:r>
      <w:r>
        <w:rPr>
          <w:w w:val="85"/>
          <w:sz w:val="13"/>
        </w:rPr>
        <w:t>eliminación de violencia de género con pertinencia étnica y</w:t>
      </w:r>
      <w:r>
        <w:rPr>
          <w:spacing w:val="1"/>
          <w:w w:val="85"/>
          <w:sz w:val="13"/>
        </w:rPr>
        <w:t> </w:t>
      </w:r>
      <w:r>
        <w:rPr>
          <w:w w:val="90"/>
          <w:sz w:val="13"/>
        </w:rPr>
        <w:t>cultural</w:t>
      </w:r>
      <w:r>
        <w:rPr>
          <w:spacing w:val="-5"/>
          <w:w w:val="90"/>
          <w:sz w:val="13"/>
        </w:rPr>
        <w:t> </w:t>
      </w:r>
      <w:r>
        <w:rPr>
          <w:w w:val="90"/>
          <w:sz w:val="13"/>
        </w:rPr>
        <w:t>de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los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territorios.</w:t>
      </w:r>
    </w:p>
    <w:p>
      <w:pPr>
        <w:spacing w:before="96"/>
        <w:ind w:left="379" w:right="0" w:firstLine="0"/>
        <w:jc w:val="left"/>
        <w:rPr>
          <w:b/>
          <w:sz w:val="13"/>
        </w:rPr>
      </w:pPr>
      <w:r>
        <w:rPr/>
        <w:br w:type="column"/>
      </w:r>
      <w:r>
        <w:rPr>
          <w:b/>
          <w:spacing w:val="-1"/>
          <w:w w:val="85"/>
          <w:sz w:val="13"/>
        </w:rPr>
        <w:t>Priorizar territorialmente</w:t>
      </w:r>
      <w:r>
        <w:rPr>
          <w:b/>
          <w:spacing w:val="1"/>
          <w:w w:val="85"/>
          <w:sz w:val="13"/>
        </w:rPr>
        <w:t> </w:t>
      </w:r>
      <w:r>
        <w:rPr>
          <w:b/>
          <w:w w:val="85"/>
          <w:sz w:val="13"/>
        </w:rPr>
        <w:t>la cobertura</w:t>
      </w:r>
      <w:r>
        <w:rPr>
          <w:b/>
          <w:spacing w:val="1"/>
          <w:w w:val="85"/>
          <w:sz w:val="13"/>
        </w:rPr>
        <w:t> </w:t>
      </w:r>
      <w:r>
        <w:rPr>
          <w:b/>
          <w:w w:val="85"/>
          <w:sz w:val="13"/>
        </w:rPr>
        <w:t>del</w:t>
      </w:r>
      <w:r>
        <w:rPr>
          <w:b/>
          <w:spacing w:val="1"/>
          <w:w w:val="85"/>
          <w:sz w:val="13"/>
        </w:rPr>
        <w:t> </w:t>
      </w:r>
      <w:r>
        <w:rPr>
          <w:b/>
          <w:w w:val="85"/>
          <w:sz w:val="13"/>
        </w:rPr>
        <w:t>nivel</w:t>
      </w:r>
      <w:r>
        <w:rPr>
          <w:b/>
          <w:spacing w:val="-1"/>
          <w:w w:val="85"/>
          <w:sz w:val="13"/>
        </w:rPr>
        <w:t> </w:t>
      </w:r>
      <w:r>
        <w:rPr>
          <w:b/>
          <w:w w:val="85"/>
          <w:sz w:val="13"/>
        </w:rPr>
        <w:t>Primaria</w:t>
      </w:r>
    </w:p>
    <w:p>
      <w:pPr>
        <w:pStyle w:val="BodyText"/>
        <w:rPr>
          <w:b/>
          <w:sz w:val="13"/>
        </w:rPr>
      </w:pPr>
    </w:p>
    <w:p>
      <w:pPr>
        <w:spacing w:line="247" w:lineRule="auto" w:before="0"/>
        <w:ind w:left="446" w:right="1791" w:hanging="204"/>
        <w:jc w:val="both"/>
        <w:rPr>
          <w:sz w:val="13"/>
        </w:rPr>
      </w:pPr>
      <w:r>
        <w:rPr>
          <w:rFonts w:ascii="Courier New" w:hAnsi="Courier New"/>
          <w:w w:val="90"/>
          <w:sz w:val="13"/>
        </w:rPr>
        <w:t>o </w:t>
      </w:r>
      <w:r>
        <w:rPr>
          <w:w w:val="90"/>
          <w:sz w:val="13"/>
        </w:rPr>
        <w:t>Establecer un Sistema de seguimiento y monitoreo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de</w:t>
      </w:r>
      <w:r>
        <w:rPr>
          <w:spacing w:val="1"/>
          <w:w w:val="90"/>
          <w:sz w:val="13"/>
        </w:rPr>
        <w:t> </w:t>
      </w:r>
      <w:r>
        <w:rPr>
          <w:w w:val="85"/>
          <w:sz w:val="13"/>
        </w:rPr>
        <w:t>cobertura escolar del nivel primario que integre prácticas</w:t>
      </w:r>
      <w:r>
        <w:rPr>
          <w:spacing w:val="1"/>
          <w:w w:val="85"/>
          <w:sz w:val="13"/>
        </w:rPr>
        <w:t> </w:t>
      </w:r>
      <w:r>
        <w:rPr>
          <w:w w:val="85"/>
          <w:sz w:val="13"/>
        </w:rPr>
        <w:t>culturales</w:t>
      </w:r>
      <w:r>
        <w:rPr>
          <w:spacing w:val="-1"/>
          <w:w w:val="85"/>
          <w:sz w:val="13"/>
        </w:rPr>
        <w:t> </w:t>
      </w:r>
      <w:r>
        <w:rPr>
          <w:w w:val="85"/>
          <w:sz w:val="13"/>
        </w:rPr>
        <w:t>y</w:t>
      </w:r>
      <w:r>
        <w:rPr>
          <w:spacing w:val="-1"/>
          <w:w w:val="85"/>
          <w:sz w:val="13"/>
        </w:rPr>
        <w:t> </w:t>
      </w:r>
      <w:r>
        <w:rPr>
          <w:w w:val="85"/>
          <w:sz w:val="13"/>
        </w:rPr>
        <w:t>lingüísticas</w:t>
      </w:r>
      <w:r>
        <w:rPr>
          <w:spacing w:val="24"/>
          <w:w w:val="85"/>
          <w:sz w:val="13"/>
        </w:rPr>
        <w:t> </w:t>
      </w:r>
      <w:r>
        <w:rPr>
          <w:w w:val="85"/>
          <w:sz w:val="13"/>
        </w:rPr>
        <w:t>adaptado</w:t>
      </w:r>
      <w:r>
        <w:rPr>
          <w:spacing w:val="-1"/>
          <w:w w:val="85"/>
          <w:sz w:val="13"/>
        </w:rPr>
        <w:t> </w:t>
      </w:r>
      <w:r>
        <w:rPr>
          <w:w w:val="85"/>
          <w:sz w:val="13"/>
        </w:rPr>
        <w:t>a</w:t>
      </w:r>
      <w:r>
        <w:rPr>
          <w:spacing w:val="-1"/>
          <w:w w:val="85"/>
          <w:sz w:val="13"/>
        </w:rPr>
        <w:t> </w:t>
      </w:r>
      <w:r>
        <w:rPr>
          <w:w w:val="85"/>
          <w:sz w:val="13"/>
        </w:rPr>
        <w:t>cada</w:t>
      </w:r>
      <w:r>
        <w:rPr>
          <w:spacing w:val="-1"/>
          <w:w w:val="85"/>
          <w:sz w:val="13"/>
        </w:rPr>
        <w:t> </w:t>
      </w:r>
      <w:r>
        <w:rPr>
          <w:w w:val="85"/>
          <w:sz w:val="13"/>
        </w:rPr>
        <w:t>territorio.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0"/>
          <w:numId w:val="15"/>
        </w:numPr>
        <w:tabs>
          <w:tab w:pos="451" w:val="left" w:leader="none"/>
        </w:tabs>
        <w:spacing w:line="247" w:lineRule="auto" w:before="0" w:after="0"/>
        <w:ind w:left="446" w:right="1791" w:hanging="204"/>
        <w:jc w:val="both"/>
        <w:rPr>
          <w:rFonts w:ascii="Courier New" w:hAnsi="Courier New"/>
          <w:sz w:val="13"/>
        </w:rPr>
      </w:pPr>
      <w:r>
        <w:rPr>
          <w:spacing w:val="-1"/>
          <w:w w:val="90"/>
          <w:sz w:val="13"/>
        </w:rPr>
        <w:t>Diseñar un Sistema </w:t>
      </w:r>
      <w:r>
        <w:rPr>
          <w:w w:val="90"/>
          <w:sz w:val="13"/>
        </w:rPr>
        <w:t>de Alerta temprana sobre riesgo de</w:t>
      </w:r>
      <w:r>
        <w:rPr>
          <w:spacing w:val="1"/>
          <w:w w:val="90"/>
          <w:sz w:val="13"/>
        </w:rPr>
        <w:t> </w:t>
      </w:r>
      <w:r>
        <w:rPr>
          <w:spacing w:val="-1"/>
          <w:w w:val="90"/>
          <w:sz w:val="13"/>
        </w:rPr>
        <w:t>deserción </w:t>
      </w:r>
      <w:r>
        <w:rPr>
          <w:w w:val="90"/>
          <w:sz w:val="13"/>
        </w:rPr>
        <w:t>a nivel primaria para activar mecanismos de</w:t>
      </w:r>
      <w:r>
        <w:rPr>
          <w:spacing w:val="1"/>
          <w:w w:val="90"/>
          <w:sz w:val="13"/>
        </w:rPr>
        <w:t> </w:t>
      </w:r>
      <w:r>
        <w:rPr>
          <w:w w:val="95"/>
          <w:sz w:val="13"/>
        </w:rPr>
        <w:t>respuesta.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0"/>
          <w:numId w:val="15"/>
        </w:numPr>
        <w:tabs>
          <w:tab w:pos="451" w:val="left" w:leader="none"/>
        </w:tabs>
        <w:spacing w:line="244" w:lineRule="auto" w:before="0" w:after="0"/>
        <w:ind w:left="446" w:right="1791" w:hanging="204"/>
        <w:jc w:val="both"/>
        <w:rPr>
          <w:rFonts w:ascii="Courier New" w:hAnsi="Courier New"/>
          <w:sz w:val="13"/>
        </w:rPr>
      </w:pPr>
      <w:r>
        <w:rPr>
          <w:w w:val="85"/>
          <w:sz w:val="13"/>
        </w:rPr>
        <w:t>Implementar estrategias informativas dirigidas a personas</w:t>
      </w:r>
      <w:r>
        <w:rPr>
          <w:spacing w:val="1"/>
          <w:w w:val="85"/>
          <w:sz w:val="13"/>
        </w:rPr>
        <w:t> </w:t>
      </w:r>
      <w:r>
        <w:rPr>
          <w:w w:val="85"/>
          <w:sz w:val="13"/>
        </w:rPr>
        <w:t>adultas sobre la importancia de la educación primaria para</w:t>
      </w:r>
      <w:r>
        <w:rPr>
          <w:spacing w:val="-22"/>
          <w:w w:val="85"/>
          <w:sz w:val="13"/>
        </w:rPr>
        <w:t> </w:t>
      </w:r>
      <w:r>
        <w:rPr>
          <w:w w:val="90"/>
          <w:sz w:val="13"/>
        </w:rPr>
        <w:t>el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desarrollo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de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hábitos,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capacidades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y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habilidades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educativas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en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los/as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niños.</w:t>
      </w:r>
    </w:p>
    <w:p>
      <w:pPr>
        <w:spacing w:after="0" w:line="244" w:lineRule="auto"/>
        <w:jc w:val="both"/>
        <w:rPr>
          <w:rFonts w:ascii="Courier New" w:hAnsi="Courier New"/>
          <w:sz w:val="13"/>
        </w:rPr>
        <w:sectPr>
          <w:type w:val="continuous"/>
          <w:pgSz w:w="12240" w:h="15840"/>
          <w:pgMar w:top="340" w:bottom="280" w:left="1140" w:right="340"/>
          <w:cols w:num="3" w:equalWidth="0">
            <w:col w:w="2721" w:space="40"/>
            <w:col w:w="3080" w:space="39"/>
            <w:col w:w="4880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4522624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1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numPr>
          <w:ilvl w:val="1"/>
          <w:numId w:val="7"/>
        </w:numPr>
        <w:tabs>
          <w:tab w:pos="998" w:val="left" w:leader="none"/>
          <w:tab w:pos="999" w:val="left" w:leader="none"/>
        </w:tabs>
        <w:spacing w:line="240" w:lineRule="auto" w:before="188" w:after="0"/>
        <w:ind w:left="638" w:right="1080" w:hanging="360"/>
        <w:jc w:val="left"/>
      </w:pPr>
      <w:bookmarkStart w:name="_bookmark125" w:id="183"/>
      <w:bookmarkEnd w:id="183"/>
      <w:r>
        <w:rPr>
          <w:b w:val="0"/>
        </w:rPr>
      </w:r>
      <w:bookmarkStart w:name="_bookmark125" w:id="184"/>
      <w:bookmarkEnd w:id="184"/>
      <w:r>
        <w:rPr>
          <w:color w:val="1F4E79"/>
        </w:rPr>
        <w:t>Est</w:t>
      </w:r>
      <w:r>
        <w:rPr>
          <w:color w:val="1F4E79"/>
        </w:rPr>
        <w:t>rategia</w:t>
      </w:r>
      <w:r>
        <w:rPr>
          <w:color w:val="1F4E79"/>
          <w:spacing w:val="-6"/>
        </w:rPr>
        <w:t> </w:t>
      </w:r>
      <w:r>
        <w:rPr>
          <w:color w:val="1F4E79"/>
        </w:rPr>
        <w:t>de</w:t>
      </w:r>
      <w:r>
        <w:rPr>
          <w:color w:val="1F4E79"/>
          <w:spacing w:val="-6"/>
        </w:rPr>
        <w:t> </w:t>
      </w:r>
      <w:r>
        <w:rPr>
          <w:color w:val="1F4E79"/>
        </w:rPr>
        <w:t>cobertura</w:t>
      </w:r>
      <w:r>
        <w:rPr>
          <w:color w:val="1F4E79"/>
          <w:spacing w:val="-8"/>
        </w:rPr>
        <w:t> </w:t>
      </w:r>
      <w:r>
        <w:rPr>
          <w:color w:val="1F4E79"/>
        </w:rPr>
        <w:t>educativa</w:t>
      </w:r>
      <w:r>
        <w:rPr>
          <w:color w:val="1F4E79"/>
          <w:spacing w:val="-7"/>
        </w:rPr>
        <w:t> </w:t>
      </w:r>
      <w:r>
        <w:rPr>
          <w:color w:val="1F4E79"/>
        </w:rPr>
        <w:t>para</w:t>
      </w:r>
      <w:r>
        <w:rPr>
          <w:color w:val="1F4E79"/>
          <w:spacing w:val="-6"/>
        </w:rPr>
        <w:t> </w:t>
      </w:r>
      <w:r>
        <w:rPr>
          <w:color w:val="1F4E79"/>
        </w:rPr>
        <w:t>el</w:t>
      </w:r>
      <w:r>
        <w:rPr>
          <w:color w:val="1F4E79"/>
          <w:spacing w:val="-6"/>
        </w:rPr>
        <w:t> </w:t>
      </w:r>
      <w:r>
        <w:rPr>
          <w:color w:val="1F4E79"/>
        </w:rPr>
        <w:t>Nivel</w:t>
      </w:r>
      <w:r>
        <w:rPr>
          <w:color w:val="1F4E79"/>
          <w:spacing w:val="-6"/>
        </w:rPr>
        <w:t> </w:t>
      </w:r>
      <w:r>
        <w:rPr>
          <w:color w:val="1F4E79"/>
        </w:rPr>
        <w:t>de</w:t>
      </w:r>
      <w:r>
        <w:rPr>
          <w:color w:val="1F4E79"/>
          <w:spacing w:val="-6"/>
        </w:rPr>
        <w:t> </w:t>
      </w:r>
      <w:r>
        <w:rPr>
          <w:color w:val="1F4E79"/>
        </w:rPr>
        <w:t>Educación</w:t>
      </w:r>
      <w:r>
        <w:rPr>
          <w:color w:val="1F4E79"/>
          <w:spacing w:val="-4"/>
        </w:rPr>
        <w:t> </w:t>
      </w:r>
      <w:r>
        <w:rPr>
          <w:color w:val="1F4E79"/>
        </w:rPr>
        <w:t>Medio:</w:t>
      </w:r>
      <w:r>
        <w:rPr>
          <w:color w:val="1F4E79"/>
          <w:spacing w:val="-4"/>
        </w:rPr>
        <w:t> </w:t>
      </w:r>
      <w:r>
        <w:rPr>
          <w:color w:val="1F4E79"/>
        </w:rPr>
        <w:t>Cicló</w:t>
      </w:r>
      <w:r>
        <w:rPr>
          <w:color w:val="1F4E79"/>
          <w:spacing w:val="-4"/>
        </w:rPr>
        <w:t> </w:t>
      </w:r>
      <w:r>
        <w:rPr>
          <w:color w:val="1F4E79"/>
        </w:rPr>
        <w:t>Básico</w:t>
      </w:r>
      <w:r>
        <w:rPr>
          <w:color w:val="1F4E79"/>
          <w:spacing w:val="-6"/>
        </w:rPr>
        <w:t> </w:t>
      </w:r>
      <w:r>
        <w:rPr>
          <w:color w:val="1F4E79"/>
        </w:rPr>
        <w:t>y</w:t>
      </w:r>
      <w:r>
        <w:rPr>
          <w:color w:val="1F4E79"/>
          <w:spacing w:val="-6"/>
        </w:rPr>
        <w:t> </w:t>
      </w:r>
      <w:r>
        <w:rPr>
          <w:color w:val="1F4E79"/>
        </w:rPr>
        <w:t>Ciclo</w:t>
      </w:r>
      <w:r>
        <w:rPr>
          <w:color w:val="1F4E79"/>
          <w:spacing w:val="-51"/>
        </w:rPr>
        <w:t> </w:t>
      </w:r>
      <w:r>
        <w:rPr>
          <w:color w:val="1F4E79"/>
        </w:rPr>
        <w:t>Diversificado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5"/>
        </w:rPr>
      </w:pPr>
    </w:p>
    <w:p>
      <w:pPr>
        <w:pStyle w:val="ListParagraph"/>
        <w:numPr>
          <w:ilvl w:val="2"/>
          <w:numId w:val="21"/>
        </w:numPr>
        <w:tabs>
          <w:tab w:pos="999" w:val="left" w:leader="none"/>
        </w:tabs>
        <w:spacing w:line="240" w:lineRule="auto" w:before="52" w:after="0"/>
        <w:ind w:left="998" w:right="1073" w:hanging="720"/>
        <w:jc w:val="left"/>
        <w:rPr>
          <w:b/>
          <w:sz w:val="24"/>
        </w:rPr>
      </w:pPr>
      <w:bookmarkStart w:name="_bookmark126" w:id="185"/>
      <w:bookmarkEnd w:id="185"/>
      <w:r>
        <w:rPr/>
      </w:r>
      <w:bookmarkStart w:name="_bookmark126" w:id="186"/>
      <w:bookmarkEnd w:id="186"/>
      <w:r>
        <w:rPr>
          <w:b/>
          <w:sz w:val="24"/>
          <w:shd w:fill="FFFFFF" w:color="auto" w:val="clear"/>
        </w:rPr>
        <w:t>E</w:t>
      </w:r>
      <w:r>
        <w:rPr>
          <w:b/>
          <w:sz w:val="24"/>
          <w:shd w:fill="FFFFFF" w:color="auto" w:val="clear"/>
        </w:rPr>
        <w:t>je</w:t>
      </w:r>
      <w:r>
        <w:rPr>
          <w:b/>
          <w:spacing w:val="-7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1:</w:t>
      </w:r>
      <w:r>
        <w:rPr>
          <w:b/>
          <w:spacing w:val="-6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Formación</w:t>
      </w:r>
      <w:r>
        <w:rPr>
          <w:b/>
          <w:spacing w:val="-6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Integral:</w:t>
      </w:r>
      <w:r>
        <w:rPr>
          <w:b/>
          <w:spacing w:val="-7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Incorporación</w:t>
      </w:r>
      <w:r>
        <w:rPr>
          <w:b/>
          <w:spacing w:val="-4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de</w:t>
      </w:r>
      <w:r>
        <w:rPr>
          <w:b/>
          <w:spacing w:val="-8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las</w:t>
      </w:r>
      <w:r>
        <w:rPr>
          <w:b/>
          <w:spacing w:val="-6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prácticas</w:t>
      </w:r>
      <w:r>
        <w:rPr>
          <w:b/>
          <w:spacing w:val="-5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culturales,</w:t>
      </w:r>
      <w:r>
        <w:rPr>
          <w:b/>
          <w:spacing w:val="-4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sociales</w:t>
      </w:r>
      <w:r>
        <w:rPr>
          <w:b/>
          <w:spacing w:val="3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y</w:t>
      </w:r>
      <w:r>
        <w:rPr>
          <w:b/>
          <w:spacing w:val="-6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de</w:t>
      </w:r>
      <w:r>
        <w:rPr>
          <w:b/>
          <w:spacing w:val="-6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género</w:t>
      </w:r>
      <w:r>
        <w:rPr>
          <w:b/>
          <w:spacing w:val="-51"/>
          <w:sz w:val="24"/>
        </w:rPr>
        <w:t> </w:t>
      </w:r>
      <w:r>
        <w:rPr>
          <w:b/>
          <w:sz w:val="24"/>
          <w:shd w:fill="FFFFFF" w:color="auto" w:val="clear"/>
        </w:rPr>
        <w:t>en el</w:t>
      </w:r>
      <w:r>
        <w:rPr>
          <w:b/>
          <w:spacing w:val="1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Nivel</w:t>
      </w:r>
      <w:r>
        <w:rPr>
          <w:b/>
          <w:spacing w:val="-1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de</w:t>
      </w:r>
      <w:r>
        <w:rPr>
          <w:b/>
          <w:spacing w:val="-1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Educación</w:t>
      </w:r>
      <w:r>
        <w:rPr>
          <w:b/>
          <w:spacing w:val="-1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Medio</w:t>
      </w:r>
    </w:p>
    <w:p>
      <w:pPr>
        <w:pStyle w:val="BodyText"/>
        <w:spacing w:before="7"/>
        <w:rPr>
          <w:b/>
          <w:sz w:val="19"/>
        </w:rPr>
      </w:pPr>
    </w:p>
    <w:p>
      <w:pPr>
        <w:spacing w:before="0"/>
        <w:ind w:left="278" w:right="1075" w:firstLine="0"/>
        <w:jc w:val="both"/>
        <w:rPr>
          <w:sz w:val="24"/>
        </w:rPr>
      </w:pP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ese</w:t>
      </w:r>
      <w:r>
        <w:rPr>
          <w:spacing w:val="-5"/>
          <w:sz w:val="24"/>
        </w:rPr>
        <w:t> </w:t>
      </w:r>
      <w:r>
        <w:rPr>
          <w:sz w:val="24"/>
        </w:rPr>
        <w:t>sentido,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etapa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adolescencia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6"/>
          <w:sz w:val="24"/>
        </w:rPr>
        <w:t> </w:t>
      </w:r>
      <w:r>
        <w:rPr>
          <w:sz w:val="24"/>
        </w:rPr>
        <w:t>sólo</w:t>
      </w:r>
      <w:r>
        <w:rPr>
          <w:spacing w:val="-2"/>
          <w:sz w:val="24"/>
        </w:rPr>
        <w:t> </w:t>
      </w:r>
      <w:r>
        <w:rPr>
          <w:sz w:val="24"/>
        </w:rPr>
        <w:t>preparación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habilidades</w:t>
      </w:r>
      <w:r>
        <w:rPr>
          <w:spacing w:val="-6"/>
          <w:sz w:val="24"/>
        </w:rPr>
        <w:t> </w:t>
      </w:r>
      <w:r>
        <w:rPr>
          <w:sz w:val="24"/>
        </w:rPr>
        <w:t>técnicas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52"/>
          <w:sz w:val="24"/>
        </w:rPr>
        <w:t> </w:t>
      </w:r>
      <w:r>
        <w:rPr>
          <w:sz w:val="24"/>
        </w:rPr>
        <w:t>trabajo. Es también una forma de prepararse para la vida íntegra: pareja, familia, ciudadanía,</w:t>
      </w:r>
      <w:r>
        <w:rPr>
          <w:spacing w:val="1"/>
          <w:sz w:val="24"/>
        </w:rPr>
        <w:t> </w:t>
      </w:r>
      <w:r>
        <w:rPr>
          <w:sz w:val="24"/>
        </w:rPr>
        <w:t>recreación saludable, entre otros. Al mismo tiempo, el proceso educativo debe ver al joven con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1"/>
          <w:sz w:val="24"/>
        </w:rPr>
        <w:t> </w:t>
      </w:r>
      <w:r>
        <w:rPr>
          <w:sz w:val="24"/>
        </w:rPr>
        <w:t>inquietudes,</w:t>
      </w:r>
      <w:r>
        <w:rPr>
          <w:spacing w:val="1"/>
          <w:sz w:val="24"/>
        </w:rPr>
        <w:t> </w:t>
      </w:r>
      <w:r>
        <w:rPr>
          <w:sz w:val="24"/>
        </w:rPr>
        <w:t>emociones,</w:t>
      </w:r>
      <w:r>
        <w:rPr>
          <w:spacing w:val="1"/>
          <w:sz w:val="24"/>
        </w:rPr>
        <w:t> </w:t>
      </w:r>
      <w:r>
        <w:rPr>
          <w:sz w:val="24"/>
        </w:rPr>
        <w:t>dudas,</w:t>
      </w:r>
      <w:r>
        <w:rPr>
          <w:spacing w:val="1"/>
          <w:sz w:val="24"/>
        </w:rPr>
        <w:t> </w:t>
      </w:r>
      <w:r>
        <w:rPr>
          <w:sz w:val="24"/>
        </w:rPr>
        <w:t>reflexiones,</w:t>
      </w:r>
      <w:r>
        <w:rPr>
          <w:spacing w:val="1"/>
          <w:sz w:val="24"/>
        </w:rPr>
        <w:t> </w:t>
      </w:r>
      <w:r>
        <w:rPr>
          <w:sz w:val="24"/>
        </w:rPr>
        <w:t>deseos.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decir,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propósito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proceso</w:t>
      </w:r>
      <w:r>
        <w:rPr>
          <w:spacing w:val="1"/>
          <w:sz w:val="24"/>
        </w:rPr>
        <w:t> </w:t>
      </w:r>
      <w:r>
        <w:rPr>
          <w:sz w:val="24"/>
        </w:rPr>
        <w:t>educativo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3"/>
          <w:sz w:val="24"/>
        </w:rPr>
        <w:t> </w:t>
      </w:r>
      <w:r>
        <w:rPr>
          <w:sz w:val="24"/>
        </w:rPr>
        <w:t>que los</w:t>
      </w:r>
      <w:r>
        <w:rPr>
          <w:spacing w:val="-3"/>
          <w:sz w:val="24"/>
        </w:rPr>
        <w:t> </w:t>
      </w:r>
      <w:r>
        <w:rPr>
          <w:sz w:val="24"/>
        </w:rPr>
        <w:t>jóvenes también</w:t>
      </w:r>
      <w:r>
        <w:rPr>
          <w:spacing w:val="-3"/>
          <w:sz w:val="24"/>
        </w:rPr>
        <w:t> </w:t>
      </w:r>
      <w:r>
        <w:rPr>
          <w:sz w:val="24"/>
        </w:rPr>
        <w:t>puedan</w:t>
      </w:r>
      <w:r>
        <w:rPr>
          <w:spacing w:val="-2"/>
          <w:sz w:val="24"/>
        </w:rPr>
        <w:t> </w:t>
      </w:r>
      <w:r>
        <w:rPr>
          <w:sz w:val="24"/>
        </w:rPr>
        <w:t>vivir su</w:t>
      </w:r>
      <w:r>
        <w:rPr>
          <w:spacing w:val="-2"/>
          <w:sz w:val="24"/>
        </w:rPr>
        <w:t> </w:t>
      </w:r>
      <w:r>
        <w:rPr>
          <w:sz w:val="24"/>
        </w:rPr>
        <w:t>presente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lo</w:t>
      </w:r>
      <w:r>
        <w:rPr>
          <w:spacing w:val="-3"/>
          <w:sz w:val="24"/>
        </w:rPr>
        <w:t> </w:t>
      </w:r>
      <w:r>
        <w:rPr>
          <w:sz w:val="24"/>
        </w:rPr>
        <w:t>compartan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-1"/>
          <w:sz w:val="24"/>
        </w:rPr>
        <w:t> </w:t>
      </w:r>
      <w:r>
        <w:rPr>
          <w:sz w:val="24"/>
        </w:rPr>
        <w:t>pares.</w:t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278" w:right="1076" w:firstLine="0"/>
        <w:jc w:val="both"/>
        <w:rPr>
          <w:sz w:val="24"/>
        </w:rPr>
      </w:pPr>
      <w:r>
        <w:rPr>
          <w:sz w:val="24"/>
        </w:rPr>
        <w:t>De acuerdo con OPS (2018) la importancia de los adolescentes se hace evidente al observar las</w:t>
      </w:r>
      <w:r>
        <w:rPr>
          <w:spacing w:val="1"/>
          <w:sz w:val="24"/>
        </w:rPr>
        <w:t> </w:t>
      </w:r>
      <w:r>
        <w:rPr>
          <w:sz w:val="24"/>
        </w:rPr>
        <w:t>inequidades sociales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salud;</w:t>
      </w:r>
      <w:r>
        <w:rPr>
          <w:spacing w:val="-2"/>
          <w:sz w:val="24"/>
        </w:rPr>
        <w:t> </w:t>
      </w:r>
      <w:r>
        <w:rPr>
          <w:sz w:val="24"/>
        </w:rPr>
        <w:t>por ejemplo,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embarazo adolescente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más prevalente</w:t>
      </w:r>
      <w:r>
        <w:rPr>
          <w:spacing w:val="1"/>
          <w:sz w:val="24"/>
        </w:rPr>
        <w:t> </w:t>
      </w:r>
      <w:r>
        <w:rPr>
          <w:sz w:val="24"/>
        </w:rPr>
        <w:t>entre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rect style="position:absolute;margin-left:563.880005pt;margin-top:15.775358pt;width:25.44pt;height:1.4399pt;mso-position-horizontal-relative:page;mso-position-vertical-relative:paragraph;z-index:-1551872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102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type w:val="continuous"/>
          <w:pgSz w:w="12240" w:h="15840"/>
          <w:pgMar w:top="34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24672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1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spacing w:before="52"/>
        <w:ind w:left="278" w:right="1075" w:firstLine="0"/>
        <w:jc w:val="both"/>
        <w:rPr>
          <w:sz w:val="24"/>
        </w:rPr>
      </w:pPr>
      <w:r>
        <w:rPr>
          <w:sz w:val="24"/>
        </w:rPr>
        <w:t>las niñas con menor educación, de los hogares más pobres y entre las niñas de poblaciones</w:t>
      </w:r>
      <w:r>
        <w:rPr>
          <w:spacing w:val="1"/>
          <w:sz w:val="24"/>
        </w:rPr>
        <w:t> </w:t>
      </w:r>
      <w:r>
        <w:rPr>
          <w:sz w:val="24"/>
        </w:rPr>
        <w:t>indígenas.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22"/>
        </w:numPr>
        <w:tabs>
          <w:tab w:pos="999" w:val="left" w:leader="none"/>
        </w:tabs>
        <w:spacing w:line="237" w:lineRule="auto" w:before="1" w:after="0"/>
        <w:ind w:left="998" w:right="1076" w:hanging="360"/>
        <w:jc w:val="both"/>
        <w:rPr>
          <w:sz w:val="24"/>
        </w:rPr>
      </w:pPr>
      <w:r>
        <w:rPr>
          <w:sz w:val="24"/>
        </w:rPr>
        <w:t>Ambientes de aprendizaje que fomenten protección infantil y socioemocionales seguros</w:t>
      </w:r>
      <w:r>
        <w:rPr>
          <w:spacing w:val="1"/>
          <w:sz w:val="24"/>
        </w:rPr>
        <w:t> </w:t>
      </w:r>
      <w:r>
        <w:rPr>
          <w:sz w:val="24"/>
        </w:rPr>
        <w:t>a nivel medio que integre prácticas culturales y lingüísticas adaptado a cada territorio y</w:t>
      </w:r>
      <w:r>
        <w:rPr>
          <w:spacing w:val="1"/>
          <w:sz w:val="24"/>
        </w:rPr>
        <w:t> </w:t>
      </w:r>
      <w:r>
        <w:rPr>
          <w:sz w:val="24"/>
        </w:rPr>
        <w:t>mercado laboral.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22"/>
        </w:numPr>
        <w:tabs>
          <w:tab w:pos="999" w:val="left" w:leader="none"/>
        </w:tabs>
        <w:spacing w:line="237" w:lineRule="auto" w:before="1" w:after="0"/>
        <w:ind w:left="998" w:right="1075" w:hanging="360"/>
        <w:jc w:val="both"/>
        <w:rPr>
          <w:sz w:val="24"/>
        </w:rPr>
      </w:pPr>
      <w:r>
        <w:rPr>
          <w:sz w:val="24"/>
        </w:rPr>
        <w:t>Implementar en los procesos de aprendizaje los contenidos formativos del CNB sobre el</w:t>
      </w:r>
      <w:r>
        <w:rPr>
          <w:spacing w:val="1"/>
          <w:sz w:val="24"/>
        </w:rPr>
        <w:t> </w:t>
      </w:r>
      <w:r>
        <w:rPr>
          <w:sz w:val="24"/>
        </w:rPr>
        <w:t>plan de vida, habilidades socio-emocionales y de incorporación al mercado laboral en su</w:t>
      </w:r>
      <w:r>
        <w:rPr>
          <w:spacing w:val="1"/>
          <w:sz w:val="24"/>
        </w:rPr>
        <w:t> </w:t>
      </w:r>
      <w:r>
        <w:rPr>
          <w:sz w:val="24"/>
        </w:rPr>
        <w:t>territorio.</w:t>
      </w:r>
    </w:p>
    <w:p>
      <w:pPr>
        <w:pStyle w:val="BodyText"/>
        <w:spacing w:before="10"/>
        <w:rPr>
          <w:sz w:val="23"/>
        </w:rPr>
      </w:pPr>
    </w:p>
    <w:p>
      <w:pPr>
        <w:spacing w:before="1"/>
        <w:ind w:left="278" w:right="1076" w:firstLine="0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CNB</w:t>
      </w:r>
      <w:r>
        <w:rPr>
          <w:spacing w:val="1"/>
          <w:sz w:val="24"/>
        </w:rPr>
        <w:t> </w:t>
      </w:r>
      <w:r>
        <w:rPr>
          <w:sz w:val="24"/>
        </w:rPr>
        <w:t>posee</w:t>
      </w:r>
      <w:r>
        <w:rPr>
          <w:spacing w:val="1"/>
          <w:sz w:val="24"/>
        </w:rPr>
        <w:t> </w:t>
      </w:r>
      <w:r>
        <w:rPr>
          <w:sz w:val="24"/>
        </w:rPr>
        <w:t>contenidos</w:t>
      </w:r>
      <w:r>
        <w:rPr>
          <w:spacing w:val="1"/>
          <w:sz w:val="24"/>
        </w:rPr>
        <w:t> </w:t>
      </w:r>
      <w:r>
        <w:rPr>
          <w:sz w:val="24"/>
        </w:rPr>
        <w:t>formativos</w:t>
      </w:r>
      <w:r>
        <w:rPr>
          <w:spacing w:val="1"/>
          <w:sz w:val="24"/>
        </w:rPr>
        <w:t> </w:t>
      </w:r>
      <w:r>
        <w:rPr>
          <w:sz w:val="24"/>
        </w:rPr>
        <w:t>relevantes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asociados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prácticas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abordaje</w:t>
      </w:r>
      <w:r>
        <w:rPr>
          <w:spacing w:val="-52"/>
          <w:sz w:val="24"/>
        </w:rPr>
        <w:t> </w:t>
      </w:r>
      <w:r>
        <w:rPr>
          <w:sz w:val="24"/>
        </w:rPr>
        <w:t>emocional, fortalecimiento de la autoestima de los jóvenes, sobre todo, con la visión de que en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-10"/>
          <w:sz w:val="24"/>
        </w:rPr>
        <w:t> </w:t>
      </w:r>
      <w:r>
        <w:rPr>
          <w:sz w:val="24"/>
        </w:rPr>
        <w:t>futuro</w:t>
      </w:r>
      <w:r>
        <w:rPr>
          <w:spacing w:val="-10"/>
          <w:sz w:val="24"/>
        </w:rPr>
        <w:t> </w:t>
      </w:r>
      <w:r>
        <w:rPr>
          <w:sz w:val="24"/>
        </w:rPr>
        <w:t>serán</w:t>
      </w:r>
      <w:r>
        <w:rPr>
          <w:spacing w:val="-9"/>
          <w:sz w:val="24"/>
        </w:rPr>
        <w:t> </w:t>
      </w:r>
      <w:r>
        <w:rPr>
          <w:sz w:val="24"/>
        </w:rPr>
        <w:t>padres</w:t>
      </w:r>
      <w:r>
        <w:rPr>
          <w:spacing w:val="-9"/>
          <w:sz w:val="24"/>
        </w:rPr>
        <w:t> </w:t>
      </w:r>
      <w:r>
        <w:rPr>
          <w:sz w:val="24"/>
        </w:rPr>
        <w:t>o</w:t>
      </w:r>
      <w:r>
        <w:rPr>
          <w:spacing w:val="-10"/>
          <w:sz w:val="24"/>
        </w:rPr>
        <w:t> </w:t>
      </w:r>
      <w:r>
        <w:rPr>
          <w:sz w:val="24"/>
        </w:rPr>
        <w:t>madres.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10"/>
          <w:sz w:val="24"/>
        </w:rPr>
        <w:t> </w:t>
      </w:r>
      <w:r>
        <w:rPr>
          <w:sz w:val="24"/>
        </w:rPr>
        <w:t>este</w:t>
      </w:r>
      <w:r>
        <w:rPr>
          <w:spacing w:val="-10"/>
          <w:sz w:val="24"/>
        </w:rPr>
        <w:t> </w:t>
      </w:r>
      <w:r>
        <w:rPr>
          <w:sz w:val="24"/>
        </w:rPr>
        <w:t>nivel,</w:t>
      </w:r>
      <w:r>
        <w:rPr>
          <w:spacing w:val="-11"/>
          <w:sz w:val="24"/>
        </w:rPr>
        <w:t> </w:t>
      </w:r>
      <w:r>
        <w:rPr>
          <w:sz w:val="24"/>
        </w:rPr>
        <w:t>es</w:t>
      </w:r>
      <w:r>
        <w:rPr>
          <w:spacing w:val="-10"/>
          <w:sz w:val="24"/>
        </w:rPr>
        <w:t> </w:t>
      </w:r>
      <w:r>
        <w:rPr>
          <w:sz w:val="24"/>
        </w:rPr>
        <w:t>importante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se</w:t>
      </w:r>
      <w:r>
        <w:rPr>
          <w:spacing w:val="-10"/>
          <w:sz w:val="24"/>
        </w:rPr>
        <w:t> </w:t>
      </w:r>
      <w:r>
        <w:rPr>
          <w:sz w:val="24"/>
        </w:rPr>
        <w:t>sigan</w:t>
      </w:r>
      <w:r>
        <w:rPr>
          <w:spacing w:val="-10"/>
          <w:sz w:val="24"/>
        </w:rPr>
        <w:t> </w:t>
      </w:r>
      <w:r>
        <w:rPr>
          <w:sz w:val="24"/>
        </w:rPr>
        <w:t>fortaleciendo</w:t>
      </w:r>
      <w:r>
        <w:rPr>
          <w:spacing w:val="-10"/>
          <w:sz w:val="24"/>
        </w:rPr>
        <w:t> </w:t>
      </w:r>
      <w:r>
        <w:rPr>
          <w:sz w:val="24"/>
        </w:rPr>
        <w:t>los</w:t>
      </w:r>
      <w:r>
        <w:rPr>
          <w:spacing w:val="-8"/>
          <w:sz w:val="24"/>
        </w:rPr>
        <w:t> </w:t>
      </w:r>
      <w:r>
        <w:rPr>
          <w:sz w:val="24"/>
        </w:rPr>
        <w:t>lazos</w:t>
      </w:r>
      <w:r>
        <w:rPr>
          <w:spacing w:val="-52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adultos</w:t>
      </w:r>
      <w:r>
        <w:rPr>
          <w:spacing w:val="-6"/>
          <w:sz w:val="24"/>
        </w:rPr>
        <w:t> </w:t>
      </w:r>
      <w:r>
        <w:rPr>
          <w:sz w:val="24"/>
        </w:rPr>
        <w:t>responsables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jóvenes</w:t>
      </w:r>
      <w:r>
        <w:rPr>
          <w:spacing w:val="-6"/>
          <w:sz w:val="24"/>
        </w:rPr>
        <w:t> </w:t>
      </w:r>
      <w:r>
        <w:rPr>
          <w:sz w:val="24"/>
        </w:rPr>
        <w:t>se</w:t>
      </w:r>
      <w:r>
        <w:rPr>
          <w:spacing w:val="-6"/>
          <w:sz w:val="24"/>
        </w:rPr>
        <w:t> </w:t>
      </w:r>
      <w:r>
        <w:rPr>
          <w:sz w:val="24"/>
        </w:rPr>
        <w:t>sientan</w:t>
      </w:r>
      <w:r>
        <w:rPr>
          <w:spacing w:val="2"/>
          <w:sz w:val="24"/>
        </w:rPr>
        <w:t> </w:t>
      </w:r>
      <w:r>
        <w:rPr>
          <w:sz w:val="24"/>
        </w:rPr>
        <w:t>respaldados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acompañados</w:t>
      </w:r>
      <w:r>
        <w:rPr>
          <w:spacing w:val="-6"/>
          <w:sz w:val="24"/>
        </w:rPr>
        <w:t> </w:t>
      </w:r>
      <w:r>
        <w:rPr>
          <w:sz w:val="24"/>
        </w:rPr>
        <w:t>dentro</w:t>
      </w:r>
      <w:r>
        <w:rPr>
          <w:spacing w:val="-52"/>
          <w:sz w:val="24"/>
        </w:rPr>
        <w:t> </w:t>
      </w:r>
      <w:r>
        <w:rPr>
          <w:sz w:val="24"/>
        </w:rPr>
        <w:t>de la</w:t>
      </w:r>
      <w:r>
        <w:rPr>
          <w:spacing w:val="-2"/>
          <w:sz w:val="24"/>
        </w:rPr>
        <w:t> </w:t>
      </w:r>
      <w:r>
        <w:rPr>
          <w:sz w:val="24"/>
        </w:rPr>
        <w:t>libertad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requiere</w:t>
      </w:r>
      <w:r>
        <w:rPr>
          <w:spacing w:val="1"/>
          <w:sz w:val="24"/>
        </w:rPr>
        <w:t> </w:t>
      </w:r>
      <w:r>
        <w:rPr>
          <w:sz w:val="24"/>
        </w:rPr>
        <w:t>este ciclo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vida</w:t>
      </w:r>
      <w:r>
        <w:rPr>
          <w:spacing w:val="-2"/>
          <w:sz w:val="24"/>
        </w:rPr>
        <w:t> </w:t>
      </w:r>
      <w:r>
        <w:rPr>
          <w:sz w:val="24"/>
        </w:rPr>
        <w:t>humana.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21"/>
        </w:numPr>
        <w:tabs>
          <w:tab w:pos="999" w:val="left" w:leader="none"/>
        </w:tabs>
        <w:spacing w:line="240" w:lineRule="auto" w:before="0" w:after="0"/>
        <w:ind w:left="998" w:right="1084" w:hanging="720"/>
        <w:jc w:val="left"/>
        <w:rPr>
          <w:b/>
          <w:sz w:val="24"/>
        </w:rPr>
      </w:pPr>
      <w:bookmarkStart w:name="_bookmark127" w:id="187"/>
      <w:bookmarkEnd w:id="187"/>
      <w:r>
        <w:rPr/>
      </w:r>
      <w:bookmarkStart w:name="_bookmark127" w:id="188"/>
      <w:bookmarkEnd w:id="188"/>
      <w:r>
        <w:rPr>
          <w:b/>
          <w:sz w:val="24"/>
        </w:rPr>
        <w:t>E</w:t>
      </w:r>
      <w:r>
        <w:rPr>
          <w:b/>
          <w:sz w:val="24"/>
        </w:rPr>
        <w:t>je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Colaboración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Integración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Comunidad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Educativa: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Vinculación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las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familias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las comunidades.</w:t>
      </w:r>
    </w:p>
    <w:p>
      <w:pPr>
        <w:pStyle w:val="BodyText"/>
        <w:spacing w:before="10"/>
        <w:rPr>
          <w:b/>
          <w:sz w:val="19"/>
        </w:rPr>
      </w:pPr>
    </w:p>
    <w:p>
      <w:pPr>
        <w:pStyle w:val="ListParagraph"/>
        <w:numPr>
          <w:ilvl w:val="0"/>
          <w:numId w:val="23"/>
        </w:numPr>
        <w:tabs>
          <w:tab w:pos="999" w:val="left" w:leader="none"/>
        </w:tabs>
        <w:spacing w:line="237" w:lineRule="auto" w:before="0" w:after="0"/>
        <w:ind w:left="998" w:right="1074" w:hanging="360"/>
        <w:jc w:val="both"/>
        <w:rPr>
          <w:sz w:val="24"/>
        </w:rPr>
      </w:pPr>
      <w:r>
        <w:rPr>
          <w:sz w:val="24"/>
        </w:rPr>
        <w:t>Concientizar y capacitar a los padres/madres de familia sobre la importancia de que sus</w:t>
      </w:r>
      <w:r>
        <w:rPr>
          <w:spacing w:val="1"/>
          <w:sz w:val="24"/>
        </w:rPr>
        <w:t> </w:t>
      </w:r>
      <w:r>
        <w:rPr>
          <w:sz w:val="24"/>
        </w:rPr>
        <w:t>hijos/as culminen la educación a nivel medio, la crianza cariñosa, la protección infantil, la</w:t>
      </w:r>
      <w:r>
        <w:rPr>
          <w:spacing w:val="-52"/>
          <w:sz w:val="24"/>
        </w:rPr>
        <w:t> </w:t>
      </w:r>
      <w:r>
        <w:rPr>
          <w:sz w:val="24"/>
        </w:rPr>
        <w:t>eliminación de violencia de género, habilidades socio-emocionales y la incorporación al</w:t>
      </w:r>
      <w:r>
        <w:rPr>
          <w:spacing w:val="1"/>
          <w:sz w:val="24"/>
        </w:rPr>
        <w:t> </w:t>
      </w:r>
      <w:r>
        <w:rPr>
          <w:sz w:val="24"/>
        </w:rPr>
        <w:t>mercado laboral con</w:t>
      </w:r>
      <w:r>
        <w:rPr>
          <w:spacing w:val="-2"/>
          <w:sz w:val="24"/>
        </w:rPr>
        <w:t> </w:t>
      </w:r>
      <w:r>
        <w:rPr>
          <w:sz w:val="24"/>
        </w:rPr>
        <w:t>pertinencia</w:t>
      </w:r>
      <w:r>
        <w:rPr>
          <w:spacing w:val="1"/>
          <w:sz w:val="24"/>
        </w:rPr>
        <w:t> </w:t>
      </w:r>
      <w:r>
        <w:rPr>
          <w:sz w:val="24"/>
        </w:rPr>
        <w:t>étnica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cultural</w:t>
      </w:r>
      <w:r>
        <w:rPr>
          <w:spacing w:val="-1"/>
          <w:sz w:val="24"/>
        </w:rPr>
        <w:t> </w:t>
      </w:r>
      <w:r>
        <w:rPr>
          <w:sz w:val="24"/>
        </w:rPr>
        <w:t>de los</w:t>
      </w:r>
      <w:r>
        <w:rPr>
          <w:spacing w:val="-2"/>
          <w:sz w:val="24"/>
        </w:rPr>
        <w:t> </w:t>
      </w:r>
      <w:r>
        <w:rPr>
          <w:sz w:val="24"/>
        </w:rPr>
        <w:t>territorios.</w:t>
      </w:r>
    </w:p>
    <w:p>
      <w:pPr>
        <w:pStyle w:val="BodyText"/>
        <w:spacing w:before="3"/>
        <w:rPr>
          <w:sz w:val="24"/>
        </w:rPr>
      </w:pPr>
    </w:p>
    <w:p>
      <w:pPr>
        <w:spacing w:before="1"/>
        <w:ind w:left="278" w:right="1075" w:firstLine="0"/>
        <w:jc w:val="both"/>
        <w:rPr>
          <w:sz w:val="24"/>
        </w:rPr>
      </w:pPr>
      <w:r>
        <w:rPr>
          <w:sz w:val="24"/>
        </w:rPr>
        <w:t>La continuidad del trabajo de las OPF, así como, los principales actores que la integran (padres y</w:t>
      </w:r>
      <w:r>
        <w:rPr>
          <w:spacing w:val="1"/>
          <w:sz w:val="24"/>
        </w:rPr>
        <w:t> </w:t>
      </w:r>
      <w:r>
        <w:rPr>
          <w:sz w:val="24"/>
        </w:rPr>
        <w:t>madres de familia, maestros, directores y líderes comunitarios) es vital aprovechar esta figura</w:t>
      </w:r>
      <w:r>
        <w:rPr>
          <w:spacing w:val="1"/>
          <w:sz w:val="24"/>
        </w:rPr>
        <w:t> </w:t>
      </w:r>
      <w:r>
        <w:rPr>
          <w:sz w:val="24"/>
        </w:rPr>
        <w:t>para que a través de la capacitación en cuidado cariñoso y sensible se involucren siendo los</w:t>
      </w:r>
      <w:r>
        <w:rPr>
          <w:spacing w:val="1"/>
          <w:sz w:val="24"/>
        </w:rPr>
        <w:t> </w:t>
      </w:r>
      <w:r>
        <w:rPr>
          <w:sz w:val="24"/>
        </w:rPr>
        <w:t>principales agentes multiplicadores de cambio. Aquí se plantea también, identificar e integrar a</w:t>
      </w:r>
      <w:r>
        <w:rPr>
          <w:spacing w:val="1"/>
          <w:sz w:val="24"/>
        </w:rPr>
        <w:t> </w:t>
      </w:r>
      <w:r>
        <w:rPr>
          <w:sz w:val="24"/>
        </w:rPr>
        <w:t>los liderazgos</w:t>
      </w:r>
      <w:r>
        <w:rPr>
          <w:spacing w:val="-2"/>
          <w:sz w:val="24"/>
        </w:rPr>
        <w:t> </w:t>
      </w:r>
      <w:r>
        <w:rPr>
          <w:sz w:val="24"/>
        </w:rPr>
        <w:t>juveniles</w:t>
      </w:r>
      <w:r>
        <w:rPr>
          <w:spacing w:val="-1"/>
          <w:sz w:val="24"/>
        </w:rPr>
        <w:t> </w:t>
      </w:r>
      <w:r>
        <w:rPr>
          <w:sz w:val="24"/>
        </w:rPr>
        <w:t>para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78" w:right="1075" w:firstLine="0"/>
        <w:jc w:val="both"/>
        <w:rPr>
          <w:sz w:val="24"/>
        </w:rPr>
      </w:pPr>
      <w:r>
        <w:rPr>
          <w:sz w:val="24"/>
        </w:rPr>
        <w:t>Es fundamental empoderar a los jóvenes, las familias y las comunidades para promover la</w:t>
      </w:r>
      <w:r>
        <w:rPr>
          <w:spacing w:val="1"/>
          <w:sz w:val="24"/>
        </w:rPr>
        <w:t> </w:t>
      </w:r>
      <w:r>
        <w:rPr>
          <w:sz w:val="24"/>
        </w:rPr>
        <w:t>importancia</w:t>
      </w:r>
      <w:r>
        <w:rPr>
          <w:spacing w:val="-2"/>
          <w:sz w:val="24"/>
        </w:rPr>
        <w:t> </w:t>
      </w:r>
      <w:r>
        <w:rPr>
          <w:sz w:val="24"/>
        </w:rPr>
        <w:t>de la</w:t>
      </w:r>
      <w:r>
        <w:rPr>
          <w:spacing w:val="-1"/>
          <w:sz w:val="24"/>
        </w:rPr>
        <w:t> </w:t>
      </w:r>
      <w:r>
        <w:rPr>
          <w:sz w:val="24"/>
        </w:rPr>
        <w:t>continuidad de la</w:t>
      </w:r>
      <w:r>
        <w:rPr>
          <w:spacing w:val="-2"/>
          <w:sz w:val="24"/>
        </w:rPr>
        <w:t> </w:t>
      </w:r>
      <w:r>
        <w:rPr>
          <w:sz w:val="24"/>
        </w:rPr>
        <w:t>educación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este</w:t>
      </w:r>
      <w:r>
        <w:rPr>
          <w:spacing w:val="-3"/>
          <w:sz w:val="24"/>
        </w:rPr>
        <w:t> </w:t>
      </w:r>
      <w:r>
        <w:rPr>
          <w:sz w:val="24"/>
        </w:rPr>
        <w:t>nivel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reducir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deserción.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23"/>
        </w:numPr>
        <w:tabs>
          <w:tab w:pos="999" w:val="left" w:leader="none"/>
        </w:tabs>
        <w:spacing w:line="237" w:lineRule="auto" w:before="0" w:after="0"/>
        <w:ind w:left="998" w:right="1072" w:hanging="360"/>
        <w:jc w:val="both"/>
        <w:rPr>
          <w:sz w:val="24"/>
        </w:rPr>
      </w:pPr>
      <w:r>
        <w:rPr>
          <w:spacing w:val="-1"/>
          <w:sz w:val="24"/>
        </w:rPr>
        <w:t>Vincular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fortalecer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las</w:t>
      </w:r>
      <w:r>
        <w:rPr>
          <w:spacing w:val="-14"/>
          <w:sz w:val="24"/>
        </w:rPr>
        <w:t> </w:t>
      </w:r>
      <w:r>
        <w:rPr>
          <w:sz w:val="24"/>
        </w:rPr>
        <w:t>capacidades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las</w:t>
      </w:r>
      <w:r>
        <w:rPr>
          <w:spacing w:val="-11"/>
          <w:sz w:val="24"/>
        </w:rPr>
        <w:t> </w:t>
      </w:r>
      <w:r>
        <w:rPr>
          <w:sz w:val="24"/>
        </w:rPr>
        <w:t>OPF</w:t>
      </w:r>
      <w:r>
        <w:rPr>
          <w:spacing w:val="-10"/>
          <w:sz w:val="24"/>
        </w:rPr>
        <w:t> </w:t>
      </w:r>
      <w:r>
        <w:rPr>
          <w:sz w:val="24"/>
        </w:rPr>
        <w:t>en</w:t>
      </w:r>
      <w:r>
        <w:rPr>
          <w:spacing w:val="-13"/>
          <w:sz w:val="24"/>
        </w:rPr>
        <w:t> </w:t>
      </w: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Programa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Cuidados</w:t>
      </w:r>
      <w:r>
        <w:rPr>
          <w:spacing w:val="-14"/>
          <w:sz w:val="24"/>
        </w:rPr>
        <w:t> </w:t>
      </w:r>
      <w:r>
        <w:rPr>
          <w:sz w:val="24"/>
        </w:rPr>
        <w:t>Infantiles</w:t>
      </w:r>
      <w:r>
        <w:rPr>
          <w:spacing w:val="-13"/>
          <w:sz w:val="24"/>
        </w:rPr>
        <w:t> </w:t>
      </w:r>
      <w:r>
        <w:rPr>
          <w:sz w:val="24"/>
        </w:rPr>
        <w:t>para</w:t>
      </w:r>
      <w:r>
        <w:rPr>
          <w:spacing w:val="-51"/>
          <w:sz w:val="24"/>
        </w:rPr>
        <w:t> </w:t>
      </w:r>
      <w:r>
        <w:rPr>
          <w:sz w:val="24"/>
        </w:rPr>
        <w:t>el Aprendizaje del MINEDUC y para que promuevan en el territorio la importancia de la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incorporación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mercado</w:t>
      </w:r>
      <w:r>
        <w:rPr>
          <w:spacing w:val="1"/>
          <w:sz w:val="24"/>
        </w:rPr>
        <w:t> </w:t>
      </w:r>
      <w:r>
        <w:rPr>
          <w:sz w:val="24"/>
        </w:rPr>
        <w:t>laboral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cada</w:t>
      </w:r>
      <w:r>
        <w:rPr>
          <w:spacing w:val="1"/>
          <w:sz w:val="24"/>
        </w:rPr>
        <w:t> </w:t>
      </w:r>
      <w:r>
        <w:rPr>
          <w:sz w:val="24"/>
        </w:rPr>
        <w:t>uno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territorios.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  <w:r>
        <w:rPr/>
        <w:pict>
          <v:rect style="position:absolute;margin-left:563.880005pt;margin-top:15.388688pt;width:25.44pt;height:1.4399pt;mso-position-horizontal-relative:page;mso-position-vertical-relative:paragraph;z-index:-1551667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103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26208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1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spacing w:before="52"/>
        <w:ind w:left="278" w:right="1073" w:firstLine="0"/>
        <w:jc w:val="both"/>
        <w:rPr>
          <w:sz w:val="24"/>
        </w:rPr>
      </w:pPr>
      <w:r>
        <w:rPr>
          <w:sz w:val="24"/>
        </w:rPr>
        <w:t>Extender la base de participantes, -no solamente a los integrantes de las OPF- sino a todos los</w:t>
      </w:r>
      <w:r>
        <w:rPr>
          <w:spacing w:val="1"/>
          <w:sz w:val="24"/>
        </w:rPr>
        <w:t> </w:t>
      </w:r>
      <w:r>
        <w:rPr>
          <w:sz w:val="24"/>
        </w:rPr>
        <w:t>demás adultos (padres, madres, abuelos, abuelas, tíos, tías, encargados o tutores, etc.) para que</w:t>
      </w:r>
      <w:r>
        <w:rPr>
          <w:spacing w:val="-52"/>
          <w:sz w:val="24"/>
        </w:rPr>
        <w:t> </w:t>
      </w: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involucren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cuidado</w:t>
      </w:r>
      <w:r>
        <w:rPr>
          <w:spacing w:val="-3"/>
          <w:sz w:val="24"/>
        </w:rPr>
        <w:t> </w:t>
      </w:r>
      <w:r>
        <w:rPr>
          <w:sz w:val="24"/>
        </w:rPr>
        <w:t>cariñoso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sensible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niños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niñas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centros</w:t>
      </w:r>
      <w:r>
        <w:rPr>
          <w:spacing w:val="-4"/>
          <w:sz w:val="24"/>
        </w:rPr>
        <w:t> </w:t>
      </w:r>
      <w:r>
        <w:rPr>
          <w:sz w:val="24"/>
        </w:rPr>
        <w:t>educativos.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52"/>
          <w:sz w:val="24"/>
        </w:rPr>
        <w:t> </w:t>
      </w:r>
      <w:r>
        <w:rPr>
          <w:sz w:val="24"/>
        </w:rPr>
        <w:t>capacitaciones deben ser adaptadas a las edades y contextos comunitarios a la cual pertenece</w:t>
      </w:r>
      <w:r>
        <w:rPr>
          <w:spacing w:val="1"/>
          <w:sz w:val="24"/>
        </w:rPr>
        <w:t> </w:t>
      </w:r>
      <w:r>
        <w:rPr>
          <w:sz w:val="24"/>
        </w:rPr>
        <w:t>cada</w:t>
      </w:r>
      <w:r>
        <w:rPr>
          <w:spacing w:val="-1"/>
          <w:sz w:val="24"/>
        </w:rPr>
        <w:t> </w:t>
      </w:r>
      <w:r>
        <w:rPr>
          <w:sz w:val="24"/>
        </w:rPr>
        <w:t>población.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278" w:right="1077" w:firstLine="0"/>
        <w:jc w:val="both"/>
        <w:rPr>
          <w:sz w:val="24"/>
        </w:rPr>
      </w:pPr>
      <w:r>
        <w:rPr>
          <w:sz w:val="24"/>
        </w:rPr>
        <w:t>Identificar</w:t>
      </w:r>
      <w:r>
        <w:rPr>
          <w:spacing w:val="-12"/>
          <w:sz w:val="24"/>
        </w:rPr>
        <w:t> </w:t>
      </w:r>
      <w:r>
        <w:rPr>
          <w:sz w:val="24"/>
        </w:rPr>
        <w:t>e</w:t>
      </w:r>
      <w:r>
        <w:rPr>
          <w:spacing w:val="-11"/>
          <w:sz w:val="24"/>
        </w:rPr>
        <w:t> </w:t>
      </w:r>
      <w:r>
        <w:rPr>
          <w:sz w:val="24"/>
        </w:rPr>
        <w:t>integrar</w:t>
      </w:r>
      <w:r>
        <w:rPr>
          <w:spacing w:val="-12"/>
          <w:sz w:val="24"/>
        </w:rPr>
        <w:t> </w:t>
      </w:r>
      <w:r>
        <w:rPr>
          <w:sz w:val="24"/>
        </w:rPr>
        <w:t>grupos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jóvenes</w:t>
      </w:r>
      <w:r>
        <w:rPr>
          <w:spacing w:val="-9"/>
          <w:sz w:val="24"/>
        </w:rPr>
        <w:t> </w:t>
      </w:r>
      <w:r>
        <w:rPr>
          <w:sz w:val="24"/>
        </w:rPr>
        <w:t>líderes</w:t>
      </w:r>
      <w:r>
        <w:rPr>
          <w:spacing w:val="-11"/>
          <w:sz w:val="24"/>
        </w:rPr>
        <w:t> </w:t>
      </w:r>
      <w:r>
        <w:rPr>
          <w:sz w:val="24"/>
        </w:rPr>
        <w:t>acompañados</w:t>
      </w:r>
      <w:r>
        <w:rPr>
          <w:spacing w:val="-12"/>
          <w:sz w:val="24"/>
        </w:rPr>
        <w:t> </w:t>
      </w:r>
      <w:r>
        <w:rPr>
          <w:sz w:val="24"/>
        </w:rPr>
        <w:t>por</w:t>
      </w:r>
      <w:r>
        <w:rPr>
          <w:spacing w:val="-12"/>
          <w:sz w:val="24"/>
        </w:rPr>
        <w:t> </w:t>
      </w:r>
      <w:r>
        <w:rPr>
          <w:sz w:val="24"/>
        </w:rPr>
        <w:t>docentes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líderes</w:t>
      </w:r>
      <w:r>
        <w:rPr>
          <w:spacing w:val="-12"/>
          <w:sz w:val="24"/>
        </w:rPr>
        <w:t> </w:t>
      </w:r>
      <w:r>
        <w:rPr>
          <w:sz w:val="24"/>
        </w:rPr>
        <w:t>comunitarios</w:t>
      </w:r>
      <w:r>
        <w:rPr>
          <w:spacing w:val="-52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promuevan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cohesión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influencia</w:t>
      </w:r>
      <w:r>
        <w:rPr>
          <w:spacing w:val="-1"/>
          <w:sz w:val="24"/>
        </w:rPr>
        <w:t> </w:t>
      </w:r>
      <w:r>
        <w:rPr>
          <w:sz w:val="24"/>
        </w:rPr>
        <w:t>positiva</w:t>
      </w:r>
      <w:r>
        <w:rPr>
          <w:spacing w:val="-2"/>
          <w:sz w:val="24"/>
        </w:rPr>
        <w:t> </w:t>
      </w:r>
      <w:r>
        <w:rPr>
          <w:sz w:val="24"/>
        </w:rPr>
        <w:t>en esta etapa.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23"/>
        </w:numPr>
        <w:tabs>
          <w:tab w:pos="999" w:val="left" w:leader="none"/>
        </w:tabs>
        <w:spacing w:line="237" w:lineRule="auto" w:before="1" w:after="0"/>
        <w:ind w:left="998" w:right="1072" w:hanging="360"/>
        <w:jc w:val="both"/>
        <w:rPr>
          <w:sz w:val="24"/>
        </w:rPr>
      </w:pPr>
      <w:r>
        <w:rPr>
          <w:spacing w:val="-1"/>
          <w:sz w:val="24"/>
        </w:rPr>
        <w:t>Cualificar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fortalecer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conocimientos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los</w:t>
      </w:r>
      <w:r>
        <w:rPr>
          <w:spacing w:val="-11"/>
          <w:sz w:val="24"/>
        </w:rPr>
        <w:t> </w:t>
      </w:r>
      <w:r>
        <w:rPr>
          <w:sz w:val="24"/>
        </w:rPr>
        <w:t>docentes</w:t>
      </w:r>
      <w:r>
        <w:rPr>
          <w:spacing w:val="-14"/>
          <w:sz w:val="24"/>
        </w:rPr>
        <w:t> </w:t>
      </w:r>
      <w:r>
        <w:rPr>
          <w:sz w:val="24"/>
        </w:rPr>
        <w:t>en</w:t>
      </w:r>
      <w:r>
        <w:rPr>
          <w:spacing w:val="-12"/>
          <w:sz w:val="24"/>
        </w:rPr>
        <w:t> </w:t>
      </w:r>
      <w:r>
        <w:rPr>
          <w:sz w:val="24"/>
        </w:rPr>
        <w:t>el</w:t>
      </w:r>
      <w:r>
        <w:rPr>
          <w:spacing w:val="-13"/>
          <w:sz w:val="24"/>
        </w:rPr>
        <w:t> </w:t>
      </w:r>
      <w:r>
        <w:rPr>
          <w:sz w:val="24"/>
        </w:rPr>
        <w:t>desarrollo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planes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vida,</w:t>
      </w:r>
      <w:r>
        <w:rPr>
          <w:spacing w:val="-52"/>
          <w:sz w:val="24"/>
        </w:rPr>
        <w:t> </w:t>
      </w:r>
      <w:r>
        <w:rPr>
          <w:sz w:val="24"/>
        </w:rPr>
        <w:t>habilidades socio-emocionales y de incorporación al mercado laboral con pertinencia</w:t>
      </w:r>
      <w:r>
        <w:rPr>
          <w:spacing w:val="1"/>
          <w:sz w:val="24"/>
        </w:rPr>
        <w:t> </w:t>
      </w:r>
      <w:r>
        <w:rPr>
          <w:sz w:val="24"/>
        </w:rPr>
        <w:t>étnica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cultural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territorios.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278" w:right="1076" w:firstLine="0"/>
        <w:jc w:val="both"/>
        <w:rPr>
          <w:sz w:val="24"/>
        </w:rPr>
      </w:pPr>
      <w:r>
        <w:rPr>
          <w:sz w:val="24"/>
        </w:rPr>
        <w:t>La capacitación del cuerpo docente es fundamental como agentes de cambio debido a que</w:t>
      </w:r>
      <w:r>
        <w:rPr>
          <w:spacing w:val="1"/>
          <w:sz w:val="24"/>
        </w:rPr>
        <w:t> </w:t>
      </w:r>
      <w:r>
        <w:rPr>
          <w:sz w:val="24"/>
        </w:rPr>
        <w:t>representan un elemento articulador entre el niño y sus padres (adultos responsables), para</w:t>
      </w:r>
      <w:r>
        <w:rPr>
          <w:spacing w:val="1"/>
          <w:sz w:val="24"/>
        </w:rPr>
        <w:t> </w:t>
      </w:r>
      <w:r>
        <w:rPr>
          <w:sz w:val="24"/>
        </w:rPr>
        <w:t>identificar</w:t>
      </w:r>
      <w:r>
        <w:rPr>
          <w:spacing w:val="-3"/>
          <w:sz w:val="24"/>
        </w:rPr>
        <w:t> </w:t>
      </w:r>
      <w:r>
        <w:rPr>
          <w:sz w:val="24"/>
        </w:rPr>
        <w:t>actitudes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comportamientos</w:t>
      </w:r>
      <w:r>
        <w:rPr>
          <w:spacing w:val="-2"/>
          <w:sz w:val="24"/>
        </w:rPr>
        <w:t> </w:t>
      </w:r>
      <w:r>
        <w:rPr>
          <w:sz w:val="24"/>
        </w:rPr>
        <w:t>relevantes.</w:t>
      </w:r>
    </w:p>
    <w:p>
      <w:pPr>
        <w:pStyle w:val="BodyText"/>
        <w:spacing w:before="11"/>
        <w:rPr>
          <w:sz w:val="23"/>
        </w:rPr>
      </w:pPr>
    </w:p>
    <w:p>
      <w:pPr>
        <w:spacing w:before="1"/>
        <w:ind w:left="278" w:right="1079" w:firstLine="0"/>
        <w:jc w:val="both"/>
        <w:rPr>
          <w:sz w:val="24"/>
        </w:rPr>
      </w:pPr>
      <w:r>
        <w:rPr>
          <w:sz w:val="24"/>
        </w:rPr>
        <w:t>El rol del docente es preponderante como agente multiplicador de cambio y uno de los pilares</w:t>
      </w:r>
      <w:r>
        <w:rPr>
          <w:spacing w:val="1"/>
          <w:sz w:val="24"/>
        </w:rPr>
        <w:t> </w:t>
      </w:r>
      <w:r>
        <w:rPr>
          <w:sz w:val="24"/>
        </w:rPr>
        <w:t>del sistema</w:t>
      </w:r>
      <w:r>
        <w:rPr>
          <w:spacing w:val="-1"/>
          <w:sz w:val="24"/>
        </w:rPr>
        <w:t> </w:t>
      </w:r>
      <w:r>
        <w:rPr>
          <w:sz w:val="24"/>
        </w:rPr>
        <w:t>educativo</w:t>
      </w:r>
      <w:r>
        <w:rPr>
          <w:spacing w:val="-2"/>
          <w:sz w:val="24"/>
        </w:rPr>
        <w:t> </w:t>
      </w:r>
      <w:r>
        <w:rPr>
          <w:sz w:val="24"/>
        </w:rPr>
        <w:t>nacional. Su</w:t>
      </w:r>
      <w:r>
        <w:rPr>
          <w:spacing w:val="-1"/>
          <w:sz w:val="24"/>
        </w:rPr>
        <w:t> </w:t>
      </w:r>
      <w:r>
        <w:rPr>
          <w:sz w:val="24"/>
        </w:rPr>
        <w:t>capacitación en</w:t>
      </w:r>
      <w:r>
        <w:rPr>
          <w:spacing w:val="1"/>
          <w:sz w:val="24"/>
        </w:rPr>
        <w:t> </w:t>
      </w:r>
      <w:r>
        <w:rPr>
          <w:sz w:val="24"/>
        </w:rPr>
        <w:t>esta</w:t>
      </w:r>
      <w:r>
        <w:rPr>
          <w:spacing w:val="-1"/>
          <w:sz w:val="24"/>
        </w:rPr>
        <w:t> </w:t>
      </w:r>
      <w:r>
        <w:rPr>
          <w:sz w:val="24"/>
        </w:rPr>
        <w:t>materia</w:t>
      </w:r>
      <w:r>
        <w:rPr>
          <w:spacing w:val="-2"/>
          <w:sz w:val="24"/>
        </w:rPr>
        <w:t> </w:t>
      </w:r>
      <w:r>
        <w:rPr>
          <w:sz w:val="24"/>
        </w:rPr>
        <w:t>implicaría;</w:t>
      </w:r>
    </w:p>
    <w:p>
      <w:pPr>
        <w:pStyle w:val="ListParagraph"/>
        <w:numPr>
          <w:ilvl w:val="1"/>
          <w:numId w:val="23"/>
        </w:numPr>
        <w:tabs>
          <w:tab w:pos="1706" w:val="left" w:leader="none"/>
          <w:tab w:pos="1707" w:val="left" w:leader="none"/>
        </w:tabs>
        <w:spacing w:line="305" w:lineRule="exact" w:before="0" w:after="0"/>
        <w:ind w:left="1706" w:right="0" w:hanging="361"/>
        <w:jc w:val="left"/>
        <w:rPr>
          <w:sz w:val="24"/>
        </w:rPr>
      </w:pPr>
      <w:r>
        <w:rPr>
          <w:sz w:val="24"/>
        </w:rPr>
        <w:t>Conocimiento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cuidado</w:t>
      </w:r>
      <w:r>
        <w:rPr>
          <w:spacing w:val="-1"/>
          <w:sz w:val="24"/>
        </w:rPr>
        <w:t> </w:t>
      </w:r>
      <w:r>
        <w:rPr>
          <w:sz w:val="24"/>
        </w:rPr>
        <w:t>cariñoso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sensible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este</w:t>
      </w:r>
      <w:r>
        <w:rPr>
          <w:spacing w:val="-3"/>
          <w:sz w:val="24"/>
        </w:rPr>
        <w:t> </w:t>
      </w:r>
      <w:r>
        <w:rPr>
          <w:sz w:val="24"/>
        </w:rPr>
        <w:t>nivel.</w:t>
      </w:r>
    </w:p>
    <w:p>
      <w:pPr>
        <w:pStyle w:val="ListParagraph"/>
        <w:numPr>
          <w:ilvl w:val="1"/>
          <w:numId w:val="23"/>
        </w:numPr>
        <w:tabs>
          <w:tab w:pos="1706" w:val="left" w:leader="none"/>
          <w:tab w:pos="1707" w:val="left" w:leader="none"/>
        </w:tabs>
        <w:spacing w:line="305" w:lineRule="exact" w:before="1" w:after="0"/>
        <w:ind w:left="1706" w:right="0" w:hanging="361"/>
        <w:jc w:val="left"/>
        <w:rPr>
          <w:sz w:val="24"/>
        </w:rPr>
      </w:pPr>
      <w:r>
        <w:rPr>
          <w:sz w:val="24"/>
        </w:rPr>
        <w:t>Acciones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prácticas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cuidado</w:t>
      </w:r>
      <w:r>
        <w:rPr>
          <w:spacing w:val="-2"/>
          <w:sz w:val="24"/>
        </w:rPr>
        <w:t> </w:t>
      </w:r>
      <w:r>
        <w:rPr>
          <w:sz w:val="24"/>
        </w:rPr>
        <w:t>cariñoso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sensible.</w:t>
      </w:r>
    </w:p>
    <w:p>
      <w:pPr>
        <w:pStyle w:val="ListParagraph"/>
        <w:numPr>
          <w:ilvl w:val="1"/>
          <w:numId w:val="23"/>
        </w:numPr>
        <w:tabs>
          <w:tab w:pos="1706" w:val="left" w:leader="none"/>
          <w:tab w:pos="1707" w:val="left" w:leader="none"/>
        </w:tabs>
        <w:spacing w:line="305" w:lineRule="exact" w:before="0" w:after="0"/>
        <w:ind w:left="1706" w:right="0" w:hanging="361"/>
        <w:jc w:val="left"/>
        <w:rPr>
          <w:sz w:val="24"/>
        </w:rPr>
      </w:pPr>
      <w:r>
        <w:rPr>
          <w:sz w:val="24"/>
        </w:rPr>
        <w:t>Orientación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padres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familia.</w:t>
      </w:r>
    </w:p>
    <w:p>
      <w:pPr>
        <w:pStyle w:val="ListParagraph"/>
        <w:numPr>
          <w:ilvl w:val="1"/>
          <w:numId w:val="23"/>
        </w:numPr>
        <w:tabs>
          <w:tab w:pos="1706" w:val="left" w:leader="none"/>
          <w:tab w:pos="1707" w:val="left" w:leader="none"/>
        </w:tabs>
        <w:spacing w:line="240" w:lineRule="auto" w:before="2" w:after="0"/>
        <w:ind w:left="1706" w:right="0" w:hanging="361"/>
        <w:jc w:val="left"/>
        <w:rPr>
          <w:sz w:val="24"/>
        </w:rPr>
      </w:pPr>
      <w:r>
        <w:rPr>
          <w:sz w:val="24"/>
        </w:rPr>
        <w:t>Identificación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casos y</w:t>
      </w:r>
      <w:r>
        <w:rPr>
          <w:spacing w:val="-2"/>
          <w:sz w:val="24"/>
        </w:rPr>
        <w:t> </w:t>
      </w:r>
      <w:r>
        <w:rPr>
          <w:sz w:val="24"/>
        </w:rPr>
        <w:t>derivación.</w:t>
      </w:r>
    </w:p>
    <w:p>
      <w:pPr>
        <w:pStyle w:val="BodyText"/>
        <w:spacing w:before="5"/>
        <w:rPr>
          <w:sz w:val="15"/>
        </w:rPr>
      </w:pPr>
    </w:p>
    <w:p>
      <w:pPr>
        <w:pStyle w:val="ListParagraph"/>
        <w:numPr>
          <w:ilvl w:val="2"/>
          <w:numId w:val="21"/>
        </w:numPr>
        <w:tabs>
          <w:tab w:pos="999" w:val="left" w:leader="none"/>
        </w:tabs>
        <w:spacing w:line="240" w:lineRule="auto" w:before="52" w:after="0"/>
        <w:ind w:left="998" w:right="0" w:hanging="721"/>
        <w:jc w:val="left"/>
        <w:rPr>
          <w:b/>
          <w:sz w:val="24"/>
        </w:rPr>
      </w:pPr>
      <w:bookmarkStart w:name="_bookmark128" w:id="189"/>
      <w:bookmarkEnd w:id="189"/>
      <w:r>
        <w:rPr/>
      </w:r>
      <w:bookmarkStart w:name="_bookmark128" w:id="190"/>
      <w:bookmarkEnd w:id="190"/>
      <w:r>
        <w:rPr>
          <w:b/>
          <w:sz w:val="24"/>
          <w:shd w:fill="FFFFFF" w:color="auto" w:val="clear"/>
        </w:rPr>
        <w:t>E</w:t>
      </w:r>
      <w:r>
        <w:rPr>
          <w:b/>
          <w:sz w:val="24"/>
          <w:shd w:fill="FFFFFF" w:color="auto" w:val="clear"/>
        </w:rPr>
        <w:t>je</w:t>
      </w:r>
      <w:r>
        <w:rPr>
          <w:b/>
          <w:spacing w:val="-5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3:</w:t>
      </w:r>
      <w:r>
        <w:rPr>
          <w:b/>
          <w:spacing w:val="-3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Priorización</w:t>
      </w:r>
      <w:r>
        <w:rPr>
          <w:b/>
          <w:spacing w:val="-3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de</w:t>
      </w:r>
      <w:r>
        <w:rPr>
          <w:b/>
          <w:spacing w:val="-4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áreas</w:t>
      </w:r>
      <w:r>
        <w:rPr>
          <w:b/>
          <w:spacing w:val="-3"/>
          <w:sz w:val="24"/>
          <w:shd w:fill="FFFFFF" w:color="auto" w:val="clear"/>
        </w:rPr>
        <w:t> </w:t>
      </w:r>
      <w:r>
        <w:rPr>
          <w:b/>
          <w:sz w:val="24"/>
          <w:shd w:fill="FFFFFF" w:color="auto" w:val="clear"/>
        </w:rPr>
        <w:t>desatendidas.</w:t>
      </w:r>
    </w:p>
    <w:p>
      <w:pPr>
        <w:pStyle w:val="BodyText"/>
        <w:spacing w:before="10"/>
        <w:rPr>
          <w:b/>
          <w:sz w:val="19"/>
        </w:rPr>
      </w:pPr>
    </w:p>
    <w:p>
      <w:pPr>
        <w:pStyle w:val="ListParagraph"/>
        <w:numPr>
          <w:ilvl w:val="0"/>
          <w:numId w:val="24"/>
        </w:numPr>
        <w:tabs>
          <w:tab w:pos="999" w:val="left" w:leader="none"/>
        </w:tabs>
        <w:spacing w:line="237" w:lineRule="auto" w:before="0" w:after="0"/>
        <w:ind w:left="998" w:right="1078" w:hanging="360"/>
        <w:jc w:val="both"/>
        <w:rPr>
          <w:sz w:val="24"/>
        </w:rPr>
      </w:pPr>
      <w:r>
        <w:rPr>
          <w:sz w:val="24"/>
        </w:rPr>
        <w:t>Establecer un Sistema de seguimiento y monitoreo de cobertura escolar del nivel medio</w:t>
      </w:r>
      <w:r>
        <w:rPr>
          <w:spacing w:val="1"/>
          <w:sz w:val="24"/>
        </w:rPr>
        <w:t> </w:t>
      </w:r>
      <w:r>
        <w:rPr>
          <w:sz w:val="24"/>
        </w:rPr>
        <w:t>que integre prácticas culturales y lingüísticas adaptado a cada territorio y su mercado</w:t>
      </w:r>
      <w:r>
        <w:rPr>
          <w:spacing w:val="1"/>
          <w:sz w:val="24"/>
        </w:rPr>
        <w:t> </w:t>
      </w:r>
      <w:r>
        <w:rPr>
          <w:sz w:val="24"/>
        </w:rPr>
        <w:t>laboral.</w:t>
      </w:r>
    </w:p>
    <w:p>
      <w:pPr>
        <w:pStyle w:val="BodyText"/>
        <w:spacing w:before="10"/>
        <w:rPr>
          <w:sz w:val="23"/>
        </w:rPr>
      </w:pPr>
    </w:p>
    <w:p>
      <w:pPr>
        <w:spacing w:line="240" w:lineRule="auto" w:before="0"/>
        <w:ind w:left="278" w:right="1072" w:firstLine="0"/>
        <w:jc w:val="both"/>
        <w:rPr>
          <w:sz w:val="24"/>
        </w:rPr>
      </w:pPr>
      <w:r>
        <w:rPr>
          <w:sz w:val="24"/>
        </w:rPr>
        <w:t>Este sistema de seguimiento debe surgir de una mesa técnica de trabajo colaborativo en donde</w:t>
      </w:r>
      <w:r>
        <w:rPr>
          <w:spacing w:val="1"/>
          <w:sz w:val="24"/>
        </w:rPr>
        <w:t> </w:t>
      </w:r>
      <w:r>
        <w:rPr>
          <w:sz w:val="24"/>
        </w:rPr>
        <w:t>se identifiquen las principales causas de baja cobertura por territorio para que sea un formato</w:t>
      </w:r>
      <w:r>
        <w:rPr>
          <w:spacing w:val="1"/>
          <w:sz w:val="24"/>
        </w:rPr>
        <w:t> </w:t>
      </w:r>
      <w:r>
        <w:rPr>
          <w:sz w:val="24"/>
        </w:rPr>
        <w:t>general pero diferenciado y que recoja las particularidades de cada región. Además, que en este</w:t>
      </w:r>
      <w:r>
        <w:rPr>
          <w:spacing w:val="-52"/>
          <w:sz w:val="24"/>
        </w:rPr>
        <w:t> </w:t>
      </w:r>
      <w:r>
        <w:rPr>
          <w:sz w:val="24"/>
        </w:rPr>
        <w:t>nivel identifique e integre las razones de deserción, así como, un enfoque de pertinencia de la</w:t>
      </w:r>
      <w:r>
        <w:rPr>
          <w:spacing w:val="1"/>
          <w:sz w:val="24"/>
        </w:rPr>
        <w:t> </w:t>
      </w:r>
      <w:r>
        <w:rPr>
          <w:sz w:val="24"/>
        </w:rPr>
        <w:t>oferta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titulaciones 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adapte al contexto laboral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territorio.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24"/>
        </w:numPr>
        <w:tabs>
          <w:tab w:pos="999" w:val="left" w:leader="none"/>
        </w:tabs>
        <w:spacing w:line="232" w:lineRule="auto" w:before="0" w:after="0"/>
        <w:ind w:left="998" w:right="1079" w:hanging="360"/>
        <w:jc w:val="both"/>
        <w:rPr>
          <w:sz w:val="24"/>
        </w:rPr>
      </w:pPr>
      <w:r>
        <w:rPr>
          <w:sz w:val="24"/>
        </w:rPr>
        <w:t>Establecer un Sistemas de Alerta temprana sobre riesgo de deserción a nivel medio para</w:t>
      </w:r>
      <w:r>
        <w:rPr>
          <w:spacing w:val="1"/>
          <w:sz w:val="24"/>
        </w:rPr>
        <w:t> </w:t>
      </w:r>
      <w:r>
        <w:rPr>
          <w:sz w:val="24"/>
        </w:rPr>
        <w:t>activar</w:t>
      </w:r>
      <w:r>
        <w:rPr>
          <w:spacing w:val="-1"/>
          <w:sz w:val="24"/>
        </w:rPr>
        <w:t> </w:t>
      </w:r>
      <w:r>
        <w:rPr>
          <w:sz w:val="24"/>
        </w:rPr>
        <w:t>mecanismos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respuesta.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pict>
          <v:rect style="position:absolute;margin-left:563.880005pt;margin-top:12.82631pt;width:25.44pt;height:1.4399pt;mso-position-horizontal-relative:page;mso-position-vertical-relative:paragraph;z-index:-1551513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104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27744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1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spacing w:before="52"/>
        <w:ind w:left="278" w:right="1074" w:firstLine="0"/>
        <w:jc w:val="both"/>
        <w:rPr>
          <w:sz w:val="24"/>
        </w:rPr>
      </w:pPr>
      <w:r>
        <w:rPr>
          <w:spacing w:val="-1"/>
          <w:sz w:val="24"/>
        </w:rPr>
        <w:t>Conjuntamente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con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las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OPF,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establecer</w:t>
      </w:r>
      <w:r>
        <w:rPr>
          <w:spacing w:val="-11"/>
          <w:sz w:val="24"/>
        </w:rPr>
        <w:t> </w:t>
      </w:r>
      <w:r>
        <w:rPr>
          <w:sz w:val="24"/>
        </w:rPr>
        <w:t>un</w:t>
      </w:r>
      <w:r>
        <w:rPr>
          <w:spacing w:val="-10"/>
          <w:sz w:val="24"/>
        </w:rPr>
        <w:t> </w:t>
      </w:r>
      <w:r>
        <w:rPr>
          <w:sz w:val="24"/>
        </w:rPr>
        <w:t>sistema</w:t>
      </w:r>
      <w:r>
        <w:rPr>
          <w:spacing w:val="-10"/>
          <w:sz w:val="24"/>
        </w:rPr>
        <w:t> </w:t>
      </w:r>
      <w:r>
        <w:rPr>
          <w:sz w:val="24"/>
        </w:rPr>
        <w:t>piramidal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información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permita</w:t>
      </w:r>
      <w:r>
        <w:rPr>
          <w:spacing w:val="-11"/>
          <w:sz w:val="24"/>
        </w:rPr>
        <w:t> </w:t>
      </w:r>
      <w:r>
        <w:rPr>
          <w:sz w:val="24"/>
        </w:rPr>
        <w:t>obtener</w:t>
      </w:r>
      <w:r>
        <w:rPr>
          <w:spacing w:val="-52"/>
          <w:sz w:val="24"/>
        </w:rPr>
        <w:t> </w:t>
      </w:r>
      <w:r>
        <w:rPr>
          <w:sz w:val="24"/>
        </w:rPr>
        <w:t>los insumos de las inasistencias, causas y motivaciones para que semanalmente se reporte y se</w:t>
      </w:r>
      <w:r>
        <w:rPr>
          <w:spacing w:val="1"/>
          <w:sz w:val="24"/>
        </w:rPr>
        <w:t> </w:t>
      </w:r>
      <w:r>
        <w:rPr>
          <w:sz w:val="24"/>
        </w:rPr>
        <w:t>tomen las acciones</w:t>
      </w:r>
      <w:r>
        <w:rPr>
          <w:spacing w:val="-1"/>
          <w:sz w:val="24"/>
        </w:rPr>
        <w:t> </w:t>
      </w:r>
      <w:r>
        <w:rPr>
          <w:sz w:val="24"/>
        </w:rPr>
        <w:t>pertinentes</w:t>
      </w:r>
      <w:r>
        <w:rPr>
          <w:spacing w:val="-1"/>
          <w:sz w:val="24"/>
        </w:rPr>
        <w:t> </w:t>
      </w:r>
      <w:r>
        <w:rPr>
          <w:sz w:val="24"/>
        </w:rPr>
        <w:t>tales como;</w:t>
      </w:r>
    </w:p>
    <w:p>
      <w:pPr>
        <w:pStyle w:val="ListParagraph"/>
        <w:numPr>
          <w:ilvl w:val="1"/>
          <w:numId w:val="24"/>
        </w:numPr>
        <w:tabs>
          <w:tab w:pos="1707" w:val="left" w:leader="none"/>
        </w:tabs>
        <w:spacing w:line="296" w:lineRule="exact" w:before="0" w:after="0"/>
        <w:ind w:left="1706" w:right="0" w:hanging="361"/>
        <w:jc w:val="both"/>
        <w:rPr>
          <w:sz w:val="24"/>
        </w:rPr>
      </w:pPr>
      <w:r>
        <w:rPr>
          <w:sz w:val="24"/>
        </w:rPr>
        <w:t>Tipificación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motivaciones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estructura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protocolo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atención</w:t>
      </w:r>
      <w:r>
        <w:rPr>
          <w:spacing w:val="-7"/>
          <w:sz w:val="24"/>
        </w:rPr>
        <w:t> </w:t>
      </w:r>
      <w:r>
        <w:rPr>
          <w:sz w:val="24"/>
        </w:rPr>
        <w:t>por</w:t>
      </w:r>
      <w:r>
        <w:rPr>
          <w:spacing w:val="-8"/>
          <w:sz w:val="24"/>
        </w:rPr>
        <w:t> </w:t>
      </w:r>
      <w:r>
        <w:rPr>
          <w:sz w:val="24"/>
        </w:rPr>
        <w:t>casos</w:t>
      </w:r>
      <w:r>
        <w:rPr>
          <w:spacing w:val="-6"/>
          <w:sz w:val="24"/>
        </w:rPr>
        <w:t> </w:t>
      </w:r>
      <w:r>
        <w:rPr>
          <w:sz w:val="24"/>
        </w:rPr>
        <w:t>leves</w:t>
      </w:r>
    </w:p>
    <w:p>
      <w:pPr>
        <w:spacing w:line="289" w:lineRule="exact" w:before="0"/>
        <w:ind w:left="1706" w:right="0" w:firstLine="0"/>
        <w:jc w:val="both"/>
        <w:rPr>
          <w:sz w:val="24"/>
        </w:rPr>
      </w:pP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críticos.</w:t>
      </w:r>
    </w:p>
    <w:p>
      <w:pPr>
        <w:pStyle w:val="ListParagraph"/>
        <w:numPr>
          <w:ilvl w:val="1"/>
          <w:numId w:val="24"/>
        </w:numPr>
        <w:tabs>
          <w:tab w:pos="1707" w:val="left" w:leader="none"/>
        </w:tabs>
        <w:spacing w:line="235" w:lineRule="auto" w:before="4" w:after="0"/>
        <w:ind w:left="1706" w:right="1081" w:hanging="360"/>
        <w:jc w:val="both"/>
        <w:rPr>
          <w:sz w:val="24"/>
        </w:rPr>
      </w:pPr>
      <w:r>
        <w:rPr>
          <w:sz w:val="24"/>
        </w:rPr>
        <w:t>Hacer una hoja de ruta que contenga por cada caso, los siguientes campos de</w:t>
      </w:r>
      <w:r>
        <w:rPr>
          <w:spacing w:val="1"/>
          <w:sz w:val="24"/>
        </w:rPr>
        <w:t> </w:t>
      </w:r>
      <w:r>
        <w:rPr>
          <w:sz w:val="24"/>
        </w:rPr>
        <w:t>información.</w:t>
      </w:r>
    </w:p>
    <w:p>
      <w:pPr>
        <w:pStyle w:val="ListParagraph"/>
        <w:numPr>
          <w:ilvl w:val="2"/>
          <w:numId w:val="24"/>
        </w:numPr>
        <w:tabs>
          <w:tab w:pos="2054" w:val="left" w:leader="none"/>
          <w:tab w:pos="2055" w:val="left" w:leader="none"/>
        </w:tabs>
        <w:spacing w:line="240" w:lineRule="auto" w:before="1" w:after="0"/>
        <w:ind w:left="2054" w:right="1078" w:hanging="360"/>
        <w:jc w:val="left"/>
        <w:rPr>
          <w:sz w:val="24"/>
        </w:rPr>
      </w:pPr>
      <w:r>
        <w:rPr>
          <w:sz w:val="24"/>
        </w:rPr>
        <w:t>Consulta</w:t>
      </w:r>
      <w:r>
        <w:rPr>
          <w:spacing w:val="39"/>
          <w:sz w:val="24"/>
        </w:rPr>
        <w:t> </w:t>
      </w:r>
      <w:r>
        <w:rPr>
          <w:sz w:val="24"/>
        </w:rPr>
        <w:t>(por</w:t>
      </w:r>
      <w:r>
        <w:rPr>
          <w:spacing w:val="40"/>
          <w:sz w:val="24"/>
        </w:rPr>
        <w:t> </w:t>
      </w:r>
      <w:r>
        <w:rPr>
          <w:sz w:val="24"/>
        </w:rPr>
        <w:t>escrito</w:t>
      </w:r>
      <w:r>
        <w:rPr>
          <w:spacing w:val="40"/>
          <w:sz w:val="24"/>
        </w:rPr>
        <w:t> </w:t>
      </w:r>
      <w:r>
        <w:rPr>
          <w:sz w:val="24"/>
        </w:rPr>
        <w:t>o</w:t>
      </w:r>
      <w:r>
        <w:rPr>
          <w:spacing w:val="40"/>
          <w:sz w:val="24"/>
        </w:rPr>
        <w:t> </w:t>
      </w:r>
      <w:r>
        <w:rPr>
          <w:sz w:val="24"/>
        </w:rPr>
        <w:t>telefónica),</w:t>
      </w:r>
      <w:r>
        <w:rPr>
          <w:spacing w:val="42"/>
          <w:sz w:val="24"/>
        </w:rPr>
        <w:t> </w:t>
      </w:r>
      <w:r>
        <w:rPr>
          <w:sz w:val="24"/>
        </w:rPr>
        <w:t>al</w:t>
      </w:r>
      <w:r>
        <w:rPr>
          <w:spacing w:val="40"/>
          <w:sz w:val="24"/>
        </w:rPr>
        <w:t> </w:t>
      </w:r>
      <w:r>
        <w:rPr>
          <w:sz w:val="24"/>
        </w:rPr>
        <w:t>adulto</w:t>
      </w:r>
      <w:r>
        <w:rPr>
          <w:spacing w:val="40"/>
          <w:sz w:val="24"/>
        </w:rPr>
        <w:t> </w:t>
      </w:r>
      <w:r>
        <w:rPr>
          <w:sz w:val="24"/>
        </w:rPr>
        <w:t>para</w:t>
      </w:r>
      <w:r>
        <w:rPr>
          <w:spacing w:val="43"/>
          <w:sz w:val="24"/>
        </w:rPr>
        <w:t> </w:t>
      </w:r>
      <w:r>
        <w:rPr>
          <w:sz w:val="24"/>
        </w:rPr>
        <w:t>conocer</w:t>
      </w:r>
      <w:r>
        <w:rPr>
          <w:spacing w:val="39"/>
          <w:sz w:val="24"/>
        </w:rPr>
        <w:t> </w:t>
      </w:r>
      <w:r>
        <w:rPr>
          <w:sz w:val="24"/>
        </w:rPr>
        <w:t>el</w:t>
      </w:r>
      <w:r>
        <w:rPr>
          <w:spacing w:val="43"/>
          <w:sz w:val="24"/>
        </w:rPr>
        <w:t> </w:t>
      </w:r>
      <w:r>
        <w:rPr>
          <w:sz w:val="24"/>
        </w:rPr>
        <w:t>motivo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3"/>
          <w:sz w:val="24"/>
        </w:rPr>
        <w:t> </w:t>
      </w:r>
      <w:r>
        <w:rPr>
          <w:sz w:val="24"/>
        </w:rPr>
        <w:t>la</w:t>
      </w:r>
      <w:r>
        <w:rPr>
          <w:spacing w:val="-51"/>
          <w:sz w:val="24"/>
        </w:rPr>
        <w:t> </w:t>
      </w:r>
      <w:r>
        <w:rPr>
          <w:sz w:val="24"/>
        </w:rPr>
        <w:t>ausencia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joven.</w:t>
      </w:r>
    </w:p>
    <w:p>
      <w:pPr>
        <w:pStyle w:val="ListParagraph"/>
        <w:numPr>
          <w:ilvl w:val="2"/>
          <w:numId w:val="24"/>
        </w:numPr>
        <w:tabs>
          <w:tab w:pos="2054" w:val="left" w:leader="none"/>
          <w:tab w:pos="2055" w:val="left" w:leader="none"/>
        </w:tabs>
        <w:spacing w:line="305" w:lineRule="exact" w:before="0" w:after="0"/>
        <w:ind w:left="2054" w:right="0" w:hanging="361"/>
        <w:jc w:val="left"/>
        <w:rPr>
          <w:sz w:val="24"/>
        </w:rPr>
      </w:pPr>
      <w:r>
        <w:rPr>
          <w:sz w:val="24"/>
        </w:rPr>
        <w:t>Identificación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problemática</w:t>
      </w:r>
      <w:r>
        <w:rPr>
          <w:spacing w:val="-2"/>
          <w:sz w:val="24"/>
        </w:rPr>
        <w:t> </w:t>
      </w:r>
      <w:r>
        <w:rPr>
          <w:sz w:val="24"/>
        </w:rPr>
        <w:t>(si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4"/>
          <w:sz w:val="24"/>
        </w:rPr>
        <w:t> </w:t>
      </w:r>
      <w:r>
        <w:rPr>
          <w:sz w:val="24"/>
        </w:rPr>
        <w:t>leve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crítica).</w:t>
      </w:r>
    </w:p>
    <w:p>
      <w:pPr>
        <w:pStyle w:val="ListParagraph"/>
        <w:numPr>
          <w:ilvl w:val="2"/>
          <w:numId w:val="24"/>
        </w:numPr>
        <w:tabs>
          <w:tab w:pos="2054" w:val="left" w:leader="none"/>
          <w:tab w:pos="2055" w:val="left" w:leader="none"/>
        </w:tabs>
        <w:spacing w:line="305" w:lineRule="exact" w:before="0" w:after="0"/>
        <w:ind w:left="2054" w:right="0" w:hanging="361"/>
        <w:jc w:val="left"/>
        <w:rPr>
          <w:sz w:val="24"/>
        </w:rPr>
      </w:pPr>
      <w:r>
        <w:rPr>
          <w:sz w:val="24"/>
        </w:rPr>
        <w:t>Notificación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dirección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solución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caso</w:t>
      </w:r>
      <w:r>
        <w:rPr>
          <w:spacing w:val="-1"/>
          <w:sz w:val="24"/>
        </w:rPr>
        <w:t> </w:t>
      </w:r>
      <w:r>
        <w:rPr>
          <w:sz w:val="24"/>
        </w:rPr>
        <w:t>sea</w:t>
      </w:r>
      <w:r>
        <w:rPr>
          <w:spacing w:val="-1"/>
          <w:sz w:val="24"/>
        </w:rPr>
        <w:t> </w:t>
      </w:r>
      <w:r>
        <w:rPr>
          <w:sz w:val="24"/>
        </w:rPr>
        <w:t>leve.</w:t>
      </w:r>
    </w:p>
    <w:p>
      <w:pPr>
        <w:pStyle w:val="ListParagraph"/>
        <w:numPr>
          <w:ilvl w:val="2"/>
          <w:numId w:val="24"/>
        </w:numPr>
        <w:tabs>
          <w:tab w:pos="2054" w:val="left" w:leader="none"/>
          <w:tab w:pos="2055" w:val="left" w:leader="none"/>
        </w:tabs>
        <w:spacing w:line="305" w:lineRule="exact" w:before="2" w:after="0"/>
        <w:ind w:left="2054" w:right="0" w:hanging="361"/>
        <w:jc w:val="left"/>
        <w:rPr>
          <w:sz w:val="24"/>
        </w:rPr>
      </w:pPr>
      <w:r>
        <w:rPr>
          <w:sz w:val="24"/>
        </w:rPr>
        <w:t>Situación.</w:t>
      </w:r>
    </w:p>
    <w:p>
      <w:pPr>
        <w:pStyle w:val="ListParagraph"/>
        <w:numPr>
          <w:ilvl w:val="2"/>
          <w:numId w:val="24"/>
        </w:numPr>
        <w:tabs>
          <w:tab w:pos="2054" w:val="left" w:leader="none"/>
          <w:tab w:pos="2055" w:val="left" w:leader="none"/>
        </w:tabs>
        <w:spacing w:line="305" w:lineRule="exact" w:before="0" w:after="0"/>
        <w:ind w:left="2054" w:right="0" w:hanging="361"/>
        <w:jc w:val="left"/>
        <w:rPr>
          <w:sz w:val="24"/>
        </w:rPr>
      </w:pP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caso</w:t>
      </w:r>
      <w:r>
        <w:rPr>
          <w:spacing w:val="-2"/>
          <w:sz w:val="24"/>
        </w:rPr>
        <w:t> </w:t>
      </w:r>
      <w:r>
        <w:rPr>
          <w:sz w:val="24"/>
        </w:rPr>
        <w:t>sea</w:t>
      </w:r>
      <w:r>
        <w:rPr>
          <w:spacing w:val="-3"/>
          <w:sz w:val="24"/>
        </w:rPr>
        <w:t> </w:t>
      </w:r>
      <w:r>
        <w:rPr>
          <w:sz w:val="24"/>
        </w:rPr>
        <w:t>crítica</w:t>
      </w:r>
      <w:r>
        <w:rPr>
          <w:spacing w:val="-4"/>
          <w:sz w:val="24"/>
        </w:rPr>
        <w:t> </w:t>
      </w:r>
      <w:r>
        <w:rPr>
          <w:sz w:val="24"/>
        </w:rPr>
        <w:t>abordaje</w:t>
      </w:r>
      <w:r>
        <w:rPr>
          <w:spacing w:val="-2"/>
          <w:sz w:val="24"/>
        </w:rPr>
        <w:t> </w:t>
      </w:r>
      <w:r>
        <w:rPr>
          <w:sz w:val="24"/>
        </w:rPr>
        <w:t>comunitario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propuesta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solución</w:t>
      </w:r>
      <w:r>
        <w:rPr>
          <w:spacing w:val="-3"/>
          <w:sz w:val="24"/>
        </w:rPr>
        <w:t> </w:t>
      </w:r>
      <w:r>
        <w:rPr>
          <w:sz w:val="24"/>
        </w:rPr>
        <w:t>conjunta.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24"/>
        </w:numPr>
        <w:tabs>
          <w:tab w:pos="999" w:val="left" w:leader="none"/>
        </w:tabs>
        <w:spacing w:line="237" w:lineRule="auto" w:before="0" w:after="0"/>
        <w:ind w:left="998" w:right="1074" w:hanging="360"/>
        <w:jc w:val="both"/>
        <w:rPr>
          <w:sz w:val="24"/>
        </w:rPr>
      </w:pPr>
      <w:r>
        <w:rPr>
          <w:spacing w:val="-1"/>
          <w:sz w:val="24"/>
        </w:rPr>
        <w:t>Implementar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estrategias</w:t>
      </w:r>
      <w:r>
        <w:rPr>
          <w:spacing w:val="-14"/>
          <w:sz w:val="24"/>
        </w:rPr>
        <w:t> </w:t>
      </w:r>
      <w:r>
        <w:rPr>
          <w:sz w:val="24"/>
        </w:rPr>
        <w:t>informativas</w:t>
      </w:r>
      <w:r>
        <w:rPr>
          <w:spacing w:val="-12"/>
          <w:sz w:val="24"/>
        </w:rPr>
        <w:t> </w:t>
      </w:r>
      <w:r>
        <w:rPr>
          <w:sz w:val="24"/>
        </w:rPr>
        <w:t>dirigidas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personas</w:t>
      </w:r>
      <w:r>
        <w:rPr>
          <w:spacing w:val="-9"/>
          <w:sz w:val="24"/>
        </w:rPr>
        <w:t> </w:t>
      </w:r>
      <w:r>
        <w:rPr>
          <w:sz w:val="24"/>
        </w:rPr>
        <w:t>adultas</w:t>
      </w:r>
      <w:r>
        <w:rPr>
          <w:spacing w:val="-9"/>
          <w:sz w:val="24"/>
        </w:rPr>
        <w:t> </w:t>
      </w:r>
      <w:r>
        <w:rPr>
          <w:sz w:val="24"/>
        </w:rPr>
        <w:t>sobre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importancia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51"/>
          <w:sz w:val="24"/>
        </w:rPr>
        <w:t> </w:t>
      </w:r>
      <w:r>
        <w:rPr>
          <w:sz w:val="24"/>
        </w:rPr>
        <w:t>la educación primaria para el desarrollo de hábitos, capacidades y habilidades educativas</w:t>
      </w:r>
      <w:r>
        <w:rPr>
          <w:spacing w:val="-52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los/as niños.</w:t>
      </w:r>
    </w:p>
    <w:p>
      <w:pPr>
        <w:pStyle w:val="ListParagraph"/>
        <w:numPr>
          <w:ilvl w:val="0"/>
          <w:numId w:val="25"/>
        </w:numPr>
        <w:tabs>
          <w:tab w:pos="2067" w:val="left" w:leader="none"/>
        </w:tabs>
        <w:spacing w:line="240" w:lineRule="auto" w:before="0" w:after="0"/>
        <w:ind w:left="2066" w:right="1077" w:hanging="360"/>
        <w:jc w:val="both"/>
        <w:rPr>
          <w:sz w:val="24"/>
        </w:rPr>
      </w:pPr>
      <w:r>
        <w:rPr>
          <w:sz w:val="24"/>
        </w:rPr>
        <w:t>Desarrollar campañas informativas a las familias (padres, madres, abuelos/as,</w:t>
      </w:r>
      <w:r>
        <w:rPr>
          <w:spacing w:val="-52"/>
          <w:sz w:val="24"/>
        </w:rPr>
        <w:t> </w:t>
      </w:r>
      <w:r>
        <w:rPr>
          <w:sz w:val="24"/>
        </w:rPr>
        <w:t>niños/as y cuidadores) sobre la importancia de culminar la educación a nivel</w:t>
      </w:r>
      <w:r>
        <w:rPr>
          <w:spacing w:val="1"/>
          <w:sz w:val="24"/>
        </w:rPr>
        <w:t> </w:t>
      </w:r>
      <w:r>
        <w:rPr>
          <w:sz w:val="24"/>
        </w:rPr>
        <w:t>medio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su incorporación</w:t>
      </w:r>
      <w:r>
        <w:rPr>
          <w:spacing w:val="2"/>
          <w:sz w:val="24"/>
        </w:rPr>
        <w:t> </w:t>
      </w:r>
      <w:r>
        <w:rPr>
          <w:sz w:val="24"/>
        </w:rPr>
        <w:t>en el</w:t>
      </w:r>
      <w:r>
        <w:rPr>
          <w:spacing w:val="-2"/>
          <w:sz w:val="24"/>
        </w:rPr>
        <w:t> </w:t>
      </w:r>
      <w:r>
        <w:rPr>
          <w:sz w:val="24"/>
        </w:rPr>
        <w:t>mercado</w:t>
      </w:r>
      <w:r>
        <w:rPr>
          <w:spacing w:val="1"/>
          <w:sz w:val="24"/>
        </w:rPr>
        <w:t> </w:t>
      </w:r>
      <w:r>
        <w:rPr>
          <w:sz w:val="24"/>
        </w:rPr>
        <w:t>laboral.</w:t>
      </w:r>
    </w:p>
    <w:p>
      <w:pPr>
        <w:pStyle w:val="BodyText"/>
        <w:spacing w:before="9"/>
        <w:rPr>
          <w:sz w:val="23"/>
        </w:rPr>
      </w:pPr>
    </w:p>
    <w:p>
      <w:pPr>
        <w:spacing w:line="242" w:lineRule="auto" w:before="1"/>
        <w:ind w:left="278" w:right="1080" w:firstLine="0"/>
        <w:jc w:val="both"/>
        <w:rPr>
          <w:sz w:val="24"/>
        </w:rPr>
      </w:pPr>
      <w:r>
        <w:rPr>
          <w:sz w:val="24"/>
        </w:rPr>
        <w:t>En el siguiente gráfico, se presenta la integración de los principales puntos de la estrategia de</w:t>
      </w:r>
      <w:r>
        <w:rPr>
          <w:spacing w:val="1"/>
          <w:sz w:val="24"/>
        </w:rPr>
        <w:t> </w:t>
      </w:r>
      <w:r>
        <w:rPr>
          <w:sz w:val="24"/>
        </w:rPr>
        <w:t>cobertura</w:t>
      </w:r>
      <w:r>
        <w:rPr>
          <w:spacing w:val="-2"/>
          <w:sz w:val="24"/>
        </w:rPr>
        <w:t> </w:t>
      </w:r>
      <w:r>
        <w:rPr>
          <w:sz w:val="24"/>
        </w:rPr>
        <w:t>escolar</w:t>
      </w:r>
      <w:r>
        <w:rPr>
          <w:spacing w:val="-1"/>
          <w:sz w:val="24"/>
        </w:rPr>
        <w:t> </w:t>
      </w:r>
      <w:r>
        <w:rPr>
          <w:sz w:val="24"/>
        </w:rPr>
        <w:t>planteada.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  <w:r>
        <w:rPr/>
        <w:pict>
          <v:rect style="position:absolute;margin-left:563.880005pt;margin-top:18.100895pt;width:25.44pt;height:1.4399pt;mso-position-horizontal-relative:page;mso-position-vertical-relative:paragraph;z-index:-1551360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105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7"/>
        </w:rPr>
      </w:pPr>
    </w:p>
    <w:p>
      <w:pPr>
        <w:spacing w:before="59"/>
        <w:ind w:left="278" w:right="0" w:firstLine="0"/>
        <w:jc w:val="left"/>
        <w:rPr>
          <w:sz w:val="20"/>
        </w:rPr>
      </w:pPr>
      <w:r>
        <w:rPr/>
        <w:pict>
          <v:group style="position:absolute;margin-left:70.899994pt;margin-top:16.461470pt;width:465pt;height:344.25pt;mso-position-horizontal-relative:page;mso-position-vertical-relative:paragraph;z-index:-28786688" coordorigin="1418,329" coordsize="9300,6885">
            <v:rect style="position:absolute;left:1418;top:329;width:9300;height:6885" filled="true" fillcolor="#ffffff" stroked="false">
              <v:fill type="solid"/>
            </v:rect>
            <v:rect style="position:absolute;left:1418;top:329;width:6195;height:1054" filled="true" fillcolor="#001f5f" stroked="false">
              <v:fill type="solid"/>
            </v:rect>
            <v:shape style="position:absolute;left:7774;top:1687;width:2605;height:1286" type="#_x0000_t75" stroked="false">
              <v:imagedata r:id="rId120" o:title=""/>
            </v:shape>
            <v:shape style="position:absolute;left:7841;top:1755;width:2479;height:1102" coordorigin="7842,1755" coordsize="2479,1102" path="m10182,1755l7980,1755,7882,1809,7852,1867,7842,1939,7842,2672,7852,2744,7882,2803,7980,2856,10182,2856,10236,2842,10280,2803,10309,2744,10320,2672,10320,1939,10309,1867,10280,1809,10236,1769,10182,1755xe" filled="true" fillcolor="#1f3863" stroked="false">
              <v:path arrowok="t"/>
              <v:fill type="solid"/>
            </v:shape>
            <v:shape style="position:absolute;left:7841;top:1755;width:2479;height:1102" coordorigin="7842,1755" coordsize="2479,1102" path="m7842,1939l7852,1867,7882,1809,7926,1769,7980,1755,10182,1755,10280,1809,10309,1867,10320,1939,10320,2672,10309,2744,10280,2803,10236,2842,10182,2856,7980,2856,7926,2842,7882,2803,7852,2744,7842,2672,7842,1939xe" filled="false" stroked="true" strokeweight=".889251pt" strokecolor="#5597d2">
              <v:path arrowok="t"/>
              <v:stroke dashstyle="solid"/>
            </v:shape>
            <v:shape style="position:absolute;left:1591;top:1687;width:2532;height:1170" type="#_x0000_t75" stroked="false">
              <v:imagedata r:id="rId121" o:title=""/>
            </v:shape>
            <v:shape style="position:absolute;left:1656;top:1756;width:2398;height:988" coordorigin="1657,1757" coordsize="2398,988" path="m3930,1757l1781,1757,1693,1805,1657,1920,1657,2579,1667,2643,1733,2731,3930,2744,3978,2731,4018,2696,4044,2643,4054,2579,4054,1920,4044,1857,4018,1805,3978,1769,3930,1757xe" filled="true" fillcolor="#1f3863" stroked="false">
              <v:path arrowok="t"/>
              <v:fill type="solid"/>
            </v:shape>
            <v:shape style="position:absolute;left:1656;top:1756;width:2398;height:988" coordorigin="1657,1757" coordsize="2398,988" path="m1657,1920l1667,1857,1693,1805,1733,1769,1781,1757,3930,1757,4018,1805,4054,1920,4054,2579,4044,2643,4018,2696,3978,2731,3930,2744,1781,2744,1733,2731,1693,2696,1667,2643,1657,2579,1657,1920xe" filled="false" stroked="true" strokeweight=".893645pt" strokecolor="#5597d2">
              <v:path arrowok="t"/>
              <v:stroke dashstyle="solid"/>
            </v:shape>
            <v:shape style="position:absolute;left:4662;top:1630;width:2647;height:1343" type="#_x0000_t75" stroked="false">
              <v:imagedata r:id="rId122" o:title=""/>
            </v:shape>
            <v:shape style="position:absolute;left:4777;top:1745;width:2401;height:1132" type="#_x0000_t75" stroked="false">
              <v:imagedata r:id="rId123" o:title=""/>
            </v:shape>
            <v:shape style="position:absolute;left:4722;top:1689;width:2522;height:1184" coordorigin="4723,1689" coordsize="2522,1184" path="m7095,1689l4872,1689,4767,1747,4735,1809,4723,1886,4723,2674,4735,2751,4767,2814,4815,2857,7095,2872,7153,2857,7201,2814,7233,2751,7245,2674,7245,1886,7233,1809,7201,1747,7153,1704,7095,1689xe" filled="true" fillcolor="#1f3863" stroked="false">
              <v:path arrowok="t"/>
              <v:fill type="solid"/>
            </v:shape>
            <v:shape style="position:absolute;left:4722;top:1689;width:2522;height:1184" coordorigin="4723,1689" coordsize="2522,1184" path="m4723,1886l4735,1809,4767,1747,4815,1704,4872,1689,7095,1689,7201,1747,7233,1809,7245,1886,7245,2674,7233,2751,7201,2814,7153,2857,7095,2872,4872,2872,4815,2857,4767,2814,4735,2751,4723,2674,4723,1886xe" filled="false" stroked="true" strokeweight=".88576pt" strokecolor="#5597d2">
              <v:path arrowok="t"/>
              <v:stroke dashstyle="solid"/>
            </v:shape>
            <v:shape style="position:absolute;left:2846;top:1362;width:6226;height:394" coordorigin="2846,1363" coordsize="6226,394" path="m2846,1410l2846,1410,9071,1363m2846,1410l2846,1410,2855,1757m5969,1363l5969,1363,5983,1689e" filled="false" stroked="true" strokeweight=".81467pt" strokecolor="#eb792b">
              <v:path arrowok="t"/>
              <v:stroke dashstyle="solid"/>
            </v:shape>
            <v:shape style="position:absolute;left:9071;top:1391;width:10;height:364" coordorigin="9071,1391" coordsize="10,364" path="m9071,1391l9071,1391,9081,1755e" filled="false" stroked="true" strokeweight=".703577pt" strokecolor="#ff0000">
              <v:path arrowok="t"/>
              <v:stroke dashstyle="solid"/>
            </v:shape>
            <w10:wrap type="none"/>
          </v:group>
        </w:pict>
      </w:r>
      <w:r>
        <w:rPr>
          <w:sz w:val="20"/>
        </w:rPr>
        <w:t>Gráfico</w:t>
      </w:r>
      <w:r>
        <w:rPr>
          <w:spacing w:val="-2"/>
          <w:sz w:val="20"/>
        </w:rPr>
        <w:t> </w:t>
      </w:r>
      <w:r>
        <w:rPr>
          <w:sz w:val="20"/>
        </w:rPr>
        <w:t>6.</w:t>
      </w:r>
      <w:r>
        <w:rPr>
          <w:spacing w:val="-3"/>
          <w:sz w:val="20"/>
        </w:rPr>
        <w:t> </w:t>
      </w:r>
      <w:r>
        <w:rPr>
          <w:sz w:val="20"/>
        </w:rPr>
        <w:t>Estrategia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cobertura</w:t>
      </w:r>
      <w:r>
        <w:rPr>
          <w:spacing w:val="-1"/>
          <w:sz w:val="20"/>
        </w:rPr>
        <w:t> </w:t>
      </w:r>
      <w:r>
        <w:rPr>
          <w:sz w:val="20"/>
        </w:rPr>
        <w:t>escolar:</w:t>
      </w:r>
      <w:r>
        <w:rPr>
          <w:spacing w:val="-3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Educación</w:t>
      </w:r>
      <w:r>
        <w:rPr>
          <w:spacing w:val="-2"/>
          <w:sz w:val="20"/>
        </w:rPr>
        <w:t> </w:t>
      </w:r>
      <w:r>
        <w:rPr>
          <w:sz w:val="20"/>
        </w:rPr>
        <w:t>Media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347" w:right="0" w:firstLine="0"/>
        <w:jc w:val="left"/>
        <w:rPr>
          <w:sz w:val="46"/>
        </w:rPr>
      </w:pPr>
      <w:r>
        <w:rPr>
          <w:color w:val="FFFFFF"/>
          <w:w w:val="75"/>
          <w:sz w:val="46"/>
        </w:rPr>
        <w:t>Estrategia</w:t>
      </w:r>
      <w:r>
        <w:rPr>
          <w:color w:val="FFFFFF"/>
          <w:spacing w:val="8"/>
          <w:w w:val="75"/>
          <w:sz w:val="46"/>
        </w:rPr>
        <w:t> </w:t>
      </w:r>
      <w:r>
        <w:rPr>
          <w:color w:val="FFFFFF"/>
          <w:w w:val="75"/>
          <w:sz w:val="46"/>
        </w:rPr>
        <w:t>Nivel</w:t>
      </w:r>
      <w:r>
        <w:rPr>
          <w:color w:val="FFFFFF"/>
          <w:spacing w:val="8"/>
          <w:w w:val="75"/>
          <w:sz w:val="46"/>
        </w:rPr>
        <w:t> </w:t>
      </w:r>
      <w:r>
        <w:rPr>
          <w:color w:val="FFFFFF"/>
          <w:w w:val="75"/>
          <w:sz w:val="46"/>
        </w:rPr>
        <w:t>de</w:t>
      </w:r>
      <w:r>
        <w:rPr>
          <w:color w:val="FFFFFF"/>
          <w:spacing w:val="8"/>
          <w:w w:val="75"/>
          <w:sz w:val="46"/>
        </w:rPr>
        <w:t> </w:t>
      </w:r>
      <w:r>
        <w:rPr>
          <w:color w:val="FFFFFF"/>
          <w:w w:val="75"/>
          <w:sz w:val="46"/>
        </w:rPr>
        <w:t>Educación</w:t>
      </w:r>
      <w:r>
        <w:rPr>
          <w:color w:val="FFFFFF"/>
          <w:spacing w:val="8"/>
          <w:w w:val="75"/>
          <w:sz w:val="46"/>
        </w:rPr>
        <w:t> </w:t>
      </w:r>
      <w:r>
        <w:rPr>
          <w:color w:val="FFFFFF"/>
          <w:w w:val="75"/>
          <w:sz w:val="46"/>
        </w:rPr>
        <w:t>Media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sz w:val="24"/>
        </w:rPr>
      </w:pPr>
    </w:p>
    <w:p>
      <w:pPr>
        <w:pStyle w:val="Heading2"/>
        <w:spacing w:before="203"/>
      </w:pPr>
      <w:r>
        <w:rPr>
          <w:color w:val="FFFFFF"/>
          <w:w w:val="75"/>
        </w:rPr>
        <w:t>Eje</w:t>
      </w:r>
      <w:r>
        <w:rPr>
          <w:color w:val="FFFFFF"/>
          <w:spacing w:val="13"/>
          <w:w w:val="75"/>
        </w:rPr>
        <w:t> </w:t>
      </w:r>
      <w:r>
        <w:rPr>
          <w:color w:val="FFFFFF"/>
          <w:w w:val="75"/>
        </w:rPr>
        <w:t>1.</w:t>
      </w:r>
      <w:r>
        <w:rPr>
          <w:color w:val="FFFFFF"/>
          <w:spacing w:val="14"/>
          <w:w w:val="75"/>
        </w:rPr>
        <w:t> </w:t>
      </w:r>
      <w:r>
        <w:rPr>
          <w:color w:val="FFFFFF"/>
          <w:w w:val="75"/>
        </w:rPr>
        <w:t>Formación</w:t>
      </w:r>
      <w:r>
        <w:rPr>
          <w:color w:val="FFFFFF"/>
          <w:spacing w:val="14"/>
          <w:w w:val="75"/>
        </w:rPr>
        <w:t> </w:t>
      </w:r>
      <w:r>
        <w:rPr>
          <w:color w:val="FFFFFF"/>
          <w:w w:val="75"/>
        </w:rPr>
        <w:t>Integral</w:t>
      </w:r>
    </w:p>
    <w:p>
      <w:pPr>
        <w:pStyle w:val="BodyText"/>
        <w:spacing w:before="11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242" w:lineRule="auto" w:before="0"/>
        <w:ind w:left="737" w:right="38" w:firstLine="0"/>
        <w:jc w:val="center"/>
        <w:rPr>
          <w:sz w:val="25"/>
        </w:rPr>
      </w:pPr>
      <w:r>
        <w:rPr>
          <w:color w:val="FFFFFF"/>
          <w:w w:val="75"/>
          <w:sz w:val="25"/>
        </w:rPr>
        <w:t>Eje</w:t>
      </w:r>
      <w:r>
        <w:rPr>
          <w:color w:val="FFFFFF"/>
          <w:spacing w:val="3"/>
          <w:w w:val="75"/>
          <w:sz w:val="25"/>
        </w:rPr>
        <w:t> </w:t>
      </w:r>
      <w:r>
        <w:rPr>
          <w:color w:val="FFFFFF"/>
          <w:w w:val="75"/>
          <w:sz w:val="25"/>
        </w:rPr>
        <w:t>2.</w:t>
      </w:r>
      <w:r>
        <w:rPr>
          <w:color w:val="FFFFFF"/>
          <w:spacing w:val="4"/>
          <w:w w:val="75"/>
          <w:sz w:val="25"/>
        </w:rPr>
        <w:t> </w:t>
      </w:r>
      <w:r>
        <w:rPr>
          <w:color w:val="FFFFFF"/>
          <w:w w:val="75"/>
          <w:sz w:val="25"/>
        </w:rPr>
        <w:t>Colaboración</w:t>
      </w:r>
      <w:r>
        <w:rPr>
          <w:color w:val="FFFFFF"/>
          <w:spacing w:val="5"/>
          <w:w w:val="75"/>
          <w:sz w:val="25"/>
        </w:rPr>
        <w:t> </w:t>
      </w:r>
      <w:r>
        <w:rPr>
          <w:color w:val="FFFFFF"/>
          <w:w w:val="75"/>
          <w:sz w:val="25"/>
        </w:rPr>
        <w:t>e</w:t>
      </w:r>
      <w:r>
        <w:rPr>
          <w:color w:val="FFFFFF"/>
          <w:spacing w:val="1"/>
          <w:w w:val="75"/>
          <w:sz w:val="25"/>
        </w:rPr>
        <w:t> </w:t>
      </w:r>
      <w:r>
        <w:rPr>
          <w:color w:val="FFFFFF"/>
          <w:w w:val="75"/>
          <w:sz w:val="25"/>
        </w:rPr>
        <w:t>integración</w:t>
      </w:r>
      <w:r>
        <w:rPr>
          <w:color w:val="FFFFFF"/>
          <w:spacing w:val="19"/>
          <w:w w:val="75"/>
          <w:sz w:val="25"/>
        </w:rPr>
        <w:t> </w:t>
      </w:r>
      <w:r>
        <w:rPr>
          <w:color w:val="FFFFFF"/>
          <w:w w:val="75"/>
          <w:sz w:val="25"/>
        </w:rPr>
        <w:t>de</w:t>
      </w:r>
      <w:r>
        <w:rPr>
          <w:color w:val="FFFFFF"/>
          <w:spacing w:val="18"/>
          <w:w w:val="75"/>
          <w:sz w:val="25"/>
        </w:rPr>
        <w:t> </w:t>
      </w:r>
      <w:r>
        <w:rPr>
          <w:color w:val="FFFFFF"/>
          <w:w w:val="75"/>
          <w:sz w:val="25"/>
        </w:rPr>
        <w:t>la</w:t>
      </w:r>
      <w:r>
        <w:rPr>
          <w:color w:val="FFFFFF"/>
          <w:spacing w:val="21"/>
          <w:w w:val="75"/>
          <w:sz w:val="25"/>
        </w:rPr>
        <w:t> </w:t>
      </w:r>
      <w:r>
        <w:rPr>
          <w:color w:val="FFFFFF"/>
          <w:w w:val="75"/>
          <w:sz w:val="25"/>
        </w:rPr>
        <w:t>comunidad</w:t>
      </w:r>
      <w:r>
        <w:rPr>
          <w:color w:val="FFFFFF"/>
          <w:spacing w:val="-39"/>
          <w:w w:val="75"/>
          <w:sz w:val="25"/>
        </w:rPr>
        <w:t> </w:t>
      </w:r>
      <w:r>
        <w:rPr>
          <w:color w:val="FFFFFF"/>
          <w:w w:val="85"/>
          <w:sz w:val="25"/>
        </w:rPr>
        <w:t>educativa</w:t>
      </w:r>
    </w:p>
    <w:p>
      <w:pPr>
        <w:pStyle w:val="BodyText"/>
        <w:spacing w:before="7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Heading2"/>
        <w:spacing w:before="1"/>
        <w:ind w:left="991" w:right="853" w:hanging="255"/>
      </w:pPr>
      <w:r>
        <w:rPr>
          <w:color w:val="FFFFFF"/>
          <w:w w:val="75"/>
        </w:rPr>
        <w:t>Eje</w:t>
      </w:r>
      <w:r>
        <w:rPr>
          <w:color w:val="FFFFFF"/>
          <w:spacing w:val="10"/>
          <w:w w:val="75"/>
        </w:rPr>
        <w:t> </w:t>
      </w:r>
      <w:r>
        <w:rPr>
          <w:color w:val="FFFFFF"/>
          <w:w w:val="75"/>
        </w:rPr>
        <w:t>3.</w:t>
      </w:r>
      <w:r>
        <w:rPr>
          <w:color w:val="FFFFFF"/>
          <w:spacing w:val="10"/>
          <w:w w:val="75"/>
        </w:rPr>
        <w:t> </w:t>
      </w:r>
      <w:r>
        <w:rPr>
          <w:color w:val="FFFFFF"/>
          <w:w w:val="75"/>
        </w:rPr>
        <w:t>Priorizar</w:t>
      </w:r>
      <w:r>
        <w:rPr>
          <w:color w:val="FFFFFF"/>
          <w:spacing w:val="12"/>
          <w:w w:val="75"/>
        </w:rPr>
        <w:t> </w:t>
      </w:r>
      <w:r>
        <w:rPr>
          <w:color w:val="FFFFFF"/>
          <w:w w:val="75"/>
        </w:rPr>
        <w:t>áreas</w:t>
      </w:r>
      <w:r>
        <w:rPr>
          <w:color w:val="FFFFFF"/>
          <w:spacing w:val="-40"/>
          <w:w w:val="75"/>
        </w:rPr>
        <w:t> </w:t>
      </w:r>
      <w:r>
        <w:rPr>
          <w:color w:val="FFFFFF"/>
          <w:w w:val="85"/>
        </w:rPr>
        <w:t>desatendidas.</w:t>
      </w:r>
    </w:p>
    <w:p>
      <w:pPr>
        <w:spacing w:after="0"/>
        <w:sectPr>
          <w:type w:val="continuous"/>
          <w:pgSz w:w="12240" w:h="15840"/>
          <w:pgMar w:top="340" w:bottom="280" w:left="1140" w:right="340"/>
          <w:cols w:num="3" w:equalWidth="0">
            <w:col w:w="2740" w:space="247"/>
            <w:col w:w="3020" w:space="397"/>
            <w:col w:w="4356"/>
          </w:cols>
        </w:sectPr>
      </w:pPr>
    </w:p>
    <w:p>
      <w:pPr>
        <w:pStyle w:val="BodyText"/>
        <w:spacing w:before="9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340" w:bottom="280" w:left="1140" w:right="340"/>
        </w:sectPr>
      </w:pPr>
    </w:p>
    <w:p>
      <w:pPr>
        <w:spacing w:line="235" w:lineRule="auto" w:before="74"/>
        <w:ind w:left="512" w:right="72" w:firstLine="0"/>
        <w:jc w:val="left"/>
        <w:rPr>
          <w:b/>
          <w:sz w:val="15"/>
        </w:rPr>
      </w:pPr>
      <w:r>
        <w:rPr>
          <w:b/>
          <w:w w:val="75"/>
          <w:sz w:val="15"/>
        </w:rPr>
        <w:t>Incorporación</w:t>
      </w:r>
      <w:r>
        <w:rPr>
          <w:b/>
          <w:spacing w:val="16"/>
          <w:sz w:val="15"/>
        </w:rPr>
        <w:t> </w:t>
      </w:r>
      <w:r>
        <w:rPr>
          <w:b/>
          <w:w w:val="75"/>
          <w:sz w:val="15"/>
        </w:rPr>
        <w:t>de las prácticas culturales,</w:t>
      </w:r>
      <w:r>
        <w:rPr>
          <w:b/>
          <w:spacing w:val="17"/>
          <w:sz w:val="15"/>
        </w:rPr>
        <w:t> </w:t>
      </w:r>
      <w:r>
        <w:rPr>
          <w:b/>
          <w:w w:val="75"/>
          <w:sz w:val="15"/>
        </w:rPr>
        <w:t>sociales</w:t>
      </w:r>
      <w:r>
        <w:rPr>
          <w:b/>
          <w:spacing w:val="1"/>
          <w:w w:val="75"/>
          <w:sz w:val="15"/>
        </w:rPr>
        <w:t> </w:t>
      </w:r>
      <w:r>
        <w:rPr>
          <w:b/>
          <w:w w:val="75"/>
          <w:sz w:val="15"/>
        </w:rPr>
        <w:t>y</w:t>
      </w:r>
      <w:r>
        <w:rPr>
          <w:b/>
          <w:spacing w:val="1"/>
          <w:w w:val="75"/>
          <w:sz w:val="15"/>
        </w:rPr>
        <w:t> </w:t>
      </w:r>
      <w:r>
        <w:rPr>
          <w:b/>
          <w:w w:val="75"/>
          <w:sz w:val="15"/>
        </w:rPr>
        <w:t>de</w:t>
      </w:r>
      <w:r>
        <w:rPr>
          <w:b/>
          <w:spacing w:val="1"/>
          <w:w w:val="75"/>
          <w:sz w:val="15"/>
        </w:rPr>
        <w:t> </w:t>
      </w:r>
      <w:r>
        <w:rPr>
          <w:b/>
          <w:w w:val="75"/>
          <w:sz w:val="15"/>
        </w:rPr>
        <w:t>género</w:t>
      </w:r>
      <w:r>
        <w:rPr>
          <w:b/>
          <w:spacing w:val="1"/>
          <w:w w:val="75"/>
          <w:sz w:val="15"/>
        </w:rPr>
        <w:t> </w:t>
      </w:r>
      <w:r>
        <w:rPr>
          <w:b/>
          <w:w w:val="75"/>
          <w:sz w:val="15"/>
        </w:rPr>
        <w:t>en</w:t>
      </w:r>
      <w:r>
        <w:rPr>
          <w:b/>
          <w:spacing w:val="2"/>
          <w:w w:val="75"/>
          <w:sz w:val="15"/>
        </w:rPr>
        <w:t> </w:t>
      </w:r>
      <w:r>
        <w:rPr>
          <w:b/>
          <w:w w:val="75"/>
          <w:sz w:val="15"/>
        </w:rPr>
        <w:t>el</w:t>
      </w:r>
      <w:r>
        <w:rPr>
          <w:b/>
          <w:spacing w:val="1"/>
          <w:w w:val="75"/>
          <w:sz w:val="15"/>
        </w:rPr>
        <w:t> </w:t>
      </w:r>
      <w:r>
        <w:rPr>
          <w:b/>
          <w:w w:val="75"/>
          <w:sz w:val="15"/>
        </w:rPr>
        <w:t>nivel</w:t>
      </w:r>
      <w:r>
        <w:rPr>
          <w:b/>
          <w:spacing w:val="1"/>
          <w:w w:val="75"/>
          <w:sz w:val="15"/>
        </w:rPr>
        <w:t> </w:t>
      </w:r>
      <w:r>
        <w:rPr>
          <w:b/>
          <w:w w:val="75"/>
          <w:sz w:val="15"/>
        </w:rPr>
        <w:t>medio</w:t>
      </w:r>
    </w:p>
    <w:p>
      <w:pPr>
        <w:pStyle w:val="BodyText"/>
        <w:spacing w:before="5"/>
        <w:rPr>
          <w:b/>
          <w:sz w:val="15"/>
        </w:rPr>
      </w:pPr>
    </w:p>
    <w:p>
      <w:pPr>
        <w:pStyle w:val="ListParagraph"/>
        <w:numPr>
          <w:ilvl w:val="0"/>
          <w:numId w:val="26"/>
        </w:numPr>
        <w:tabs>
          <w:tab w:pos="731" w:val="left" w:leader="none"/>
        </w:tabs>
        <w:spacing w:line="237" w:lineRule="auto" w:before="1" w:after="0"/>
        <w:ind w:left="725" w:right="0" w:hanging="213"/>
        <w:jc w:val="both"/>
        <w:rPr>
          <w:sz w:val="15"/>
        </w:rPr>
      </w:pPr>
      <w:r>
        <w:rPr>
          <w:w w:val="80"/>
          <w:sz w:val="15"/>
        </w:rPr>
        <w:t>Ambientes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de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aprendizaje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que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fomenten</w:t>
      </w:r>
      <w:r>
        <w:rPr>
          <w:spacing w:val="-25"/>
          <w:w w:val="80"/>
          <w:sz w:val="15"/>
        </w:rPr>
        <w:t> </w:t>
      </w:r>
      <w:r>
        <w:rPr>
          <w:w w:val="80"/>
          <w:sz w:val="15"/>
        </w:rPr>
        <w:t>protección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infantil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y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socio-emocionales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seguros a nivel medio que integre prácticas</w:t>
      </w:r>
      <w:r>
        <w:rPr>
          <w:spacing w:val="1"/>
          <w:w w:val="80"/>
          <w:sz w:val="15"/>
        </w:rPr>
        <w:t> </w:t>
      </w:r>
      <w:r>
        <w:rPr>
          <w:spacing w:val="-1"/>
          <w:w w:val="85"/>
          <w:sz w:val="15"/>
        </w:rPr>
        <w:t>culturales y lingüísticas</w:t>
      </w:r>
      <w:r>
        <w:rPr>
          <w:w w:val="85"/>
          <w:sz w:val="15"/>
        </w:rPr>
        <w:t> adaptado a cada</w:t>
      </w:r>
      <w:r>
        <w:rPr>
          <w:spacing w:val="1"/>
          <w:w w:val="85"/>
          <w:sz w:val="15"/>
        </w:rPr>
        <w:t> </w:t>
      </w:r>
      <w:r>
        <w:rPr>
          <w:w w:val="75"/>
          <w:sz w:val="15"/>
        </w:rPr>
        <w:t>territorio</w:t>
      </w:r>
      <w:r>
        <w:rPr>
          <w:spacing w:val="2"/>
          <w:w w:val="75"/>
          <w:sz w:val="15"/>
        </w:rPr>
        <w:t> </w:t>
      </w:r>
      <w:r>
        <w:rPr>
          <w:w w:val="75"/>
          <w:sz w:val="15"/>
        </w:rPr>
        <w:t>y mercado</w:t>
      </w:r>
      <w:r>
        <w:rPr>
          <w:spacing w:val="2"/>
          <w:w w:val="75"/>
          <w:sz w:val="15"/>
        </w:rPr>
        <w:t> </w:t>
      </w:r>
      <w:r>
        <w:rPr>
          <w:w w:val="75"/>
          <w:sz w:val="15"/>
        </w:rPr>
        <w:t>laboral.</w:t>
      </w:r>
    </w:p>
    <w:p>
      <w:pPr>
        <w:pStyle w:val="BodyText"/>
        <w:spacing w:before="3"/>
        <w:rPr>
          <w:sz w:val="15"/>
        </w:rPr>
      </w:pPr>
    </w:p>
    <w:p>
      <w:pPr>
        <w:pStyle w:val="ListParagraph"/>
        <w:numPr>
          <w:ilvl w:val="0"/>
          <w:numId w:val="26"/>
        </w:numPr>
        <w:tabs>
          <w:tab w:pos="731" w:val="left" w:leader="none"/>
        </w:tabs>
        <w:spacing w:line="240" w:lineRule="auto" w:before="1" w:after="0"/>
        <w:ind w:left="725" w:right="0" w:hanging="213"/>
        <w:jc w:val="both"/>
        <w:rPr>
          <w:sz w:val="15"/>
        </w:rPr>
      </w:pPr>
      <w:r>
        <w:rPr>
          <w:w w:val="80"/>
          <w:sz w:val="15"/>
        </w:rPr>
        <w:t>Implementar en los procesos de aprendizaje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los contenidos formativos del CNB sobre el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plan de vida, habilidades socio-emocionales y</w:t>
      </w:r>
      <w:r>
        <w:rPr>
          <w:spacing w:val="-25"/>
          <w:w w:val="80"/>
          <w:sz w:val="15"/>
        </w:rPr>
        <w:t> </w:t>
      </w:r>
      <w:r>
        <w:rPr>
          <w:w w:val="80"/>
          <w:sz w:val="15"/>
        </w:rPr>
        <w:t>de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incorporación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al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mercado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laboral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en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su</w:t>
      </w:r>
      <w:r>
        <w:rPr>
          <w:spacing w:val="-25"/>
          <w:w w:val="80"/>
          <w:sz w:val="15"/>
        </w:rPr>
        <w:t> </w:t>
      </w:r>
      <w:r>
        <w:rPr>
          <w:w w:val="85"/>
          <w:sz w:val="15"/>
        </w:rPr>
        <w:t>territorio.</w:t>
      </w:r>
    </w:p>
    <w:p>
      <w:pPr>
        <w:spacing w:before="71"/>
        <w:ind w:left="330" w:right="0" w:firstLine="0"/>
        <w:jc w:val="left"/>
        <w:rPr>
          <w:sz w:val="15"/>
        </w:rPr>
      </w:pPr>
      <w:r>
        <w:rPr/>
        <w:br w:type="column"/>
      </w:r>
      <w:r>
        <w:rPr>
          <w:b/>
          <w:w w:val="75"/>
          <w:sz w:val="15"/>
        </w:rPr>
        <w:t>Vinculación</w:t>
      </w:r>
      <w:r>
        <w:rPr>
          <w:b/>
          <w:spacing w:val="8"/>
          <w:w w:val="75"/>
          <w:sz w:val="15"/>
        </w:rPr>
        <w:t> </w:t>
      </w:r>
      <w:r>
        <w:rPr>
          <w:b/>
          <w:w w:val="75"/>
          <w:sz w:val="15"/>
        </w:rPr>
        <w:t>de</w:t>
      </w:r>
      <w:r>
        <w:rPr>
          <w:b/>
          <w:spacing w:val="9"/>
          <w:w w:val="75"/>
          <w:sz w:val="15"/>
        </w:rPr>
        <w:t> </w:t>
      </w:r>
      <w:r>
        <w:rPr>
          <w:b/>
          <w:w w:val="75"/>
          <w:sz w:val="15"/>
        </w:rPr>
        <w:t>las</w:t>
      </w:r>
      <w:r>
        <w:rPr>
          <w:b/>
          <w:spacing w:val="9"/>
          <w:w w:val="75"/>
          <w:sz w:val="15"/>
        </w:rPr>
        <w:t> </w:t>
      </w:r>
      <w:r>
        <w:rPr>
          <w:b/>
          <w:w w:val="75"/>
          <w:sz w:val="15"/>
        </w:rPr>
        <w:t>familias</w:t>
      </w:r>
      <w:r>
        <w:rPr>
          <w:b/>
          <w:spacing w:val="10"/>
          <w:w w:val="75"/>
          <w:sz w:val="15"/>
        </w:rPr>
        <w:t> </w:t>
      </w:r>
      <w:r>
        <w:rPr>
          <w:b/>
          <w:w w:val="75"/>
          <w:sz w:val="15"/>
        </w:rPr>
        <w:t>y</w:t>
      </w:r>
      <w:r>
        <w:rPr>
          <w:b/>
          <w:spacing w:val="9"/>
          <w:w w:val="75"/>
          <w:sz w:val="15"/>
        </w:rPr>
        <w:t> </w:t>
      </w:r>
      <w:r>
        <w:rPr>
          <w:b/>
          <w:w w:val="75"/>
          <w:sz w:val="15"/>
        </w:rPr>
        <w:t>las</w:t>
      </w:r>
      <w:r>
        <w:rPr>
          <w:b/>
          <w:spacing w:val="8"/>
          <w:w w:val="75"/>
          <w:sz w:val="15"/>
        </w:rPr>
        <w:t> </w:t>
      </w:r>
      <w:r>
        <w:rPr>
          <w:b/>
          <w:w w:val="75"/>
          <w:sz w:val="15"/>
        </w:rPr>
        <w:t>comunidades</w:t>
      </w:r>
      <w:r>
        <w:rPr>
          <w:w w:val="75"/>
          <w:sz w:val="15"/>
        </w:rPr>
        <w:t>.</w:t>
      </w:r>
    </w:p>
    <w:p>
      <w:pPr>
        <w:pStyle w:val="BodyText"/>
        <w:spacing w:before="4"/>
        <w:rPr>
          <w:sz w:val="14"/>
        </w:rPr>
      </w:pPr>
    </w:p>
    <w:p>
      <w:pPr>
        <w:pStyle w:val="ListParagraph"/>
        <w:numPr>
          <w:ilvl w:val="1"/>
          <w:numId w:val="15"/>
        </w:numPr>
        <w:tabs>
          <w:tab w:pos="462" w:val="left" w:leader="none"/>
        </w:tabs>
        <w:spacing w:line="240" w:lineRule="auto" w:before="0" w:after="0"/>
        <w:ind w:left="456" w:right="0" w:hanging="126"/>
        <w:jc w:val="both"/>
        <w:rPr>
          <w:rFonts w:ascii="Courier New" w:hAnsi="Courier New"/>
          <w:sz w:val="15"/>
        </w:rPr>
      </w:pPr>
      <w:r>
        <w:rPr>
          <w:w w:val="80"/>
          <w:sz w:val="15"/>
        </w:rPr>
        <w:t>Concientizar y capacitar a los padres/madres de familia</w:t>
      </w:r>
      <w:r>
        <w:rPr>
          <w:spacing w:val="1"/>
          <w:w w:val="80"/>
          <w:sz w:val="15"/>
        </w:rPr>
        <w:t> </w:t>
      </w:r>
      <w:r>
        <w:rPr>
          <w:spacing w:val="-1"/>
          <w:w w:val="85"/>
          <w:sz w:val="15"/>
        </w:rPr>
        <w:t>sobre la importancia </w:t>
      </w:r>
      <w:r>
        <w:rPr>
          <w:w w:val="85"/>
          <w:sz w:val="15"/>
        </w:rPr>
        <w:t>de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que sus hijos/as culminen la</w:t>
      </w:r>
      <w:r>
        <w:rPr>
          <w:spacing w:val="1"/>
          <w:w w:val="85"/>
          <w:sz w:val="15"/>
        </w:rPr>
        <w:t> </w:t>
      </w:r>
      <w:r>
        <w:rPr>
          <w:w w:val="80"/>
          <w:sz w:val="15"/>
        </w:rPr>
        <w:t>educación a nivel medio, la crianza cariñosa, la protección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infantil, la eliminación de violencia de género, habilidades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socio-emocionales y la incorporación al mercado laboral</w:t>
      </w:r>
      <w:r>
        <w:rPr>
          <w:spacing w:val="1"/>
          <w:w w:val="80"/>
          <w:sz w:val="15"/>
        </w:rPr>
        <w:t> </w:t>
      </w:r>
      <w:r>
        <w:rPr>
          <w:w w:val="75"/>
          <w:sz w:val="15"/>
        </w:rPr>
        <w:t>con</w:t>
      </w:r>
      <w:r>
        <w:rPr>
          <w:spacing w:val="6"/>
          <w:w w:val="75"/>
          <w:sz w:val="15"/>
        </w:rPr>
        <w:t> </w:t>
      </w:r>
      <w:r>
        <w:rPr>
          <w:w w:val="75"/>
          <w:sz w:val="15"/>
        </w:rPr>
        <w:t>pertinencia</w:t>
      </w:r>
      <w:r>
        <w:rPr>
          <w:spacing w:val="2"/>
          <w:w w:val="75"/>
          <w:sz w:val="15"/>
        </w:rPr>
        <w:t> </w:t>
      </w:r>
      <w:r>
        <w:rPr>
          <w:w w:val="75"/>
          <w:sz w:val="15"/>
        </w:rPr>
        <w:t>étnica</w:t>
      </w:r>
      <w:r>
        <w:rPr>
          <w:spacing w:val="3"/>
          <w:w w:val="75"/>
          <w:sz w:val="15"/>
        </w:rPr>
        <w:t> </w:t>
      </w:r>
      <w:r>
        <w:rPr>
          <w:w w:val="75"/>
          <w:sz w:val="15"/>
        </w:rPr>
        <w:t>y</w:t>
      </w:r>
      <w:r>
        <w:rPr>
          <w:spacing w:val="3"/>
          <w:w w:val="75"/>
          <w:sz w:val="15"/>
        </w:rPr>
        <w:t> </w:t>
      </w:r>
      <w:r>
        <w:rPr>
          <w:w w:val="75"/>
          <w:sz w:val="15"/>
        </w:rPr>
        <w:t>cultural</w:t>
      </w:r>
      <w:r>
        <w:rPr>
          <w:spacing w:val="2"/>
          <w:w w:val="75"/>
          <w:sz w:val="15"/>
        </w:rPr>
        <w:t> </w:t>
      </w:r>
      <w:r>
        <w:rPr>
          <w:w w:val="75"/>
          <w:sz w:val="15"/>
        </w:rPr>
        <w:t>de</w:t>
      </w:r>
      <w:r>
        <w:rPr>
          <w:spacing w:val="3"/>
          <w:w w:val="75"/>
          <w:sz w:val="15"/>
        </w:rPr>
        <w:t> </w:t>
      </w:r>
      <w:r>
        <w:rPr>
          <w:w w:val="75"/>
          <w:sz w:val="15"/>
        </w:rPr>
        <w:t>los</w:t>
      </w:r>
      <w:r>
        <w:rPr>
          <w:spacing w:val="2"/>
          <w:w w:val="75"/>
          <w:sz w:val="15"/>
        </w:rPr>
        <w:t> </w:t>
      </w:r>
      <w:r>
        <w:rPr>
          <w:w w:val="75"/>
          <w:sz w:val="15"/>
        </w:rPr>
        <w:t>territorios.</w:t>
      </w:r>
    </w:p>
    <w:p>
      <w:pPr>
        <w:pStyle w:val="BodyText"/>
        <w:spacing w:before="4"/>
        <w:rPr>
          <w:sz w:val="15"/>
        </w:rPr>
      </w:pPr>
    </w:p>
    <w:p>
      <w:pPr>
        <w:pStyle w:val="ListParagraph"/>
        <w:numPr>
          <w:ilvl w:val="1"/>
          <w:numId w:val="15"/>
        </w:numPr>
        <w:tabs>
          <w:tab w:pos="462" w:val="left" w:leader="none"/>
        </w:tabs>
        <w:spacing w:line="240" w:lineRule="auto" w:before="0" w:after="0"/>
        <w:ind w:left="456" w:right="0" w:hanging="126"/>
        <w:jc w:val="both"/>
        <w:rPr>
          <w:rFonts w:ascii="Courier New" w:hAnsi="Courier New"/>
          <w:sz w:val="15"/>
        </w:rPr>
      </w:pPr>
      <w:r>
        <w:rPr>
          <w:spacing w:val="-1"/>
          <w:w w:val="85"/>
          <w:sz w:val="15"/>
        </w:rPr>
        <w:t>Vincular y fortalecer </w:t>
      </w:r>
      <w:r>
        <w:rPr>
          <w:w w:val="85"/>
          <w:sz w:val="15"/>
        </w:rPr>
        <w:t>las capacidades de las OPF en el</w:t>
      </w:r>
      <w:r>
        <w:rPr>
          <w:spacing w:val="1"/>
          <w:w w:val="85"/>
          <w:sz w:val="15"/>
        </w:rPr>
        <w:t> </w:t>
      </w:r>
      <w:r>
        <w:rPr>
          <w:w w:val="80"/>
          <w:sz w:val="15"/>
        </w:rPr>
        <w:t>Programa de Cuidados Infantiles para el Aprendizaje del</w:t>
      </w:r>
      <w:r>
        <w:rPr>
          <w:spacing w:val="1"/>
          <w:w w:val="80"/>
          <w:sz w:val="15"/>
        </w:rPr>
        <w:t> </w:t>
      </w:r>
      <w:r>
        <w:rPr>
          <w:w w:val="85"/>
          <w:sz w:val="15"/>
        </w:rPr>
        <w:t>MINEDUC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y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para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que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promueven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en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el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territorio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la</w:t>
      </w:r>
      <w:r>
        <w:rPr>
          <w:spacing w:val="-26"/>
          <w:w w:val="85"/>
          <w:sz w:val="15"/>
        </w:rPr>
        <w:t> </w:t>
      </w:r>
      <w:r>
        <w:rPr>
          <w:w w:val="75"/>
          <w:sz w:val="15"/>
        </w:rPr>
        <w:t>importancia</w:t>
      </w:r>
      <w:r>
        <w:rPr>
          <w:spacing w:val="11"/>
          <w:w w:val="75"/>
          <w:sz w:val="15"/>
        </w:rPr>
        <w:t> </w:t>
      </w:r>
      <w:r>
        <w:rPr>
          <w:w w:val="75"/>
          <w:sz w:val="15"/>
        </w:rPr>
        <w:t>de</w:t>
      </w:r>
      <w:r>
        <w:rPr>
          <w:spacing w:val="12"/>
          <w:w w:val="75"/>
          <w:sz w:val="15"/>
        </w:rPr>
        <w:t> </w:t>
      </w:r>
      <w:r>
        <w:rPr>
          <w:w w:val="75"/>
          <w:sz w:val="15"/>
        </w:rPr>
        <w:t>la</w:t>
      </w:r>
      <w:r>
        <w:rPr>
          <w:spacing w:val="13"/>
          <w:w w:val="75"/>
          <w:sz w:val="15"/>
        </w:rPr>
        <w:t> </w:t>
      </w:r>
      <w:r>
        <w:rPr>
          <w:w w:val="75"/>
          <w:sz w:val="15"/>
        </w:rPr>
        <w:t>educación</w:t>
      </w:r>
      <w:r>
        <w:rPr>
          <w:spacing w:val="11"/>
          <w:w w:val="75"/>
          <w:sz w:val="15"/>
        </w:rPr>
        <w:t> </w:t>
      </w:r>
      <w:r>
        <w:rPr>
          <w:w w:val="75"/>
          <w:sz w:val="15"/>
        </w:rPr>
        <w:t>media</w:t>
      </w:r>
      <w:r>
        <w:rPr>
          <w:spacing w:val="12"/>
          <w:w w:val="75"/>
          <w:sz w:val="15"/>
        </w:rPr>
        <w:t> </w:t>
      </w:r>
      <w:r>
        <w:rPr>
          <w:w w:val="75"/>
          <w:sz w:val="15"/>
        </w:rPr>
        <w:t>para</w:t>
      </w:r>
      <w:r>
        <w:rPr>
          <w:spacing w:val="12"/>
          <w:w w:val="75"/>
          <w:sz w:val="15"/>
        </w:rPr>
        <w:t> </w:t>
      </w:r>
      <w:r>
        <w:rPr>
          <w:w w:val="75"/>
          <w:sz w:val="15"/>
        </w:rPr>
        <w:t>la</w:t>
      </w:r>
      <w:r>
        <w:rPr>
          <w:spacing w:val="11"/>
          <w:w w:val="75"/>
          <w:sz w:val="15"/>
        </w:rPr>
        <w:t> </w:t>
      </w:r>
      <w:r>
        <w:rPr>
          <w:w w:val="75"/>
          <w:sz w:val="15"/>
        </w:rPr>
        <w:t>incorporación</w:t>
      </w:r>
      <w:r>
        <w:rPr>
          <w:spacing w:val="11"/>
          <w:w w:val="75"/>
          <w:sz w:val="15"/>
        </w:rPr>
        <w:t> </w:t>
      </w:r>
      <w:r>
        <w:rPr>
          <w:w w:val="75"/>
          <w:sz w:val="15"/>
        </w:rPr>
        <w:t>en</w:t>
      </w:r>
      <w:r>
        <w:rPr>
          <w:spacing w:val="1"/>
          <w:w w:val="75"/>
          <w:sz w:val="15"/>
        </w:rPr>
        <w:t> </w:t>
      </w:r>
      <w:r>
        <w:rPr>
          <w:w w:val="75"/>
          <w:sz w:val="15"/>
        </w:rPr>
        <w:t>el</w:t>
      </w:r>
      <w:r>
        <w:rPr>
          <w:spacing w:val="2"/>
          <w:w w:val="75"/>
          <w:sz w:val="15"/>
        </w:rPr>
        <w:t> </w:t>
      </w:r>
      <w:r>
        <w:rPr>
          <w:w w:val="75"/>
          <w:sz w:val="15"/>
        </w:rPr>
        <w:t>mercado</w:t>
      </w:r>
      <w:r>
        <w:rPr>
          <w:spacing w:val="2"/>
          <w:w w:val="75"/>
          <w:sz w:val="15"/>
        </w:rPr>
        <w:t> </w:t>
      </w:r>
      <w:r>
        <w:rPr>
          <w:w w:val="75"/>
          <w:sz w:val="15"/>
        </w:rPr>
        <w:t>laboral</w:t>
      </w:r>
      <w:r>
        <w:rPr>
          <w:spacing w:val="3"/>
          <w:w w:val="75"/>
          <w:sz w:val="15"/>
        </w:rPr>
        <w:t> </w:t>
      </w:r>
      <w:r>
        <w:rPr>
          <w:w w:val="75"/>
          <w:sz w:val="15"/>
        </w:rPr>
        <w:t>en</w:t>
      </w:r>
      <w:r>
        <w:rPr>
          <w:spacing w:val="2"/>
          <w:w w:val="75"/>
          <w:sz w:val="15"/>
        </w:rPr>
        <w:t> </w:t>
      </w:r>
      <w:r>
        <w:rPr>
          <w:w w:val="75"/>
          <w:sz w:val="15"/>
        </w:rPr>
        <w:t>cada</w:t>
      </w:r>
      <w:r>
        <w:rPr>
          <w:spacing w:val="2"/>
          <w:w w:val="75"/>
          <w:sz w:val="15"/>
        </w:rPr>
        <w:t> </w:t>
      </w:r>
      <w:r>
        <w:rPr>
          <w:w w:val="75"/>
          <w:sz w:val="15"/>
        </w:rPr>
        <w:t>uno</w:t>
      </w:r>
      <w:r>
        <w:rPr>
          <w:spacing w:val="4"/>
          <w:w w:val="75"/>
          <w:sz w:val="15"/>
        </w:rPr>
        <w:t> </w:t>
      </w:r>
      <w:r>
        <w:rPr>
          <w:w w:val="75"/>
          <w:sz w:val="15"/>
        </w:rPr>
        <w:t>de</w:t>
      </w:r>
      <w:r>
        <w:rPr>
          <w:spacing w:val="2"/>
          <w:w w:val="75"/>
          <w:sz w:val="15"/>
        </w:rPr>
        <w:t> </w:t>
      </w:r>
      <w:r>
        <w:rPr>
          <w:w w:val="75"/>
          <w:sz w:val="15"/>
        </w:rPr>
        <w:t>los</w:t>
      </w:r>
      <w:r>
        <w:rPr>
          <w:spacing w:val="3"/>
          <w:w w:val="75"/>
          <w:sz w:val="15"/>
        </w:rPr>
        <w:t> </w:t>
      </w:r>
      <w:r>
        <w:rPr>
          <w:w w:val="75"/>
          <w:sz w:val="15"/>
        </w:rPr>
        <w:t>territorios.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1"/>
          <w:numId w:val="15"/>
        </w:numPr>
        <w:tabs>
          <w:tab w:pos="462" w:val="left" w:leader="none"/>
        </w:tabs>
        <w:spacing w:line="242" w:lineRule="auto" w:before="0" w:after="0"/>
        <w:ind w:left="456" w:right="0" w:hanging="126"/>
        <w:jc w:val="both"/>
        <w:rPr>
          <w:rFonts w:ascii="Courier New" w:hAnsi="Courier New"/>
          <w:sz w:val="15"/>
        </w:rPr>
      </w:pPr>
      <w:r>
        <w:rPr>
          <w:w w:val="80"/>
          <w:sz w:val="15"/>
        </w:rPr>
        <w:t>Cualificar y fortalecer los conocimiento de los docentes en</w:t>
      </w:r>
      <w:r>
        <w:rPr>
          <w:spacing w:val="-25"/>
          <w:w w:val="80"/>
          <w:sz w:val="15"/>
        </w:rPr>
        <w:t> </w:t>
      </w:r>
      <w:r>
        <w:rPr>
          <w:w w:val="85"/>
          <w:sz w:val="15"/>
        </w:rPr>
        <w:t>el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desarrollo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de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planes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de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vida,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habilidades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socio-</w:t>
      </w:r>
      <w:r>
        <w:rPr>
          <w:spacing w:val="1"/>
          <w:w w:val="85"/>
          <w:sz w:val="15"/>
        </w:rPr>
        <w:t> </w:t>
      </w:r>
      <w:r>
        <w:rPr>
          <w:w w:val="80"/>
          <w:sz w:val="15"/>
        </w:rPr>
        <w:t>emocionales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y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de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incorporación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al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mercado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labora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con</w:t>
      </w:r>
      <w:r>
        <w:rPr>
          <w:spacing w:val="-25"/>
          <w:w w:val="80"/>
          <w:sz w:val="15"/>
        </w:rPr>
        <w:t> </w:t>
      </w:r>
      <w:r>
        <w:rPr>
          <w:w w:val="75"/>
          <w:sz w:val="15"/>
        </w:rPr>
        <w:t>pertinencia</w:t>
      </w:r>
      <w:r>
        <w:rPr>
          <w:spacing w:val="3"/>
          <w:w w:val="75"/>
          <w:sz w:val="15"/>
        </w:rPr>
        <w:t> </w:t>
      </w:r>
      <w:r>
        <w:rPr>
          <w:w w:val="75"/>
          <w:sz w:val="15"/>
        </w:rPr>
        <w:t>étnica</w:t>
      </w:r>
      <w:r>
        <w:rPr>
          <w:spacing w:val="2"/>
          <w:w w:val="75"/>
          <w:sz w:val="15"/>
        </w:rPr>
        <w:t> </w:t>
      </w:r>
      <w:r>
        <w:rPr>
          <w:w w:val="75"/>
          <w:sz w:val="15"/>
        </w:rPr>
        <w:t>y</w:t>
      </w:r>
      <w:r>
        <w:rPr>
          <w:spacing w:val="3"/>
          <w:w w:val="75"/>
          <w:sz w:val="15"/>
        </w:rPr>
        <w:t> </w:t>
      </w:r>
      <w:r>
        <w:rPr>
          <w:w w:val="75"/>
          <w:sz w:val="15"/>
        </w:rPr>
        <w:t>cultural</w:t>
      </w:r>
      <w:r>
        <w:rPr>
          <w:spacing w:val="2"/>
          <w:w w:val="75"/>
          <w:sz w:val="15"/>
        </w:rPr>
        <w:t> </w:t>
      </w:r>
      <w:r>
        <w:rPr>
          <w:w w:val="75"/>
          <w:sz w:val="15"/>
        </w:rPr>
        <w:t>de</w:t>
      </w:r>
      <w:r>
        <w:rPr>
          <w:spacing w:val="2"/>
          <w:w w:val="75"/>
          <w:sz w:val="15"/>
        </w:rPr>
        <w:t> </w:t>
      </w:r>
      <w:r>
        <w:rPr>
          <w:w w:val="75"/>
          <w:sz w:val="15"/>
        </w:rPr>
        <w:t>los</w:t>
      </w:r>
      <w:r>
        <w:rPr>
          <w:spacing w:val="2"/>
          <w:w w:val="75"/>
          <w:sz w:val="15"/>
        </w:rPr>
        <w:t> </w:t>
      </w:r>
      <w:r>
        <w:rPr>
          <w:w w:val="75"/>
          <w:sz w:val="15"/>
        </w:rPr>
        <w:t>territorios.</w:t>
      </w:r>
    </w:p>
    <w:p>
      <w:pPr>
        <w:spacing w:before="68"/>
        <w:ind w:left="568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spacing w:val="-1"/>
          <w:w w:val="75"/>
          <w:sz w:val="18"/>
        </w:rPr>
        <w:t>Priorizar </w:t>
      </w:r>
      <w:r>
        <w:rPr>
          <w:b/>
          <w:w w:val="75"/>
          <w:sz w:val="18"/>
        </w:rPr>
        <w:t>territorial del</w:t>
      </w:r>
      <w:r>
        <w:rPr>
          <w:b/>
          <w:spacing w:val="-1"/>
          <w:w w:val="75"/>
          <w:sz w:val="18"/>
        </w:rPr>
        <w:t> </w:t>
      </w:r>
      <w:r>
        <w:rPr>
          <w:b/>
          <w:w w:val="75"/>
          <w:sz w:val="18"/>
        </w:rPr>
        <w:t>nivel</w:t>
      </w:r>
      <w:r>
        <w:rPr>
          <w:b/>
          <w:spacing w:val="1"/>
          <w:w w:val="75"/>
          <w:sz w:val="18"/>
        </w:rPr>
        <w:t> </w:t>
      </w:r>
      <w:r>
        <w:rPr>
          <w:b/>
          <w:w w:val="75"/>
          <w:sz w:val="18"/>
        </w:rPr>
        <w:t>medio</w:t>
      </w:r>
    </w:p>
    <w:p>
      <w:pPr>
        <w:pStyle w:val="BodyText"/>
        <w:spacing w:before="9"/>
        <w:rPr>
          <w:b/>
          <w:sz w:val="14"/>
        </w:rPr>
      </w:pPr>
    </w:p>
    <w:p>
      <w:pPr>
        <w:pStyle w:val="ListParagraph"/>
        <w:numPr>
          <w:ilvl w:val="0"/>
          <w:numId w:val="27"/>
        </w:numPr>
        <w:tabs>
          <w:tab w:pos="313" w:val="left" w:leader="none"/>
        </w:tabs>
        <w:spacing w:line="240" w:lineRule="auto" w:before="0" w:after="0"/>
        <w:ind w:left="308" w:right="1399" w:hanging="215"/>
        <w:jc w:val="both"/>
        <w:rPr>
          <w:sz w:val="15"/>
        </w:rPr>
      </w:pPr>
      <w:r>
        <w:rPr>
          <w:w w:val="80"/>
          <w:sz w:val="15"/>
        </w:rPr>
        <w:t>Focalizar las intervenciones del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del eje 1: formación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integral en las áreas rurales con menor cobertura de</w:t>
      </w:r>
      <w:r>
        <w:rPr>
          <w:spacing w:val="1"/>
          <w:w w:val="80"/>
          <w:sz w:val="15"/>
        </w:rPr>
        <w:t> </w:t>
      </w:r>
      <w:r>
        <w:rPr>
          <w:w w:val="75"/>
          <w:sz w:val="15"/>
        </w:rPr>
        <w:t>niños y</w:t>
      </w:r>
      <w:r>
        <w:rPr>
          <w:spacing w:val="2"/>
          <w:w w:val="75"/>
          <w:sz w:val="15"/>
        </w:rPr>
        <w:t> </w:t>
      </w:r>
      <w:r>
        <w:rPr>
          <w:w w:val="75"/>
          <w:sz w:val="15"/>
        </w:rPr>
        <w:t>niñas en</w:t>
      </w:r>
      <w:r>
        <w:rPr>
          <w:spacing w:val="2"/>
          <w:w w:val="75"/>
          <w:sz w:val="15"/>
        </w:rPr>
        <w:t> </w:t>
      </w:r>
      <w:r>
        <w:rPr>
          <w:w w:val="75"/>
          <w:sz w:val="15"/>
        </w:rPr>
        <w:t>el</w:t>
      </w:r>
      <w:r>
        <w:rPr>
          <w:spacing w:val="1"/>
          <w:w w:val="75"/>
          <w:sz w:val="15"/>
        </w:rPr>
        <w:t> </w:t>
      </w:r>
      <w:r>
        <w:rPr>
          <w:w w:val="75"/>
          <w:sz w:val="15"/>
        </w:rPr>
        <w:t>nivel</w:t>
      </w:r>
      <w:r>
        <w:rPr>
          <w:spacing w:val="1"/>
          <w:w w:val="75"/>
          <w:sz w:val="15"/>
        </w:rPr>
        <w:t> </w:t>
      </w:r>
      <w:r>
        <w:rPr>
          <w:w w:val="75"/>
          <w:sz w:val="15"/>
        </w:rPr>
        <w:t>medio.</w:t>
      </w:r>
    </w:p>
    <w:p>
      <w:pPr>
        <w:pStyle w:val="BodyText"/>
        <w:spacing w:before="2"/>
        <w:rPr>
          <w:sz w:val="14"/>
        </w:rPr>
      </w:pPr>
    </w:p>
    <w:p>
      <w:pPr>
        <w:spacing w:line="244" w:lineRule="auto" w:before="1"/>
        <w:ind w:left="308" w:right="1399" w:hanging="215"/>
        <w:jc w:val="both"/>
        <w:rPr>
          <w:sz w:val="15"/>
        </w:rPr>
      </w:pPr>
      <w:r>
        <w:rPr>
          <w:rFonts w:ascii="Courier New" w:hAnsi="Courier New"/>
          <w:w w:val="80"/>
          <w:sz w:val="15"/>
        </w:rPr>
        <w:t>o </w:t>
      </w:r>
      <w:r>
        <w:rPr>
          <w:w w:val="80"/>
          <w:sz w:val="15"/>
        </w:rPr>
        <w:t>Establecer un Sistema de seguimiento y monitoreo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de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cobertura escolar del nivel medio que integre prácticas</w:t>
      </w:r>
      <w:r>
        <w:rPr>
          <w:spacing w:val="-25"/>
          <w:w w:val="80"/>
          <w:sz w:val="15"/>
        </w:rPr>
        <w:t> </w:t>
      </w:r>
      <w:r>
        <w:rPr>
          <w:spacing w:val="-1"/>
          <w:w w:val="80"/>
          <w:sz w:val="15"/>
        </w:rPr>
        <w:t>culturales </w:t>
      </w:r>
      <w:r>
        <w:rPr>
          <w:w w:val="80"/>
          <w:sz w:val="15"/>
        </w:rPr>
        <w:t>y lingüísticas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adaptado a cada territorio y su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mercado</w:t>
      </w:r>
      <w:r>
        <w:rPr>
          <w:spacing w:val="-2"/>
          <w:w w:val="80"/>
          <w:sz w:val="15"/>
        </w:rPr>
        <w:t> </w:t>
      </w:r>
      <w:r>
        <w:rPr>
          <w:w w:val="80"/>
          <w:sz w:val="15"/>
        </w:rPr>
        <w:t>laboral.</w:t>
      </w:r>
    </w:p>
    <w:p>
      <w:pPr>
        <w:pStyle w:val="BodyText"/>
        <w:spacing w:before="9"/>
        <w:rPr>
          <w:sz w:val="13"/>
        </w:rPr>
      </w:pPr>
    </w:p>
    <w:p>
      <w:pPr>
        <w:pStyle w:val="ListParagraph"/>
        <w:numPr>
          <w:ilvl w:val="0"/>
          <w:numId w:val="27"/>
        </w:numPr>
        <w:tabs>
          <w:tab w:pos="313" w:val="left" w:leader="none"/>
        </w:tabs>
        <w:spacing w:line="240" w:lineRule="auto" w:before="0" w:after="0"/>
        <w:ind w:left="308" w:right="1399" w:hanging="215"/>
        <w:jc w:val="both"/>
        <w:rPr>
          <w:sz w:val="15"/>
        </w:rPr>
      </w:pPr>
      <w:r>
        <w:rPr>
          <w:w w:val="75"/>
          <w:sz w:val="15"/>
        </w:rPr>
        <w:t>Establecer</w:t>
      </w:r>
      <w:r>
        <w:rPr>
          <w:spacing w:val="15"/>
          <w:w w:val="75"/>
          <w:sz w:val="15"/>
        </w:rPr>
        <w:t> </w:t>
      </w:r>
      <w:r>
        <w:rPr>
          <w:w w:val="75"/>
          <w:sz w:val="15"/>
        </w:rPr>
        <w:t>un</w:t>
      </w:r>
      <w:r>
        <w:rPr>
          <w:spacing w:val="15"/>
          <w:w w:val="75"/>
          <w:sz w:val="15"/>
        </w:rPr>
        <w:t> </w:t>
      </w:r>
      <w:r>
        <w:rPr>
          <w:w w:val="75"/>
          <w:sz w:val="15"/>
        </w:rPr>
        <w:t>Sistemas</w:t>
      </w:r>
      <w:r>
        <w:rPr>
          <w:spacing w:val="16"/>
          <w:w w:val="75"/>
          <w:sz w:val="15"/>
        </w:rPr>
        <w:t> </w:t>
      </w:r>
      <w:r>
        <w:rPr>
          <w:w w:val="75"/>
          <w:sz w:val="15"/>
        </w:rPr>
        <w:t>de</w:t>
      </w:r>
      <w:r>
        <w:rPr>
          <w:spacing w:val="17"/>
          <w:w w:val="75"/>
          <w:sz w:val="15"/>
        </w:rPr>
        <w:t> </w:t>
      </w:r>
      <w:r>
        <w:rPr>
          <w:w w:val="75"/>
          <w:sz w:val="15"/>
        </w:rPr>
        <w:t>Alerta</w:t>
      </w:r>
      <w:r>
        <w:rPr>
          <w:spacing w:val="15"/>
          <w:w w:val="75"/>
          <w:sz w:val="15"/>
        </w:rPr>
        <w:t> </w:t>
      </w:r>
      <w:r>
        <w:rPr>
          <w:w w:val="75"/>
          <w:sz w:val="15"/>
        </w:rPr>
        <w:t>temprana</w:t>
      </w:r>
      <w:r>
        <w:rPr>
          <w:spacing w:val="16"/>
          <w:w w:val="75"/>
          <w:sz w:val="15"/>
        </w:rPr>
        <w:t> </w:t>
      </w:r>
      <w:r>
        <w:rPr>
          <w:w w:val="75"/>
          <w:sz w:val="15"/>
        </w:rPr>
        <w:t>sobre</w:t>
      </w:r>
      <w:r>
        <w:rPr>
          <w:spacing w:val="16"/>
          <w:w w:val="75"/>
          <w:sz w:val="15"/>
        </w:rPr>
        <w:t> </w:t>
      </w:r>
      <w:r>
        <w:rPr>
          <w:w w:val="75"/>
          <w:sz w:val="15"/>
        </w:rPr>
        <w:t>riesgo</w:t>
      </w:r>
      <w:r>
        <w:rPr>
          <w:spacing w:val="1"/>
          <w:w w:val="75"/>
          <w:sz w:val="15"/>
        </w:rPr>
        <w:t> </w:t>
      </w:r>
      <w:r>
        <w:rPr>
          <w:w w:val="75"/>
          <w:sz w:val="15"/>
        </w:rPr>
        <w:t>de deserción a nivel medio para activar mecanismos de</w:t>
      </w:r>
      <w:r>
        <w:rPr>
          <w:spacing w:val="1"/>
          <w:w w:val="75"/>
          <w:sz w:val="15"/>
        </w:rPr>
        <w:t> </w:t>
      </w:r>
      <w:r>
        <w:rPr>
          <w:w w:val="85"/>
          <w:sz w:val="15"/>
        </w:rPr>
        <w:t>respuesta.</w:t>
      </w:r>
    </w:p>
    <w:p>
      <w:pPr>
        <w:pStyle w:val="BodyText"/>
        <w:spacing w:before="6"/>
        <w:rPr>
          <w:sz w:val="15"/>
        </w:rPr>
      </w:pPr>
    </w:p>
    <w:p>
      <w:pPr>
        <w:pStyle w:val="ListParagraph"/>
        <w:numPr>
          <w:ilvl w:val="0"/>
          <w:numId w:val="27"/>
        </w:numPr>
        <w:tabs>
          <w:tab w:pos="315" w:val="left" w:leader="none"/>
        </w:tabs>
        <w:spacing w:line="237" w:lineRule="auto" w:before="0" w:after="0"/>
        <w:ind w:left="308" w:right="1399" w:hanging="215"/>
        <w:jc w:val="both"/>
        <w:rPr>
          <w:sz w:val="15"/>
        </w:rPr>
      </w:pPr>
      <w:r>
        <w:rPr>
          <w:w w:val="80"/>
          <w:sz w:val="15"/>
        </w:rPr>
        <w:t>Desarrollar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campañas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informativas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a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las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familias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(padres,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madres,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abuelos/as,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niños/as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y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cuidadores)</w:t>
      </w:r>
      <w:r>
        <w:rPr>
          <w:spacing w:val="-25"/>
          <w:w w:val="80"/>
          <w:sz w:val="15"/>
        </w:rPr>
        <w:t> </w:t>
      </w:r>
      <w:r>
        <w:rPr>
          <w:w w:val="80"/>
          <w:sz w:val="15"/>
        </w:rPr>
        <w:t>sobre la importancia de culminar la educación a nivel</w:t>
      </w:r>
      <w:r>
        <w:rPr>
          <w:spacing w:val="1"/>
          <w:w w:val="80"/>
          <w:sz w:val="15"/>
        </w:rPr>
        <w:t> </w:t>
      </w:r>
      <w:r>
        <w:rPr>
          <w:w w:val="75"/>
          <w:sz w:val="15"/>
        </w:rPr>
        <w:t>medio</w:t>
      </w:r>
      <w:r>
        <w:rPr>
          <w:spacing w:val="4"/>
          <w:w w:val="75"/>
          <w:sz w:val="15"/>
        </w:rPr>
        <w:t> </w:t>
      </w:r>
      <w:r>
        <w:rPr>
          <w:w w:val="75"/>
          <w:sz w:val="15"/>
        </w:rPr>
        <w:t>parra</w:t>
      </w:r>
      <w:r>
        <w:rPr>
          <w:spacing w:val="5"/>
          <w:w w:val="75"/>
          <w:sz w:val="15"/>
        </w:rPr>
        <w:t> </w:t>
      </w:r>
      <w:r>
        <w:rPr>
          <w:w w:val="75"/>
          <w:sz w:val="15"/>
        </w:rPr>
        <w:t>su</w:t>
      </w:r>
      <w:r>
        <w:rPr>
          <w:spacing w:val="5"/>
          <w:w w:val="75"/>
          <w:sz w:val="15"/>
        </w:rPr>
        <w:t> </w:t>
      </w:r>
      <w:r>
        <w:rPr>
          <w:w w:val="75"/>
          <w:sz w:val="15"/>
        </w:rPr>
        <w:t>incorporación</w:t>
      </w:r>
      <w:r>
        <w:rPr>
          <w:spacing w:val="5"/>
          <w:w w:val="75"/>
          <w:sz w:val="15"/>
        </w:rPr>
        <w:t> </w:t>
      </w:r>
      <w:r>
        <w:rPr>
          <w:w w:val="75"/>
          <w:sz w:val="15"/>
        </w:rPr>
        <w:t>en</w:t>
      </w:r>
      <w:r>
        <w:rPr>
          <w:spacing w:val="4"/>
          <w:w w:val="75"/>
          <w:sz w:val="15"/>
        </w:rPr>
        <w:t> </w:t>
      </w:r>
      <w:r>
        <w:rPr>
          <w:w w:val="75"/>
          <w:sz w:val="15"/>
        </w:rPr>
        <w:t>el</w:t>
      </w:r>
      <w:r>
        <w:rPr>
          <w:spacing w:val="4"/>
          <w:w w:val="75"/>
          <w:sz w:val="15"/>
        </w:rPr>
        <w:t> </w:t>
      </w:r>
      <w:r>
        <w:rPr>
          <w:w w:val="75"/>
          <w:sz w:val="15"/>
        </w:rPr>
        <w:t>mercado</w:t>
      </w:r>
      <w:r>
        <w:rPr>
          <w:spacing w:val="4"/>
          <w:w w:val="75"/>
          <w:sz w:val="15"/>
        </w:rPr>
        <w:t> </w:t>
      </w:r>
      <w:r>
        <w:rPr>
          <w:w w:val="75"/>
          <w:sz w:val="15"/>
        </w:rPr>
        <w:t>laboral.</w:t>
      </w:r>
    </w:p>
    <w:p>
      <w:pPr>
        <w:spacing w:after="0" w:line="237" w:lineRule="auto"/>
        <w:jc w:val="both"/>
        <w:rPr>
          <w:sz w:val="15"/>
        </w:rPr>
        <w:sectPr>
          <w:type w:val="continuous"/>
          <w:pgSz w:w="12240" w:h="15840"/>
          <w:pgMar w:top="340" w:bottom="280" w:left="1140" w:right="340"/>
          <w:cols w:num="3" w:equalWidth="0">
            <w:col w:w="2960" w:space="40"/>
            <w:col w:w="3322" w:space="39"/>
            <w:col w:w="439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4529280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1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7"/>
        </w:rPr>
      </w:pPr>
    </w:p>
    <w:p>
      <w:pPr>
        <w:spacing w:before="59"/>
        <w:ind w:left="278" w:right="0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propia,</w:t>
      </w:r>
      <w:r>
        <w:rPr>
          <w:spacing w:val="-2"/>
          <w:sz w:val="20"/>
        </w:rPr>
        <w:t> </w:t>
      </w:r>
      <w:r>
        <w:rPr>
          <w:sz w:val="20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Heading3"/>
        <w:numPr>
          <w:ilvl w:val="1"/>
          <w:numId w:val="7"/>
        </w:numPr>
        <w:tabs>
          <w:tab w:pos="998" w:val="left" w:leader="none"/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129" w:id="191"/>
      <w:bookmarkEnd w:id="191"/>
      <w:r>
        <w:rPr>
          <w:b w:val="0"/>
        </w:rPr>
      </w:r>
      <w:bookmarkStart w:name="_bookmark129" w:id="192"/>
      <w:bookmarkEnd w:id="192"/>
      <w:r>
        <w:rPr>
          <w:color w:val="1F4E79"/>
        </w:rPr>
        <w:t>P</w:t>
      </w:r>
      <w:r>
        <w:rPr>
          <w:color w:val="1F4E79"/>
        </w:rPr>
        <w:t>ropuesta</w:t>
      </w:r>
      <w:r>
        <w:rPr>
          <w:color w:val="1F4E79"/>
          <w:spacing w:val="-7"/>
        </w:rPr>
        <w:t> </w:t>
      </w:r>
      <w:r>
        <w:rPr>
          <w:color w:val="1F4E79"/>
        </w:rPr>
        <w:t>de</w:t>
      </w:r>
      <w:r>
        <w:rPr>
          <w:color w:val="1F4E79"/>
          <w:spacing w:val="-4"/>
        </w:rPr>
        <w:t> </w:t>
      </w:r>
      <w:r>
        <w:rPr>
          <w:color w:val="1F4E79"/>
        </w:rPr>
        <w:t>Programa:</w:t>
      </w:r>
      <w:r>
        <w:rPr>
          <w:color w:val="1F4E79"/>
          <w:spacing w:val="-2"/>
        </w:rPr>
        <w:t> </w:t>
      </w:r>
      <w:r>
        <w:rPr>
          <w:color w:val="1F4E79"/>
        </w:rPr>
        <w:t>Permanencia</w:t>
      </w:r>
      <w:r>
        <w:rPr>
          <w:color w:val="1F4E79"/>
          <w:spacing w:val="-4"/>
        </w:rPr>
        <w:t> </w:t>
      </w:r>
      <w:r>
        <w:rPr>
          <w:color w:val="1F4E79"/>
        </w:rPr>
        <w:t>en</w:t>
      </w:r>
      <w:r>
        <w:rPr>
          <w:color w:val="1F4E79"/>
          <w:spacing w:val="-2"/>
        </w:rPr>
        <w:t> </w:t>
      </w:r>
      <w:r>
        <w:rPr>
          <w:color w:val="1F4E79"/>
        </w:rPr>
        <w:t>la</w:t>
      </w:r>
      <w:r>
        <w:rPr>
          <w:color w:val="1F4E79"/>
          <w:spacing w:val="-4"/>
        </w:rPr>
        <w:t> </w:t>
      </w:r>
      <w:r>
        <w:rPr>
          <w:color w:val="1F4E79"/>
        </w:rPr>
        <w:t>educación</w:t>
      </w:r>
    </w:p>
    <w:p>
      <w:pPr>
        <w:pStyle w:val="BodyText"/>
        <w:rPr>
          <w:b/>
          <w:sz w:val="24"/>
        </w:rPr>
      </w:pPr>
    </w:p>
    <w:p>
      <w:pPr>
        <w:spacing w:before="187"/>
        <w:ind w:left="278" w:right="1075" w:firstLine="0"/>
        <w:jc w:val="both"/>
        <w:rPr>
          <w:sz w:val="24"/>
        </w:rPr>
      </w:pPr>
      <w:r>
        <w:rPr>
          <w:sz w:val="24"/>
        </w:rPr>
        <w:t>El programa se encuentra orientado para los departamentos directamente relacionados a la</w:t>
      </w:r>
      <w:r>
        <w:rPr>
          <w:spacing w:val="1"/>
          <w:sz w:val="24"/>
        </w:rPr>
        <w:t> </w:t>
      </w:r>
      <w:r>
        <w:rPr>
          <w:sz w:val="24"/>
        </w:rPr>
        <w:t>permanencia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deserción</w:t>
      </w:r>
      <w:r>
        <w:rPr>
          <w:spacing w:val="-2"/>
          <w:sz w:val="24"/>
        </w:rPr>
        <w:t> </w:t>
      </w:r>
      <w:r>
        <w:rPr>
          <w:sz w:val="24"/>
        </w:rPr>
        <w:t>escolar</w:t>
      </w:r>
      <w:r>
        <w:rPr>
          <w:spacing w:val="-4"/>
          <w:sz w:val="24"/>
        </w:rPr>
        <w:t> </w:t>
      </w:r>
      <w:r>
        <w:rPr>
          <w:sz w:val="24"/>
        </w:rPr>
        <w:t>y sobre</w:t>
      </w:r>
      <w:r>
        <w:rPr>
          <w:spacing w:val="-5"/>
          <w:sz w:val="24"/>
        </w:rPr>
        <w:t> </w:t>
      </w:r>
      <w:r>
        <w:rPr>
          <w:sz w:val="24"/>
        </w:rPr>
        <w:t>todo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Nivel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Educación</w:t>
      </w:r>
      <w:r>
        <w:rPr>
          <w:spacing w:val="-2"/>
          <w:sz w:val="24"/>
        </w:rPr>
        <w:t> </w:t>
      </w:r>
      <w:r>
        <w:rPr>
          <w:sz w:val="24"/>
        </w:rPr>
        <w:t>Media:</w:t>
      </w:r>
      <w:r>
        <w:rPr>
          <w:spacing w:val="-3"/>
          <w:sz w:val="24"/>
        </w:rPr>
        <w:t> </w:t>
      </w:r>
      <w:r>
        <w:rPr>
          <w:sz w:val="24"/>
        </w:rPr>
        <w:t>Ciclo</w:t>
      </w:r>
      <w:r>
        <w:rPr>
          <w:spacing w:val="-1"/>
          <w:sz w:val="24"/>
        </w:rPr>
        <w:t> </w:t>
      </w:r>
      <w:r>
        <w:rPr>
          <w:sz w:val="24"/>
        </w:rPr>
        <w:t>Básico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52"/>
          <w:sz w:val="24"/>
        </w:rPr>
        <w:t> </w:t>
      </w:r>
      <w:r>
        <w:rPr>
          <w:sz w:val="24"/>
        </w:rPr>
        <w:t>Diversificado. Se proponen estrategias integrales para reducir la tasa de deserción y repitencia.</w:t>
      </w:r>
      <w:r>
        <w:rPr>
          <w:spacing w:val="1"/>
          <w:sz w:val="24"/>
        </w:rPr>
        <w:t> </w:t>
      </w:r>
      <w:r>
        <w:rPr>
          <w:sz w:val="24"/>
        </w:rPr>
        <w:t>Estas estrategias incluyen brindar transporte, ampliar la alimentación escolar, limitar el número</w:t>
      </w:r>
      <w:r>
        <w:rPr>
          <w:spacing w:val="1"/>
          <w:sz w:val="24"/>
        </w:rPr>
        <w:t> </w:t>
      </w:r>
      <w:r>
        <w:rPr>
          <w:sz w:val="24"/>
        </w:rPr>
        <w:t>de estudiantes por maestro, formación docente, ofrecer subsidios para estudiantes entrando en</w:t>
      </w:r>
      <w:r>
        <w:rPr>
          <w:spacing w:val="-52"/>
          <w:sz w:val="24"/>
        </w:rPr>
        <w:t> </w:t>
      </w:r>
      <w:r>
        <w:rPr>
          <w:sz w:val="24"/>
        </w:rPr>
        <w:t>educación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nivel</w:t>
      </w:r>
      <w:r>
        <w:rPr>
          <w:spacing w:val="1"/>
          <w:sz w:val="24"/>
        </w:rPr>
        <w:t> </w:t>
      </w:r>
      <w:r>
        <w:rPr>
          <w:sz w:val="24"/>
        </w:rPr>
        <w:t>medio,</w:t>
      </w:r>
      <w:r>
        <w:rPr>
          <w:spacing w:val="1"/>
          <w:sz w:val="24"/>
        </w:rPr>
        <w:t> </w:t>
      </w:r>
      <w:r>
        <w:rPr>
          <w:sz w:val="24"/>
        </w:rPr>
        <w:t>atención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niños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necesidades</w:t>
      </w:r>
      <w:r>
        <w:rPr>
          <w:spacing w:val="1"/>
          <w:sz w:val="24"/>
        </w:rPr>
        <w:t> </w:t>
      </w:r>
      <w:r>
        <w:rPr>
          <w:sz w:val="24"/>
        </w:rPr>
        <w:t>especiales,</w:t>
      </w:r>
      <w:r>
        <w:rPr>
          <w:spacing w:val="1"/>
          <w:sz w:val="24"/>
        </w:rPr>
        <w:t> </w:t>
      </w:r>
      <w:r>
        <w:rPr>
          <w:sz w:val="24"/>
        </w:rPr>
        <w:t>mejoramiento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ambientes</w:t>
      </w:r>
      <w:r>
        <w:rPr>
          <w:spacing w:val="-2"/>
          <w:sz w:val="24"/>
        </w:rPr>
        <w:t> </w:t>
      </w:r>
      <w:r>
        <w:rPr>
          <w:sz w:val="24"/>
        </w:rPr>
        <w:t>escolares,</w:t>
      </w:r>
      <w:r>
        <w:rPr>
          <w:spacing w:val="-2"/>
          <w:sz w:val="24"/>
        </w:rPr>
        <w:t> </w:t>
      </w:r>
      <w:r>
        <w:rPr>
          <w:sz w:val="24"/>
        </w:rPr>
        <w:t>entre</w:t>
      </w:r>
      <w:r>
        <w:rPr>
          <w:spacing w:val="1"/>
          <w:sz w:val="24"/>
        </w:rPr>
        <w:t> </w:t>
      </w:r>
      <w:r>
        <w:rPr>
          <w:sz w:val="24"/>
        </w:rPr>
        <w:t>otras.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pict>
          <v:rect style="position:absolute;margin-left:563.880005pt;margin-top:12.204362pt;width:25.44pt;height:1.4399pt;mso-position-horizontal-relative:page;mso-position-vertical-relative:paragraph;z-index:-1551206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106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type w:val="continuous"/>
          <w:pgSz w:w="12240" w:h="15840"/>
          <w:pgMar w:top="34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31328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2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</w:rPr>
      </w:pPr>
    </w:p>
    <w:tbl>
      <w:tblPr>
        <w:tblW w:w="0" w:type="auto"/>
        <w:jc w:val="left"/>
        <w:tblInd w:w="28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6"/>
        <w:gridCol w:w="7380"/>
      </w:tblGrid>
      <w:tr>
        <w:trPr>
          <w:trHeight w:val="489" w:hRule="atLeast"/>
        </w:trPr>
        <w:tc>
          <w:tcPr>
            <w:tcW w:w="9396" w:type="dxa"/>
            <w:gridSpan w:val="2"/>
            <w:tcBorders>
              <w:right w:val="single" w:sz="6" w:space="0" w:color="FFFFFF"/>
            </w:tcBorders>
            <w:shd w:val="clear" w:color="auto" w:fill="5B9BD4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Programa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Permanencia</w:t>
            </w:r>
          </w:p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Nivel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Educación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Media: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Ciclo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Básico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y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Diversificado</w:t>
            </w:r>
          </w:p>
        </w:tc>
      </w:tr>
      <w:tr>
        <w:trPr>
          <w:trHeight w:val="270" w:hRule="atLeast"/>
        </w:trPr>
        <w:tc>
          <w:tcPr>
            <w:tcW w:w="2016" w:type="dxa"/>
            <w:shd w:val="clear" w:color="auto" w:fill="5B9BD4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¿Cómo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es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abordado?</w:t>
            </w:r>
          </w:p>
        </w:tc>
        <w:tc>
          <w:tcPr>
            <w:tcW w:w="7380" w:type="dxa"/>
            <w:tcBorders>
              <w:right w:val="single" w:sz="6" w:space="0" w:color="FFFFFF"/>
            </w:tcBorders>
            <w:shd w:val="clear" w:color="auto" w:fill="BCD5ED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Proyectos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propuestas</w:t>
            </w:r>
          </w:p>
        </w:tc>
      </w:tr>
      <w:tr>
        <w:trPr>
          <w:trHeight w:val="1506" w:hRule="atLeast"/>
        </w:trPr>
        <w:tc>
          <w:tcPr>
            <w:tcW w:w="2016" w:type="dxa"/>
            <w:shd w:val="clear" w:color="auto" w:fill="5B9BD4"/>
          </w:tcPr>
          <w:p>
            <w:pPr>
              <w:pStyle w:val="TableParagraph"/>
              <w:spacing w:before="1"/>
              <w:ind w:left="107" w:right="27"/>
              <w:rPr>
                <w:sz w:val="20"/>
              </w:rPr>
            </w:pPr>
            <w:r>
              <w:rPr>
                <w:b/>
                <w:color w:val="FFFFFF"/>
                <w:sz w:val="20"/>
              </w:rPr>
              <w:t>Es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abordado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como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el</w:t>
            </w:r>
            <w:r>
              <w:rPr>
                <w:b/>
                <w:color w:val="FFFFFF"/>
                <w:spacing w:val="-4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subprograma </w:t>
            </w:r>
            <w:r>
              <w:rPr>
                <w:color w:val="FFFFFF"/>
                <w:sz w:val="20"/>
              </w:rPr>
              <w:t>"Acceso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z w:val="20"/>
              </w:rPr>
              <w:t>y permanencia"</w:t>
            </w:r>
          </w:p>
        </w:tc>
        <w:tc>
          <w:tcPr>
            <w:tcW w:w="7380" w:type="dxa"/>
            <w:tcBorders>
              <w:right w:val="single" w:sz="6" w:space="0" w:color="FFFFFF"/>
            </w:tcBorders>
            <w:shd w:val="clear" w:color="auto" w:fill="DEEAF6"/>
          </w:tcPr>
          <w:p>
            <w:pPr>
              <w:pStyle w:val="TableParagraph"/>
              <w:spacing w:line="244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Acceso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permanencia.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94" w:val="left" w:leader="none"/>
              </w:tabs>
              <w:spacing w:line="254" w:lineRule="exact" w:before="0" w:after="0"/>
              <w:ind w:left="393" w:right="0" w:hanging="229"/>
              <w:jc w:val="left"/>
              <w:rPr>
                <w:sz w:val="20"/>
              </w:rPr>
            </w:pPr>
            <w:r>
              <w:rPr>
                <w:sz w:val="20"/>
              </w:rPr>
              <w:t>Mantener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educación básica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alumnos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maestro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94" w:val="left" w:leader="none"/>
              </w:tabs>
              <w:spacing w:line="254" w:lineRule="exact" w:before="0" w:after="0"/>
              <w:ind w:left="393" w:right="0" w:hanging="229"/>
              <w:jc w:val="left"/>
              <w:rPr>
                <w:sz w:val="20"/>
              </w:rPr>
            </w:pPr>
            <w:r>
              <w:rPr>
                <w:sz w:val="20"/>
              </w:rPr>
              <w:t>Beneficiar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niños,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niñas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jóvenes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transporte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subsidio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transporte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escolar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94" w:val="left" w:leader="none"/>
              </w:tabs>
              <w:spacing w:line="254" w:lineRule="exact" w:before="0" w:after="0"/>
              <w:ind w:left="393" w:right="0" w:hanging="229"/>
              <w:jc w:val="left"/>
              <w:rPr>
                <w:sz w:val="20"/>
              </w:rPr>
            </w:pPr>
            <w:r>
              <w:rPr>
                <w:sz w:val="20"/>
              </w:rPr>
              <w:t>Establecer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programas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refuerzos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académicos.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94" w:val="left" w:leader="none"/>
              </w:tabs>
              <w:spacing w:line="240" w:lineRule="atLeast" w:before="0" w:after="0"/>
              <w:ind w:left="393" w:right="539" w:hanging="228"/>
              <w:jc w:val="left"/>
              <w:rPr>
                <w:sz w:val="20"/>
              </w:rPr>
            </w:pPr>
            <w:r>
              <w:rPr>
                <w:sz w:val="20"/>
              </w:rPr>
              <w:t>Monitorear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25%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establecimientos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educativos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(EE)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programas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refuerzos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académicos</w:t>
            </w:r>
          </w:p>
        </w:tc>
      </w:tr>
      <w:tr>
        <w:trPr>
          <w:trHeight w:val="4236" w:hRule="atLeast"/>
        </w:trPr>
        <w:tc>
          <w:tcPr>
            <w:tcW w:w="2016" w:type="dxa"/>
            <w:shd w:val="clear" w:color="auto" w:fill="5B9BD4"/>
          </w:tcPr>
          <w:p>
            <w:pPr>
              <w:pStyle w:val="TableParagraph"/>
              <w:spacing w:before="1"/>
              <w:ind w:left="107" w:right="92"/>
              <w:jc w:val="bot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Es abordado como el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programa "Acceso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y</w:t>
            </w:r>
            <w:r>
              <w:rPr>
                <w:b/>
                <w:color w:val="FFFFFF"/>
                <w:spacing w:val="-4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permanencia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</w:t>
            </w:r>
            <w:r>
              <w:rPr>
                <w:b/>
                <w:color w:val="FFFFFF"/>
                <w:spacing w:val="-4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equidad"</w:t>
            </w:r>
          </w:p>
        </w:tc>
        <w:tc>
          <w:tcPr>
            <w:tcW w:w="7380" w:type="dxa"/>
            <w:tcBorders>
              <w:right w:val="single" w:sz="6" w:space="0" w:color="FFFFFF"/>
            </w:tcBorders>
            <w:shd w:val="clear" w:color="auto" w:fill="BCD5ED"/>
          </w:tcPr>
          <w:p>
            <w:pPr>
              <w:pStyle w:val="TableParagraph"/>
              <w:spacing w:line="244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Acceso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permanencia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equidad.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94" w:val="left" w:leader="none"/>
              </w:tabs>
              <w:spacing w:line="240" w:lineRule="auto" w:before="0" w:after="0"/>
              <w:ind w:left="393" w:right="544" w:hanging="228"/>
              <w:jc w:val="left"/>
              <w:rPr>
                <w:sz w:val="20"/>
              </w:rPr>
            </w:pPr>
            <w:r>
              <w:rPr>
                <w:sz w:val="20"/>
              </w:rPr>
              <w:t>Aumentar la cobertura neta de niños y niñas y adolescentes, Nivel Medio: Ciclo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básico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ciclo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diversificado.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94" w:val="left" w:leader="none"/>
              </w:tabs>
              <w:spacing w:line="240" w:lineRule="auto" w:before="0" w:after="0"/>
              <w:ind w:left="393" w:right="544" w:hanging="228"/>
              <w:jc w:val="left"/>
              <w:rPr>
                <w:sz w:val="20"/>
              </w:rPr>
            </w:pPr>
            <w:r>
              <w:rPr>
                <w:sz w:val="20"/>
              </w:rPr>
              <w:t>Aumentar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atención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niños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niñas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adolescentes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Medio: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Ciclo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básico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ciclo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diversificado.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94" w:val="left" w:leader="none"/>
              </w:tabs>
              <w:spacing w:line="240" w:lineRule="auto" w:before="1" w:after="0"/>
              <w:ind w:left="393" w:right="544" w:hanging="228"/>
              <w:jc w:val="left"/>
              <w:rPr>
                <w:sz w:val="20"/>
              </w:rPr>
            </w:pPr>
            <w:r>
              <w:rPr>
                <w:sz w:val="20"/>
              </w:rPr>
              <w:t>Incrementar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20%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transporte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escolar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niños,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niñas,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adolescentes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jóvenes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 edad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matriculados en zonas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rurales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dispersas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94" w:val="left" w:leader="none"/>
              </w:tabs>
              <w:spacing w:line="240" w:lineRule="auto" w:before="0" w:after="0"/>
              <w:ind w:left="393" w:right="544" w:hanging="228"/>
              <w:jc w:val="left"/>
              <w:rPr>
                <w:sz w:val="20"/>
              </w:rPr>
            </w:pPr>
            <w:r>
              <w:rPr>
                <w:sz w:val="20"/>
              </w:rPr>
              <w:t>Incrementar en un 20% la cobertura de niños, niñas, adolescentes y jóvenes en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edad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escolar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matriculados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atendidos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programa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alimentación escolar.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94" w:val="left" w:leader="none"/>
              </w:tabs>
              <w:spacing w:line="240" w:lineRule="auto" w:before="0" w:after="0"/>
              <w:ind w:left="393" w:right="542" w:hanging="228"/>
              <w:jc w:val="left"/>
              <w:rPr>
                <w:sz w:val="20"/>
              </w:rPr>
            </w:pPr>
            <w:r>
              <w:rPr>
                <w:sz w:val="20"/>
              </w:rPr>
              <w:t>Comprometer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100%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aliados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estratégicos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otorgamiento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subsidios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apoyo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bachilleres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alto nivel académico.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94" w:val="left" w:leader="none"/>
              </w:tabs>
              <w:spacing w:line="240" w:lineRule="auto" w:before="0" w:after="0"/>
              <w:ind w:left="393" w:right="542" w:hanging="228"/>
              <w:jc w:val="left"/>
              <w:rPr>
                <w:sz w:val="20"/>
              </w:rPr>
            </w:pPr>
            <w:r>
              <w:rPr>
                <w:sz w:val="20"/>
              </w:rPr>
              <w:t>Aumentar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cobertura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beneficiados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subsidios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(becas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bolsas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escolares)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94" w:val="left" w:leader="none"/>
              </w:tabs>
              <w:spacing w:line="240" w:lineRule="auto" w:before="0" w:after="0"/>
              <w:ind w:left="393" w:right="544" w:hanging="228"/>
              <w:jc w:val="left"/>
              <w:rPr>
                <w:sz w:val="20"/>
              </w:rPr>
            </w:pPr>
            <w:r>
              <w:rPr>
                <w:sz w:val="20"/>
              </w:rPr>
              <w:t>Implementar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niños,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niñas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jóvenes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condiciones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discapacidad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vulnerabilidad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94" w:val="left" w:leader="none"/>
              </w:tabs>
              <w:spacing w:line="240" w:lineRule="atLeast" w:before="0" w:after="0"/>
              <w:ind w:left="393" w:right="544" w:hanging="228"/>
              <w:jc w:val="left"/>
              <w:rPr>
                <w:sz w:val="20"/>
              </w:rPr>
            </w:pPr>
            <w:r>
              <w:rPr>
                <w:sz w:val="20"/>
              </w:rPr>
              <w:t>Capacitar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docentes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Medio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cuidado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cariñoso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sensible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atención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niños,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niñas y jóvenes.</w:t>
            </w:r>
          </w:p>
        </w:tc>
      </w:tr>
      <w:tr>
        <w:trPr>
          <w:trHeight w:val="5053" w:hRule="atLeast"/>
        </w:trPr>
        <w:tc>
          <w:tcPr>
            <w:tcW w:w="2016" w:type="dxa"/>
            <w:shd w:val="clear" w:color="auto" w:fill="5B9BD4"/>
          </w:tcPr>
          <w:p>
            <w:pPr>
              <w:pStyle w:val="TableParagraph"/>
              <w:tabs>
                <w:tab w:pos="1701" w:val="left" w:leader="none"/>
              </w:tabs>
              <w:ind w:left="107" w:right="93"/>
              <w:jc w:val="bot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Es abordado como 2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indicadores</w:t>
              <w:tab/>
            </w:r>
            <w:r>
              <w:rPr>
                <w:b/>
                <w:color w:val="FFFFFF"/>
                <w:spacing w:val="-2"/>
                <w:sz w:val="20"/>
              </w:rPr>
              <w:t>de</w:t>
            </w:r>
            <w:r>
              <w:rPr>
                <w:b/>
                <w:color w:val="FFFFFF"/>
                <w:spacing w:val="-4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resultado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1. </w:t>
            </w:r>
            <w:r>
              <w:rPr>
                <w:color w:val="FFFFFF"/>
                <w:sz w:val="20"/>
              </w:rPr>
              <w:t>Tasa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z w:val="20"/>
              </w:rPr>
              <w:t>de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z w:val="20"/>
              </w:rPr>
              <w:t>repitencia y deserción</w:t>
            </w:r>
            <w:r>
              <w:rPr>
                <w:color w:val="FFFFFF"/>
                <w:spacing w:val="-43"/>
                <w:sz w:val="20"/>
              </w:rPr>
              <w:t> </w:t>
            </w:r>
            <w:r>
              <w:rPr>
                <w:color w:val="FFFFFF"/>
                <w:sz w:val="20"/>
              </w:rPr>
              <w:t>en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educación media</w:t>
            </w:r>
            <w:r>
              <w:rPr>
                <w:b/>
                <w:color w:val="FFFFFF"/>
                <w:sz w:val="20"/>
              </w:rPr>
              <w:t>.</w:t>
            </w:r>
          </w:p>
        </w:tc>
        <w:tc>
          <w:tcPr>
            <w:tcW w:w="7380" w:type="dxa"/>
            <w:tcBorders>
              <w:right w:val="single" w:sz="6" w:space="0" w:color="FFFFFF"/>
            </w:tcBorders>
            <w:shd w:val="clear" w:color="auto" w:fill="DEEAF6"/>
          </w:tcPr>
          <w:p>
            <w:pPr>
              <w:pStyle w:val="TableParagraph"/>
              <w:spacing w:line="244" w:lineRule="exact"/>
              <w:ind w:left="107"/>
              <w:rPr>
                <w:sz w:val="20"/>
              </w:rPr>
            </w:pPr>
            <w:r>
              <w:rPr>
                <w:sz w:val="20"/>
              </w:rPr>
              <w:t>Tasa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repitencia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deserción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Medio: Ciclo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básico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ciclo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diversificado.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94" w:val="left" w:leader="none"/>
              </w:tabs>
              <w:spacing w:line="254" w:lineRule="exact" w:before="0" w:after="0"/>
              <w:ind w:left="393" w:right="0" w:hanging="287"/>
              <w:jc w:val="lef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Mejorar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ambientes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Escolares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94" w:val="left" w:leader="none"/>
              </w:tabs>
              <w:spacing w:line="254" w:lineRule="exact" w:before="0" w:after="0"/>
              <w:ind w:left="393" w:right="0" w:hanging="287"/>
              <w:jc w:val="lef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Garantizar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alimentación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escolar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94" w:val="left" w:leader="none"/>
              </w:tabs>
              <w:spacing w:line="254" w:lineRule="exact" w:before="0" w:after="0"/>
              <w:ind w:left="393" w:right="0" w:hanging="287"/>
              <w:jc w:val="lef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Brindar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trasporte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escolar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94" w:val="left" w:leader="none"/>
              </w:tabs>
              <w:spacing w:line="240" w:lineRule="auto" w:before="0" w:after="0"/>
              <w:ind w:left="393" w:right="0" w:hanging="287"/>
              <w:jc w:val="lef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Estabilizar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cuerpo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docente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94" w:val="left" w:leader="none"/>
              </w:tabs>
              <w:spacing w:line="255" w:lineRule="exact" w:before="2" w:after="0"/>
              <w:ind w:left="393" w:right="0" w:hanging="287"/>
              <w:jc w:val="lef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Implementación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Modelos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Flexibles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94" w:val="left" w:leader="none"/>
              </w:tabs>
              <w:spacing w:line="254" w:lineRule="exact" w:before="0" w:after="0"/>
              <w:ind w:left="393" w:right="0" w:hanging="287"/>
              <w:jc w:val="lef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Implementación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escuelas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padres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94" w:val="left" w:leader="none"/>
              </w:tabs>
              <w:spacing w:line="254" w:lineRule="exact" w:before="0" w:after="0"/>
              <w:ind w:left="393" w:right="0" w:hanging="287"/>
              <w:jc w:val="lef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Incrementar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programas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lecturas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escritura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94" w:val="left" w:leader="none"/>
              </w:tabs>
              <w:spacing w:line="254" w:lineRule="exact" w:before="0" w:after="0"/>
              <w:ind w:left="393" w:right="0" w:hanging="287"/>
              <w:jc w:val="lef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Formación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docentes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estándares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competencias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básicas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calidad.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94" w:val="left" w:leader="none"/>
              </w:tabs>
              <w:spacing w:line="254" w:lineRule="exact" w:before="0" w:after="0"/>
              <w:ind w:left="393" w:right="0" w:hanging="287"/>
              <w:jc w:val="lef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Apropiación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medios 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nuevas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tecnologías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aula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94" w:val="left" w:leader="none"/>
              </w:tabs>
              <w:spacing w:line="240" w:lineRule="auto" w:before="0" w:after="0"/>
              <w:ind w:left="393" w:right="0" w:hanging="287"/>
              <w:jc w:val="lef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Realización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Educativos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Departamentales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93" w:val="left" w:leader="none"/>
                <w:tab w:pos="394" w:val="left" w:leader="none"/>
              </w:tabs>
              <w:spacing w:line="244" w:lineRule="exact" w:before="1" w:after="0"/>
              <w:ind w:left="393" w:right="0" w:hanging="287"/>
              <w:jc w:val="left"/>
              <w:rPr>
                <w:rFonts w:ascii="Symbol" w:hAnsi="Symbol"/>
                <w:sz w:val="14"/>
              </w:rPr>
            </w:pPr>
            <w:r>
              <w:rPr>
                <w:sz w:val="20"/>
              </w:rPr>
              <w:t>Articulación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educación primaria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media.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94" w:val="left" w:leader="none"/>
              </w:tabs>
              <w:spacing w:line="254" w:lineRule="exact" w:before="0" w:after="0"/>
              <w:ind w:left="393" w:right="0" w:hanging="287"/>
              <w:jc w:val="lef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Implementación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escuelas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padres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madres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institución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educativa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94" w:val="left" w:leader="none"/>
              </w:tabs>
              <w:spacing w:line="240" w:lineRule="auto" w:before="0" w:after="0"/>
              <w:ind w:left="393" w:right="544" w:hanging="287"/>
              <w:jc w:val="lef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Fortalecimiento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calidad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atención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integral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infancia,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adolescencia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juventud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94" w:val="left" w:leader="none"/>
              </w:tabs>
              <w:spacing w:line="240" w:lineRule="auto" w:before="0" w:after="0"/>
              <w:ind w:left="393" w:right="542" w:hanging="287"/>
              <w:jc w:val="lef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Dotación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insumos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partir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convenios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cooperación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internacional,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cooperativas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Alianzas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Privadas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94" w:val="left" w:leader="none"/>
              </w:tabs>
              <w:spacing w:line="255" w:lineRule="exact" w:before="0" w:after="0"/>
              <w:ind w:left="393" w:right="0" w:hanging="287"/>
              <w:jc w:val="lef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Coordinar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OFP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94" w:val="left" w:leader="none"/>
              </w:tabs>
              <w:spacing w:line="254" w:lineRule="exact" w:before="0" w:after="0"/>
              <w:ind w:left="393" w:right="0" w:hanging="287"/>
              <w:jc w:val="lef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Establecimientos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planes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 mejoramiento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través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análisis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resultados.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94" w:val="left" w:leader="none"/>
              </w:tabs>
              <w:spacing w:line="236" w:lineRule="exact" w:before="0" w:after="0"/>
              <w:ind w:left="393" w:right="0" w:hanging="287"/>
              <w:jc w:val="lef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estudios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modelos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pedagógicos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7"/>
        </w:rPr>
      </w:pPr>
      <w:r>
        <w:rPr/>
        <w:pict>
          <v:rect style="position:absolute;margin-left:563.880005pt;margin-top:12.299029pt;width:25.44pt;height:1.4399pt;mso-position-horizontal-relative:page;mso-position-vertical-relative:paragraph;z-index:-1551001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312" w:lineRule="exact" w:before="0" w:after="22"/>
        <w:ind w:left="0" w:right="123" w:firstLine="0"/>
        <w:jc w:val="right"/>
        <w:rPr>
          <w:rFonts w:ascii="Arial MT"/>
          <w:sz w:val="28"/>
        </w:rPr>
      </w:pPr>
      <w:r>
        <w:rPr>
          <w:rFonts w:ascii="Arial MT"/>
          <w:sz w:val="28"/>
        </w:rPr>
        <w:t>107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32864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2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</w:rPr>
      </w:pPr>
    </w:p>
    <w:tbl>
      <w:tblPr>
        <w:tblW w:w="0" w:type="auto"/>
        <w:jc w:val="left"/>
        <w:tblInd w:w="28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6"/>
        <w:gridCol w:w="7380"/>
      </w:tblGrid>
      <w:tr>
        <w:trPr>
          <w:trHeight w:val="1528" w:hRule="atLeast"/>
        </w:trPr>
        <w:tc>
          <w:tcPr>
            <w:tcW w:w="2016" w:type="dxa"/>
            <w:shd w:val="clear" w:color="auto" w:fill="5B9B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80" w:type="dxa"/>
            <w:tcBorders>
              <w:right w:val="single" w:sz="6" w:space="0" w:color="FFFFFF"/>
            </w:tcBorders>
            <w:shd w:val="clear" w:color="auto" w:fill="DEEAF6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394" w:val="left" w:leader="none"/>
              </w:tabs>
              <w:spacing w:line="255" w:lineRule="exact" w:before="0" w:after="0"/>
              <w:ind w:left="393" w:right="0" w:hanging="287"/>
              <w:jc w:val="left"/>
              <w:rPr>
                <w:sz w:val="20"/>
              </w:rPr>
            </w:pPr>
            <w:r>
              <w:rPr>
                <w:sz w:val="20"/>
              </w:rPr>
              <w:t>Analizar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planes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territoriales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formación docente.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94" w:val="left" w:leader="none"/>
              </w:tabs>
              <w:spacing w:line="240" w:lineRule="auto" w:before="0" w:after="0"/>
              <w:ind w:left="393" w:right="0" w:hanging="287"/>
              <w:jc w:val="left"/>
              <w:rPr>
                <w:sz w:val="20"/>
              </w:rPr>
            </w:pPr>
            <w:r>
              <w:rPr>
                <w:sz w:val="20"/>
              </w:rPr>
              <w:t>Incorporación 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calidad 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práctica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docente.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94" w:val="left" w:leader="none"/>
              </w:tabs>
              <w:spacing w:line="255" w:lineRule="exact" w:before="2" w:after="0"/>
              <w:ind w:left="393" w:right="0" w:hanging="287"/>
              <w:jc w:val="left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instituciones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educativas.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94" w:val="left" w:leader="none"/>
              </w:tabs>
              <w:spacing w:line="254" w:lineRule="exact" w:before="0" w:after="0"/>
              <w:ind w:left="393" w:right="0" w:hanging="287"/>
              <w:jc w:val="left"/>
              <w:rPr>
                <w:sz w:val="20"/>
              </w:rPr>
            </w:pPr>
            <w:r>
              <w:rPr>
                <w:sz w:val="20"/>
              </w:rPr>
              <w:t>Implementación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jornadas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lúdicas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94" w:val="left" w:leader="none"/>
              </w:tabs>
              <w:spacing w:line="254" w:lineRule="exact" w:before="0" w:after="0"/>
              <w:ind w:left="393" w:right="0" w:hanging="287"/>
              <w:jc w:val="left"/>
              <w:rPr>
                <w:sz w:val="20"/>
              </w:rPr>
            </w:pPr>
            <w:r>
              <w:rPr>
                <w:sz w:val="20"/>
              </w:rPr>
              <w:t>Entregas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materiales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didácticos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94" w:val="left" w:leader="none"/>
              </w:tabs>
              <w:spacing w:line="233" w:lineRule="exact" w:before="0" w:after="0"/>
              <w:ind w:left="393" w:right="0" w:hanging="287"/>
              <w:jc w:val="left"/>
              <w:rPr>
                <w:sz w:val="20"/>
              </w:rPr>
            </w:pPr>
            <w:r>
              <w:rPr>
                <w:sz w:val="20"/>
              </w:rPr>
              <w:t>Formación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docentes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estándares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competencias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básicas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calidad.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3"/>
        </w:rPr>
      </w:pPr>
      <w:r>
        <w:rPr/>
        <w:pict>
          <v:rect style="position:absolute;margin-left:563.880005pt;margin-top:9.821999pt;width:25.44pt;height:1.4399pt;mso-position-horizontal-relative:page;mso-position-vertical-relative:paragraph;z-index:-1550848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108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34400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2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0"/>
          <w:numId w:val="7"/>
        </w:numPr>
        <w:tabs>
          <w:tab w:pos="639" w:val="left" w:leader="none"/>
        </w:tabs>
        <w:spacing w:line="240" w:lineRule="auto" w:before="52" w:after="0"/>
        <w:ind w:left="638" w:right="0" w:hanging="361"/>
        <w:jc w:val="left"/>
      </w:pPr>
      <w:bookmarkStart w:name="_bookmark130" w:id="193"/>
      <w:bookmarkEnd w:id="193"/>
      <w:r>
        <w:rPr>
          <w:b w:val="0"/>
        </w:rPr>
      </w:r>
      <w:bookmarkStart w:name="_bookmark130" w:id="194"/>
      <w:bookmarkEnd w:id="194"/>
      <w:r>
        <w:rPr>
          <w:color w:val="1F4E79"/>
        </w:rPr>
        <w:t>Bib</w:t>
      </w:r>
      <w:r>
        <w:rPr>
          <w:color w:val="1F4E79"/>
        </w:rPr>
        <w:t>liografía</w:t>
      </w:r>
    </w:p>
    <w:p>
      <w:pPr>
        <w:pStyle w:val="BodyText"/>
        <w:spacing w:before="8"/>
        <w:rPr>
          <w:b/>
          <w:sz w:val="29"/>
        </w:rPr>
      </w:pPr>
    </w:p>
    <w:p>
      <w:pPr>
        <w:spacing w:line="243" w:lineRule="exact" w:before="0"/>
        <w:ind w:left="278" w:right="0" w:firstLine="0"/>
        <w:jc w:val="left"/>
        <w:rPr>
          <w:sz w:val="20"/>
        </w:rPr>
      </w:pPr>
      <w:r>
        <w:rPr>
          <w:sz w:val="20"/>
        </w:rPr>
        <w:t>Boletín</w:t>
      </w:r>
      <w:r>
        <w:rPr>
          <w:spacing w:val="-4"/>
          <w:sz w:val="20"/>
        </w:rPr>
        <w:t> </w:t>
      </w:r>
      <w:r>
        <w:rPr>
          <w:sz w:val="20"/>
        </w:rPr>
        <w:t>Conred</w:t>
      </w:r>
    </w:p>
    <w:p>
      <w:pPr>
        <w:spacing w:before="0"/>
        <w:ind w:left="278" w:right="1216" w:firstLine="0"/>
        <w:jc w:val="left"/>
        <w:rPr>
          <w:sz w:val="24"/>
        </w:rPr>
      </w:pPr>
      <w:hyperlink r:id="rId124">
        <w:r>
          <w:rPr>
            <w:spacing w:val="-1"/>
            <w:sz w:val="24"/>
          </w:rPr>
          <w:t>https://conred.gob.gt/continua-proceso-de-evaluaciones-en-danos-a-viviendas-afectadas-tras-</w:t>
        </w:r>
      </w:hyperlink>
      <w:r>
        <w:rPr>
          <w:sz w:val="24"/>
        </w:rPr>
        <w:t> </w:t>
      </w:r>
      <w:hyperlink r:id="rId124">
        <w:r>
          <w:rPr>
            <w:sz w:val="24"/>
          </w:rPr>
          <w:t>el-paso-de-eta-e-iota-por-el-pais/</w:t>
        </w:r>
      </w:hyperlink>
    </w:p>
    <w:p>
      <w:pPr>
        <w:pStyle w:val="BodyText"/>
        <w:spacing w:before="11"/>
        <w:rPr>
          <w:sz w:val="19"/>
        </w:rPr>
      </w:pPr>
    </w:p>
    <w:p>
      <w:pPr>
        <w:spacing w:before="0"/>
        <w:ind w:left="278" w:right="1061" w:firstLine="0"/>
        <w:jc w:val="left"/>
        <w:rPr>
          <w:sz w:val="20"/>
        </w:rPr>
      </w:pPr>
      <w:r>
        <w:rPr>
          <w:sz w:val="20"/>
        </w:rPr>
        <w:t>Cavoukian,</w:t>
      </w:r>
      <w:r>
        <w:rPr>
          <w:spacing w:val="-6"/>
          <w:sz w:val="20"/>
        </w:rPr>
        <w:t> </w:t>
      </w:r>
      <w:r>
        <w:rPr>
          <w:sz w:val="20"/>
        </w:rPr>
        <w:t>R.</w:t>
      </w:r>
      <w:r>
        <w:rPr>
          <w:spacing w:val="-5"/>
          <w:sz w:val="20"/>
        </w:rPr>
        <w:t> </w:t>
      </w:r>
      <w:r>
        <w:rPr>
          <w:sz w:val="20"/>
        </w:rPr>
        <w:t>(2018).</w:t>
      </w:r>
      <w:r>
        <w:rPr>
          <w:spacing w:val="-5"/>
          <w:sz w:val="20"/>
        </w:rPr>
        <w:t> </w:t>
      </w:r>
      <w:r>
        <w:rPr>
          <w:sz w:val="20"/>
        </w:rPr>
        <w:t>El</w:t>
      </w:r>
      <w:r>
        <w:rPr>
          <w:spacing w:val="-5"/>
          <w:sz w:val="20"/>
        </w:rPr>
        <w:t> </w:t>
      </w:r>
      <w:r>
        <w:rPr>
          <w:sz w:val="20"/>
        </w:rPr>
        <w:t>cuidado</w:t>
      </w:r>
      <w:r>
        <w:rPr>
          <w:spacing w:val="-6"/>
          <w:sz w:val="20"/>
        </w:rPr>
        <w:t> </w:t>
      </w:r>
      <w:r>
        <w:rPr>
          <w:sz w:val="20"/>
        </w:rPr>
        <w:t>cariñoso</w:t>
      </w:r>
      <w:r>
        <w:rPr>
          <w:spacing w:val="-5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sensible</w:t>
      </w:r>
      <w:r>
        <w:rPr>
          <w:spacing w:val="-6"/>
          <w:sz w:val="20"/>
        </w:rPr>
        <w:t> </w:t>
      </w:r>
      <w:r>
        <w:rPr>
          <w:sz w:val="20"/>
        </w:rPr>
        <w:t>para</w:t>
      </w:r>
      <w:r>
        <w:rPr>
          <w:spacing w:val="-5"/>
          <w:sz w:val="20"/>
        </w:rPr>
        <w:t> </w:t>
      </w:r>
      <w:r>
        <w:rPr>
          <w:sz w:val="20"/>
        </w:rPr>
        <w:t>el</w:t>
      </w:r>
      <w:r>
        <w:rPr>
          <w:spacing w:val="-5"/>
          <w:sz w:val="20"/>
        </w:rPr>
        <w:t> </w:t>
      </w:r>
      <w:r>
        <w:rPr>
          <w:sz w:val="20"/>
        </w:rPr>
        <w:t>desarrollo</w:t>
      </w:r>
      <w:r>
        <w:rPr>
          <w:spacing w:val="-6"/>
          <w:sz w:val="20"/>
        </w:rPr>
        <w:t> </w:t>
      </w:r>
      <w:r>
        <w:rPr>
          <w:sz w:val="20"/>
        </w:rPr>
        <w:t>en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primera</w:t>
      </w:r>
      <w:r>
        <w:rPr>
          <w:spacing w:val="-5"/>
          <w:sz w:val="20"/>
        </w:rPr>
        <w:t> </w:t>
      </w:r>
      <w:r>
        <w:rPr>
          <w:sz w:val="20"/>
        </w:rPr>
        <w:t>infancia:</w:t>
      </w:r>
      <w:r>
        <w:rPr>
          <w:spacing w:val="-6"/>
          <w:sz w:val="20"/>
        </w:rPr>
        <w:t> </w:t>
      </w:r>
      <w:r>
        <w:rPr>
          <w:sz w:val="20"/>
        </w:rPr>
        <w:t>Un</w:t>
      </w:r>
      <w:r>
        <w:rPr>
          <w:spacing w:val="-6"/>
          <w:sz w:val="20"/>
        </w:rPr>
        <w:t> </w:t>
      </w:r>
      <w:r>
        <w:rPr>
          <w:sz w:val="20"/>
        </w:rPr>
        <w:t>marco</w:t>
      </w:r>
      <w:r>
        <w:rPr>
          <w:spacing w:val="-5"/>
          <w:sz w:val="20"/>
        </w:rPr>
        <w:t> </w:t>
      </w:r>
      <w:r>
        <w:rPr>
          <w:sz w:val="20"/>
        </w:rPr>
        <w:t>mundial</w:t>
      </w:r>
      <w:r>
        <w:rPr>
          <w:spacing w:val="-5"/>
          <w:sz w:val="20"/>
        </w:rPr>
        <w:t> </w:t>
      </w:r>
      <w:r>
        <w:rPr>
          <w:sz w:val="20"/>
        </w:rPr>
        <w:t>para</w:t>
      </w:r>
      <w:r>
        <w:rPr>
          <w:spacing w:val="-42"/>
          <w:sz w:val="20"/>
        </w:rPr>
        <w:t> </w:t>
      </w:r>
      <w:r>
        <w:rPr>
          <w:sz w:val="20"/>
        </w:rPr>
        <w:t>lograr</w:t>
      </w:r>
      <w:r>
        <w:rPr>
          <w:spacing w:val="-1"/>
          <w:sz w:val="20"/>
        </w:rPr>
        <w:t> </w:t>
      </w:r>
      <w:r>
        <w:rPr>
          <w:sz w:val="20"/>
        </w:rPr>
        <w:t>la acción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resultados.</w:t>
      </w:r>
      <w:r>
        <w:rPr>
          <w:spacing w:val="4"/>
          <w:sz w:val="20"/>
        </w:rPr>
        <w:t> </w:t>
      </w:r>
      <w:r>
        <w:rPr>
          <w:sz w:val="20"/>
        </w:rPr>
        <w:t>OMS-UNICEF.</w:t>
      </w:r>
    </w:p>
    <w:p>
      <w:pPr>
        <w:spacing w:before="2"/>
        <w:ind w:left="278" w:right="0" w:firstLine="0"/>
        <w:jc w:val="left"/>
        <w:rPr>
          <w:sz w:val="20"/>
        </w:rPr>
      </w:pPr>
      <w:hyperlink r:id="rId125">
        <w:r>
          <w:rPr>
            <w:color w:val="0000FF"/>
            <w:sz w:val="20"/>
            <w:u w:val="single" w:color="0000FF"/>
          </w:rPr>
          <w:t>https://www.who.int/maternal_child_adolescent/child/nurturing-care-framework-first-consultation-es.pdf</w:t>
        </w:r>
      </w:hyperlink>
    </w:p>
    <w:p>
      <w:pPr>
        <w:pStyle w:val="BodyText"/>
        <w:spacing w:before="1"/>
        <w:rPr>
          <w:sz w:val="15"/>
        </w:rPr>
      </w:pPr>
    </w:p>
    <w:p>
      <w:pPr>
        <w:tabs>
          <w:tab w:pos="3264" w:val="left" w:leader="none"/>
          <w:tab w:pos="5782" w:val="left" w:leader="none"/>
          <w:tab w:pos="8825" w:val="left" w:leader="none"/>
        </w:tabs>
        <w:spacing w:line="243" w:lineRule="exact" w:before="59"/>
        <w:ind w:left="278" w:right="0" w:firstLine="0"/>
        <w:jc w:val="left"/>
        <w:rPr>
          <w:sz w:val="20"/>
        </w:rPr>
      </w:pPr>
      <w:r>
        <w:rPr>
          <w:sz w:val="20"/>
        </w:rPr>
        <w:t>Glosario</w:t>
        <w:tab/>
        <w:t>de</w:t>
        <w:tab/>
        <w:t>términos</w:t>
        <w:tab/>
        <w:t>MINEDUC,</w:t>
      </w:r>
    </w:p>
    <w:p>
      <w:pPr>
        <w:spacing w:line="292" w:lineRule="exact" w:before="0"/>
        <w:ind w:left="278" w:right="0" w:firstLine="0"/>
        <w:jc w:val="left"/>
        <w:rPr>
          <w:sz w:val="24"/>
        </w:rPr>
      </w:pPr>
      <w:hyperlink r:id="rId126">
        <w:r>
          <w:rPr>
            <w:sz w:val="24"/>
          </w:rPr>
          <w:t>https://www.mineduc.gob.gt/estadistica/2012/data/index_anexo.html</w:t>
        </w:r>
      </w:hyperlink>
    </w:p>
    <w:p>
      <w:pPr>
        <w:pStyle w:val="BodyText"/>
        <w:spacing w:before="3"/>
        <w:rPr>
          <w:sz w:val="20"/>
        </w:rPr>
      </w:pPr>
    </w:p>
    <w:p>
      <w:pPr>
        <w:spacing w:line="480" w:lineRule="auto" w:before="0"/>
        <w:ind w:left="278" w:right="1061" w:firstLine="0"/>
        <w:jc w:val="left"/>
        <w:rPr>
          <w:sz w:val="20"/>
        </w:rPr>
      </w:pPr>
      <w:r>
        <w:rPr>
          <w:sz w:val="20"/>
        </w:rPr>
        <w:t>Indicadores de Cobertura Bruta y Neta, por nivel, sexo, departamento y municipio preliminar 2021 MINEDUC</w:t>
      </w:r>
      <w:r>
        <w:rPr>
          <w:spacing w:val="1"/>
          <w:sz w:val="20"/>
        </w:rPr>
        <w:t> </w:t>
      </w:r>
      <w:r>
        <w:rPr>
          <w:sz w:val="20"/>
        </w:rPr>
        <w:t>Indicadores de Cobertura Bruta y Neta, por nivel, sexo, departamento y municipio preliminar 2018 - 2021 MINEDUC</w:t>
      </w:r>
      <w:r>
        <w:rPr>
          <w:spacing w:val="-44"/>
          <w:sz w:val="20"/>
        </w:rPr>
        <w:t> </w:t>
      </w:r>
      <w:r>
        <w:rPr>
          <w:sz w:val="20"/>
        </w:rPr>
        <w:t>Inscritos</w:t>
      </w:r>
      <w:r>
        <w:rPr>
          <w:spacing w:val="-3"/>
          <w:sz w:val="20"/>
        </w:rPr>
        <w:t> </w:t>
      </w:r>
      <w:r>
        <w:rPr>
          <w:sz w:val="20"/>
        </w:rPr>
        <w:t>por Pueblo 2018-2021</w:t>
      </w:r>
      <w:r>
        <w:rPr>
          <w:spacing w:val="-1"/>
          <w:sz w:val="20"/>
        </w:rPr>
        <w:t> </w:t>
      </w:r>
      <w:r>
        <w:rPr>
          <w:sz w:val="20"/>
        </w:rPr>
        <w:t>MINEDUC</w:t>
      </w:r>
    </w:p>
    <w:p>
      <w:pPr>
        <w:spacing w:line="243" w:lineRule="exact" w:before="0"/>
        <w:ind w:left="278" w:right="0" w:firstLine="0"/>
        <w:jc w:val="left"/>
        <w:rPr>
          <w:sz w:val="20"/>
        </w:rPr>
      </w:pPr>
      <w:r>
        <w:rPr>
          <w:sz w:val="20"/>
        </w:rPr>
        <w:t>Inscritos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Pueblo</w:t>
      </w:r>
      <w:r>
        <w:rPr>
          <w:spacing w:val="-2"/>
          <w:sz w:val="20"/>
        </w:rPr>
        <w:t> </w:t>
      </w:r>
      <w:r>
        <w:rPr>
          <w:sz w:val="20"/>
        </w:rPr>
        <w:t>2018-2021</w:t>
      </w:r>
      <w:r>
        <w:rPr>
          <w:spacing w:val="-3"/>
          <w:sz w:val="20"/>
        </w:rPr>
        <w:t> </w:t>
      </w:r>
      <w:r>
        <w:rPr>
          <w:sz w:val="20"/>
        </w:rPr>
        <w:t>versión</w:t>
      </w:r>
      <w:r>
        <w:rPr>
          <w:spacing w:val="-1"/>
          <w:sz w:val="20"/>
        </w:rPr>
        <w:t> </w:t>
      </w:r>
      <w:r>
        <w:rPr>
          <w:sz w:val="20"/>
        </w:rPr>
        <w:t>2</w:t>
      </w:r>
      <w:r>
        <w:rPr>
          <w:spacing w:val="-1"/>
          <w:sz w:val="20"/>
        </w:rPr>
        <w:t> </w:t>
      </w:r>
      <w:r>
        <w:rPr>
          <w:sz w:val="20"/>
        </w:rPr>
        <w:t>MINEDUC</w:t>
      </w:r>
    </w:p>
    <w:p>
      <w:pPr>
        <w:spacing w:line="480" w:lineRule="atLeast" w:before="9"/>
        <w:ind w:left="278" w:right="6186" w:firstLine="0"/>
        <w:jc w:val="left"/>
        <w:rPr>
          <w:sz w:val="20"/>
        </w:rPr>
      </w:pPr>
      <w:r>
        <w:rPr>
          <w:sz w:val="20"/>
        </w:rPr>
        <w:t>Inscritos por Pueblo y por Área 2018-2021 MINEDUC</w:t>
      </w:r>
      <w:r>
        <w:rPr>
          <w:spacing w:val="-44"/>
          <w:sz w:val="20"/>
        </w:rPr>
        <w:t> </w:t>
      </w:r>
      <w:r>
        <w:rPr>
          <w:sz w:val="20"/>
        </w:rPr>
        <w:t>Mapeo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Datos</w:t>
      </w:r>
    </w:p>
    <w:p>
      <w:pPr>
        <w:spacing w:before="7"/>
        <w:ind w:left="278" w:right="0" w:firstLine="0"/>
        <w:jc w:val="left"/>
        <w:rPr>
          <w:sz w:val="24"/>
        </w:rPr>
      </w:pPr>
      <w:hyperlink r:id="rId127">
        <w:r>
          <w:rPr>
            <w:sz w:val="24"/>
          </w:rPr>
          <w:t>https://towardsdatascience.com/mapping-geograph-data-in-python-610a963d2d7f</w:t>
        </w:r>
      </w:hyperlink>
    </w:p>
    <w:p>
      <w:pPr>
        <w:pStyle w:val="BodyText"/>
        <w:spacing w:before="2"/>
        <w:rPr>
          <w:sz w:val="20"/>
        </w:rPr>
      </w:pPr>
    </w:p>
    <w:p>
      <w:pPr>
        <w:tabs>
          <w:tab w:pos="2359" w:val="left" w:leader="none"/>
          <w:tab w:pos="4259" w:val="left" w:leader="none"/>
          <w:tab w:pos="6094" w:val="left" w:leader="none"/>
          <w:tab w:pos="7222" w:val="left" w:leader="none"/>
          <w:tab w:pos="9285" w:val="left" w:leader="none"/>
        </w:tabs>
        <w:spacing w:before="0"/>
        <w:ind w:left="278" w:right="1074" w:firstLine="0"/>
        <w:jc w:val="left"/>
        <w:rPr>
          <w:sz w:val="20"/>
        </w:rPr>
      </w:pPr>
      <w:r>
        <w:rPr>
          <w:sz w:val="20"/>
        </w:rPr>
        <w:t>Organización de Naciones Unidas –ONU- (2015) Estrategia Mundial para la Salud de la Mujer, el Niño y Adolescente</w:t>
      </w:r>
      <w:r>
        <w:rPr>
          <w:spacing w:val="-43"/>
          <w:sz w:val="20"/>
        </w:rPr>
        <w:t> </w:t>
      </w:r>
      <w:r>
        <w:rPr>
          <w:sz w:val="20"/>
        </w:rPr>
        <w:t>(2016-2030):</w:t>
        <w:tab/>
        <w:t>Sobrevivir,</w:t>
        <w:tab/>
        <w:t>prosperar</w:t>
        <w:tab/>
        <w:t>y</w:t>
        <w:tab/>
        <w:t>transformar.</w:t>
        <w:tab/>
      </w:r>
      <w:r>
        <w:rPr>
          <w:spacing w:val="-1"/>
          <w:sz w:val="20"/>
        </w:rPr>
        <w:t>ODS.</w:t>
      </w:r>
      <w:r>
        <w:rPr>
          <w:spacing w:val="-43"/>
          <w:sz w:val="20"/>
        </w:rPr>
        <w:t> </w:t>
      </w:r>
      <w:hyperlink r:id="rId128">
        <w:r>
          <w:rPr>
            <w:color w:val="0000FF"/>
            <w:sz w:val="20"/>
            <w:u w:val="single" w:color="0000FF"/>
          </w:rPr>
          <w:t>https://www.who.int/maternal_child_adolescent/documents/estrategia-mundial-mujer-nino-adolescente-2016-</w:t>
        </w:r>
      </w:hyperlink>
      <w:r>
        <w:rPr>
          <w:color w:val="0000FF"/>
          <w:spacing w:val="1"/>
          <w:sz w:val="20"/>
        </w:rPr>
        <w:t> </w:t>
      </w:r>
      <w:hyperlink r:id="rId128">
        <w:r>
          <w:rPr>
            <w:color w:val="0000FF"/>
            <w:sz w:val="20"/>
            <w:u w:val="single" w:color="0000FF"/>
          </w:rPr>
          <w:t>2030.pdf</w:t>
        </w:r>
      </w:hyperlink>
    </w:p>
    <w:p>
      <w:pPr>
        <w:pStyle w:val="BodyText"/>
        <w:spacing w:before="1"/>
        <w:rPr>
          <w:sz w:val="15"/>
        </w:rPr>
      </w:pPr>
    </w:p>
    <w:p>
      <w:pPr>
        <w:spacing w:before="59"/>
        <w:ind w:left="278" w:right="1073" w:firstLine="0"/>
        <w:jc w:val="both"/>
        <w:rPr>
          <w:sz w:val="20"/>
        </w:rPr>
      </w:pPr>
      <w:r>
        <w:rPr>
          <w:sz w:val="20"/>
        </w:rPr>
        <w:t>Organización Panamericana de la Salud (2018). Una guía para implementar la Estrategia Mundial para la Salud de la</w:t>
      </w:r>
      <w:r>
        <w:rPr>
          <w:spacing w:val="-43"/>
          <w:sz w:val="20"/>
        </w:rPr>
        <w:t> </w:t>
      </w:r>
      <w:r>
        <w:rPr>
          <w:sz w:val="20"/>
        </w:rPr>
        <w:t>Mujer,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Niño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Adolescente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América</w:t>
      </w:r>
      <w:r>
        <w:rPr>
          <w:spacing w:val="1"/>
          <w:sz w:val="20"/>
        </w:rPr>
        <w:t> </w:t>
      </w:r>
      <w:r>
        <w:rPr>
          <w:sz w:val="20"/>
        </w:rPr>
        <w:t>Latina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Caribe.</w:t>
      </w:r>
      <w:r>
        <w:rPr>
          <w:spacing w:val="1"/>
          <w:sz w:val="20"/>
        </w:rPr>
        <w:t> </w:t>
      </w:r>
      <w:r>
        <w:rPr>
          <w:sz w:val="20"/>
        </w:rPr>
        <w:t>Washington,</w:t>
      </w:r>
      <w:r>
        <w:rPr>
          <w:spacing w:val="1"/>
          <w:sz w:val="20"/>
        </w:rPr>
        <w:t> </w:t>
      </w:r>
      <w:r>
        <w:rPr>
          <w:sz w:val="20"/>
        </w:rPr>
        <w:t>D.C.:</w:t>
      </w:r>
      <w:r>
        <w:rPr>
          <w:spacing w:val="1"/>
          <w:sz w:val="20"/>
        </w:rPr>
        <w:t> </w:t>
      </w:r>
      <w:r>
        <w:rPr>
          <w:sz w:val="20"/>
        </w:rPr>
        <w:t>OPS;</w:t>
      </w:r>
      <w:r>
        <w:rPr>
          <w:spacing w:val="1"/>
          <w:sz w:val="20"/>
        </w:rPr>
        <w:t> </w:t>
      </w:r>
      <w:r>
        <w:rPr>
          <w:sz w:val="20"/>
        </w:rPr>
        <w:t>2018.</w:t>
      </w:r>
      <w:r>
        <w:rPr>
          <w:spacing w:val="1"/>
          <w:sz w:val="20"/>
        </w:rPr>
        <w:t> </w:t>
      </w:r>
      <w:hyperlink r:id="rId129">
        <w:r>
          <w:rPr>
            <w:color w:val="0000FF"/>
            <w:sz w:val="20"/>
            <w:u w:val="single" w:color="0000FF"/>
          </w:rPr>
          <w:t>https://lac.unfpa.org/sites/default/files/pub-pdf/Gu%C3%ADa%20EWEC%20LAC%20-</w:t>
        </w:r>
      </w:hyperlink>
    </w:p>
    <w:p>
      <w:pPr>
        <w:spacing w:before="0"/>
        <w:ind w:left="278" w:right="1061" w:firstLine="0"/>
        <w:jc w:val="left"/>
        <w:rPr>
          <w:sz w:val="20"/>
        </w:rPr>
      </w:pPr>
      <w:hyperlink r:id="rId129">
        <w:r>
          <w:rPr>
            <w:color w:val="0000FF"/>
            <w:w w:val="95"/>
            <w:sz w:val="20"/>
            <w:u w:val="single" w:color="0000FF"/>
          </w:rPr>
          <w:t>%20Estrategia%20Mundial%20para%20Salud%20de%20Mujer%2C%20Ni%C3%B1o%20y%20Adolescente%20en%2</w:t>
        </w:r>
      </w:hyperlink>
      <w:r>
        <w:rPr>
          <w:color w:val="0000FF"/>
          <w:spacing w:val="1"/>
          <w:w w:val="95"/>
          <w:sz w:val="20"/>
        </w:rPr>
        <w:t> </w:t>
      </w:r>
      <w:hyperlink r:id="rId129">
        <w:r>
          <w:rPr>
            <w:color w:val="0000FF"/>
            <w:sz w:val="20"/>
            <w:u w:val="single" w:color="0000FF"/>
          </w:rPr>
          <w:t>0ALC_0.pdf</w:t>
        </w:r>
      </w:hyperlink>
    </w:p>
    <w:p>
      <w:pPr>
        <w:pStyle w:val="BodyText"/>
        <w:spacing w:before="4"/>
        <w:rPr>
          <w:sz w:val="15"/>
        </w:rPr>
      </w:pPr>
    </w:p>
    <w:p>
      <w:pPr>
        <w:spacing w:before="59"/>
        <w:ind w:left="278" w:right="0" w:firstLine="0"/>
        <w:jc w:val="both"/>
        <w:rPr>
          <w:sz w:val="20"/>
        </w:rPr>
      </w:pPr>
      <w:r>
        <w:rPr>
          <w:sz w:val="20"/>
        </w:rPr>
        <w:t>Plan</w:t>
      </w:r>
      <w:r>
        <w:rPr>
          <w:spacing w:val="-2"/>
          <w:sz w:val="20"/>
        </w:rPr>
        <w:t> </w:t>
      </w:r>
      <w:r>
        <w:rPr>
          <w:sz w:val="20"/>
        </w:rPr>
        <w:t>Operativo</w:t>
      </w:r>
      <w:r>
        <w:rPr>
          <w:spacing w:val="-2"/>
          <w:sz w:val="20"/>
        </w:rPr>
        <w:t> </w:t>
      </w:r>
      <w:r>
        <w:rPr>
          <w:sz w:val="20"/>
        </w:rPr>
        <w:t>Anual</w:t>
      </w:r>
      <w:r>
        <w:rPr>
          <w:spacing w:val="-2"/>
          <w:sz w:val="20"/>
        </w:rPr>
        <w:t> </w:t>
      </w:r>
      <w:r>
        <w:rPr>
          <w:sz w:val="20"/>
        </w:rPr>
        <w:t>2022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Plan</w:t>
      </w:r>
      <w:r>
        <w:rPr>
          <w:spacing w:val="-1"/>
          <w:sz w:val="20"/>
        </w:rPr>
        <w:t> </w:t>
      </w:r>
      <w:r>
        <w:rPr>
          <w:sz w:val="20"/>
        </w:rPr>
        <w:t>Operativo</w:t>
      </w:r>
      <w:r>
        <w:rPr>
          <w:spacing w:val="-2"/>
          <w:sz w:val="20"/>
        </w:rPr>
        <w:t> </w:t>
      </w:r>
      <w:r>
        <w:rPr>
          <w:sz w:val="20"/>
        </w:rPr>
        <w:t>Multianual</w:t>
      </w:r>
      <w:r>
        <w:rPr>
          <w:spacing w:val="-2"/>
          <w:sz w:val="20"/>
        </w:rPr>
        <w:t> </w:t>
      </w:r>
      <w:r>
        <w:rPr>
          <w:sz w:val="20"/>
        </w:rPr>
        <w:t>2022-2026</w:t>
      </w:r>
      <w:r>
        <w:rPr>
          <w:spacing w:val="-3"/>
          <w:sz w:val="20"/>
        </w:rPr>
        <w:t> </w:t>
      </w:r>
      <w:r>
        <w:rPr>
          <w:sz w:val="20"/>
        </w:rPr>
        <w:t>MINEDUC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278" w:right="1073" w:firstLine="0"/>
        <w:jc w:val="both"/>
        <w:rPr>
          <w:sz w:val="20"/>
        </w:rPr>
      </w:pPr>
      <w:r>
        <w:rPr>
          <w:sz w:val="20"/>
        </w:rPr>
        <w:t>Secretaría de Seguridad Alimentaria y Nutricional de la Presidencia de la República de Guatemala –SESAN- (2020)</w:t>
      </w:r>
      <w:r>
        <w:rPr>
          <w:spacing w:val="1"/>
          <w:sz w:val="20"/>
        </w:rPr>
        <w:t> </w:t>
      </w:r>
      <w:r>
        <w:rPr>
          <w:sz w:val="20"/>
        </w:rPr>
        <w:t>Gran Cruzada Nacional por la Nutrición 2020-2024 (documento técnico). </w:t>
      </w:r>
      <w:hyperlink r:id="rId130">
        <w:r>
          <w:rPr>
            <w:color w:val="0000FF"/>
            <w:sz w:val="20"/>
            <w:u w:val="single" w:color="0000FF"/>
          </w:rPr>
          <w:t>http://www.sesan.gob.gt/wordpress/wp-</w:t>
        </w:r>
      </w:hyperlink>
      <w:r>
        <w:rPr>
          <w:color w:val="0000FF"/>
          <w:spacing w:val="1"/>
          <w:sz w:val="20"/>
        </w:rPr>
        <w:t> </w:t>
      </w:r>
      <w:hyperlink r:id="rId130">
        <w:r>
          <w:rPr>
            <w:color w:val="0000FF"/>
            <w:sz w:val="20"/>
            <w:u w:val="single" w:color="0000FF"/>
          </w:rPr>
          <w:t>content/uploads/2020/04/Documento-tecnico-Gran-Cruzada-Nacional_17HD.pdf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  <w:r>
        <w:rPr/>
        <w:pict>
          <v:rect style="position:absolute;margin-left:563.880005pt;margin-top:11.421513pt;width:25.44pt;height:1.4399pt;mso-position-horizontal-relative:page;mso-position-vertical-relative:paragraph;z-index:-1550694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312" w:lineRule="exact" w:before="0" w:after="22"/>
        <w:ind w:left="0" w:right="123" w:firstLine="0"/>
        <w:jc w:val="right"/>
        <w:rPr>
          <w:rFonts w:ascii="Arial MT"/>
          <w:sz w:val="28"/>
        </w:rPr>
      </w:pPr>
      <w:r>
        <w:rPr>
          <w:rFonts w:ascii="Arial MT"/>
          <w:sz w:val="28"/>
        </w:rPr>
        <w:t>109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3593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2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9"/>
        </w:rPr>
      </w:pPr>
    </w:p>
    <w:p>
      <w:pPr>
        <w:spacing w:before="76"/>
        <w:ind w:left="1841" w:right="1567" w:firstLine="9"/>
        <w:jc w:val="right"/>
        <w:rPr>
          <w:rFonts w:ascii="Arial MT" w:hAnsi="Arial MT"/>
          <w:sz w:val="58"/>
        </w:rPr>
      </w:pPr>
      <w:r>
        <w:rPr/>
        <w:drawing>
          <wp:anchor distT="0" distB="0" distL="0" distR="0" allowOverlap="1" layoutInCell="1" locked="0" behindDoc="1" simplePos="0" relativeHeight="474536448">
            <wp:simplePos x="0" y="0"/>
            <wp:positionH relativeFrom="page">
              <wp:posOffset>900430</wp:posOffset>
            </wp:positionH>
            <wp:positionV relativeFrom="paragraph">
              <wp:posOffset>-950879</wp:posOffset>
            </wp:positionV>
            <wp:extent cx="3955415" cy="1976882"/>
            <wp:effectExtent l="0" t="0" r="0" b="0"/>
            <wp:wrapNone/>
            <wp:docPr id="329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20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415" cy="1976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color w:val="EC7C30"/>
          <w:sz w:val="72"/>
        </w:rPr>
        <w:t>C</w:t>
      </w:r>
      <w:r>
        <w:rPr>
          <w:rFonts w:ascii="Arial MT" w:hAnsi="Arial MT"/>
          <w:color w:val="EC7C30"/>
          <w:sz w:val="58"/>
        </w:rPr>
        <w:t>ONTEXTO </w:t>
      </w:r>
      <w:r>
        <w:rPr>
          <w:rFonts w:ascii="Arial MT" w:hAnsi="Arial MT"/>
          <w:color w:val="EC7C30"/>
          <w:sz w:val="72"/>
        </w:rPr>
        <w:t>G</w:t>
      </w:r>
      <w:r>
        <w:rPr>
          <w:rFonts w:ascii="Arial MT" w:hAnsi="Arial MT"/>
          <w:color w:val="EC7C30"/>
          <w:sz w:val="58"/>
        </w:rPr>
        <w:t>ENERAL DE</w:t>
      </w:r>
      <w:r>
        <w:rPr>
          <w:rFonts w:ascii="Arial MT" w:hAnsi="Arial MT"/>
          <w:color w:val="EC7C30"/>
          <w:spacing w:val="-159"/>
          <w:sz w:val="58"/>
        </w:rPr>
        <w:t> </w:t>
      </w:r>
      <w:r>
        <w:rPr>
          <w:rFonts w:ascii="Arial MT" w:hAnsi="Arial MT"/>
          <w:color w:val="EC7C30"/>
          <w:sz w:val="58"/>
        </w:rPr>
        <w:t>LA </w:t>
      </w:r>
      <w:r>
        <w:rPr>
          <w:rFonts w:ascii="Arial MT" w:hAnsi="Arial MT"/>
          <w:color w:val="EC7C30"/>
          <w:sz w:val="72"/>
        </w:rPr>
        <w:t>S</w:t>
      </w:r>
      <w:r>
        <w:rPr>
          <w:rFonts w:ascii="Arial MT" w:hAnsi="Arial MT"/>
          <w:color w:val="EC7C30"/>
          <w:sz w:val="58"/>
        </w:rPr>
        <w:t>ITUACIÓN DE LA</w:t>
      </w:r>
      <w:r>
        <w:rPr>
          <w:rFonts w:ascii="Arial MT" w:hAnsi="Arial MT"/>
          <w:color w:val="EC7C30"/>
          <w:spacing w:val="1"/>
          <w:sz w:val="58"/>
        </w:rPr>
        <w:t> </w:t>
      </w:r>
      <w:r>
        <w:rPr>
          <w:rFonts w:ascii="Arial MT" w:hAnsi="Arial MT"/>
          <w:color w:val="EC7C30"/>
          <w:sz w:val="72"/>
        </w:rPr>
        <w:t>C</w:t>
      </w:r>
      <w:r>
        <w:rPr>
          <w:rFonts w:ascii="Arial MT" w:hAnsi="Arial MT"/>
          <w:color w:val="EC7C30"/>
          <w:sz w:val="58"/>
        </w:rPr>
        <w:t>OBERTURA DEL</w:t>
      </w:r>
      <w:r>
        <w:rPr>
          <w:rFonts w:ascii="Arial MT" w:hAnsi="Arial MT"/>
          <w:color w:val="EC7C30"/>
          <w:spacing w:val="1"/>
          <w:sz w:val="58"/>
        </w:rPr>
        <w:t> </w:t>
      </w:r>
      <w:r>
        <w:rPr>
          <w:rFonts w:ascii="Arial MT" w:hAnsi="Arial MT"/>
          <w:color w:val="EC7C30"/>
          <w:sz w:val="72"/>
        </w:rPr>
        <w:t>S</w:t>
      </w:r>
      <w:r>
        <w:rPr>
          <w:rFonts w:ascii="Arial MT" w:hAnsi="Arial MT"/>
          <w:color w:val="EC7C30"/>
          <w:sz w:val="58"/>
        </w:rPr>
        <w:t>ISTEMA</w:t>
      </w:r>
      <w:r>
        <w:rPr>
          <w:rFonts w:ascii="Arial MT" w:hAnsi="Arial MT"/>
          <w:color w:val="EC7C30"/>
          <w:spacing w:val="1"/>
          <w:sz w:val="58"/>
        </w:rPr>
        <w:t> </w:t>
      </w:r>
      <w:r>
        <w:rPr>
          <w:rFonts w:ascii="Arial MT" w:hAnsi="Arial MT"/>
          <w:color w:val="EC7C30"/>
          <w:sz w:val="58"/>
        </w:rPr>
        <w:t>DE</w:t>
      </w:r>
      <w:r>
        <w:rPr>
          <w:rFonts w:ascii="Arial MT" w:hAnsi="Arial MT"/>
          <w:color w:val="EC7C30"/>
          <w:spacing w:val="-2"/>
          <w:sz w:val="58"/>
        </w:rPr>
        <w:t> </w:t>
      </w:r>
      <w:r>
        <w:rPr>
          <w:rFonts w:ascii="Arial MT" w:hAnsi="Arial MT"/>
          <w:color w:val="EC7C30"/>
          <w:sz w:val="72"/>
        </w:rPr>
        <w:t>E</w:t>
      </w:r>
      <w:r>
        <w:rPr>
          <w:rFonts w:ascii="Arial MT" w:hAnsi="Arial MT"/>
          <w:color w:val="EC7C30"/>
          <w:sz w:val="58"/>
        </w:rPr>
        <w:t>DUCACIÓN</w:t>
      </w:r>
    </w:p>
    <w:p>
      <w:pPr>
        <w:spacing w:before="1"/>
        <w:ind w:left="0" w:right="1571" w:firstLine="0"/>
        <w:jc w:val="right"/>
        <w:rPr>
          <w:rFonts w:ascii="Arial MT"/>
          <w:sz w:val="58"/>
        </w:rPr>
      </w:pPr>
      <w:r>
        <w:rPr>
          <w:rFonts w:ascii="Arial MT"/>
          <w:color w:val="EC7C30"/>
          <w:sz w:val="72"/>
        </w:rPr>
        <w:t>N</w:t>
      </w:r>
      <w:r>
        <w:rPr>
          <w:rFonts w:ascii="Arial MT"/>
          <w:color w:val="EC7C30"/>
          <w:sz w:val="58"/>
        </w:rPr>
        <w:t>ACIONAL</w:t>
      </w:r>
    </w:p>
    <w:p>
      <w:pPr>
        <w:spacing w:before="2"/>
        <w:ind w:left="5888" w:right="0" w:firstLine="0"/>
        <w:jc w:val="left"/>
        <w:rPr>
          <w:sz w:val="44"/>
        </w:rPr>
      </w:pPr>
      <w:r>
        <w:rPr>
          <w:color w:val="5B9BD4"/>
          <w:sz w:val="44"/>
          <w:shd w:fill="FFFFFF" w:color="auto" w:val="clear"/>
        </w:rPr>
        <w:t>Por</w:t>
      </w:r>
      <w:r>
        <w:rPr>
          <w:color w:val="5B9BD4"/>
          <w:spacing w:val="-12"/>
          <w:sz w:val="44"/>
          <w:shd w:fill="FFFFFF" w:color="auto" w:val="clear"/>
        </w:rPr>
        <w:t> </w:t>
      </w:r>
      <w:r>
        <w:rPr>
          <w:color w:val="5B9BD4"/>
          <w:sz w:val="44"/>
          <w:shd w:fill="FFFFFF" w:color="auto" w:val="clear"/>
        </w:rPr>
        <w:t>departamento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  <w:r>
        <w:rPr/>
        <w:pict>
          <v:rect style="position:absolute;margin-left:563.880005pt;margin-top:18.385757pt;width:25.44pt;height:1.4399pt;mso-position-horizontal-relative:page;mso-position-vertical-relative:paragraph;z-index:-1550540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110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37984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3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0"/>
          <w:numId w:val="32"/>
        </w:numPr>
        <w:tabs>
          <w:tab w:pos="710" w:val="left" w:leader="none"/>
          <w:tab w:pos="711" w:val="left" w:leader="none"/>
        </w:tabs>
        <w:spacing w:line="240" w:lineRule="auto" w:before="52" w:after="0"/>
        <w:ind w:left="710" w:right="0" w:hanging="433"/>
        <w:jc w:val="left"/>
      </w:pPr>
      <w:bookmarkStart w:name="_bookmark131" w:id="195"/>
      <w:bookmarkEnd w:id="195"/>
      <w:r>
        <w:rPr>
          <w:b w:val="0"/>
        </w:rPr>
      </w:r>
      <w:bookmarkStart w:name="_bookmark131" w:id="196"/>
      <w:bookmarkEnd w:id="196"/>
      <w:r>
        <w:rPr>
          <w:color w:val="1F4E79"/>
        </w:rPr>
        <w:t>C</w:t>
      </w:r>
      <w:r>
        <w:rPr>
          <w:color w:val="1F4E79"/>
        </w:rPr>
        <w:t>ontexto</w:t>
      </w:r>
      <w:r>
        <w:rPr>
          <w:color w:val="1F4E79"/>
          <w:spacing w:val="-5"/>
        </w:rPr>
        <w:t> </w:t>
      </w:r>
      <w:r>
        <w:rPr>
          <w:color w:val="1F4E79"/>
        </w:rPr>
        <w:t>General</w:t>
      </w:r>
      <w:r>
        <w:rPr>
          <w:color w:val="1F4E79"/>
          <w:spacing w:val="-4"/>
        </w:rPr>
        <w:t> </w:t>
      </w:r>
      <w:r>
        <w:rPr>
          <w:color w:val="1F4E79"/>
        </w:rPr>
        <w:t>de</w:t>
      </w:r>
      <w:r>
        <w:rPr>
          <w:color w:val="1F4E79"/>
          <w:spacing w:val="-3"/>
        </w:rPr>
        <w:t> </w:t>
      </w:r>
      <w:r>
        <w:rPr>
          <w:color w:val="1F4E79"/>
        </w:rPr>
        <w:t>la</w:t>
      </w:r>
      <w:r>
        <w:rPr>
          <w:color w:val="1F4E79"/>
          <w:spacing w:val="-4"/>
        </w:rPr>
        <w:t> </w:t>
      </w:r>
      <w:r>
        <w:rPr>
          <w:color w:val="1F4E79"/>
        </w:rPr>
        <w:t>Situación</w:t>
      </w:r>
      <w:r>
        <w:rPr>
          <w:color w:val="1F4E79"/>
          <w:spacing w:val="-3"/>
        </w:rPr>
        <w:t> </w:t>
      </w:r>
      <w:r>
        <w:rPr>
          <w:color w:val="1F4E79"/>
        </w:rPr>
        <w:t>de</w:t>
      </w:r>
      <w:r>
        <w:rPr>
          <w:color w:val="1F4E79"/>
          <w:spacing w:val="-4"/>
        </w:rPr>
        <w:t> </w:t>
      </w:r>
      <w:r>
        <w:rPr>
          <w:color w:val="1F4E79"/>
        </w:rPr>
        <w:t>la</w:t>
      </w:r>
      <w:r>
        <w:rPr>
          <w:color w:val="1F4E79"/>
          <w:spacing w:val="-3"/>
        </w:rPr>
        <w:t> </w:t>
      </w:r>
      <w:r>
        <w:rPr>
          <w:color w:val="1F4E79"/>
        </w:rPr>
        <w:t>Cobertura</w:t>
      </w:r>
      <w:r>
        <w:rPr>
          <w:color w:val="1F4E79"/>
          <w:spacing w:val="-6"/>
        </w:rPr>
        <w:t> </w:t>
      </w:r>
      <w:r>
        <w:rPr>
          <w:color w:val="1F4E79"/>
        </w:rPr>
        <w:t>del</w:t>
      </w:r>
      <w:r>
        <w:rPr>
          <w:color w:val="1F4E79"/>
          <w:spacing w:val="-2"/>
        </w:rPr>
        <w:t> </w:t>
      </w:r>
      <w:r>
        <w:rPr>
          <w:color w:val="1F4E79"/>
        </w:rPr>
        <w:t>Sistema</w:t>
      </w:r>
      <w:r>
        <w:rPr>
          <w:color w:val="1F4E79"/>
          <w:spacing w:val="-3"/>
        </w:rPr>
        <w:t> </w:t>
      </w:r>
      <w:r>
        <w:rPr>
          <w:color w:val="1F4E79"/>
        </w:rPr>
        <w:t>de</w:t>
      </w:r>
      <w:r>
        <w:rPr>
          <w:color w:val="1F4E79"/>
          <w:spacing w:val="-4"/>
        </w:rPr>
        <w:t> </w:t>
      </w:r>
      <w:r>
        <w:rPr>
          <w:color w:val="1F4E79"/>
        </w:rPr>
        <w:t>Educación</w:t>
      </w:r>
      <w:r>
        <w:rPr>
          <w:color w:val="1F4E79"/>
          <w:spacing w:val="-1"/>
        </w:rPr>
        <w:t> </w:t>
      </w:r>
      <w:r>
        <w:rPr>
          <w:color w:val="1F4E79"/>
        </w:rPr>
        <w:t>Nacional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ListParagraph"/>
        <w:numPr>
          <w:ilvl w:val="1"/>
          <w:numId w:val="32"/>
        </w:numPr>
        <w:tabs>
          <w:tab w:pos="854" w:val="left" w:leader="none"/>
          <w:tab w:pos="855" w:val="left" w:leader="none"/>
        </w:tabs>
        <w:spacing w:line="240" w:lineRule="auto" w:before="0" w:after="0"/>
        <w:ind w:left="854" w:right="0" w:hanging="577"/>
        <w:jc w:val="left"/>
        <w:rPr>
          <w:b/>
          <w:sz w:val="24"/>
        </w:rPr>
      </w:pPr>
      <w:bookmarkStart w:name="_bookmark132" w:id="197"/>
      <w:bookmarkEnd w:id="197"/>
      <w:r>
        <w:rPr/>
      </w:r>
      <w:bookmarkStart w:name="_bookmark132" w:id="198"/>
      <w:bookmarkEnd w:id="198"/>
      <w:r>
        <w:rPr>
          <w:b/>
          <w:color w:val="1F4E79"/>
          <w:sz w:val="24"/>
        </w:rPr>
        <w:t>Situ</w:t>
      </w:r>
      <w:r>
        <w:rPr>
          <w:b/>
          <w:color w:val="1F4E79"/>
          <w:sz w:val="24"/>
        </w:rPr>
        <w:t>ación</w:t>
      </w:r>
      <w:r>
        <w:rPr>
          <w:b/>
          <w:color w:val="1F4E79"/>
          <w:spacing w:val="-2"/>
          <w:sz w:val="24"/>
        </w:rPr>
        <w:t> </w:t>
      </w:r>
      <w:r>
        <w:rPr>
          <w:b/>
          <w:color w:val="1F4E79"/>
          <w:sz w:val="24"/>
        </w:rPr>
        <w:t>del</w:t>
      </w:r>
      <w:r>
        <w:rPr>
          <w:b/>
          <w:color w:val="1F4E79"/>
          <w:spacing w:val="-4"/>
          <w:sz w:val="24"/>
        </w:rPr>
        <w:t> </w:t>
      </w:r>
      <w:r>
        <w:rPr>
          <w:b/>
          <w:color w:val="1F4E79"/>
          <w:sz w:val="24"/>
        </w:rPr>
        <w:t>Sistema</w:t>
      </w:r>
      <w:r>
        <w:rPr>
          <w:b/>
          <w:color w:val="1F4E79"/>
          <w:spacing w:val="-3"/>
          <w:sz w:val="24"/>
        </w:rPr>
        <w:t> </w:t>
      </w:r>
      <w:r>
        <w:rPr>
          <w:b/>
          <w:color w:val="1F4E79"/>
          <w:sz w:val="24"/>
        </w:rPr>
        <w:t>Nacional</w:t>
      </w:r>
      <w:r>
        <w:rPr>
          <w:b/>
          <w:color w:val="1F4E79"/>
          <w:spacing w:val="-4"/>
          <w:sz w:val="24"/>
        </w:rPr>
        <w:t> </w:t>
      </w:r>
      <w:r>
        <w:rPr>
          <w:b/>
          <w:color w:val="1F4E79"/>
          <w:sz w:val="24"/>
        </w:rPr>
        <w:t>Educativo</w:t>
      </w:r>
      <w:r>
        <w:rPr>
          <w:b/>
          <w:color w:val="1F4E79"/>
          <w:spacing w:val="-2"/>
          <w:sz w:val="24"/>
        </w:rPr>
        <w:t> </w:t>
      </w:r>
      <w:r>
        <w:rPr>
          <w:b/>
          <w:color w:val="1F4E79"/>
          <w:sz w:val="24"/>
        </w:rPr>
        <w:t>(2017-2021)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86"/>
        <w:ind w:left="278" w:right="1070"/>
        <w:jc w:val="both"/>
      </w:pPr>
      <w:r>
        <w:rPr/>
        <w:t>Según el Banco Mundial (2021), en el caso de Guatemala, los niveles de pobreza presentaron un leve</w:t>
      </w:r>
      <w:r>
        <w:rPr>
          <w:spacing w:val="1"/>
        </w:rPr>
        <w:t> </w:t>
      </w:r>
      <w:r>
        <w:rPr/>
        <w:t>aumento pasando del 45,6% (cuarenta y cinco puntos seis por ciento) de la población al 47% (cuarenta y</w:t>
      </w:r>
      <w:r>
        <w:rPr>
          <w:spacing w:val="1"/>
        </w:rPr>
        <w:t> </w:t>
      </w:r>
      <w:r>
        <w:rPr/>
        <w:t>siete por ciento) en 2020. Es decir, un incremento de 1.4 (uno punto cuatro) puntos porcentuales. Al</w:t>
      </w:r>
      <w:r>
        <w:rPr>
          <w:spacing w:val="1"/>
        </w:rPr>
        <w:t> </w:t>
      </w:r>
      <w:r>
        <w:rPr/>
        <w:t>respecto,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estima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una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causas</w:t>
      </w:r>
      <w:r>
        <w:rPr>
          <w:spacing w:val="-9"/>
        </w:rPr>
        <w:t> </w:t>
      </w:r>
      <w:r>
        <w:rPr/>
        <w:t>del</w:t>
      </w:r>
      <w:r>
        <w:rPr>
          <w:spacing w:val="-10"/>
        </w:rPr>
        <w:t> </w:t>
      </w:r>
      <w:r>
        <w:rPr/>
        <w:t>ligero</w:t>
      </w:r>
      <w:r>
        <w:rPr>
          <w:spacing w:val="-9"/>
        </w:rPr>
        <w:t> </w:t>
      </w:r>
      <w:r>
        <w:rPr/>
        <w:t>aumento,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debe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/>
        <w:t>programas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protección</w:t>
      </w:r>
      <w:r>
        <w:rPr>
          <w:spacing w:val="-11"/>
        </w:rPr>
        <w:t> </w:t>
      </w:r>
      <w:r>
        <w:rPr/>
        <w:t>social</w:t>
      </w:r>
      <w:r>
        <w:rPr>
          <w:spacing w:val="-48"/>
        </w:rPr>
        <w:t> </w:t>
      </w:r>
      <w:r>
        <w:rPr>
          <w:spacing w:val="-1"/>
        </w:rPr>
        <w:t>implementados</w:t>
      </w:r>
      <w:r>
        <w:rPr>
          <w:spacing w:val="-12"/>
        </w:rPr>
        <w:t> </w:t>
      </w:r>
      <w:r>
        <w:rPr/>
        <w:t>durante</w:t>
      </w:r>
      <w:r>
        <w:rPr>
          <w:spacing w:val="-11"/>
        </w:rPr>
        <w:t> </w:t>
      </w:r>
      <w:r>
        <w:rPr/>
        <w:t>la</w:t>
      </w:r>
      <w:r>
        <w:rPr>
          <w:spacing w:val="-14"/>
        </w:rPr>
        <w:t> </w:t>
      </w:r>
      <w:r>
        <w:rPr/>
        <w:t>pandemia.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prevé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la</w:t>
      </w:r>
      <w:r>
        <w:rPr>
          <w:spacing w:val="-14"/>
        </w:rPr>
        <w:t> </w:t>
      </w:r>
      <w:r>
        <w:rPr/>
        <w:t>pobreza</w:t>
      </w:r>
      <w:r>
        <w:rPr>
          <w:spacing w:val="-13"/>
        </w:rPr>
        <w:t> </w:t>
      </w:r>
      <w:r>
        <w:rPr/>
        <w:t>disminuya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45,9%</w:t>
      </w:r>
      <w:r>
        <w:rPr>
          <w:spacing w:val="-11"/>
        </w:rPr>
        <w:t> </w:t>
      </w:r>
      <w:r>
        <w:rPr/>
        <w:t>(cuarenta</w:t>
      </w:r>
      <w:r>
        <w:rPr>
          <w:spacing w:val="-14"/>
        </w:rPr>
        <w:t> </w:t>
      </w:r>
      <w:r>
        <w:rPr/>
        <w:t>y</w:t>
      </w:r>
      <w:r>
        <w:rPr>
          <w:spacing w:val="-10"/>
        </w:rPr>
        <w:t> </w:t>
      </w:r>
      <w:r>
        <w:rPr/>
        <w:t>cinco</w:t>
      </w:r>
      <w:r>
        <w:rPr>
          <w:spacing w:val="-11"/>
        </w:rPr>
        <w:t> </w:t>
      </w:r>
      <w:r>
        <w:rPr/>
        <w:t>puntos</w:t>
      </w:r>
      <w:r>
        <w:rPr>
          <w:spacing w:val="-48"/>
        </w:rPr>
        <w:t> </w:t>
      </w:r>
      <w:r>
        <w:rPr/>
        <w:t>nueve por ciento) en 2021. Esto es importante porque la pobreza es un determinante del acceso a la</w:t>
      </w:r>
      <w:r>
        <w:rPr>
          <w:spacing w:val="1"/>
        </w:rPr>
        <w:t> </w:t>
      </w:r>
      <w:r>
        <w:rPr/>
        <w:t>educación</w:t>
      </w:r>
      <w:r>
        <w:rPr>
          <w:spacing w:val="-6"/>
        </w:rPr>
        <w:t> </w:t>
      </w:r>
      <w:r>
        <w:rPr/>
        <w:t>y</w:t>
      </w:r>
      <w:r>
        <w:rPr>
          <w:spacing w:val="-2"/>
        </w:rPr>
        <w:t> </w:t>
      </w:r>
      <w:r>
        <w:rPr/>
        <w:t>salud</w:t>
      </w:r>
      <w:r>
        <w:rPr>
          <w:spacing w:val="-5"/>
        </w:rPr>
        <w:t> </w:t>
      </w:r>
      <w:r>
        <w:rPr/>
        <w:t>causando factores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desigualdad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oportunidades.</w:t>
      </w:r>
      <w:r>
        <w:rPr>
          <w:spacing w:val="-4"/>
        </w:rPr>
        <w:t> </w:t>
      </w:r>
      <w:r>
        <w:rPr/>
        <w:t>Esta</w:t>
      </w:r>
      <w:r>
        <w:rPr>
          <w:spacing w:val="-1"/>
        </w:rPr>
        <w:t> </w:t>
      </w:r>
      <w:r>
        <w:rPr/>
        <w:t>cifra</w:t>
      </w:r>
      <w:r>
        <w:rPr>
          <w:spacing w:val="-5"/>
        </w:rPr>
        <w:t> </w:t>
      </w:r>
      <w:r>
        <w:rPr/>
        <w:t>es preocupante</w:t>
      </w:r>
      <w:r>
        <w:rPr>
          <w:spacing w:val="-1"/>
        </w:rPr>
        <w:t> </w:t>
      </w:r>
      <w:r>
        <w:rPr/>
        <w:t>porque,</w:t>
      </w:r>
      <w:r>
        <w:rPr>
          <w:spacing w:val="-47"/>
        </w:rPr>
        <w:t> </w:t>
      </w:r>
      <w:r>
        <w:rPr/>
        <w:t>los niveles de pobreza afectan la calidad de vida de los habitantes de un país y pueden comprometer el</w:t>
      </w:r>
      <w:r>
        <w:rPr>
          <w:spacing w:val="1"/>
        </w:rPr>
        <w:t> </w:t>
      </w:r>
      <w:r>
        <w:rPr/>
        <w:t>desarrollo a largo</w:t>
      </w:r>
      <w:r>
        <w:rPr>
          <w:spacing w:val="1"/>
        </w:rPr>
        <w:t> </w:t>
      </w:r>
      <w:r>
        <w:rPr/>
        <w:t>plazo.</w:t>
      </w:r>
    </w:p>
    <w:p>
      <w:pPr>
        <w:pStyle w:val="BodyText"/>
        <w:spacing w:before="1"/>
      </w:pPr>
    </w:p>
    <w:p>
      <w:pPr>
        <w:pStyle w:val="BodyText"/>
        <w:ind w:left="278" w:right="1072"/>
        <w:jc w:val="both"/>
      </w:pPr>
      <w:r>
        <w:rPr/>
        <w:t>Por otra parte, De acuerdo con INE (2018), el total de la población que está en un rango de entre 0 a 19</w:t>
      </w:r>
      <w:r>
        <w:rPr>
          <w:spacing w:val="1"/>
        </w:rPr>
        <w:t> </w:t>
      </w:r>
      <w:r>
        <w:rPr/>
        <w:t>años, representa el 44.6% del conjunto, con un total de 6,655,577 habitantes a nivel nacional. Si se</w:t>
      </w:r>
      <w:r>
        <w:rPr>
          <w:spacing w:val="1"/>
        </w:rPr>
        <w:t> </w:t>
      </w:r>
      <w:r>
        <w:rPr/>
        <w:t>compara esta cifra con el promedio de la población atendida durante los últimos cinco años, la cual es de</w:t>
      </w:r>
      <w:r>
        <w:rPr>
          <w:spacing w:val="-47"/>
        </w:rPr>
        <w:t> </w:t>
      </w:r>
      <w:r>
        <w:rPr/>
        <w:t>4,167,270 de niños y adolescentes, se observa una diferencia de desatendida del 37% a nivel General en</w:t>
      </w:r>
      <w:r>
        <w:rPr>
          <w:spacing w:val="1"/>
        </w:rPr>
        <w:t> </w:t>
      </w:r>
      <w:r>
        <w:rPr/>
        <w:t>el Sistema. Tal y como, se observa en la presente tabla, la cantidad de población estudiantil durante los</w:t>
      </w:r>
      <w:r>
        <w:rPr>
          <w:spacing w:val="1"/>
        </w:rPr>
        <w:t> </w:t>
      </w:r>
      <w:r>
        <w:rPr/>
        <w:t>últimos 5</w:t>
      </w:r>
      <w:r>
        <w:rPr>
          <w:spacing w:val="-1"/>
        </w:rPr>
        <w:t> </w:t>
      </w:r>
      <w:r>
        <w:rPr/>
        <w:t>años</w:t>
      </w:r>
      <w:r>
        <w:rPr>
          <w:spacing w:val="-3"/>
        </w:rPr>
        <w:t> </w:t>
      </w:r>
      <w:r>
        <w:rPr/>
        <w:t>ha reducido</w:t>
      </w:r>
      <w:r>
        <w:rPr>
          <w:spacing w:val="-3"/>
        </w:rPr>
        <w:t> </w:t>
      </w:r>
      <w:r>
        <w:rPr/>
        <w:t>levemente.</w:t>
      </w:r>
    </w:p>
    <w:p>
      <w:pPr>
        <w:pStyle w:val="BodyText"/>
        <w:rPr>
          <w:sz w:val="20"/>
        </w:rPr>
      </w:pPr>
    </w:p>
    <w:p>
      <w:pPr>
        <w:pStyle w:val="BodyText"/>
        <w:ind w:left="278"/>
        <w:jc w:val="both"/>
      </w:pPr>
      <w:r>
        <w:rPr/>
        <w:pict>
          <v:shape style="position:absolute;margin-left:71.309883pt;margin-top:13.404428pt;width:442.3pt;height:21.1pt;mso-position-horizontal-relative:page;mso-position-vertical-relative:paragraph;z-index:15955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61"/>
                    <w:gridCol w:w="2446"/>
                    <w:gridCol w:w="1367"/>
                    <w:gridCol w:w="919"/>
                    <w:gridCol w:w="2823"/>
                  </w:tblGrid>
                  <w:tr>
                    <w:trPr>
                      <w:trHeight w:val="394" w:hRule="atLeast"/>
                    </w:trPr>
                    <w:tc>
                      <w:tcPr>
                        <w:tcW w:w="1261" w:type="dxa"/>
                        <w:tcBorders>
                          <w:bottom w:val="single" w:sz="8" w:space="0" w:color="8EA9DB"/>
                        </w:tcBorders>
                        <w:shd w:val="clear" w:color="auto" w:fill="D9E0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46" w:type="dxa"/>
                        <w:tcBorders>
                          <w:bottom w:val="single" w:sz="8" w:space="0" w:color="8EA9DB"/>
                        </w:tcBorders>
                        <w:shd w:val="clear" w:color="auto" w:fill="585858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 MT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81" w:lineRule="exact"/>
                          <w:ind w:left="112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7"/>
                          </w:rPr>
                          <w:t>PREPRIMARIA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93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7"/>
                          </w:rPr>
                          <w:t>PRIMARIA</w:t>
                        </w:r>
                      </w:p>
                    </w:tc>
                    <w:tc>
                      <w:tcPr>
                        <w:tcW w:w="1367" w:type="dxa"/>
                        <w:tcBorders>
                          <w:bottom w:val="single" w:sz="8" w:space="0" w:color="8EA9DB"/>
                        </w:tcBorders>
                        <w:shd w:val="clear" w:color="auto" w:fill="585858"/>
                      </w:tcPr>
                      <w:p>
                        <w:pPr>
                          <w:pStyle w:val="TableParagraph"/>
                          <w:spacing w:line="182" w:lineRule="exact"/>
                          <w:ind w:left="106" w:right="100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7"/>
                          </w:rPr>
                          <w:t>PRIMARIA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7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line="181" w:lineRule="exact" w:before="12"/>
                          <w:ind w:left="99" w:right="100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7"/>
                          </w:rPr>
                          <w:t>ADULTOS</w:t>
                        </w:r>
                      </w:p>
                    </w:tc>
                    <w:tc>
                      <w:tcPr>
                        <w:tcW w:w="919" w:type="dxa"/>
                        <w:tcBorders>
                          <w:bottom w:val="single" w:sz="8" w:space="0" w:color="8EA9DB"/>
                        </w:tcBorders>
                        <w:shd w:val="clear" w:color="auto" w:fill="585858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 MT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81" w:lineRule="exact"/>
                          <w:ind w:left="135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7"/>
                          </w:rPr>
                          <w:t>BASICO</w:t>
                        </w:r>
                      </w:p>
                    </w:tc>
                    <w:tc>
                      <w:tcPr>
                        <w:tcW w:w="2823" w:type="dxa"/>
                        <w:tcBorders>
                          <w:bottom w:val="single" w:sz="8" w:space="0" w:color="8EA9DB"/>
                        </w:tcBorders>
                        <w:shd w:val="clear" w:color="auto" w:fill="585858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 MT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81" w:lineRule="exact"/>
                          <w:ind w:left="137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7"/>
                          </w:rPr>
                          <w:t>DIVERSIFICADO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7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7"/>
                          </w:rPr>
                          <w:t>general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Tabla</w:t>
      </w:r>
      <w:r>
        <w:rPr>
          <w:spacing w:val="-2"/>
        </w:rPr>
        <w:t> </w:t>
      </w:r>
      <w:r>
        <w:rPr/>
        <w:t>Nº.</w:t>
      </w:r>
      <w:r>
        <w:rPr>
          <w:spacing w:val="-1"/>
        </w:rPr>
        <w:t> </w:t>
      </w:r>
      <w:r>
        <w:rPr/>
        <w:t>Total</w:t>
      </w:r>
      <w:r>
        <w:rPr>
          <w:spacing w:val="-2"/>
        </w:rPr>
        <w:t> </w:t>
      </w:r>
      <w:r>
        <w:rPr/>
        <w:t>de estudiantes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Nivel</w:t>
      </w:r>
      <w:r>
        <w:rPr>
          <w:spacing w:val="-2"/>
        </w:rPr>
        <w:t> </w:t>
      </w:r>
      <w:r>
        <w:rPr/>
        <w:t>Educativo (2017</w:t>
      </w:r>
      <w:r>
        <w:rPr>
          <w:spacing w:val="-2"/>
        </w:rPr>
        <w:t> </w:t>
      </w:r>
      <w:r>
        <w:rPr/>
        <w:t>al</w:t>
      </w:r>
      <w:r>
        <w:rPr>
          <w:spacing w:val="-4"/>
        </w:rPr>
        <w:t> </w:t>
      </w:r>
      <w:r>
        <w:rPr/>
        <w:t>2021)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6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1296"/>
        <w:gridCol w:w="1308"/>
        <w:gridCol w:w="1102"/>
        <w:gridCol w:w="1225"/>
        <w:gridCol w:w="1391"/>
        <w:gridCol w:w="1275"/>
      </w:tblGrid>
      <w:tr>
        <w:trPr>
          <w:trHeight w:val="200" w:hRule="atLeast"/>
        </w:trPr>
        <w:tc>
          <w:tcPr>
            <w:tcW w:w="845" w:type="dxa"/>
          </w:tcPr>
          <w:p>
            <w:pPr>
              <w:pStyle w:val="TableParagraph"/>
              <w:spacing w:line="180" w:lineRule="exact"/>
              <w:ind w:left="50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2017</w:t>
            </w:r>
          </w:p>
        </w:tc>
        <w:tc>
          <w:tcPr>
            <w:tcW w:w="1296" w:type="dxa"/>
          </w:tcPr>
          <w:p>
            <w:pPr>
              <w:pStyle w:val="TableParagraph"/>
              <w:spacing w:line="180" w:lineRule="exact"/>
              <w:ind w:right="261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599,028</w:t>
            </w:r>
          </w:p>
        </w:tc>
        <w:tc>
          <w:tcPr>
            <w:tcW w:w="1308" w:type="dxa"/>
          </w:tcPr>
          <w:p>
            <w:pPr>
              <w:pStyle w:val="TableParagraph"/>
              <w:spacing w:line="180" w:lineRule="exact"/>
              <w:ind w:left="262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2,323,999</w:t>
            </w:r>
          </w:p>
        </w:tc>
        <w:tc>
          <w:tcPr>
            <w:tcW w:w="1102" w:type="dxa"/>
          </w:tcPr>
          <w:p>
            <w:pPr>
              <w:pStyle w:val="TableParagraph"/>
              <w:spacing w:line="180" w:lineRule="exact"/>
              <w:ind w:left="266" w:right="27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24,864</w:t>
            </w:r>
          </w:p>
        </w:tc>
        <w:tc>
          <w:tcPr>
            <w:tcW w:w="1225" w:type="dxa"/>
          </w:tcPr>
          <w:p>
            <w:pPr>
              <w:pStyle w:val="TableParagraph"/>
              <w:spacing w:line="180" w:lineRule="exact"/>
              <w:ind w:left="290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806,654</w:t>
            </w:r>
          </w:p>
        </w:tc>
        <w:tc>
          <w:tcPr>
            <w:tcW w:w="1391" w:type="dxa"/>
          </w:tcPr>
          <w:p>
            <w:pPr>
              <w:pStyle w:val="TableParagraph"/>
              <w:spacing w:line="180" w:lineRule="exact"/>
              <w:ind w:left="310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413,673</w:t>
            </w:r>
          </w:p>
        </w:tc>
        <w:tc>
          <w:tcPr>
            <w:tcW w:w="1275" w:type="dxa"/>
          </w:tcPr>
          <w:p>
            <w:pPr>
              <w:pStyle w:val="TableParagraph"/>
              <w:spacing w:line="180" w:lineRule="exact"/>
              <w:ind w:right="6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4,168,218</w:t>
            </w:r>
          </w:p>
        </w:tc>
      </w:tr>
      <w:tr>
        <w:trPr>
          <w:trHeight w:val="206" w:hRule="atLeast"/>
        </w:trPr>
        <w:tc>
          <w:tcPr>
            <w:tcW w:w="845" w:type="dxa"/>
          </w:tcPr>
          <w:p>
            <w:pPr>
              <w:pStyle w:val="TableParagraph"/>
              <w:spacing w:line="183" w:lineRule="exact" w:before="4"/>
              <w:ind w:left="50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2018</w:t>
            </w:r>
          </w:p>
        </w:tc>
        <w:tc>
          <w:tcPr>
            <w:tcW w:w="1296" w:type="dxa"/>
          </w:tcPr>
          <w:p>
            <w:pPr>
              <w:pStyle w:val="TableParagraph"/>
              <w:spacing w:line="183" w:lineRule="exact" w:before="4"/>
              <w:ind w:right="261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626,638</w:t>
            </w:r>
          </w:p>
        </w:tc>
        <w:tc>
          <w:tcPr>
            <w:tcW w:w="1308" w:type="dxa"/>
          </w:tcPr>
          <w:p>
            <w:pPr>
              <w:pStyle w:val="TableParagraph"/>
              <w:spacing w:line="183" w:lineRule="exact" w:before="4"/>
              <w:ind w:left="262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2,362,116</w:t>
            </w:r>
          </w:p>
        </w:tc>
        <w:tc>
          <w:tcPr>
            <w:tcW w:w="1102" w:type="dxa"/>
          </w:tcPr>
          <w:p>
            <w:pPr>
              <w:pStyle w:val="TableParagraph"/>
              <w:spacing w:line="183" w:lineRule="exact" w:before="4"/>
              <w:ind w:left="266" w:right="27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23,210</w:t>
            </w:r>
          </w:p>
        </w:tc>
        <w:tc>
          <w:tcPr>
            <w:tcW w:w="1225" w:type="dxa"/>
          </w:tcPr>
          <w:p>
            <w:pPr>
              <w:pStyle w:val="TableParagraph"/>
              <w:spacing w:line="183" w:lineRule="exact" w:before="4"/>
              <w:ind w:left="290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805,074</w:t>
            </w:r>
          </w:p>
        </w:tc>
        <w:tc>
          <w:tcPr>
            <w:tcW w:w="1391" w:type="dxa"/>
          </w:tcPr>
          <w:p>
            <w:pPr>
              <w:pStyle w:val="TableParagraph"/>
              <w:spacing w:line="183" w:lineRule="exact" w:before="4"/>
              <w:ind w:left="310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422,117</w:t>
            </w:r>
          </w:p>
        </w:tc>
        <w:tc>
          <w:tcPr>
            <w:tcW w:w="1275" w:type="dxa"/>
          </w:tcPr>
          <w:p>
            <w:pPr>
              <w:pStyle w:val="TableParagraph"/>
              <w:spacing w:line="183" w:lineRule="exact" w:before="4"/>
              <w:ind w:right="6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4,239,155</w:t>
            </w:r>
          </w:p>
        </w:tc>
      </w:tr>
      <w:tr>
        <w:trPr>
          <w:trHeight w:val="207" w:hRule="atLeast"/>
        </w:trPr>
        <w:tc>
          <w:tcPr>
            <w:tcW w:w="845" w:type="dxa"/>
          </w:tcPr>
          <w:p>
            <w:pPr>
              <w:pStyle w:val="TableParagraph"/>
              <w:spacing w:line="183" w:lineRule="exact" w:before="4"/>
              <w:ind w:left="50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2019</w:t>
            </w:r>
          </w:p>
        </w:tc>
        <w:tc>
          <w:tcPr>
            <w:tcW w:w="1296" w:type="dxa"/>
          </w:tcPr>
          <w:p>
            <w:pPr>
              <w:pStyle w:val="TableParagraph"/>
              <w:spacing w:line="183" w:lineRule="exact" w:before="4"/>
              <w:ind w:right="261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613,095</w:t>
            </w:r>
          </w:p>
        </w:tc>
        <w:tc>
          <w:tcPr>
            <w:tcW w:w="1308" w:type="dxa"/>
          </w:tcPr>
          <w:p>
            <w:pPr>
              <w:pStyle w:val="TableParagraph"/>
              <w:spacing w:line="183" w:lineRule="exact" w:before="4"/>
              <w:ind w:left="262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2,346,898</w:t>
            </w:r>
          </w:p>
        </w:tc>
        <w:tc>
          <w:tcPr>
            <w:tcW w:w="1102" w:type="dxa"/>
          </w:tcPr>
          <w:p>
            <w:pPr>
              <w:pStyle w:val="TableParagraph"/>
              <w:spacing w:line="183" w:lineRule="exact" w:before="4"/>
              <w:ind w:left="266" w:right="27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19,402</w:t>
            </w:r>
          </w:p>
        </w:tc>
        <w:tc>
          <w:tcPr>
            <w:tcW w:w="1225" w:type="dxa"/>
          </w:tcPr>
          <w:p>
            <w:pPr>
              <w:pStyle w:val="TableParagraph"/>
              <w:spacing w:line="183" w:lineRule="exact" w:before="4"/>
              <w:ind w:left="290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782,837</w:t>
            </w:r>
          </w:p>
        </w:tc>
        <w:tc>
          <w:tcPr>
            <w:tcW w:w="1391" w:type="dxa"/>
          </w:tcPr>
          <w:p>
            <w:pPr>
              <w:pStyle w:val="TableParagraph"/>
              <w:spacing w:line="183" w:lineRule="exact" w:before="4"/>
              <w:ind w:left="310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415,810</w:t>
            </w:r>
          </w:p>
        </w:tc>
        <w:tc>
          <w:tcPr>
            <w:tcW w:w="1275" w:type="dxa"/>
          </w:tcPr>
          <w:p>
            <w:pPr>
              <w:pStyle w:val="TableParagraph"/>
              <w:spacing w:line="183" w:lineRule="exact" w:before="4"/>
              <w:ind w:right="6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4,178,042</w:t>
            </w:r>
          </w:p>
        </w:tc>
      </w:tr>
      <w:tr>
        <w:trPr>
          <w:trHeight w:val="207" w:hRule="atLeast"/>
        </w:trPr>
        <w:tc>
          <w:tcPr>
            <w:tcW w:w="845" w:type="dxa"/>
          </w:tcPr>
          <w:p>
            <w:pPr>
              <w:pStyle w:val="TableParagraph"/>
              <w:spacing w:line="183" w:lineRule="exact" w:before="4"/>
              <w:ind w:left="50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2020</w:t>
            </w:r>
          </w:p>
        </w:tc>
        <w:tc>
          <w:tcPr>
            <w:tcW w:w="1296" w:type="dxa"/>
          </w:tcPr>
          <w:p>
            <w:pPr>
              <w:pStyle w:val="TableParagraph"/>
              <w:spacing w:line="183" w:lineRule="exact" w:before="4"/>
              <w:ind w:right="261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597,195</w:t>
            </w:r>
          </w:p>
        </w:tc>
        <w:tc>
          <w:tcPr>
            <w:tcW w:w="1308" w:type="dxa"/>
          </w:tcPr>
          <w:p>
            <w:pPr>
              <w:pStyle w:val="TableParagraph"/>
              <w:spacing w:line="183" w:lineRule="exact" w:before="4"/>
              <w:ind w:left="262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2,348,410</w:t>
            </w:r>
          </w:p>
        </w:tc>
        <w:tc>
          <w:tcPr>
            <w:tcW w:w="1102" w:type="dxa"/>
          </w:tcPr>
          <w:p>
            <w:pPr>
              <w:pStyle w:val="TableParagraph"/>
              <w:spacing w:line="183" w:lineRule="exact" w:before="4"/>
              <w:ind w:left="266" w:right="27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15,420</w:t>
            </w:r>
          </w:p>
        </w:tc>
        <w:tc>
          <w:tcPr>
            <w:tcW w:w="1225" w:type="dxa"/>
          </w:tcPr>
          <w:p>
            <w:pPr>
              <w:pStyle w:val="TableParagraph"/>
              <w:spacing w:line="183" w:lineRule="exact" w:before="4"/>
              <w:ind w:left="290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763,561</w:t>
            </w:r>
          </w:p>
        </w:tc>
        <w:tc>
          <w:tcPr>
            <w:tcW w:w="1391" w:type="dxa"/>
          </w:tcPr>
          <w:p>
            <w:pPr>
              <w:pStyle w:val="TableParagraph"/>
              <w:spacing w:line="183" w:lineRule="exact" w:before="4"/>
              <w:ind w:left="310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414,294</w:t>
            </w:r>
          </w:p>
        </w:tc>
        <w:tc>
          <w:tcPr>
            <w:tcW w:w="1275" w:type="dxa"/>
          </w:tcPr>
          <w:p>
            <w:pPr>
              <w:pStyle w:val="TableParagraph"/>
              <w:spacing w:line="183" w:lineRule="exact" w:before="4"/>
              <w:ind w:right="6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4,138,880</w:t>
            </w:r>
          </w:p>
        </w:tc>
      </w:tr>
      <w:tr>
        <w:trPr>
          <w:trHeight w:val="200" w:hRule="atLeast"/>
        </w:trPr>
        <w:tc>
          <w:tcPr>
            <w:tcW w:w="845" w:type="dxa"/>
          </w:tcPr>
          <w:p>
            <w:pPr>
              <w:pStyle w:val="TableParagraph"/>
              <w:spacing w:line="176" w:lineRule="exact" w:before="4"/>
              <w:ind w:left="50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2021</w:t>
            </w:r>
          </w:p>
        </w:tc>
        <w:tc>
          <w:tcPr>
            <w:tcW w:w="1296" w:type="dxa"/>
          </w:tcPr>
          <w:p>
            <w:pPr>
              <w:pStyle w:val="TableParagraph"/>
              <w:spacing w:line="176" w:lineRule="exact" w:before="4"/>
              <w:ind w:right="261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629,285</w:t>
            </w:r>
          </w:p>
        </w:tc>
        <w:tc>
          <w:tcPr>
            <w:tcW w:w="1308" w:type="dxa"/>
          </w:tcPr>
          <w:p>
            <w:pPr>
              <w:pStyle w:val="TableParagraph"/>
              <w:spacing w:line="176" w:lineRule="exact" w:before="4"/>
              <w:ind w:left="262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2,391,761</w:t>
            </w:r>
          </w:p>
        </w:tc>
        <w:tc>
          <w:tcPr>
            <w:tcW w:w="1102" w:type="dxa"/>
          </w:tcPr>
          <w:p>
            <w:pPr>
              <w:pStyle w:val="TableParagraph"/>
              <w:spacing w:line="176" w:lineRule="exact" w:before="4"/>
              <w:ind w:left="241" w:right="27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7,259</w:t>
            </w:r>
          </w:p>
        </w:tc>
        <w:tc>
          <w:tcPr>
            <w:tcW w:w="1225" w:type="dxa"/>
          </w:tcPr>
          <w:p>
            <w:pPr>
              <w:pStyle w:val="TableParagraph"/>
              <w:spacing w:line="176" w:lineRule="exact" w:before="4"/>
              <w:ind w:left="290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705,763</w:t>
            </w:r>
          </w:p>
        </w:tc>
        <w:tc>
          <w:tcPr>
            <w:tcW w:w="1391" w:type="dxa"/>
          </w:tcPr>
          <w:p>
            <w:pPr>
              <w:pStyle w:val="TableParagraph"/>
              <w:spacing w:line="176" w:lineRule="exact" w:before="4"/>
              <w:ind w:left="310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377,989</w:t>
            </w:r>
          </w:p>
        </w:tc>
        <w:tc>
          <w:tcPr>
            <w:tcW w:w="1275" w:type="dxa"/>
          </w:tcPr>
          <w:p>
            <w:pPr>
              <w:pStyle w:val="TableParagraph"/>
              <w:spacing w:line="176" w:lineRule="exact" w:before="4"/>
              <w:ind w:right="53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4,112,057</w:t>
            </w:r>
          </w:p>
        </w:tc>
      </w:tr>
    </w:tbl>
    <w:p>
      <w:pPr>
        <w:pStyle w:val="BodyText"/>
        <w:spacing w:before="5"/>
        <w:rPr>
          <w:sz w:val="2"/>
        </w:rPr>
      </w:pPr>
    </w:p>
    <w:tbl>
      <w:tblPr>
        <w:tblW w:w="0" w:type="auto"/>
        <w:jc w:val="left"/>
        <w:tblInd w:w="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1"/>
        <w:gridCol w:w="1284"/>
        <w:gridCol w:w="1316"/>
        <w:gridCol w:w="1046"/>
        <w:gridCol w:w="1261"/>
        <w:gridCol w:w="1373"/>
        <w:gridCol w:w="1279"/>
      </w:tblGrid>
      <w:tr>
        <w:trPr>
          <w:trHeight w:val="192" w:hRule="atLeast"/>
        </w:trPr>
        <w:tc>
          <w:tcPr>
            <w:tcW w:w="1261" w:type="dxa"/>
            <w:tcBorders>
              <w:top w:val="single" w:sz="8" w:space="0" w:color="8EA9DB"/>
            </w:tcBorders>
            <w:shd w:val="clear" w:color="auto" w:fill="D9E0F1"/>
          </w:tcPr>
          <w:p>
            <w:pPr>
              <w:pStyle w:val="TableParagraph"/>
              <w:spacing w:line="172" w:lineRule="exact"/>
              <w:ind w:left="4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Total</w:t>
            </w:r>
            <w:r>
              <w:rPr>
                <w:rFonts w:ascii="Arial"/>
                <w:b/>
                <w:spacing w:val="-3"/>
                <w:sz w:val="17"/>
              </w:rPr>
              <w:t> </w:t>
            </w:r>
            <w:r>
              <w:rPr>
                <w:rFonts w:ascii="Arial"/>
                <w:b/>
                <w:sz w:val="17"/>
              </w:rPr>
              <w:t>general</w:t>
            </w:r>
          </w:p>
        </w:tc>
        <w:tc>
          <w:tcPr>
            <w:tcW w:w="1284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72" w:lineRule="exact"/>
              <w:ind w:left="3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3,065,241</w:t>
            </w:r>
          </w:p>
        </w:tc>
        <w:tc>
          <w:tcPr>
            <w:tcW w:w="1316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72" w:lineRule="exact"/>
              <w:ind w:left="20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11,773,184</w:t>
            </w:r>
          </w:p>
        </w:tc>
        <w:tc>
          <w:tcPr>
            <w:tcW w:w="1046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72" w:lineRule="exact"/>
              <w:ind w:left="27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90,155</w:t>
            </w:r>
          </w:p>
        </w:tc>
        <w:tc>
          <w:tcPr>
            <w:tcW w:w="1261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72" w:lineRule="exact"/>
              <w:ind w:left="26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3,863,889</w:t>
            </w:r>
          </w:p>
        </w:tc>
        <w:tc>
          <w:tcPr>
            <w:tcW w:w="1373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72" w:lineRule="exact"/>
              <w:ind w:left="25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2,043,883</w:t>
            </w:r>
          </w:p>
        </w:tc>
        <w:tc>
          <w:tcPr>
            <w:tcW w:w="1279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72" w:lineRule="exact"/>
              <w:ind w:left="3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20,836,352</w:t>
            </w:r>
          </w:p>
        </w:tc>
      </w:tr>
    </w:tbl>
    <w:p>
      <w:pPr>
        <w:spacing w:before="1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2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3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4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before="1"/>
        <w:ind w:left="278" w:right="1074"/>
        <w:jc w:val="both"/>
      </w:pPr>
      <w:r>
        <w:rPr/>
        <w:t>En la tabla anterior, se presenta el total de estudiantes por Nivel Educativo desde Nivel Preprimaria hasta</w:t>
      </w:r>
      <w:r>
        <w:rPr>
          <w:spacing w:val="-47"/>
        </w:rPr>
        <w:t> </w:t>
      </w:r>
      <w:r>
        <w:rPr/>
        <w:t>el</w:t>
      </w:r>
      <w:r>
        <w:rPr>
          <w:spacing w:val="-1"/>
        </w:rPr>
        <w:t> </w:t>
      </w:r>
      <w:r>
        <w:rPr/>
        <w:t>Diversificado,</w:t>
      </w:r>
      <w:r>
        <w:rPr>
          <w:spacing w:val="-3"/>
        </w:rPr>
        <w:t> </w:t>
      </w:r>
      <w:r>
        <w:rPr/>
        <w:t>para</w:t>
      </w:r>
      <w:r>
        <w:rPr>
          <w:spacing w:val="-1"/>
        </w:rPr>
        <w:t> </w:t>
      </w:r>
      <w:r>
        <w:rPr/>
        <w:t>el período</w:t>
      </w:r>
      <w:r>
        <w:rPr>
          <w:spacing w:val="-1"/>
        </w:rPr>
        <w:t> </w:t>
      </w:r>
      <w:r>
        <w:rPr/>
        <w:t>comprendido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2017 al</w:t>
      </w:r>
      <w:r>
        <w:rPr>
          <w:spacing w:val="-3"/>
        </w:rPr>
        <w:t> </w:t>
      </w:r>
      <w:r>
        <w:rPr/>
        <w:t>2021.</w:t>
      </w:r>
    </w:p>
    <w:p>
      <w:pPr>
        <w:pStyle w:val="BodyText"/>
      </w:pPr>
    </w:p>
    <w:p>
      <w:pPr>
        <w:pStyle w:val="BodyText"/>
        <w:ind w:left="278" w:right="1071"/>
        <w:jc w:val="both"/>
      </w:pPr>
      <w:r>
        <w:rPr/>
        <w:t>Como se observa, durante el 2017 se tuvo una población estudiantil total de 4,168,218. Para el 2018, se</w:t>
      </w:r>
      <w:r>
        <w:rPr>
          <w:spacing w:val="1"/>
        </w:rPr>
        <w:t> </w:t>
      </w:r>
      <w:r>
        <w:rPr/>
        <w:t>presentó un leve incremento de 70,937 lo cual, representó un 1.70% con respecto al año anterior. En el</w:t>
      </w:r>
      <w:r>
        <w:rPr>
          <w:spacing w:val="1"/>
        </w:rPr>
        <w:t> </w:t>
      </w:r>
      <w:r>
        <w:rPr/>
        <w:t>2019, se registró un total de 4,178,042, estudiantes evidenciando un ligero descenso del -1.44% En</w:t>
      </w:r>
      <w:r>
        <w:rPr>
          <w:spacing w:val="1"/>
        </w:rPr>
        <w:t> </w:t>
      </w:r>
      <w:r>
        <w:rPr/>
        <w:t>relación con l 2018. La tendencia a la baja continuó durante los años 2020 y 2021. Durante el año de la</w:t>
      </w:r>
      <w:r>
        <w:rPr>
          <w:spacing w:val="1"/>
        </w:rPr>
        <w:t> </w:t>
      </w:r>
      <w:r>
        <w:rPr/>
        <w:t>pandemia, -en el 2020- se matricularon 4,138,880. A este respecto, cabe destacar los retos y dificultades</w:t>
      </w:r>
      <w:r>
        <w:rPr>
          <w:spacing w:val="1"/>
        </w:rPr>
        <w:t> </w:t>
      </w:r>
      <w:r>
        <w:rPr/>
        <w:t>causados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el</w:t>
      </w:r>
      <w:r>
        <w:rPr>
          <w:spacing w:val="-5"/>
        </w:rPr>
        <w:t> </w:t>
      </w:r>
      <w:r>
        <w:rPr/>
        <w:t>COVID-19,</w:t>
      </w:r>
      <w:r>
        <w:rPr>
          <w:spacing w:val="-8"/>
        </w:rPr>
        <w:t> </w:t>
      </w:r>
      <w:r>
        <w:rPr/>
        <w:t>por</w:t>
      </w:r>
      <w:r>
        <w:rPr>
          <w:spacing w:val="-2"/>
        </w:rPr>
        <w:t> </w:t>
      </w:r>
      <w:r>
        <w:rPr/>
        <w:t>lo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supuso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cierre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6"/>
        </w:rPr>
        <w:t> </w:t>
      </w:r>
      <w:r>
        <w:rPr/>
        <w:t>centros</w:t>
      </w:r>
      <w:r>
        <w:rPr>
          <w:spacing w:val="-3"/>
        </w:rPr>
        <w:t> </w:t>
      </w:r>
      <w:r>
        <w:rPr/>
        <w:t>educativos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implementación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7"/>
        </w:rPr>
        <w:t> </w:t>
      </w:r>
      <w:r>
        <w:rPr>
          <w:spacing w:val="-1"/>
        </w:rPr>
        <w:t>modalidad</w:t>
      </w:r>
      <w:r>
        <w:rPr>
          <w:spacing w:val="-13"/>
        </w:rPr>
        <w:t> </w:t>
      </w:r>
      <w:r>
        <w:rPr/>
        <w:t>virtual</w:t>
      </w:r>
      <w:r>
        <w:rPr>
          <w:spacing w:val="-10"/>
        </w:rPr>
        <w:t> </w:t>
      </w:r>
      <w:r>
        <w:rPr/>
        <w:t>–a</w:t>
      </w:r>
      <w:r>
        <w:rPr>
          <w:spacing w:val="-10"/>
        </w:rPr>
        <w:t> </w:t>
      </w:r>
      <w:r>
        <w:rPr/>
        <w:t>todo</w:t>
      </w:r>
      <w:r>
        <w:rPr>
          <w:spacing w:val="-8"/>
        </w:rPr>
        <w:t> </w:t>
      </w:r>
      <w:r>
        <w:rPr/>
        <w:t>nivel-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lugar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presencial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todo</w:t>
      </w:r>
      <w:r>
        <w:rPr>
          <w:spacing w:val="-11"/>
        </w:rPr>
        <w:t> </w:t>
      </w:r>
      <w:r>
        <w:rPr/>
        <w:t>el</w:t>
      </w:r>
      <w:r>
        <w:rPr>
          <w:spacing w:val="-9"/>
        </w:rPr>
        <w:t> </w:t>
      </w:r>
      <w:r>
        <w:rPr/>
        <w:t>Sistema</w:t>
      </w:r>
      <w:r>
        <w:rPr>
          <w:spacing w:val="-10"/>
        </w:rPr>
        <w:t> </w:t>
      </w:r>
      <w:r>
        <w:rPr/>
        <w:t>Educativo</w:t>
      </w:r>
      <w:r>
        <w:rPr>
          <w:spacing w:val="-8"/>
        </w:rPr>
        <w:t> </w:t>
      </w:r>
      <w:r>
        <w:rPr/>
        <w:t>Nacional.</w:t>
      </w:r>
      <w:r>
        <w:rPr>
          <w:spacing w:val="-10"/>
        </w:rPr>
        <w:t> </w:t>
      </w:r>
      <w:r>
        <w:rPr/>
        <w:t>Durante</w:t>
      </w:r>
      <w:r>
        <w:rPr>
          <w:spacing w:val="-47"/>
        </w:rPr>
        <w:t> </w:t>
      </w:r>
      <w:r>
        <w:rPr/>
        <w:t>el 2021, todavía se trabajó virtualmente, por lo cual se registraron 4,112,057 alumnos, mostrando el dato</w:t>
      </w:r>
      <w:r>
        <w:rPr>
          <w:spacing w:val="-48"/>
        </w:rPr>
        <w:t> </w:t>
      </w:r>
      <w:r>
        <w:rPr/>
        <w:t>más</w:t>
      </w:r>
      <w:r>
        <w:rPr>
          <w:spacing w:val="-1"/>
        </w:rPr>
        <w:t> </w:t>
      </w:r>
      <w:r>
        <w:rPr/>
        <w:t>bajo</w:t>
      </w:r>
      <w:r>
        <w:rPr>
          <w:spacing w:val="1"/>
        </w:rPr>
        <w:t> </w:t>
      </w:r>
      <w:r>
        <w:rPr/>
        <w:t>del</w:t>
      </w:r>
      <w:r>
        <w:rPr>
          <w:spacing w:val="-3"/>
        </w:rPr>
        <w:t> </w:t>
      </w:r>
      <w:r>
        <w:rPr/>
        <w:t>período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analizado.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  <w:r>
        <w:rPr/>
        <w:pict>
          <v:rect style="position:absolute;margin-left:563.880005pt;margin-top:15.057433pt;width:25.44pt;height:1.4399pt;mso-position-horizontal-relative:page;mso-position-vertical-relative:paragraph;z-index:-1550336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111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40544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3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8"/>
        </w:rPr>
      </w:pPr>
    </w:p>
    <w:p>
      <w:pPr>
        <w:pStyle w:val="BodyText"/>
        <w:spacing w:before="56"/>
        <w:ind w:left="278" w:right="1071"/>
        <w:jc w:val="both"/>
      </w:pPr>
      <w:r>
        <w:rPr/>
        <w:t>A nivel específico, el que posee mayor cantidad de población estudiantil es el </w:t>
      </w:r>
      <w:r>
        <w:rPr>
          <w:i/>
        </w:rPr>
        <w:t>Nivel Primario</w:t>
      </w:r>
      <w:r>
        <w:rPr/>
        <w:t>, -de hecho-,</w:t>
      </w:r>
      <w:r>
        <w:rPr>
          <w:spacing w:val="1"/>
        </w:rPr>
        <w:t> </w:t>
      </w:r>
      <w:r>
        <w:rPr/>
        <w:t>se evidencia un leve aumento durante el período de análisis, esto explica en parte por el incremento de</w:t>
      </w:r>
      <w:r>
        <w:rPr>
          <w:spacing w:val="1"/>
        </w:rPr>
        <w:t> </w:t>
      </w:r>
      <w:r>
        <w:rPr/>
        <w:t>los beneficios otorgados a través de los Programas de Alimentación y el Seguro, entre otros factores que</w:t>
      </w:r>
      <w:r>
        <w:rPr>
          <w:spacing w:val="1"/>
        </w:rPr>
        <w:t> </w:t>
      </w:r>
      <w:r>
        <w:rPr/>
        <w:t>incentivan a los padres a enviar a sus hijos. Le sigue el </w:t>
      </w:r>
      <w:r>
        <w:rPr>
          <w:i/>
        </w:rPr>
        <w:t>Nivel Preprimaria</w:t>
      </w:r>
      <w:r>
        <w:rPr/>
        <w:t>, mismo que, aunque evidenció</w:t>
      </w:r>
      <w:r>
        <w:rPr>
          <w:spacing w:val="1"/>
        </w:rPr>
        <w:t> </w:t>
      </w:r>
      <w:r>
        <w:rPr/>
        <w:t>una tendencia al alza durante el último lustro, la pandemia disminuyó la cantidad de población por las</w:t>
      </w:r>
      <w:r>
        <w:rPr>
          <w:spacing w:val="1"/>
        </w:rPr>
        <w:t> </w:t>
      </w:r>
      <w:r>
        <w:rPr/>
        <w:t>características particulares de formación en este nivel. Es decir, es un nivel educativo que requiere mayor</w:t>
      </w:r>
      <w:r>
        <w:rPr>
          <w:spacing w:val="-48"/>
        </w:rPr>
        <w:t> </w:t>
      </w:r>
      <w:r>
        <w:rPr/>
        <w:t>atención personalizada y presencial por lo que los padres, decidieron no inscribir a sus hijos por el reto</w:t>
      </w:r>
      <w:r>
        <w:rPr>
          <w:spacing w:val="1"/>
        </w:rPr>
        <w:t> </w:t>
      </w:r>
      <w:r>
        <w:rPr/>
        <w:t>que supone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este</w:t>
      </w:r>
      <w:r>
        <w:rPr>
          <w:spacing w:val="1"/>
        </w:rPr>
        <w:t> </w:t>
      </w:r>
      <w:r>
        <w:rPr/>
        <w:t>nivel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modalidad</w:t>
      </w:r>
      <w:r>
        <w:rPr>
          <w:spacing w:val="-3"/>
        </w:rPr>
        <w:t> </w:t>
      </w:r>
      <w:r>
        <w:rPr/>
        <w:t>virtual.</w:t>
      </w:r>
    </w:p>
    <w:p>
      <w:pPr>
        <w:pStyle w:val="BodyText"/>
      </w:pPr>
    </w:p>
    <w:p>
      <w:pPr>
        <w:pStyle w:val="BodyText"/>
        <w:ind w:left="278" w:right="1069"/>
        <w:jc w:val="both"/>
      </w:pPr>
      <w:r>
        <w:rPr/>
        <w:t>Respecto de la Educación para Adultos, el Ciclo básico y Nivel Diversificado, se observa una disminución</w:t>
      </w:r>
      <w:r>
        <w:rPr>
          <w:spacing w:val="1"/>
        </w:rPr>
        <w:t> </w:t>
      </w:r>
      <w:r>
        <w:rPr/>
        <w:t>interanual de la población estudiantil durante el quinquenio. Siendo la Primaria para Adultos, el que ha</w:t>
      </w:r>
      <w:r>
        <w:rPr>
          <w:spacing w:val="1"/>
        </w:rPr>
        <w:t> </w:t>
      </w:r>
      <w:r>
        <w:rPr/>
        <w:t>evidenciado</w:t>
      </w:r>
      <w:r>
        <w:rPr>
          <w:spacing w:val="-5"/>
        </w:rPr>
        <w:t> </w:t>
      </w:r>
      <w:r>
        <w:rPr/>
        <w:t>el</w:t>
      </w:r>
      <w:r>
        <w:rPr>
          <w:spacing w:val="-8"/>
        </w:rPr>
        <w:t> </w:t>
      </w:r>
      <w:r>
        <w:rPr/>
        <w:t>mayor</w:t>
      </w:r>
      <w:r>
        <w:rPr>
          <w:spacing w:val="-6"/>
        </w:rPr>
        <w:t> </w:t>
      </w:r>
      <w:r>
        <w:rPr/>
        <w:t>decrecimiento.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siguiente</w:t>
      </w:r>
      <w:r>
        <w:rPr>
          <w:spacing w:val="-5"/>
        </w:rPr>
        <w:t> </w:t>
      </w:r>
      <w:r>
        <w:rPr/>
        <w:t>gráfica,</w:t>
      </w:r>
      <w:r>
        <w:rPr>
          <w:spacing w:val="-5"/>
        </w:rPr>
        <w:t> </w:t>
      </w:r>
      <w:r>
        <w:rPr/>
        <w:t>se</w:t>
      </w:r>
      <w:r>
        <w:rPr>
          <w:spacing w:val="-8"/>
        </w:rPr>
        <w:t> </w:t>
      </w:r>
      <w:r>
        <w:rPr/>
        <w:t>muestra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relación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niveles</w:t>
      </w:r>
      <w:r>
        <w:rPr>
          <w:spacing w:val="-5"/>
        </w:rPr>
        <w:t> </w:t>
      </w:r>
      <w:r>
        <w:rPr/>
        <w:t>educativos.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/>
        <w:jc w:val="both"/>
      </w:pPr>
      <w:r>
        <w:rPr/>
        <w:t>Gráfico</w:t>
      </w:r>
      <w:r>
        <w:rPr>
          <w:spacing w:val="-1"/>
        </w:rPr>
        <w:t> </w:t>
      </w:r>
      <w:r>
        <w:rPr/>
        <w:t>Nª.</w:t>
      </w:r>
      <w:r>
        <w:rPr>
          <w:spacing w:val="-5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alumnos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Nivel</w:t>
      </w:r>
      <w:r>
        <w:rPr>
          <w:spacing w:val="-1"/>
        </w:rPr>
        <w:t> </w:t>
      </w:r>
      <w:r>
        <w:rPr/>
        <w:t>Educativo (2017-2018)</w:t>
      </w:r>
    </w:p>
    <w:p>
      <w:pPr>
        <w:pStyle w:val="BodyText"/>
        <w:ind w:left="291"/>
        <w:rPr>
          <w:sz w:val="20"/>
        </w:rPr>
      </w:pPr>
      <w:r>
        <w:rPr>
          <w:sz w:val="20"/>
        </w:rPr>
        <w:pict>
          <v:group style="width:475.25pt;height:212.25pt;mso-position-horizontal-relative:char;mso-position-vertical-relative:line" coordorigin="0,0" coordsize="9505,4245">
            <v:rect style="position:absolute;left:9;top:9;width:9486;height:4226" filled="true" fillcolor="#ffffff" stroked="false">
              <v:fill type="solid"/>
            </v:rect>
            <v:shape style="position:absolute;left:1034;top:1734;width:8219;height:1106" coordorigin="1034,1734" coordsize="8219,1106" path="m1034,2840l1126,2840m1369,2840l1443,2840m1685,2840l2039,2840m2281,2840l2783,2840m3024,2840l3081,2840m3323,2840l3694,2840m3937,2840l4420,2840m4663,2840l4719,2840m4960,2840l5333,2840m5574,2840l6059,2840m6300,2840l6356,2840m6597,2840l6970,2840m7212,2840l7696,2840m7937,2840l8013,2840m8254,2840l8607,2840m8850,2840l9252,2840m1034,2457l1443,2457m1685,2457l3081,2457m3323,2457l4719,2457m4960,2457l6356,2457m6597,2457l8013,2457m8254,2457l9252,2457m1034,2096l1443,2096m1685,2096l3081,2096m3323,2096l4719,2096m4960,2096l6356,2096m6597,2096l8013,2096m8254,2096l9252,2096m1034,1734l1443,1734m1685,1734l3081,1734m3323,1734l4719,1734m4960,1734l6356,1734m6597,1734l8013,1734m8254,1734l9252,1734e" filled="false" stroked="true" strokeweight=".968172pt" strokecolor="#d9d9d9">
              <v:path arrowok="t"/>
              <v:stroke dashstyle="solid"/>
            </v:shape>
            <v:shape style="position:absolute;left:1034;top:992;width:8219;height:361" coordorigin="1034,993" coordsize="8219,361" path="m1034,1354l1034,1354,9252,1354m1034,993l1034,993,9252,993e" filled="false" stroked="true" strokeweight=".933798pt" strokecolor="#d9d9d9">
              <v:path arrowok="t"/>
              <v:stroke dashstyle="solid"/>
            </v:shape>
            <v:shape style="position:absolute;left:1126;top:2738;width:6812;height:462" coordorigin="1126,2739" coordsize="6812,462" path="m1369,2758l1126,2758,1126,3201,1369,3201,1369,2758xm3024,2739l2783,2739,2783,3201,3024,3201,3024,2739xm4663,2758l4420,2758,4420,3201,4663,3201,4663,2758xm6300,2758l6059,2758,6059,3201,6300,3201,6300,2758xm7937,2739l7696,2739,7696,3201,7937,3201,7937,2739xe" filled="true" fillcolor="#4471c4" stroked="false">
              <v:path arrowok="t"/>
              <v:fill type="solid"/>
            </v:shape>
            <v:shape style="position:absolute;left:1443;top:1433;width:6812;height:1768" coordorigin="1443,1433" coordsize="6812,1768" path="m1685,1494l1443,1494,1443,3201,1685,3201,1685,1494xm3323,1474l3081,1474,3081,3201,3323,3201,3323,1474xm4960,1474l4719,1474,4719,3201,4960,3201,4960,1474xm6597,1474l6356,1474,6356,3201,6597,3201,6597,1474xm8254,1433l8013,1433,8013,3201,8254,3201,8254,1433xe" filled="true" fillcolor="#ec7c30" stroked="false">
              <v:path arrowok="t"/>
              <v:fill type="solid"/>
            </v:shape>
            <v:shape style="position:absolute;left:1740;top:3179;width:6811;height:21" coordorigin="1741,3180" coordsize="6811,21" path="m1983,3180l1741,3180,1741,3201,1983,3201,1983,3180xm3621,3180l3379,3180,3379,3201,3621,3201,3621,3180xm5277,3180l5034,3180,5034,3201,5277,3201,5277,3180xm6914,3180l6673,3180,6673,3201,6914,3201,6914,3180xm8551,3180l8310,3180,8310,3201,8551,3201,8551,3180xe" filled="true" fillcolor="#a4a4a4" stroked="false">
              <v:path arrowok="t"/>
              <v:fill type="solid"/>
            </v:shape>
            <v:shape style="position:absolute;left:2038;top:2598;width:6812;height:602" coordorigin="2039,2599" coordsize="6812,602" path="m2281,2599l2039,2599,2039,3201,2281,3201,2281,2599xm3937,2618l3694,2618,3694,3201,3937,3201,3937,2618xm5574,2618l5333,2618,5333,3201,5574,3201,5574,2618xm7212,2638l6970,2638,6970,3201,7212,3201,7212,2638xm8850,2678l8607,2678,8607,3201,8850,3201,8850,2678xe" filled="true" fillcolor="#ffc000" stroked="false">
              <v:path arrowok="t"/>
              <v:fill type="solid"/>
            </v:shape>
            <v:shape style="position:absolute;left:2354;top:2899;width:6812;height:301" coordorigin="2354,2900" coordsize="6812,301" path="m2598,2900l2354,2900,2354,3201,2598,3201,2598,2900xm4235,2900l3993,2900,3993,3201,4235,3201,4235,2900xm5872,2900l5630,2900,5630,3201,5872,3201,5872,2900xm7528,2900l7267,2900,7267,3201,7528,3201,7528,2900xm9166,2919l8924,2919,8924,3201,9166,3201,9166,2919xe" filled="true" fillcolor="#5b9bd4" stroked="false">
              <v:path arrowok="t"/>
              <v:fill type="solid"/>
            </v:shape>
            <v:shape style="position:absolute;left:1041;top:3200;width:8211;height:2" coordorigin="1041,3201" coordsize="8211,0" path="m1041,3201l1041,3201,9252,3201e" filled="false" stroked="true" strokeweight=".968172pt" strokecolor="#d9d9d9">
              <v:path arrowok="t"/>
              <v:stroke dashstyle="solid"/>
            </v:shape>
            <v:rect style="position:absolute;left:1154;top:3839;width:92;height:100" filled="true" fillcolor="#4471c4" stroked="false">
              <v:fill type="solid"/>
            </v:rect>
            <v:rect style="position:absolute;left:2633;top:3839;width:93;height:100" filled="true" fillcolor="#ec7c30" stroked="false">
              <v:fill type="solid"/>
            </v:rect>
            <v:rect style="position:absolute;left:3814;top:3839;width:94;height:100" filled="true" fillcolor="#a4a4a4" stroked="false">
              <v:fill type="solid"/>
            </v:rect>
            <v:rect style="position:absolute;left:6030;top:3839;width:93;height:100" filled="true" fillcolor="#ffc000" stroked="false">
              <v:fill type="solid"/>
            </v:rect>
            <v:rect style="position:absolute;left:7053;top:3839;width:93;height:100" filled="true" fillcolor="#5b9bd4" stroked="false">
              <v:fill type="solid"/>
            </v:rect>
            <v:shape style="position:absolute;left:9;top:9;width:9486;height:4226" coordorigin="10,10" coordsize="9486,4226" path="m10,10l9495,10,9495,4235m10,4235l10,10e" filled="false" stroked="true" strokeweight=".933798pt" strokecolor="#d9d9d9">
              <v:path arrowok="t"/>
              <v:stroke dashstyle="solid"/>
            </v:shape>
            <v:shape style="position:absolute;left:2754;top:223;width:4019;height:478" type="#_x0000_t202" filled="false" stroked="false">
              <v:textbox inset="0,0,0,0">
                <w:txbxContent>
                  <w:p>
                    <w:pPr>
                      <w:spacing w:line="269" w:lineRule="exact" w:before="0"/>
                      <w:ind w:left="0" w:right="18" w:firstLine="0"/>
                      <w:jc w:val="center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24"/>
                      </w:rPr>
                      <w:t>Tota</w:t>
                    </w:r>
                    <w:r>
                      <w:rPr>
                        <w:rFonts w:ascii="Arial"/>
                        <w:b/>
                        <w:spacing w:val="-28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w w:val="90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spacing w:val="11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w w:val="90"/>
                        <w:sz w:val="24"/>
                      </w:rPr>
                      <w:t>de</w:t>
                    </w:r>
                    <w:r>
                      <w:rPr>
                        <w:rFonts w:ascii="Arial"/>
                        <w:b/>
                        <w:spacing w:val="49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w w:val="90"/>
                        <w:sz w:val="24"/>
                      </w:rPr>
                      <w:t>alumnos</w:t>
                    </w:r>
                    <w:r>
                      <w:rPr>
                        <w:rFonts w:ascii="Arial"/>
                        <w:b/>
                        <w:spacing w:val="-1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w w:val="90"/>
                        <w:sz w:val="24"/>
                      </w:rPr>
                      <w:t>por</w:t>
                    </w:r>
                    <w:r>
                      <w:rPr>
                        <w:rFonts w:ascii="Arial"/>
                        <w:b/>
                        <w:spacing w:val="3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w w:val="90"/>
                        <w:sz w:val="24"/>
                      </w:rPr>
                      <w:t>Nivel</w:t>
                    </w:r>
                    <w:r>
                      <w:rPr>
                        <w:rFonts w:ascii="Arial"/>
                        <w:b/>
                        <w:spacing w:val="14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w w:val="90"/>
                        <w:sz w:val="24"/>
                      </w:rPr>
                      <w:t>Educa</w:t>
                    </w:r>
                    <w:r>
                      <w:rPr>
                        <w:rFonts w:ascii="Arial"/>
                        <w:b/>
                        <w:spacing w:val="-30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w w:val="90"/>
                        <w:sz w:val="24"/>
                      </w:rPr>
                      <w:t>tivo</w:t>
                    </w:r>
                  </w:p>
                  <w:p>
                    <w:pPr>
                      <w:spacing w:before="2"/>
                      <w:ind w:left="0" w:right="23" w:firstLine="0"/>
                      <w:jc w:val="center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(2017-2021)</w:t>
                    </w:r>
                  </w:p>
                </w:txbxContent>
              </v:textbox>
              <w10:wrap type="none"/>
            </v:shape>
            <v:shape style="position:absolute;left:141;top:887;width:764;height:2426" type="#_x0000_t202" filled="false" stroked="false">
              <v:textbox inset="0,0,0,0">
                <w:txbxContent>
                  <w:p>
                    <w:pPr>
                      <w:spacing w:before="1"/>
                      <w:ind w:left="0" w:right="22" w:firstLine="0"/>
                      <w:jc w:val="right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spacing w:val="-1"/>
                        <w:w w:val="80"/>
                        <w:sz w:val="18"/>
                      </w:rPr>
                      <w:t>3,000,000</w:t>
                    </w:r>
                  </w:p>
                  <w:p>
                    <w:pPr>
                      <w:spacing w:before="148"/>
                      <w:ind w:left="0" w:right="22" w:firstLine="0"/>
                      <w:jc w:val="right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spacing w:val="-1"/>
                        <w:w w:val="80"/>
                        <w:sz w:val="18"/>
                      </w:rPr>
                      <w:t>2,500,000</w:t>
                    </w:r>
                  </w:p>
                  <w:p>
                    <w:pPr>
                      <w:spacing w:before="149"/>
                      <w:ind w:left="0" w:right="22" w:firstLine="0"/>
                      <w:jc w:val="right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spacing w:val="-1"/>
                        <w:w w:val="80"/>
                        <w:sz w:val="18"/>
                      </w:rPr>
                      <w:t>2,000,000</w:t>
                    </w:r>
                  </w:p>
                  <w:p>
                    <w:pPr>
                      <w:spacing w:before="148"/>
                      <w:ind w:left="0" w:right="22" w:firstLine="0"/>
                      <w:jc w:val="right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spacing w:val="-1"/>
                        <w:w w:val="80"/>
                        <w:sz w:val="18"/>
                      </w:rPr>
                      <w:t>1,500,000</w:t>
                    </w:r>
                  </w:p>
                  <w:p>
                    <w:pPr>
                      <w:spacing w:before="149"/>
                      <w:ind w:left="0" w:right="22" w:firstLine="0"/>
                      <w:jc w:val="right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spacing w:val="-1"/>
                        <w:w w:val="80"/>
                        <w:sz w:val="18"/>
                      </w:rPr>
                      <w:t>1,000,000</w:t>
                    </w:r>
                  </w:p>
                  <w:p>
                    <w:pPr>
                      <w:spacing w:before="148"/>
                      <w:ind w:left="0" w:right="21" w:firstLine="0"/>
                      <w:jc w:val="right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w w:val="95"/>
                        <w:sz w:val="18"/>
                      </w:rPr>
                      <w:t>500,000</w:t>
                    </w:r>
                  </w:p>
                  <w:p>
                    <w:pPr>
                      <w:spacing w:before="149"/>
                      <w:ind w:left="0" w:right="18" w:firstLine="0"/>
                      <w:jc w:val="right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w w:val="8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682;top:3321;width:389;height:22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w w:val="80"/>
                        <w:sz w:val="18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3323;top:3321;width:389;height:22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w w:val="80"/>
                        <w:sz w:val="18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4966;top:3321;width:389;height:22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w w:val="80"/>
                        <w:sz w:val="18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6608;top:3321;width:389;height:22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w w:val="80"/>
                        <w:sz w:val="18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8250;top:3321;width:389;height:22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w w:val="80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1284;top:3777;width:1086;height:22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w w:val="85"/>
                        <w:sz w:val="18"/>
                      </w:rPr>
                      <w:t>PREPRIMARIA</w:t>
                    </w:r>
                  </w:p>
                </w:txbxContent>
              </v:textbox>
              <w10:wrap type="none"/>
            </v:shape>
            <v:shape style="position:absolute;left:2763;top:3777;width:797;height:22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w w:val="85"/>
                        <w:sz w:val="18"/>
                      </w:rPr>
                      <w:t>PRIMARIA</w:t>
                    </w:r>
                  </w:p>
                </w:txbxContent>
              </v:textbox>
              <w10:wrap type="none"/>
            </v:shape>
            <v:shape style="position:absolute;left:3945;top:3777;width:1835;height:22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spacing w:val="-1"/>
                        <w:w w:val="91"/>
                        <w:sz w:val="18"/>
                      </w:rPr>
                      <w:t>P</w:t>
                    </w:r>
                    <w:r>
                      <w:rPr>
                        <w:rFonts w:ascii="Verdana"/>
                        <w:spacing w:val="-2"/>
                        <w:w w:val="81"/>
                        <w:sz w:val="18"/>
                      </w:rPr>
                      <w:t>R</w:t>
                    </w:r>
                    <w:r>
                      <w:rPr>
                        <w:rFonts w:ascii="Verdana"/>
                        <w:spacing w:val="1"/>
                        <w:w w:val="50"/>
                        <w:sz w:val="18"/>
                      </w:rPr>
                      <w:t>I</w:t>
                    </w:r>
                    <w:r>
                      <w:rPr>
                        <w:rFonts w:ascii="Verdana"/>
                        <w:spacing w:val="-1"/>
                        <w:w w:val="101"/>
                        <w:sz w:val="18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100"/>
                        <w:sz w:val="18"/>
                      </w:rPr>
                      <w:t>A</w:t>
                    </w:r>
                    <w:r>
                      <w:rPr>
                        <w:rFonts w:ascii="Verdana"/>
                        <w:spacing w:val="-2"/>
                        <w:w w:val="81"/>
                        <w:sz w:val="18"/>
                      </w:rPr>
                      <w:t>R</w:t>
                    </w:r>
                    <w:r>
                      <w:rPr>
                        <w:rFonts w:ascii="Verdana"/>
                        <w:spacing w:val="1"/>
                        <w:w w:val="50"/>
                        <w:sz w:val="18"/>
                      </w:rPr>
                      <w:t>I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A</w:t>
                    </w:r>
                    <w:r>
                      <w:rPr>
                        <w:rFonts w:ascii="Verdana"/>
                        <w:spacing w:val="-18"/>
                        <w:sz w:val="1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90"/>
                        <w:sz w:val="18"/>
                      </w:rPr>
                      <w:t>D</w:t>
                    </w:r>
                    <w:r>
                      <w:rPr>
                        <w:rFonts w:ascii="Verdana"/>
                        <w:w w:val="79"/>
                        <w:sz w:val="18"/>
                      </w:rPr>
                      <w:t>E</w:t>
                    </w:r>
                    <w:r>
                      <w:rPr>
                        <w:rFonts w:ascii="Verdana"/>
                        <w:spacing w:val="-18"/>
                        <w:sz w:val="1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00"/>
                        <w:sz w:val="18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90"/>
                        <w:sz w:val="18"/>
                      </w:rPr>
                      <w:t>D</w:t>
                    </w:r>
                    <w:r>
                      <w:rPr>
                        <w:rFonts w:ascii="Verdana"/>
                        <w:w w:val="83"/>
                        <w:sz w:val="18"/>
                      </w:rPr>
                      <w:t>U</w:t>
                    </w:r>
                    <w:r>
                      <w:rPr>
                        <w:rFonts w:ascii="Verdana"/>
                        <w:spacing w:val="-8"/>
                        <w:w w:val="77"/>
                        <w:sz w:val="18"/>
                      </w:rPr>
                      <w:t>L</w:t>
                    </w:r>
                    <w:r>
                      <w:rPr>
                        <w:rFonts w:ascii="Verdana"/>
                        <w:spacing w:val="-1"/>
                        <w:w w:val="64"/>
                        <w:sz w:val="18"/>
                      </w:rPr>
                      <w:t>T</w:t>
                    </w:r>
                    <w:r>
                      <w:rPr>
                        <w:rFonts w:ascii="Verdana"/>
                        <w:spacing w:val="-1"/>
                        <w:w w:val="102"/>
                        <w:sz w:val="18"/>
                      </w:rPr>
                      <w:t>O</w:t>
                    </w:r>
                    <w:r>
                      <w:rPr>
                        <w:rFonts w:ascii="Verdana"/>
                        <w:w w:val="67"/>
                        <w:sz w:val="18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6160;top:3777;width:642;height:22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spacing w:val="-1"/>
                        <w:w w:val="90"/>
                        <w:sz w:val="18"/>
                      </w:rPr>
                      <w:t>BASICO</w:t>
                    </w:r>
                  </w:p>
                </w:txbxContent>
              </v:textbox>
              <w10:wrap type="none"/>
            </v:shape>
            <v:shape style="position:absolute;left:7183;top:3777;width:1263;height:22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spacing w:val="-1"/>
                        <w:w w:val="90"/>
                        <w:sz w:val="18"/>
                      </w:rPr>
                      <w:t>D</w:t>
                    </w:r>
                    <w:r>
                      <w:rPr>
                        <w:rFonts w:ascii="Verdana"/>
                        <w:spacing w:val="1"/>
                        <w:w w:val="50"/>
                        <w:sz w:val="18"/>
                      </w:rPr>
                      <w:t>I</w:t>
                    </w:r>
                    <w:r>
                      <w:rPr>
                        <w:rFonts w:ascii="Verdana"/>
                        <w:spacing w:val="-1"/>
                        <w:w w:val="95"/>
                        <w:sz w:val="18"/>
                      </w:rPr>
                      <w:t>V</w:t>
                    </w:r>
                    <w:r>
                      <w:rPr>
                        <w:rFonts w:ascii="Verdana"/>
                        <w:spacing w:val="-1"/>
                        <w:w w:val="79"/>
                        <w:sz w:val="18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w w:val="81"/>
                        <w:sz w:val="18"/>
                      </w:rPr>
                      <w:t>R</w:t>
                    </w:r>
                    <w:r>
                      <w:rPr>
                        <w:rFonts w:ascii="Verdana"/>
                        <w:spacing w:val="-2"/>
                        <w:w w:val="61"/>
                        <w:sz w:val="18"/>
                      </w:rPr>
                      <w:t>S</w:t>
                    </w:r>
                    <w:r>
                      <w:rPr>
                        <w:rFonts w:ascii="Verdana"/>
                        <w:spacing w:val="1"/>
                        <w:w w:val="61"/>
                        <w:sz w:val="18"/>
                      </w:rPr>
                      <w:t>I</w:t>
                    </w:r>
                    <w:r>
                      <w:rPr>
                        <w:rFonts w:ascii="Verdana"/>
                        <w:spacing w:val="-1"/>
                        <w:w w:val="78"/>
                        <w:sz w:val="18"/>
                      </w:rPr>
                      <w:t>F</w:t>
                    </w:r>
                    <w:r>
                      <w:rPr>
                        <w:rFonts w:ascii="Verdana"/>
                        <w:spacing w:val="-1"/>
                        <w:w w:val="50"/>
                        <w:sz w:val="18"/>
                      </w:rPr>
                      <w:t>I</w:t>
                    </w:r>
                    <w:r>
                      <w:rPr>
                        <w:rFonts w:ascii="Verdana"/>
                        <w:spacing w:val="-1"/>
                        <w:w w:val="104"/>
                        <w:sz w:val="18"/>
                      </w:rPr>
                      <w:t>CA</w:t>
                    </w:r>
                    <w:r>
                      <w:rPr>
                        <w:rFonts w:ascii="Verdana"/>
                        <w:w w:val="90"/>
                        <w:sz w:val="18"/>
                      </w:rPr>
                      <w:t>D</w:t>
                    </w:r>
                    <w:r>
                      <w:rPr>
                        <w:rFonts w:ascii="Verdana"/>
                        <w:w w:val="102"/>
                        <w:sz w:val="18"/>
                      </w:rPr>
                      <w:t>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16"/>
        </w:rPr>
      </w:pPr>
    </w:p>
    <w:p>
      <w:pPr>
        <w:spacing w:before="0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2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3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4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278" w:right="1071"/>
        <w:jc w:val="both"/>
      </w:pPr>
      <w:r>
        <w:rPr/>
        <w:t>A</w:t>
      </w:r>
      <w:r>
        <w:rPr>
          <w:spacing w:val="-4"/>
        </w:rPr>
        <w:t> </w:t>
      </w:r>
      <w:r>
        <w:rPr/>
        <w:t>nivel</w:t>
      </w:r>
      <w:r>
        <w:rPr>
          <w:spacing w:val="-6"/>
        </w:rPr>
        <w:t> </w:t>
      </w:r>
      <w:r>
        <w:rPr/>
        <w:t>específico,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visualiza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comparativo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Total</w:t>
      </w:r>
      <w:r>
        <w:rPr>
          <w:spacing w:val="-8"/>
        </w:rPr>
        <w:t> </w:t>
      </w:r>
      <w:r>
        <w:rPr/>
        <w:t>de</w:t>
      </w:r>
      <w:r>
        <w:rPr>
          <w:spacing w:val="-3"/>
        </w:rPr>
        <w:t> </w:t>
      </w:r>
      <w:r>
        <w:rPr/>
        <w:t>alumnos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Sistema</w:t>
      </w:r>
      <w:r>
        <w:rPr>
          <w:spacing w:val="-6"/>
        </w:rPr>
        <w:t> </w:t>
      </w:r>
      <w:r>
        <w:rPr/>
        <w:t>Educativo</w:t>
      </w:r>
      <w:r>
        <w:rPr>
          <w:spacing w:val="-4"/>
        </w:rPr>
        <w:t> </w:t>
      </w:r>
      <w:r>
        <w:rPr/>
        <w:t>Nacional,</w:t>
      </w:r>
      <w:r>
        <w:rPr>
          <w:spacing w:val="-3"/>
        </w:rPr>
        <w:t> </w:t>
      </w:r>
      <w:r>
        <w:rPr/>
        <w:t>para</w:t>
      </w:r>
      <w:r>
        <w:rPr>
          <w:spacing w:val="-48"/>
        </w:rPr>
        <w:t> </w:t>
      </w:r>
      <w:r>
        <w:rPr/>
        <w:t>el período 2017-2020., Los diferentes niveles que han presentado mayores descensos poblacionales son:</w:t>
      </w:r>
      <w:r>
        <w:rPr>
          <w:spacing w:val="1"/>
        </w:rPr>
        <w:t> </w:t>
      </w:r>
      <w:r>
        <w:rPr/>
        <w:t>la Educación de Adultos, el Ciclo básico y Nivel Diversificado. Esto podría ser explicado –en parte- por las</w:t>
      </w:r>
      <w:r>
        <w:rPr>
          <w:spacing w:val="1"/>
        </w:rPr>
        <w:t> </w:t>
      </w:r>
      <w:r>
        <w:rPr/>
        <w:t>edades de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estudiantes</w:t>
      </w:r>
      <w:r>
        <w:rPr>
          <w:spacing w:val="-5"/>
        </w:rPr>
        <w:t> </w:t>
      </w:r>
      <w:r>
        <w:rPr/>
        <w:t>de estos</w:t>
      </w:r>
      <w:r>
        <w:rPr>
          <w:spacing w:val="-3"/>
        </w:rPr>
        <w:t> </w:t>
      </w:r>
      <w:r>
        <w:rPr/>
        <w:t>niveles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posible incorporación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5"/>
        </w:rPr>
        <w:t> </w:t>
      </w:r>
      <w:r>
        <w:rPr/>
        <w:t>mercado laboral.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medida</w:t>
      </w:r>
      <w:r>
        <w:rPr>
          <w:spacing w:val="-47"/>
        </w:rPr>
        <w:t> </w:t>
      </w:r>
      <w:r>
        <w:rPr/>
        <w:t>que aumenta la cobertura a nivel primario se observa, un descenso significativo para los niveles básico y</w:t>
      </w:r>
      <w:r>
        <w:rPr>
          <w:spacing w:val="1"/>
        </w:rPr>
        <w:t> </w:t>
      </w:r>
      <w:r>
        <w:rPr/>
        <w:t>diversificado disminuye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manera</w:t>
      </w:r>
      <w:r>
        <w:rPr>
          <w:spacing w:val="-2"/>
        </w:rPr>
        <w:t> </w:t>
      </w:r>
      <w:r>
        <w:rPr/>
        <w:t>significativa.</w:t>
      </w:r>
    </w:p>
    <w:p>
      <w:pPr>
        <w:pStyle w:val="BodyText"/>
        <w:spacing w:before="2"/>
      </w:pPr>
    </w:p>
    <w:p>
      <w:pPr>
        <w:pStyle w:val="BodyText"/>
        <w:ind w:left="278" w:right="1074"/>
        <w:jc w:val="both"/>
      </w:pPr>
      <w:r>
        <w:rPr/>
        <w:t>Se reconoce que el bajo nivel educativo y tecnológico ha incidido de manera directa en el desarrollo</w:t>
      </w:r>
      <w:r>
        <w:rPr>
          <w:spacing w:val="1"/>
        </w:rPr>
        <w:t> </w:t>
      </w:r>
      <w:r>
        <w:rPr/>
        <w:t>económico, social y político del país, con importantes consecuencias de oportunidades en el mercado</w:t>
      </w:r>
      <w:r>
        <w:rPr>
          <w:spacing w:val="1"/>
        </w:rPr>
        <w:t> </w:t>
      </w:r>
      <w:r>
        <w:rPr/>
        <w:t>laboral.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6"/>
        </w:rPr>
      </w:pPr>
      <w:r>
        <w:rPr/>
        <w:pict>
          <v:rect style="position:absolute;margin-left:563.880005pt;margin-top:12.32351pt;width:25.44pt;height:1.4399pt;mso-position-horizontal-relative:page;mso-position-vertical-relative:paragraph;z-index:-1550080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112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42592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3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2"/>
          <w:numId w:val="32"/>
        </w:numPr>
        <w:tabs>
          <w:tab w:pos="998" w:val="left" w:leader="none"/>
          <w:tab w:pos="999" w:val="left" w:leader="none"/>
        </w:tabs>
        <w:spacing w:line="240" w:lineRule="auto" w:before="52" w:after="0"/>
        <w:ind w:left="998" w:right="0" w:hanging="721"/>
        <w:jc w:val="left"/>
      </w:pPr>
      <w:bookmarkStart w:name="_bookmark133" w:id="199"/>
      <w:bookmarkEnd w:id="199"/>
      <w:r>
        <w:rPr>
          <w:b w:val="0"/>
        </w:rPr>
      </w:r>
      <w:bookmarkStart w:name="_bookmark133" w:id="200"/>
      <w:bookmarkEnd w:id="200"/>
      <w:r>
        <w:rPr/>
        <w:t>Ind</w:t>
      </w:r>
      <w:r>
        <w:rPr/>
        <w:t>icadores</w:t>
      </w:r>
      <w:r>
        <w:rPr>
          <w:spacing w:val="-5"/>
        </w:rPr>
        <w:t> </w:t>
      </w:r>
      <w:r>
        <w:rPr/>
        <w:t>de Cobertura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Nivel</w:t>
      </w:r>
      <w:r>
        <w:rPr>
          <w:spacing w:val="-1"/>
        </w:rPr>
        <w:t> </w:t>
      </w:r>
      <w:r>
        <w:rPr/>
        <w:t>Nacional:</w:t>
      </w:r>
      <w:r>
        <w:rPr>
          <w:spacing w:val="-3"/>
        </w:rPr>
        <w:t> </w:t>
      </w:r>
      <w:r>
        <w:rPr/>
        <w:t>Tasa</w:t>
      </w:r>
      <w:r>
        <w:rPr>
          <w:spacing w:val="-5"/>
        </w:rPr>
        <w:t> </w:t>
      </w:r>
      <w:r>
        <w:rPr/>
        <w:t>Neta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Tasa</w:t>
      </w:r>
      <w:r>
        <w:rPr>
          <w:spacing w:val="-2"/>
        </w:rPr>
        <w:t> </w:t>
      </w:r>
      <w:r>
        <w:rPr/>
        <w:t>Bruta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Cobertura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0"/>
        <w:jc w:val="both"/>
      </w:pPr>
      <w:r>
        <w:rPr/>
        <w:t>Para realizar una medición más exacta, se utilizará la Tasa Neta (TNE) de cobertura del sistema educativo</w:t>
      </w:r>
      <w:r>
        <w:rPr>
          <w:spacing w:val="-47"/>
        </w:rPr>
        <w:t> </w:t>
      </w:r>
      <w:r>
        <w:rPr/>
        <w:t>y la Tasa Bruta. La primera, es la proporción existente entre la población matriculada en el nivel escolar</w:t>
      </w:r>
      <w:r>
        <w:rPr>
          <w:spacing w:val="1"/>
        </w:rPr>
        <w:t> </w:t>
      </w:r>
      <w:r>
        <w:rPr/>
        <w:t>(preprimaria, primaria, básico y diversificado) que tiene la edad normativa para estar en ese nivel y la</w:t>
      </w:r>
      <w:r>
        <w:rPr>
          <w:spacing w:val="1"/>
        </w:rPr>
        <w:t> </w:t>
      </w:r>
      <w:r>
        <w:rPr/>
        <w:t>población del grupo etario o rango de edad correspondiente a dicho nivel, en los departamentos y</w:t>
      </w:r>
      <w:r>
        <w:rPr>
          <w:spacing w:val="1"/>
        </w:rPr>
        <w:t> </w:t>
      </w:r>
      <w:r>
        <w:rPr/>
        <w:t>municipios del país.</w:t>
      </w:r>
      <w:r>
        <w:rPr>
          <w:spacing w:val="1"/>
        </w:rPr>
        <w:t> </w:t>
      </w:r>
      <w:r>
        <w:rPr/>
        <w:t>Por tanto, la TNE es un indicador de la eficacia que tiene el sistema educativo en</w:t>
      </w:r>
      <w:r>
        <w:rPr>
          <w:spacing w:val="1"/>
        </w:rPr>
        <w:t> </w:t>
      </w:r>
      <w:r>
        <w:rPr/>
        <w:t>atender los estudiantes en la edad normativa para cada nivel escolar. Mientras que la segunda (TBC)</w:t>
      </w:r>
      <w:r>
        <w:rPr>
          <w:spacing w:val="1"/>
        </w:rPr>
        <w:t> </w:t>
      </w:r>
      <w:r>
        <w:rPr/>
        <w:t>relaciona la cantidad de cupos disponibles que hay en el nivel escolar, con la población que tiene la edad</w:t>
      </w:r>
      <w:r>
        <w:rPr>
          <w:spacing w:val="1"/>
        </w:rPr>
        <w:t> </w:t>
      </w:r>
      <w:r>
        <w:rPr/>
        <w:t>normativa</w:t>
      </w:r>
      <w:r>
        <w:rPr>
          <w:spacing w:val="-4"/>
        </w:rPr>
        <w:t> </w:t>
      </w:r>
      <w:r>
        <w:rPr/>
        <w:t>para</w:t>
      </w:r>
      <w:r>
        <w:rPr>
          <w:spacing w:val="-1"/>
        </w:rPr>
        <w:t> </w:t>
      </w:r>
      <w:r>
        <w:rPr/>
        <w:t>estar</w:t>
      </w:r>
      <w:r>
        <w:rPr>
          <w:spacing w:val="-2"/>
        </w:rPr>
        <w:t> </w:t>
      </w:r>
      <w:r>
        <w:rPr/>
        <w:t>matriculada en</w:t>
      </w:r>
      <w:r>
        <w:rPr>
          <w:spacing w:val="-1"/>
        </w:rPr>
        <w:t> </w:t>
      </w:r>
      <w:r>
        <w:rPr/>
        <w:t>ese</w:t>
      </w:r>
      <w:r>
        <w:rPr>
          <w:spacing w:val="1"/>
        </w:rPr>
        <w:t> </w:t>
      </w:r>
      <w:r>
        <w:rPr/>
        <w:t>nivel.</w:t>
      </w:r>
    </w:p>
    <w:p>
      <w:pPr>
        <w:pStyle w:val="BodyText"/>
      </w:pPr>
    </w:p>
    <w:p>
      <w:pPr>
        <w:pStyle w:val="BodyText"/>
        <w:ind w:left="278" w:right="1072"/>
        <w:jc w:val="both"/>
      </w:pPr>
      <w:r>
        <w:rPr/>
        <w:t>La diferencia entre la Tasa bruta y la Tasa neta de cobertura es una medida de la ineficiencia interna del</w:t>
      </w:r>
      <w:r>
        <w:rPr>
          <w:spacing w:val="1"/>
        </w:rPr>
        <w:t> </w:t>
      </w:r>
      <w:r>
        <w:rPr/>
        <w:t>sistema educativo, la cual se manifiesta en la edad extra, es decir, la proporción de la población escolar</w:t>
      </w:r>
      <w:r>
        <w:rPr>
          <w:spacing w:val="1"/>
        </w:rPr>
        <w:t> </w:t>
      </w:r>
      <w:r>
        <w:rPr/>
        <w:t>que está por fuera del rango de edad que normativamente está previsto para un nivel escolar específico.</w:t>
      </w:r>
      <w:r>
        <w:rPr>
          <w:spacing w:val="1"/>
        </w:rPr>
        <w:t> </w:t>
      </w:r>
      <w:r>
        <w:rPr/>
        <w:t>Hacen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extra-edad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estudiantes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matriculados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determinado nivel teniendo edades por debajo de la mínima esperada (extra edad temprana) como</w:t>
      </w:r>
      <w:r>
        <w:rPr>
          <w:spacing w:val="1"/>
        </w:rPr>
        <w:t> </w:t>
      </w:r>
      <w:r>
        <w:rPr/>
        <w:t>aquellos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están</w:t>
      </w:r>
      <w:r>
        <w:rPr>
          <w:spacing w:val="-9"/>
        </w:rPr>
        <w:t> </w:t>
      </w:r>
      <w:r>
        <w:rPr/>
        <w:t>matriculados</w:t>
      </w:r>
      <w:r>
        <w:rPr>
          <w:spacing w:val="-5"/>
        </w:rPr>
        <w:t> </w:t>
      </w:r>
      <w:r>
        <w:rPr/>
        <w:t>en</w:t>
      </w:r>
      <w:r>
        <w:rPr>
          <w:spacing w:val="-7"/>
        </w:rPr>
        <w:t> </w:t>
      </w:r>
      <w:r>
        <w:rPr/>
        <w:t>dicho</w:t>
      </w:r>
      <w:r>
        <w:rPr>
          <w:spacing w:val="-4"/>
        </w:rPr>
        <w:t> </w:t>
      </w:r>
      <w:r>
        <w:rPr/>
        <w:t>nivel</w:t>
      </w:r>
      <w:r>
        <w:rPr>
          <w:spacing w:val="-7"/>
        </w:rPr>
        <w:t> </w:t>
      </w:r>
      <w:r>
        <w:rPr/>
        <w:t>teniendo</w:t>
      </w:r>
      <w:r>
        <w:rPr>
          <w:spacing w:val="-4"/>
        </w:rPr>
        <w:t> </w:t>
      </w:r>
      <w:r>
        <w:rPr/>
        <w:t>edades</w:t>
      </w:r>
      <w:r>
        <w:rPr>
          <w:spacing w:val="-5"/>
        </w:rPr>
        <w:t> </w:t>
      </w:r>
      <w:r>
        <w:rPr/>
        <w:t>por</w:t>
      </w:r>
      <w:r>
        <w:rPr>
          <w:spacing w:val="-7"/>
        </w:rPr>
        <w:t> </w:t>
      </w:r>
      <w:r>
        <w:rPr/>
        <w:t>encima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máxima</w:t>
      </w:r>
      <w:r>
        <w:rPr>
          <w:spacing w:val="-7"/>
        </w:rPr>
        <w:t> </w:t>
      </w:r>
      <w:r>
        <w:rPr/>
        <w:t>esperada</w:t>
      </w:r>
      <w:r>
        <w:rPr>
          <w:spacing w:val="-7"/>
        </w:rPr>
        <w:t> </w:t>
      </w:r>
      <w:r>
        <w:rPr/>
        <w:t>(extra</w:t>
      </w:r>
      <w:r>
        <w:rPr>
          <w:spacing w:val="-48"/>
        </w:rPr>
        <w:t> </w:t>
      </w:r>
      <w:r>
        <w:rPr/>
        <w:t>edad</w:t>
      </w:r>
      <w:r>
        <w:rPr>
          <w:spacing w:val="-1"/>
        </w:rPr>
        <w:t> </w:t>
      </w:r>
      <w:r>
        <w:rPr/>
        <w:t>tardía).</w:t>
      </w:r>
    </w:p>
    <w:p>
      <w:pPr>
        <w:pStyle w:val="BodyText"/>
        <w:spacing w:before="12"/>
        <w:rPr>
          <w:sz w:val="21"/>
        </w:rPr>
      </w:pPr>
    </w:p>
    <w:p>
      <w:pPr>
        <w:pStyle w:val="BodyText"/>
        <w:ind w:left="278" w:right="1074"/>
        <w:jc w:val="both"/>
      </w:pPr>
      <w:r>
        <w:rPr>
          <w:spacing w:val="-1"/>
        </w:rPr>
        <w:t>Por</w:t>
      </w:r>
      <w:r>
        <w:rPr>
          <w:spacing w:val="-14"/>
        </w:rPr>
        <w:t> </w:t>
      </w:r>
      <w:r>
        <w:rPr/>
        <w:t>otra</w:t>
      </w:r>
      <w:r>
        <w:rPr>
          <w:spacing w:val="-12"/>
        </w:rPr>
        <w:t> </w:t>
      </w:r>
      <w:r>
        <w:rPr/>
        <w:t>parte,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tasa</w:t>
      </w:r>
      <w:r>
        <w:rPr>
          <w:spacing w:val="-12"/>
        </w:rPr>
        <w:t> </w:t>
      </w:r>
      <w:r>
        <w:rPr/>
        <w:t>neta</w:t>
      </w:r>
      <w:r>
        <w:rPr>
          <w:spacing w:val="-14"/>
        </w:rPr>
        <w:t> </w:t>
      </w:r>
      <w:r>
        <w:rPr/>
        <w:t>de</w:t>
      </w:r>
      <w:r>
        <w:rPr>
          <w:spacing w:val="-9"/>
        </w:rPr>
        <w:t> </w:t>
      </w:r>
      <w:r>
        <w:rPr/>
        <w:t>cobertura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nivel</w:t>
      </w:r>
      <w:r>
        <w:rPr>
          <w:spacing w:val="-11"/>
        </w:rPr>
        <w:t> </w:t>
      </w:r>
      <w:r>
        <w:rPr/>
        <w:t>educativo</w:t>
      </w:r>
      <w:r>
        <w:rPr>
          <w:spacing w:val="-8"/>
        </w:rPr>
        <w:t> </w:t>
      </w:r>
      <w:r>
        <w:rPr/>
        <w:t>demuestra</w:t>
      </w:r>
      <w:r>
        <w:rPr>
          <w:spacing w:val="-9"/>
        </w:rPr>
        <w:t> </w:t>
      </w:r>
      <w:r>
        <w:rPr/>
        <w:t>por</w:t>
      </w:r>
      <w:r>
        <w:rPr>
          <w:spacing w:val="-12"/>
        </w:rPr>
        <w:t> </w:t>
      </w:r>
      <w:r>
        <w:rPr/>
        <w:t>nivel</w:t>
      </w:r>
      <w:r>
        <w:rPr>
          <w:spacing w:val="-12"/>
        </w:rPr>
        <w:t> </w:t>
      </w:r>
      <w:r>
        <w:rPr/>
        <w:t>educativo</w:t>
      </w:r>
      <w:r>
        <w:rPr>
          <w:spacing w:val="-11"/>
        </w:rPr>
        <w:t> </w:t>
      </w:r>
      <w:r>
        <w:rPr/>
        <w:t>el</w:t>
      </w:r>
      <w:r>
        <w:rPr>
          <w:spacing w:val="-14"/>
        </w:rPr>
        <w:t> </w:t>
      </w:r>
      <w:r>
        <w:rPr/>
        <w:t>valor</w:t>
      </w:r>
      <w:r>
        <w:rPr>
          <w:spacing w:val="-12"/>
        </w:rPr>
        <w:t> </w:t>
      </w:r>
      <w:r>
        <w:rPr/>
        <w:t>relativo</w:t>
      </w:r>
      <w:r>
        <w:rPr>
          <w:spacing w:val="-47"/>
        </w:rPr>
        <w:t> </w:t>
      </w:r>
      <w:r>
        <w:rPr/>
        <w:t>con respecto a la cobertura general incluyendo ambos sexos. En la siguiente tabla se muestran los</w:t>
      </w:r>
      <w:r>
        <w:rPr>
          <w:spacing w:val="1"/>
        </w:rPr>
        <w:t> </w:t>
      </w:r>
      <w:r>
        <w:rPr/>
        <w:t>porcentajes alcanzados.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before="1"/>
        <w:ind w:left="278"/>
        <w:jc w:val="both"/>
      </w:pPr>
      <w:r>
        <w:rPr/>
        <w:pict>
          <v:group style="position:absolute;margin-left:62.599998pt;margin-top:19.54365pt;width:477.75pt;height:243.75pt;mso-position-horizontal-relative:page;mso-position-vertical-relative:paragraph;z-index:-15499264;mso-wrap-distance-left:0;mso-wrap-distance-right:0" coordorigin="1252,391" coordsize="9555,4875">
            <v:rect style="position:absolute;left:1252;top:390;width:9555;height:4875" filled="true" fillcolor="#ffffff" stroked="false">
              <v:fill type="solid"/>
            </v:rect>
            <v:shape style="position:absolute;left:2337;top:2812;width:8020;height:787" coordorigin="2337,2813" coordsize="8020,787" path="m2337,3599l2517,3599m2681,3599l2726,3599m2891,3599l2936,3599m3100,3599l3130,3599m3295,3599l3653,3599m3817,3599l3862,3599m4027,3599l4071,3599m4236,3599l4281,3599m4445,3599l4804,3599m4968,3599l5013,3599m5178,3599l5223,3599m5386,3599l5431,3599m5596,3599l5955,3599m6120,3599l6165,3599m6328,3599l6373,3599m6538,3599l6583,3599m6732,3599l7090,3599m7255,3599l7300,3599m7465,3599l7510,3599m7673,3599l7718,3599m7883,3599l8242,3599m8406,3599l8451,3599m8615,3599l8660,3599m8824,3599l8869,3599m9034,3599l9393,3599m9557,3599l9602,3599m9766,3599l9811,3599m9976,3599l10021,3599m10185,3599l10357,3599m2337,3328l2517,3328m2681,3328l2726,3328m2891,3328l2936,3328m3100,3328l3130,3328m3295,3328l3653,3328m3817,3328l3862,3328m4027,3328l4071,3328m4236,3328l4281,3328m4445,3328l4804,3328m4968,3328l5013,3328m5178,3328l5223,3328m5386,3328l5431,3328m5596,3328l5955,3328m6120,3328l6165,3328m6328,3328l6373,3328m6538,3328l6583,3328m6732,3328l7090,3328m7255,3328l7300,3328m7465,3328l7510,3328m7673,3328l7718,3328m7883,3328l8242,3328m8406,3328l8451,3328m8615,3328l8660,3328m8824,3328l8869,3328m9034,3328l9393,3328m9557,3328l9602,3328m9766,3328l9811,3328m9976,3328l10021,3328m10185,3328l10357,3328m2337,3070l2517,3070m2681,3070l2726,3070m2891,3070l2936,3070m3100,3070l3653,3070m3817,3070l3862,3070m4027,3070l4071,3070m4236,3070l4804,3070m4968,3070l5013,3070m5178,3070l5223,3070m5386,3070l5955,3070m6120,3070l6165,3070m6328,3070l6373,3070m6538,3070l7090,3070m7255,3070l7300,3070m7465,3070l7510,3070m7673,3070l8242,3070m8406,3070l8451,3070m8615,3070l8660,3070m8824,3070l9393,3070m9557,3070l9602,3070m9766,3070l9811,3070m9976,3070l10357,3070m2337,2813l2517,2813m2681,2813l2726,2813m2891,2813l2936,2813m3100,2813l3653,2813m3817,2813l3862,2813m4027,2813l4071,2813m4236,2813l4804,2813m4968,2813l5013,2813m5178,2813l5223,2813m5386,2813l5955,2813m6120,2813l6165,2813m6328,2813l6373,2813m6538,2813l7090,2813m7255,2813l7300,2813m7465,2813l7510,2813m7673,2813l8242,2813m8406,2813l8451,2813m8615,2813l8660,2813m8824,2813l9393,2813m9557,2813l9602,2813m9766,2813l9811,2813m9976,2813l10357,2813e" filled="false" stroked="true" strokeweight=".655625pt" strokecolor="#d9d9d9">
              <v:path arrowok="t"/>
              <v:stroke dashstyle="solid"/>
            </v:shape>
            <v:line style="position:absolute" from="2337,2555" to="2517,2555" stroked="true" strokeweight=".655625pt" strokecolor="#d9d9d9">
              <v:stroke dashstyle="solid"/>
            </v:line>
            <v:shape style="position:absolute;left:2337;top:2296;width:8020;height:259" coordorigin="2337,2296" coordsize="8020,259" path="m2681,2555l2726,2555m2891,2555l3653,2555m3817,2555l3862,2555m4027,2555l4804,2555m4968,2555l5013,2555m5178,2555l5955,2555m6120,2555l6165,2555m6328,2555l7090,2555m7255,2555l7300,2555m7465,2555l8242,2555m8406,2555l8451,2555m8615,2555l9393,2555m9557,2555l9602,2555m9766,2555l10357,2555m2337,2296l2726,2296m2891,2296l3862,2296m4027,2296l4804,2296m4968,2296l5013,2296m5178,2296l5955,2296m6120,2296l6165,2296m6328,2296l7090,2296m7255,2296l7300,2296m7465,2296l8242,2296m8406,2296l8451,2296m8615,2296l9393,2296m9557,2296l9602,2296m9766,2296l10357,2296e" filled="false" stroked="true" strokeweight=".655625pt" strokecolor="#d9d9d9">
              <v:path arrowok="t"/>
              <v:stroke dashstyle="solid"/>
            </v:shape>
            <v:line style="position:absolute" from="2337,2025" to="2726,2025" stroked="true" strokeweight=".655625pt" strokecolor="#d9d9d9">
              <v:stroke dashstyle="solid"/>
            </v:line>
            <v:shape style="position:absolute;left:2890;top:2025;width:7467;height:2" coordorigin="2891,2025" coordsize="7467,0" path="m2891,2025l3862,2025m4027,2025l5013,2025m5178,2025l6165,2025m6328,2025l7300,2025m7465,2025l8451,2025m8615,2025l9602,2025m9766,2025l10357,2025e" filled="false" stroked="true" strokeweight=".655625pt" strokecolor="#d9d9d9">
              <v:path arrowok="t"/>
              <v:stroke dashstyle="solid"/>
            </v:shape>
            <v:line style="position:absolute" from="2337,1767" to="2726,1767" stroked="true" strokeweight=".655625pt" strokecolor="#d9d9d9">
              <v:stroke dashstyle="solid"/>
            </v:line>
            <v:shape style="position:absolute;left:2890;top:1766;width:7467;height:2" coordorigin="2891,1767" coordsize="7467,0" path="m2891,1767l3862,1767m4027,1767l5013,1767m5178,1767l6165,1767m6328,1767l7300,1767m7465,1767l8451,1767m8615,1767l9602,1767m9766,1767l10357,1767e" filled="false" stroked="true" strokeweight=".655625pt" strokecolor="#d9d9d9">
              <v:path arrowok="t"/>
              <v:stroke dashstyle="solid"/>
            </v:shape>
            <v:line style="position:absolute" from="2337,1509" to="2726,1509" stroked="true" strokeweight=".655625pt" strokecolor="#d9d9d9">
              <v:stroke dashstyle="solid"/>
            </v:line>
            <v:shape style="position:absolute;left:2890;top:1509;width:7467;height:2" coordorigin="2891,1509" coordsize="7467,0" path="m2891,1509l3862,1509m4027,1509l5013,1509m5178,1509l6165,1509m6328,1509l7300,1509m7465,1509l8451,1509m8615,1509l9602,1509m9766,1509l10357,1509e" filled="false" stroked="true" strokeweight=".655625pt" strokecolor="#d9d9d9">
              <v:path arrowok="t"/>
              <v:stroke dashstyle="solid"/>
            </v:shape>
            <v:shape style="position:absolute;left:2337;top:1251;width:8020;height:2" coordorigin="2337,1252" coordsize="8020,0" path="m2337,1252l2337,1252,10357,1252e" filled="false" stroked="true" strokeweight=".655613pt" strokecolor="#d9d9d9">
              <v:path arrowok="t"/>
              <v:stroke dashstyle="solid"/>
            </v:shape>
            <v:shape style="position:absolute;left:2516;top:2188;width:7041;height:1667" coordorigin="2517,2188" coordsize="7041,1667" path="m2681,2351l2517,2351,2517,3855,2681,3855,2681,2351xm3817,2378l3653,2378,3653,3855,3817,3855,3817,2378xm4968,2270l4804,2270,4804,3855,4968,3855,4968,2270xm6120,2188l5955,2188,5955,3855,6120,3855,6120,2188xm7255,2242l7090,2242,7090,3855,7255,3855,7255,2242xm8406,2270l8242,2270,8242,3855,8406,3855,8406,2270xm9557,2229l9393,2229,9393,3855,9557,3855,9557,2229xe" filled="true" fillcolor="#4471c4" stroked="false">
              <v:path arrowok="t"/>
              <v:fill type="solid"/>
            </v:shape>
            <v:shape style="position:absolute;left:2726;top:1387;width:7040;height:2468" coordorigin="2726,1387" coordsize="7040,2468" path="m2891,1428l2726,1428,2726,3855,2891,3855,2891,1428xm4027,1469l3862,1469,3862,3855,4027,3855,4027,1469xm5178,1456l5013,1456,5013,3855,5178,3855,5178,1456xm6328,1428l6165,1428,6165,3855,6328,3855,6328,1428xm7465,1415l7300,1415,7300,3855,7465,3855,7465,1415xm8615,1415l8451,1415,8451,3855,8615,3855,8615,1415xm9766,1387l9602,1387,9602,3855,9766,3855,9766,1387xe" filled="true" fillcolor="#ec7c30" stroked="false">
              <v:path arrowok="t"/>
              <v:fill type="solid"/>
            </v:shape>
            <v:shape style="position:absolute;left:2935;top:2568;width:7041;height:1287" coordorigin="2936,2568" coordsize="7041,1287" path="m3100,2622l2936,2622,2936,3855,3100,3855,3100,2622xm4236,2609l4071,2609,4071,3855,4236,3855,4236,2609xm5386,2596l5223,2596,5223,3855,5386,3855,5386,2596xm6538,2568l6373,2568,6373,3855,6538,3855,6538,2568xm7673,2568l7510,2568,7510,3855,7673,3855,7673,2568xm8824,2568l8660,2568,8660,3855,8824,3855,8824,2568xm9976,2609l9811,2609,9811,3855,9976,3855,9976,2609xe" filled="true" fillcolor="#a4a4a4" stroked="false">
              <v:path arrowok="t"/>
              <v:fill type="solid"/>
            </v:shape>
            <v:shape style="position:absolute;left:3130;top:3178;width:7055;height:677" coordorigin="3130,3179" coordsize="7055,677" path="m3295,3220l3130,3220,3130,3855,3295,3855,3295,3220xm4445,3206l4281,3206,4281,3855,4445,3855,4445,3206xm5596,3192l5431,3192,5431,3855,5596,3855,5596,3192xm6732,3192l6583,3192,6583,3855,6732,3855,6732,3192xm7883,3179l7718,3179,7718,3855,7883,3855,7883,3179xm9034,3179l8869,3179,8869,3855,9034,3855,9034,3179xm10185,3206l10021,3206,10021,3855,10185,3855,10185,3206xe" filled="true" fillcolor="#ffc000" stroked="false">
              <v:path arrowok="t"/>
              <v:fill type="solid"/>
            </v:shape>
            <v:shape style="position:absolute;left:2333;top:3854;width:8024;height:2" coordorigin="2334,3855" coordsize="8024,0" path="m2334,3855l2334,3855,10357,3855e" filled="false" stroked="true" strokeweight=".655613pt" strokecolor="#d9d9d9">
              <v:path arrowok="t"/>
              <v:stroke dashstyle="solid"/>
            </v:shape>
            <v:rect style="position:absolute;left:2468;top:4188;width:66;height:60" filled="true" fillcolor="#4471c4" stroked="false">
              <v:fill type="solid"/>
            </v:rect>
            <v:rect style="position:absolute;left:4366;top:4188;width:66;height:60" filled="true" fillcolor="#ec7c30" stroked="false">
              <v:fill type="solid"/>
            </v:rect>
            <v:rect style="position:absolute;left:6265;top:4188;width:65;height:60" filled="true" fillcolor="#a4a4a4" stroked="false">
              <v:fill type="solid"/>
            </v:rect>
            <v:rect style="position:absolute;left:8163;top:4188;width:65;height:60" filled="true" fillcolor="#ffc000" stroked="false">
              <v:fill type="solid"/>
            </v:rect>
            <v:shape style="position:absolute;left:3682;top:581;width:4999;height:469" type="#_x0000_t202" filled="false" stroked="false">
              <v:textbox inset="0,0,0,0">
                <w:txbxContent>
                  <w:p>
                    <w:pPr>
                      <w:spacing w:line="225" w:lineRule="auto" w:before="11"/>
                      <w:ind w:left="1918" w:right="18" w:hanging="1919"/>
                      <w:jc w:val="lef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color w:val="1F3863"/>
                        <w:w w:val="110"/>
                        <w:sz w:val="21"/>
                      </w:rPr>
                      <w:t>Ta sa</w:t>
                    </w:r>
                    <w:r>
                      <w:rPr>
                        <w:rFonts w:ascii="Arial"/>
                        <w:b/>
                        <w:color w:val="1F3863"/>
                        <w:spacing w:val="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Arial"/>
                        <w:b/>
                        <w:color w:val="1F3863"/>
                        <w:w w:val="110"/>
                        <w:sz w:val="21"/>
                      </w:rPr>
                      <w:t>de neta</w:t>
                    </w:r>
                    <w:r>
                      <w:rPr>
                        <w:rFonts w:ascii="Arial"/>
                        <w:b/>
                        <w:color w:val="1F3863"/>
                        <w:spacing w:val="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Arial"/>
                        <w:b/>
                        <w:color w:val="1F3863"/>
                        <w:w w:val="110"/>
                        <w:sz w:val="21"/>
                      </w:rPr>
                      <w:t>de cobertura</w:t>
                    </w:r>
                    <w:r>
                      <w:rPr>
                        <w:rFonts w:ascii="Arial"/>
                        <w:b/>
                        <w:color w:val="1F3863"/>
                        <w:spacing w:val="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Arial"/>
                        <w:b/>
                        <w:color w:val="1F3863"/>
                        <w:w w:val="110"/>
                        <w:sz w:val="21"/>
                      </w:rPr>
                      <w:t>a</w:t>
                    </w:r>
                    <w:r>
                      <w:rPr>
                        <w:rFonts w:ascii="Arial"/>
                        <w:b/>
                        <w:color w:val="1F3863"/>
                        <w:spacing w:val="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Arial"/>
                        <w:b/>
                        <w:color w:val="1F3863"/>
                        <w:w w:val="110"/>
                        <w:sz w:val="21"/>
                      </w:rPr>
                      <w:t>nivel nacional</w:t>
                    </w:r>
                    <w:r>
                      <w:rPr>
                        <w:rFonts w:ascii="Arial"/>
                        <w:b/>
                        <w:color w:val="1F3863"/>
                        <w:spacing w:val="-6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Arial"/>
                        <w:b/>
                        <w:color w:val="1F3863"/>
                        <w:w w:val="115"/>
                        <w:sz w:val="21"/>
                      </w:rPr>
                      <w:t>2015-2021</w:t>
                    </w:r>
                  </w:p>
                </w:txbxContent>
              </v:textbox>
              <w10:wrap type="none"/>
            </v:shape>
            <v:shape style="position:absolute;left:1765;top:1181;width:470;height:133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Verdana"/>
                        <w:sz w:val="10"/>
                      </w:rPr>
                    </w:pPr>
                    <w:r>
                      <w:rPr>
                        <w:rFonts w:ascii="Verdana"/>
                        <w:spacing w:val="-1"/>
                        <w:sz w:val="10"/>
                      </w:rPr>
                      <w:t>100.00%</w:t>
                    </w:r>
                  </w:p>
                </w:txbxContent>
              </v:textbox>
              <w10:wrap type="none"/>
            </v:shape>
            <v:shape style="position:absolute;left:2568;top:1243;width:492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2"/>
                      </w:rPr>
                      <w:t>92.87%</w:t>
                    </w:r>
                  </w:p>
                </w:txbxContent>
              </v:textbox>
              <w10:wrap type="none"/>
            </v:shape>
            <v:shape style="position:absolute;left:3713;top:1278;width:492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2"/>
                      </w:rPr>
                      <w:t>91.54%</w:t>
                    </w:r>
                  </w:p>
                </w:txbxContent>
              </v:textbox>
              <w10:wrap type="none"/>
            </v:shape>
            <v:shape style="position:absolute;left:4860;top:1263;width:492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2"/>
                      </w:rPr>
                      <w:t>92.16%</w:t>
                    </w:r>
                  </w:p>
                </w:txbxContent>
              </v:textbox>
              <w10:wrap type="none"/>
            </v:shape>
            <v:shape style="position:absolute;left:6006;top:1234;width:492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2"/>
                      </w:rPr>
                      <w:t>93.24%</w:t>
                    </w:r>
                  </w:p>
                </w:txbxContent>
              </v:textbox>
              <w10:wrap type="none"/>
            </v:shape>
            <v:shape style="position:absolute;left:7153;top:1229;width:492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2"/>
                      </w:rPr>
                      <w:t>93.44%</w:t>
                    </w:r>
                  </w:p>
                </w:txbxContent>
              </v:textbox>
              <w10:wrap type="none"/>
            </v:shape>
            <v:shape style="position:absolute;left:8298;top:1221;width:492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2"/>
                      </w:rPr>
                      <w:t>93.74%</w:t>
                    </w:r>
                  </w:p>
                </w:txbxContent>
              </v:textbox>
              <w10:wrap type="none"/>
            </v:shape>
            <v:shape style="position:absolute;left:9445;top:1192;width:492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2"/>
                      </w:rPr>
                      <w:t>94.85%</w:t>
                    </w:r>
                  </w:p>
                </w:txbxContent>
              </v:textbox>
              <w10:wrap type="none"/>
            </v:shape>
            <v:shape style="position:absolute;left:1831;top:1442;width:405;height:655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Verdana"/>
                        <w:sz w:val="10"/>
                      </w:rPr>
                    </w:pPr>
                    <w:r>
                      <w:rPr>
                        <w:rFonts w:ascii="Verdana"/>
                        <w:spacing w:val="-1"/>
                        <w:sz w:val="10"/>
                      </w:rPr>
                      <w:t>90.00%</w:t>
                    </w:r>
                  </w:p>
                  <w:p>
                    <w:pPr>
                      <w:spacing w:line="240" w:lineRule="auto" w:before="5"/>
                      <w:rPr>
                        <w:rFonts w:ascii="Verdana"/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10"/>
                      </w:rPr>
                    </w:pPr>
                    <w:r>
                      <w:rPr>
                        <w:rFonts w:ascii="Verdana"/>
                        <w:spacing w:val="-1"/>
                        <w:sz w:val="10"/>
                      </w:rPr>
                      <w:t>80.00%</w:t>
                    </w:r>
                  </w:p>
                  <w:p>
                    <w:pPr>
                      <w:spacing w:line="240" w:lineRule="auto" w:before="7"/>
                      <w:rPr>
                        <w:rFonts w:ascii="Verdana"/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10"/>
                      </w:rPr>
                    </w:pPr>
                    <w:r>
                      <w:rPr>
                        <w:rFonts w:ascii="Verdana"/>
                        <w:spacing w:val="-1"/>
                        <w:sz w:val="10"/>
                      </w:rPr>
                      <w:t>70.00%</w:t>
                    </w:r>
                  </w:p>
                </w:txbxContent>
              </v:textbox>
              <w10:wrap type="none"/>
            </v:shape>
            <v:shape style="position:absolute;left:4652;top:2077;width:492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2"/>
                      </w:rPr>
                      <w:t>60.93%</w:t>
                    </w:r>
                  </w:p>
                </w:txbxContent>
              </v:textbox>
              <w10:wrap type="none"/>
            </v:shape>
            <v:shape style="position:absolute;left:5799;top:2004;width:492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2"/>
                      </w:rPr>
                      <w:t>63.72%</w:t>
                    </w:r>
                  </w:p>
                </w:txbxContent>
              </v:textbox>
              <w10:wrap type="none"/>
            </v:shape>
            <v:shape style="position:absolute;left:6944;top:2049;width:492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2"/>
                      </w:rPr>
                      <w:t>61.96%</w:t>
                    </w:r>
                  </w:p>
                </w:txbxContent>
              </v:textbox>
              <w10:wrap type="none"/>
            </v:shape>
            <v:shape style="position:absolute;left:9237;top:2038;width:492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2"/>
                      </w:rPr>
                      <w:t>62.39%</w:t>
                    </w:r>
                  </w:p>
                </w:txbxContent>
              </v:textbox>
              <w10:wrap type="none"/>
            </v:shape>
            <v:shape style="position:absolute;left:1831;top:2225;width:405;height:133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Verdana"/>
                        <w:sz w:val="10"/>
                      </w:rPr>
                    </w:pPr>
                    <w:r>
                      <w:rPr>
                        <w:rFonts w:ascii="Verdana"/>
                        <w:spacing w:val="-1"/>
                        <w:sz w:val="10"/>
                      </w:rPr>
                      <w:t>60.00%</w:t>
                    </w:r>
                  </w:p>
                </w:txbxContent>
              </v:textbox>
              <w10:wrap type="none"/>
            </v:shape>
            <v:shape style="position:absolute;left:2359;top:2167;width:492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2"/>
                      </w:rPr>
                      <w:t>57.44%</w:t>
                    </w:r>
                  </w:p>
                </w:txbxContent>
              </v:textbox>
              <w10:wrap type="none"/>
            </v:shape>
            <v:shape style="position:absolute;left:8091;top:2080;width:492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2"/>
                      </w:rPr>
                      <w:t>60.81%</w:t>
                    </w:r>
                  </w:p>
                </w:txbxContent>
              </v:textbox>
              <w10:wrap type="none"/>
            </v:shape>
            <v:shape style="position:absolute;left:3506;top:2194;width:492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2"/>
                      </w:rPr>
                      <w:t>56.43%</w:t>
                    </w:r>
                  </w:p>
                </w:txbxContent>
              </v:textbox>
              <w10:wrap type="none"/>
            </v:shape>
            <v:shape style="position:absolute;left:1831;top:2486;width:405;height:133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Verdana"/>
                        <w:sz w:val="10"/>
                      </w:rPr>
                    </w:pPr>
                    <w:r>
                      <w:rPr>
                        <w:rFonts w:ascii="Verdana"/>
                        <w:spacing w:val="-1"/>
                        <w:sz w:val="10"/>
                      </w:rPr>
                      <w:t>50.00%</w:t>
                    </w:r>
                  </w:p>
                </w:txbxContent>
              </v:textbox>
              <w10:wrap type="none"/>
            </v:shape>
            <v:shape style="position:absolute;left:2865;top:2427;width:492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2"/>
                      </w:rPr>
                      <w:t>47.13%</w:t>
                    </w:r>
                  </w:p>
                </w:txbxContent>
              </v:textbox>
              <w10:wrap type="none"/>
            </v:shape>
            <v:shape style="position:absolute;left:4022;top:2424;width:492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2"/>
                      </w:rPr>
                      <w:t>47.61%</w:t>
                    </w:r>
                  </w:p>
                </w:txbxContent>
              </v:textbox>
              <w10:wrap type="none"/>
            </v:shape>
            <v:shape style="position:absolute;left:5178;top:2411;width:492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2"/>
                      </w:rPr>
                      <w:t>48.11%</w:t>
                    </w:r>
                  </w:p>
                </w:txbxContent>
              </v:textbox>
              <w10:wrap type="none"/>
            </v:shape>
            <v:shape style="position:absolute;left:6333;top:2381;width:492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2"/>
                      </w:rPr>
                      <w:t>49.26%</w:t>
                    </w:r>
                  </w:p>
                </w:txbxContent>
              </v:textbox>
              <w10:wrap type="none"/>
            </v:shape>
            <v:shape style="position:absolute;left:7470;top:2385;width:492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2"/>
                      </w:rPr>
                      <w:t>49.10%</w:t>
                    </w:r>
                  </w:p>
                </w:txbxContent>
              </v:textbox>
              <w10:wrap type="none"/>
            </v:shape>
            <v:shape style="position:absolute;left:8596;top:2382;width:492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2"/>
                      </w:rPr>
                      <w:t>49.22%</w:t>
                    </w:r>
                  </w:p>
                </w:txbxContent>
              </v:textbox>
              <w10:wrap type="none"/>
            </v:shape>
            <v:shape style="position:absolute;left:9772;top:2416;width:492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2"/>
                      </w:rPr>
                      <w:t>47.57%</w:t>
                    </w:r>
                  </w:p>
                </w:txbxContent>
              </v:textbox>
              <w10:wrap type="none"/>
            </v:shape>
            <v:shape style="position:absolute;left:1831;top:2746;width:405;height:393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Verdana"/>
                        <w:sz w:val="10"/>
                      </w:rPr>
                    </w:pPr>
                    <w:r>
                      <w:rPr>
                        <w:rFonts w:ascii="Verdana"/>
                        <w:spacing w:val="-1"/>
                        <w:sz w:val="10"/>
                      </w:rPr>
                      <w:t>40.00%</w:t>
                    </w:r>
                  </w:p>
                  <w:p>
                    <w:pPr>
                      <w:spacing w:line="240" w:lineRule="auto" w:before="5"/>
                      <w:rPr>
                        <w:rFonts w:ascii="Verdana"/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10"/>
                      </w:rPr>
                    </w:pPr>
                    <w:r>
                      <w:rPr>
                        <w:rFonts w:ascii="Verdana"/>
                        <w:spacing w:val="-1"/>
                        <w:sz w:val="10"/>
                      </w:rPr>
                      <w:t>30.00%</w:t>
                    </w:r>
                  </w:p>
                </w:txbxContent>
              </v:textbox>
              <w10:wrap type="none"/>
            </v:shape>
            <v:shape style="position:absolute;left:3098;top:3024;width:441;height:127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15"/>
                        <w:sz w:val="12"/>
                      </w:rPr>
                      <w:t>24.27%</w:t>
                    </w:r>
                  </w:p>
                </w:txbxContent>
              </v:textbox>
              <w10:wrap type="none"/>
            </v:shape>
            <v:shape style="position:absolute;left:4264;top:3021;width:442;height:127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15"/>
                        <w:sz w:val="12"/>
                      </w:rPr>
                      <w:t>24.74%</w:t>
                    </w:r>
                  </w:p>
                </w:txbxContent>
              </v:textbox>
              <w10:wrap type="none"/>
            </v:shape>
            <v:shape style="position:absolute;left:5391;top:3020;width:441;height:127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15"/>
                        <w:sz w:val="12"/>
                      </w:rPr>
                      <w:t>25.15%</w:t>
                    </w:r>
                  </w:p>
                </w:txbxContent>
              </v:textbox>
              <w10:wrap type="none"/>
            </v:shape>
            <v:shape style="position:absolute;left:6536;top:3017;width:442;height:127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15"/>
                        <w:sz w:val="12"/>
                      </w:rPr>
                      <w:t>25.63%</w:t>
                    </w:r>
                  </w:p>
                </w:txbxContent>
              </v:textbox>
              <w10:wrap type="none"/>
            </v:shape>
            <v:shape style="position:absolute;left:7722;top:3014;width:442;height:127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15"/>
                        <w:sz w:val="12"/>
                      </w:rPr>
                      <w:t>25.73%</w:t>
                    </w:r>
                  </w:p>
                </w:txbxContent>
              </v:textbox>
              <w10:wrap type="none"/>
            </v:shape>
            <v:shape style="position:absolute;left:8859;top:3002;width:442;height:127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15"/>
                        <w:sz w:val="12"/>
                      </w:rPr>
                      <w:t>26.16%</w:t>
                    </w:r>
                  </w:p>
                </w:txbxContent>
              </v:textbox>
              <w10:wrap type="none"/>
            </v:shape>
            <v:shape style="position:absolute;left:10036;top:3034;width:441;height:127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15"/>
                        <w:sz w:val="12"/>
                      </w:rPr>
                      <w:t>24.98%</w:t>
                    </w:r>
                  </w:p>
                </w:txbxContent>
              </v:textbox>
              <w10:wrap type="none"/>
            </v:shape>
            <v:shape style="position:absolute;left:1831;top:3268;width:406;height:654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Verdana"/>
                        <w:sz w:val="10"/>
                      </w:rPr>
                    </w:pPr>
                    <w:r>
                      <w:rPr>
                        <w:rFonts w:ascii="Verdana"/>
                        <w:spacing w:val="-1"/>
                        <w:sz w:val="10"/>
                      </w:rPr>
                      <w:t>20.00%</w:t>
                    </w:r>
                  </w:p>
                  <w:p>
                    <w:pPr>
                      <w:spacing w:line="240" w:lineRule="auto" w:before="5"/>
                      <w:rPr>
                        <w:rFonts w:ascii="Verdana"/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10"/>
                      </w:rPr>
                    </w:pPr>
                    <w:r>
                      <w:rPr>
                        <w:rFonts w:ascii="Verdana"/>
                        <w:spacing w:val="-1"/>
                        <w:sz w:val="10"/>
                      </w:rPr>
                      <w:t>10.00%</w:t>
                    </w:r>
                  </w:p>
                  <w:p>
                    <w:pPr>
                      <w:spacing w:line="240" w:lineRule="auto" w:before="5"/>
                      <w:rPr>
                        <w:rFonts w:ascii="Verdana"/>
                        <w:sz w:val="11"/>
                      </w:rPr>
                    </w:pPr>
                  </w:p>
                  <w:p>
                    <w:pPr>
                      <w:spacing w:before="0"/>
                      <w:ind w:left="65" w:right="0" w:firstLine="0"/>
                      <w:jc w:val="left"/>
                      <w:rPr>
                        <w:rFonts w:ascii="Verdana"/>
                        <w:sz w:val="10"/>
                      </w:rPr>
                    </w:pPr>
                    <w:r>
                      <w:rPr>
                        <w:rFonts w:ascii="Verdana"/>
                        <w:spacing w:val="-1"/>
                        <w:sz w:val="10"/>
                      </w:rPr>
                      <w:t>0.00%</w:t>
                    </w:r>
                  </w:p>
                </w:txbxContent>
              </v:textbox>
              <w10:wrap type="none"/>
            </v:shape>
            <v:shape style="position:absolute;left:2786;top:3950;width:262;height:108" type="#_x0000_t202" filled="false" stroked="false">
              <v:textbox inset="0,0,0,0">
                <w:txbxContent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20"/>
                        <w:sz w:val="10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3932;top:3950;width:262;height:108" type="#_x0000_t202" filled="false" stroked="false">
              <v:textbox inset="0,0,0,0">
                <w:txbxContent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20"/>
                        <w:sz w:val="10"/>
                      </w:rPr>
                      <w:t>2016</w:t>
                    </w:r>
                  </w:p>
                </w:txbxContent>
              </v:textbox>
              <w10:wrap type="none"/>
            </v:shape>
            <v:shape style="position:absolute;left:5078;top:3950;width:262;height:108" type="#_x0000_t202" filled="false" stroked="false">
              <v:textbox inset="0,0,0,0">
                <w:txbxContent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20"/>
                        <w:sz w:val="10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6224;top:3950;width:262;height:108" type="#_x0000_t202" filled="false" stroked="false">
              <v:textbox inset="0,0,0,0">
                <w:txbxContent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20"/>
                        <w:sz w:val="10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7371;top:3950;width:262;height:108" type="#_x0000_t202" filled="false" stroked="false">
              <v:textbox inset="0,0,0,0">
                <w:txbxContent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20"/>
                        <w:sz w:val="10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8517;top:3950;width:262;height:108" type="#_x0000_t202" filled="false" stroked="false">
              <v:textbox inset="0,0,0,0">
                <w:txbxContent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20"/>
                        <w:sz w:val="10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9663;top:3950;width:262;height:108" type="#_x0000_t202" filled="false" stroked="false">
              <v:textbox inset="0,0,0,0">
                <w:txbxContent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20"/>
                        <w:sz w:val="10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1951;top:4163;width:8149;height:720" type="#_x0000_t202" filled="false" stroked="false">
              <v:textbox inset="0,0,0,0">
                <w:txbxContent>
                  <w:p>
                    <w:pPr>
                      <w:tabs>
                        <w:tab w:pos="2510" w:val="left" w:leader="none"/>
                        <w:tab w:pos="4408" w:val="left" w:leader="none"/>
                        <w:tab w:pos="6305" w:val="left" w:leader="none"/>
                      </w:tabs>
                      <w:spacing w:before="4"/>
                      <w:ind w:left="611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spacing w:val="-7"/>
                        <w:w w:val="115"/>
                        <w:sz w:val="10"/>
                      </w:rPr>
                      <w:t>TASA</w:t>
                    </w:r>
                    <w:r>
                      <w:rPr>
                        <w:rFonts w:ascii="Arial"/>
                        <w:b/>
                        <w:spacing w:val="4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15"/>
                        <w:sz w:val="10"/>
                      </w:rPr>
                      <w:t>NETA</w:t>
                    </w:r>
                    <w:r>
                      <w:rPr>
                        <w:rFonts w:ascii="Arial"/>
                        <w:b/>
                        <w:spacing w:val="4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15"/>
                        <w:sz w:val="1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16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15"/>
                        <w:sz w:val="10"/>
                      </w:rPr>
                      <w:t>COBERTURA</w:t>
                      <w:tab/>
                    </w:r>
                    <w:r>
                      <w:rPr>
                        <w:rFonts w:ascii="Arial"/>
                        <w:b/>
                        <w:spacing w:val="-7"/>
                        <w:w w:val="115"/>
                        <w:sz w:val="10"/>
                      </w:rPr>
                      <w:t>TASA</w:t>
                    </w:r>
                    <w:r>
                      <w:rPr>
                        <w:rFonts w:ascii="Arial"/>
                        <w:b/>
                        <w:spacing w:val="4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spacing w:val="-7"/>
                        <w:w w:val="115"/>
                        <w:sz w:val="10"/>
                      </w:rPr>
                      <w:t>NETA</w:t>
                    </w:r>
                    <w:r>
                      <w:rPr>
                        <w:rFonts w:ascii="Arial"/>
                        <w:b/>
                        <w:spacing w:val="5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15"/>
                        <w:sz w:val="1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15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15"/>
                        <w:sz w:val="10"/>
                      </w:rPr>
                      <w:t>COBERTURA</w:t>
                      <w:tab/>
                    </w:r>
                    <w:r>
                      <w:rPr>
                        <w:rFonts w:ascii="Arial"/>
                        <w:b/>
                        <w:spacing w:val="-7"/>
                        <w:w w:val="115"/>
                        <w:sz w:val="10"/>
                      </w:rPr>
                      <w:t>TASA</w:t>
                    </w:r>
                    <w:r>
                      <w:rPr>
                        <w:rFonts w:ascii="Arial"/>
                        <w:b/>
                        <w:spacing w:val="4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15"/>
                        <w:sz w:val="10"/>
                      </w:rPr>
                      <w:t>NETA</w:t>
                    </w:r>
                    <w:r>
                      <w:rPr>
                        <w:rFonts w:ascii="Arial"/>
                        <w:b/>
                        <w:spacing w:val="3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15"/>
                        <w:sz w:val="1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16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15"/>
                        <w:sz w:val="10"/>
                      </w:rPr>
                      <w:t>COBERTURA</w:t>
                      <w:tab/>
                    </w:r>
                    <w:r>
                      <w:rPr>
                        <w:rFonts w:ascii="Arial"/>
                        <w:b/>
                        <w:spacing w:val="-7"/>
                        <w:w w:val="115"/>
                        <w:sz w:val="10"/>
                      </w:rPr>
                      <w:t>TASA</w:t>
                    </w:r>
                    <w:r>
                      <w:rPr>
                        <w:rFonts w:ascii="Arial"/>
                        <w:b/>
                        <w:spacing w:val="4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15"/>
                        <w:sz w:val="10"/>
                      </w:rPr>
                      <w:t>NETA</w:t>
                    </w:r>
                    <w:r>
                      <w:rPr>
                        <w:rFonts w:ascii="Arial"/>
                        <w:b/>
                        <w:spacing w:val="3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15"/>
                        <w:sz w:val="1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16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15"/>
                        <w:sz w:val="10"/>
                      </w:rPr>
                      <w:t>COBERTURA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2"/>
                      </w:rPr>
                    </w:pPr>
                  </w:p>
                  <w:p>
                    <w:pPr>
                      <w:spacing w:line="232" w:lineRule="auto" w:before="87"/>
                      <w:ind w:left="0" w:right="0" w:firstLine="0"/>
                      <w:jc w:val="left"/>
                      <w:rPr>
                        <w:rFonts w:ascii="Verdana" w:hAnsi="Verdana"/>
                        <w:sz w:val="10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10"/>
                      </w:rPr>
                      <w:t>Fuente</w:t>
                    </w:r>
                    <w:r>
                      <w:rPr>
                        <w:rFonts w:ascii="Arial" w:hAnsi="Arial"/>
                        <w:b/>
                        <w:spacing w:val="-19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0"/>
                      </w:rPr>
                      <w:t>:</w:t>
                    </w:r>
                    <w:r>
                      <w:rPr>
                        <w:rFonts w:ascii="Arial" w:hAnsi="Arial"/>
                        <w:b/>
                        <w:spacing w:val="25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0"/>
                      </w:rPr>
                      <w:t>Matrícula</w:t>
                    </w:r>
                    <w:r>
                      <w:rPr>
                        <w:rFonts w:ascii="Verdana" w:hAnsi="Verdana"/>
                        <w:spacing w:val="23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0"/>
                      </w:rPr>
                      <w:t>de</w:t>
                    </w:r>
                    <w:r>
                      <w:rPr>
                        <w:rFonts w:ascii="Verdana" w:hAnsi="Verdana"/>
                        <w:spacing w:val="22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0"/>
                      </w:rPr>
                      <w:t>Estudiantes,</w:t>
                    </w:r>
                    <w:r>
                      <w:rPr>
                        <w:rFonts w:ascii="Verdana" w:hAnsi="Verdana"/>
                        <w:spacing w:val="22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0"/>
                      </w:rPr>
                      <w:t>Sistema</w:t>
                    </w:r>
                    <w:r>
                      <w:rPr>
                        <w:rFonts w:ascii="Verdana" w:hAnsi="Verdana"/>
                        <w:spacing w:val="24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0"/>
                      </w:rPr>
                      <w:t>de</w:t>
                    </w:r>
                    <w:r>
                      <w:rPr>
                        <w:rFonts w:ascii="Verdana" w:hAnsi="Verdana"/>
                        <w:spacing w:val="24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0"/>
                      </w:rPr>
                      <w:t>Registros</w:t>
                    </w:r>
                    <w:r>
                      <w:rPr>
                        <w:rFonts w:ascii="Verdana" w:hAnsi="Verdana"/>
                        <w:spacing w:val="24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0"/>
                      </w:rPr>
                      <w:t>Educativos,</w:t>
                    </w:r>
                    <w:r>
                      <w:rPr>
                        <w:rFonts w:ascii="Verdana" w:hAnsi="Verdana"/>
                        <w:spacing w:val="24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0"/>
                      </w:rPr>
                      <w:t>Ministerio</w:t>
                    </w:r>
                    <w:r>
                      <w:rPr>
                        <w:rFonts w:ascii="Verdana" w:hAnsi="Verdana"/>
                        <w:spacing w:val="23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0"/>
                      </w:rPr>
                      <w:t>de</w:t>
                    </w:r>
                    <w:r>
                      <w:rPr>
                        <w:rFonts w:ascii="Verdana" w:hAnsi="Verdana"/>
                        <w:spacing w:val="24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0"/>
                      </w:rPr>
                      <w:t>Educación</w:t>
                    </w:r>
                    <w:r>
                      <w:rPr>
                        <w:rFonts w:ascii="Verdana" w:hAnsi="Verdana"/>
                        <w:spacing w:val="23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0"/>
                      </w:rPr>
                      <w:t>de</w:t>
                    </w:r>
                    <w:r>
                      <w:rPr>
                        <w:rFonts w:ascii="Verdana" w:hAnsi="Verdana"/>
                        <w:spacing w:val="23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0"/>
                      </w:rPr>
                      <w:t>Guatemala</w:t>
                    </w:r>
                    <w:r>
                      <w:rPr>
                        <w:rFonts w:ascii="Verdana" w:hAnsi="Verdana"/>
                        <w:spacing w:val="23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0"/>
                      </w:rPr>
                      <w:t>al</w:t>
                    </w:r>
                    <w:r>
                      <w:rPr>
                        <w:rFonts w:ascii="Verdana" w:hAnsi="Verdana"/>
                        <w:spacing w:val="23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0"/>
                      </w:rPr>
                      <w:t>27</w:t>
                    </w:r>
                    <w:r>
                      <w:rPr>
                        <w:rFonts w:ascii="Verdana" w:hAnsi="Verdana"/>
                        <w:spacing w:val="23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0"/>
                      </w:rPr>
                      <w:t>de</w:t>
                    </w:r>
                    <w:r>
                      <w:rPr>
                        <w:rFonts w:ascii="Verdana" w:hAnsi="Verdana"/>
                        <w:spacing w:val="23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0"/>
                      </w:rPr>
                      <w:t>julio</w:t>
                    </w:r>
                    <w:r>
                      <w:rPr>
                        <w:rFonts w:ascii="Verdana" w:hAnsi="Verdana"/>
                        <w:spacing w:val="23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0"/>
                      </w:rPr>
                      <w:t>de</w:t>
                    </w:r>
                    <w:r>
                      <w:rPr>
                        <w:rFonts w:ascii="Verdana" w:hAnsi="Verdana"/>
                        <w:spacing w:val="23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0"/>
                      </w:rPr>
                      <w:t>2021;</w:t>
                    </w:r>
                    <w:r>
                      <w:rPr>
                        <w:rFonts w:ascii="Verdana" w:hAnsi="Verdana"/>
                        <w:spacing w:val="25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0"/>
                      </w:rPr>
                      <w:t>Proyección</w:t>
                    </w:r>
                    <w:r>
                      <w:rPr>
                        <w:rFonts w:ascii="Verdana" w:hAnsi="Verdana"/>
                        <w:spacing w:val="23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0"/>
                      </w:rPr>
                      <w:t>de</w:t>
                    </w:r>
                    <w:r>
                      <w:rPr>
                        <w:rFonts w:ascii="Verdana" w:hAnsi="Verdana"/>
                        <w:spacing w:val="1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06"/>
                        <w:sz w:val="10"/>
                      </w:rPr>
                      <w:t>P</w:t>
                    </w:r>
                    <w:r>
                      <w:rPr>
                        <w:rFonts w:ascii="Verdana" w:hAnsi="Verdana"/>
                        <w:w w:val="117"/>
                        <w:sz w:val="10"/>
                      </w:rPr>
                      <w:t>o</w:t>
                    </w:r>
                    <w:r>
                      <w:rPr>
                        <w:rFonts w:ascii="Verdana" w:hAnsi="Verdana"/>
                        <w:w w:val="119"/>
                        <w:sz w:val="10"/>
                      </w:rPr>
                      <w:t>b</w:t>
                    </w:r>
                    <w:r>
                      <w:rPr>
                        <w:rFonts w:ascii="Verdana" w:hAnsi="Verdana"/>
                        <w:spacing w:val="-1"/>
                        <w:w w:val="79"/>
                        <w:sz w:val="10"/>
                      </w:rPr>
                      <w:t>l</w:t>
                    </w:r>
                    <w:r>
                      <w:rPr>
                        <w:rFonts w:ascii="Verdana" w:hAnsi="Verdana"/>
                        <w:w w:val="123"/>
                        <w:sz w:val="10"/>
                      </w:rPr>
                      <w:t>a</w:t>
                    </w:r>
                    <w:r>
                      <w:rPr>
                        <w:rFonts w:ascii="Verdana" w:hAnsi="Verdana"/>
                        <w:w w:val="116"/>
                        <w:sz w:val="10"/>
                      </w:rPr>
                      <w:t>ci</w:t>
                    </w:r>
                    <w:r>
                      <w:rPr>
                        <w:rFonts w:ascii="Verdana" w:hAnsi="Verdana"/>
                        <w:w w:val="117"/>
                        <w:sz w:val="10"/>
                      </w:rPr>
                      <w:t>ó</w:t>
                    </w:r>
                    <w:r>
                      <w:rPr>
                        <w:rFonts w:ascii="Verdana" w:hAnsi="Verdana"/>
                        <w:w w:val="105"/>
                        <w:sz w:val="10"/>
                      </w:rPr>
                      <w:t>n</w:t>
                    </w:r>
                    <w:r>
                      <w:rPr>
                        <w:rFonts w:ascii="Verdana" w:hAnsi="Verdana"/>
                        <w:w w:val="82"/>
                        <w:sz w:val="10"/>
                      </w:rPr>
                      <w:t>,</w:t>
                    </w:r>
                    <w:r>
                      <w:rPr>
                        <w:rFonts w:ascii="Verdana" w:hAnsi="Verdana"/>
                        <w:spacing w:val="-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23"/>
                        <w:sz w:val="10"/>
                      </w:rPr>
                      <w:t>Ce</w:t>
                    </w:r>
                    <w:r>
                      <w:rPr>
                        <w:rFonts w:ascii="Verdana" w:hAnsi="Verdana"/>
                        <w:spacing w:val="-1"/>
                        <w:w w:val="105"/>
                        <w:sz w:val="10"/>
                      </w:rPr>
                      <w:t>n</w:t>
                    </w:r>
                    <w:r>
                      <w:rPr>
                        <w:rFonts w:ascii="Verdana" w:hAnsi="Verdana"/>
                        <w:w w:val="81"/>
                        <w:sz w:val="10"/>
                      </w:rPr>
                      <w:t>s</w:t>
                    </w:r>
                    <w:r>
                      <w:rPr>
                        <w:rFonts w:ascii="Verdana" w:hAnsi="Verdana"/>
                        <w:w w:val="117"/>
                        <w:sz w:val="10"/>
                      </w:rPr>
                      <w:t>o</w:t>
                    </w:r>
                    <w:r>
                      <w:rPr>
                        <w:rFonts w:ascii="Verdana" w:hAnsi="Verdana"/>
                        <w:spacing w:val="-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19"/>
                        <w:sz w:val="10"/>
                      </w:rPr>
                      <w:t>d</w:t>
                    </w:r>
                    <w:r>
                      <w:rPr>
                        <w:rFonts w:ascii="Verdana" w:hAnsi="Verdana"/>
                        <w:w w:val="118"/>
                        <w:sz w:val="10"/>
                      </w:rPr>
                      <w:t>e</w:t>
                    </w:r>
                    <w:r>
                      <w:rPr>
                        <w:rFonts w:ascii="Verdana" w:hAnsi="Verdana"/>
                        <w:spacing w:val="-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06"/>
                        <w:sz w:val="10"/>
                      </w:rPr>
                      <w:t>P</w:t>
                    </w:r>
                    <w:r>
                      <w:rPr>
                        <w:rFonts w:ascii="Verdana" w:hAnsi="Verdana"/>
                        <w:w w:val="117"/>
                        <w:sz w:val="10"/>
                      </w:rPr>
                      <w:t>o</w:t>
                    </w:r>
                    <w:r>
                      <w:rPr>
                        <w:rFonts w:ascii="Verdana" w:hAnsi="Verdana"/>
                        <w:w w:val="119"/>
                        <w:sz w:val="10"/>
                      </w:rPr>
                      <w:t>b</w:t>
                    </w:r>
                    <w:r>
                      <w:rPr>
                        <w:rFonts w:ascii="Verdana" w:hAnsi="Verdana"/>
                        <w:spacing w:val="-1"/>
                        <w:w w:val="79"/>
                        <w:sz w:val="10"/>
                      </w:rPr>
                      <w:t>l</w:t>
                    </w:r>
                    <w:r>
                      <w:rPr>
                        <w:rFonts w:ascii="Verdana" w:hAnsi="Verdana"/>
                        <w:w w:val="123"/>
                        <w:sz w:val="10"/>
                      </w:rPr>
                      <w:t>a</w:t>
                    </w:r>
                    <w:r>
                      <w:rPr>
                        <w:rFonts w:ascii="Verdana" w:hAnsi="Verdana"/>
                        <w:w w:val="116"/>
                        <w:sz w:val="10"/>
                      </w:rPr>
                      <w:t>ci</w:t>
                    </w:r>
                    <w:r>
                      <w:rPr>
                        <w:rFonts w:ascii="Verdana" w:hAnsi="Verdana"/>
                        <w:w w:val="117"/>
                        <w:sz w:val="10"/>
                      </w:rPr>
                      <w:t>ó</w:t>
                    </w:r>
                    <w:r>
                      <w:rPr>
                        <w:rFonts w:ascii="Verdana" w:hAnsi="Verdana"/>
                        <w:w w:val="105"/>
                        <w:sz w:val="10"/>
                      </w:rPr>
                      <w:t>n</w:t>
                    </w:r>
                    <w:r>
                      <w:rPr>
                        <w:rFonts w:ascii="Verdana" w:hAnsi="Verdana"/>
                        <w:spacing w:val="-4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94"/>
                        <w:sz w:val="10"/>
                      </w:rPr>
                      <w:t>201</w:t>
                    </w:r>
                    <w:r>
                      <w:rPr>
                        <w:rFonts w:ascii="Verdana" w:hAnsi="Verdana"/>
                        <w:spacing w:val="-1"/>
                        <w:w w:val="94"/>
                        <w:sz w:val="10"/>
                      </w:rPr>
                      <w:t>8</w:t>
                    </w:r>
                    <w:r>
                      <w:rPr>
                        <w:rFonts w:ascii="Verdana" w:hAnsi="Verdana"/>
                        <w:w w:val="82"/>
                        <w:sz w:val="10"/>
                      </w:rPr>
                      <w:t>,</w:t>
                    </w:r>
                    <w:r>
                      <w:rPr>
                        <w:rFonts w:ascii="Verdana" w:hAnsi="Verdana"/>
                        <w:spacing w:val="-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spacing w:val="1"/>
                        <w:w w:val="58"/>
                        <w:sz w:val="10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105"/>
                        <w:sz w:val="10"/>
                      </w:rPr>
                      <w:t>n</w:t>
                    </w:r>
                    <w:r>
                      <w:rPr>
                        <w:rFonts w:ascii="Verdana" w:hAnsi="Verdana"/>
                        <w:w w:val="81"/>
                        <w:sz w:val="10"/>
                      </w:rPr>
                      <w:t>s</w:t>
                    </w:r>
                    <w:r>
                      <w:rPr>
                        <w:rFonts w:ascii="Verdana" w:hAnsi="Verdana"/>
                        <w:w w:val="93"/>
                        <w:sz w:val="10"/>
                      </w:rPr>
                      <w:t>t</w:t>
                    </w:r>
                    <w:r>
                      <w:rPr>
                        <w:rFonts w:ascii="Verdana" w:hAnsi="Verdana"/>
                        <w:w w:val="79"/>
                        <w:sz w:val="10"/>
                      </w:rPr>
                      <w:t>i</w:t>
                    </w:r>
                    <w:r>
                      <w:rPr>
                        <w:rFonts w:ascii="Verdana" w:hAnsi="Verdana"/>
                        <w:w w:val="93"/>
                        <w:sz w:val="10"/>
                      </w:rPr>
                      <w:t>t</w:t>
                    </w:r>
                    <w:r>
                      <w:rPr>
                        <w:rFonts w:ascii="Verdana" w:hAnsi="Verdana"/>
                        <w:w w:val="104"/>
                        <w:sz w:val="10"/>
                      </w:rPr>
                      <w:t>u</w:t>
                    </w:r>
                    <w:r>
                      <w:rPr>
                        <w:rFonts w:ascii="Verdana" w:hAnsi="Verdana"/>
                        <w:spacing w:val="1"/>
                        <w:w w:val="93"/>
                        <w:sz w:val="10"/>
                      </w:rPr>
                      <w:t>t</w:t>
                    </w:r>
                    <w:r>
                      <w:rPr>
                        <w:rFonts w:ascii="Verdana" w:hAnsi="Verdana"/>
                        <w:w w:val="117"/>
                        <w:sz w:val="10"/>
                      </w:rPr>
                      <w:t>o</w:t>
                    </w:r>
                    <w:r>
                      <w:rPr>
                        <w:rFonts w:ascii="Verdana" w:hAnsi="Verdana"/>
                        <w:spacing w:val="-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07"/>
                        <w:sz w:val="10"/>
                      </w:rPr>
                      <w:t>N</w:t>
                    </w:r>
                    <w:r>
                      <w:rPr>
                        <w:rFonts w:ascii="Verdana" w:hAnsi="Verdana"/>
                        <w:w w:val="123"/>
                        <w:sz w:val="10"/>
                      </w:rPr>
                      <w:t>a</w:t>
                    </w:r>
                    <w:r>
                      <w:rPr>
                        <w:rFonts w:ascii="Verdana" w:hAnsi="Verdana"/>
                        <w:w w:val="116"/>
                        <w:sz w:val="10"/>
                      </w:rPr>
                      <w:t>ci</w:t>
                    </w:r>
                    <w:r>
                      <w:rPr>
                        <w:rFonts w:ascii="Verdana" w:hAnsi="Verdana"/>
                        <w:w w:val="117"/>
                        <w:sz w:val="10"/>
                      </w:rPr>
                      <w:t>o</w:t>
                    </w:r>
                    <w:r>
                      <w:rPr>
                        <w:rFonts w:ascii="Verdana" w:hAnsi="Verdana"/>
                        <w:spacing w:val="-1"/>
                        <w:w w:val="105"/>
                        <w:sz w:val="10"/>
                      </w:rPr>
                      <w:t>n</w:t>
                    </w:r>
                    <w:r>
                      <w:rPr>
                        <w:rFonts w:ascii="Verdana" w:hAnsi="Verdana"/>
                        <w:w w:val="123"/>
                        <w:sz w:val="10"/>
                      </w:rPr>
                      <w:t>a</w:t>
                    </w:r>
                    <w:r>
                      <w:rPr>
                        <w:rFonts w:ascii="Verdana" w:hAnsi="Verdana"/>
                        <w:w w:val="79"/>
                        <w:sz w:val="10"/>
                      </w:rPr>
                      <w:t>l</w:t>
                    </w:r>
                    <w:r>
                      <w:rPr>
                        <w:rFonts w:ascii="Verdana" w:hAnsi="Verdana"/>
                        <w:spacing w:val="-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19"/>
                        <w:sz w:val="10"/>
                      </w:rPr>
                      <w:t>d</w:t>
                    </w:r>
                    <w:r>
                      <w:rPr>
                        <w:rFonts w:ascii="Verdana" w:hAnsi="Verdana"/>
                        <w:w w:val="118"/>
                        <w:sz w:val="10"/>
                      </w:rPr>
                      <w:t>e</w:t>
                    </w:r>
                    <w:r>
                      <w:rPr>
                        <w:rFonts w:ascii="Verdana" w:hAnsi="Verdana"/>
                        <w:spacing w:val="-6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92"/>
                        <w:sz w:val="10"/>
                      </w:rPr>
                      <w:t>E</w:t>
                    </w:r>
                    <w:r>
                      <w:rPr>
                        <w:rFonts w:ascii="Verdana" w:hAnsi="Verdana"/>
                        <w:w w:val="81"/>
                        <w:sz w:val="10"/>
                      </w:rPr>
                      <w:t>s</w:t>
                    </w:r>
                    <w:r>
                      <w:rPr>
                        <w:rFonts w:ascii="Verdana" w:hAnsi="Verdana"/>
                        <w:w w:val="93"/>
                        <w:sz w:val="10"/>
                      </w:rPr>
                      <w:t>t</w:t>
                    </w:r>
                    <w:r>
                      <w:rPr>
                        <w:rFonts w:ascii="Verdana" w:hAnsi="Verdana"/>
                        <w:w w:val="123"/>
                        <w:sz w:val="10"/>
                      </w:rPr>
                      <w:t>a</w:t>
                    </w:r>
                    <w:r>
                      <w:rPr>
                        <w:rFonts w:ascii="Verdana" w:hAnsi="Verdana"/>
                        <w:w w:val="119"/>
                        <w:sz w:val="10"/>
                      </w:rPr>
                      <w:t>d</w:t>
                    </w:r>
                    <w:r>
                      <w:rPr>
                        <w:rFonts w:ascii="Verdana" w:hAnsi="Verdana"/>
                        <w:spacing w:val="-1"/>
                        <w:w w:val="79"/>
                        <w:sz w:val="10"/>
                      </w:rPr>
                      <w:t>í</w:t>
                    </w:r>
                    <w:r>
                      <w:rPr>
                        <w:rFonts w:ascii="Verdana" w:hAnsi="Verdana"/>
                        <w:w w:val="81"/>
                        <w:sz w:val="10"/>
                      </w:rPr>
                      <w:t>s</w:t>
                    </w:r>
                    <w:r>
                      <w:rPr>
                        <w:rFonts w:ascii="Verdana" w:hAnsi="Verdana"/>
                        <w:w w:val="93"/>
                        <w:sz w:val="10"/>
                      </w:rPr>
                      <w:t>t</w:t>
                    </w:r>
                    <w:r>
                      <w:rPr>
                        <w:rFonts w:ascii="Verdana" w:hAnsi="Verdana"/>
                        <w:w w:val="79"/>
                        <w:sz w:val="10"/>
                      </w:rPr>
                      <w:t>i</w:t>
                    </w:r>
                    <w:r>
                      <w:rPr>
                        <w:rFonts w:ascii="Verdana" w:hAnsi="Verdana"/>
                        <w:w w:val="129"/>
                        <w:sz w:val="10"/>
                      </w:rPr>
                      <w:t>ca</w:t>
                    </w:r>
                    <w:r>
                      <w:rPr>
                        <w:rFonts w:ascii="Verdana" w:hAnsi="Verdana"/>
                        <w:spacing w:val="-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19"/>
                        <w:sz w:val="10"/>
                      </w:rPr>
                      <w:t>d</w:t>
                    </w:r>
                    <w:r>
                      <w:rPr>
                        <w:rFonts w:ascii="Verdana" w:hAnsi="Verdana"/>
                        <w:w w:val="118"/>
                        <w:sz w:val="10"/>
                      </w:rPr>
                      <w:t>e</w:t>
                    </w:r>
                    <w:r>
                      <w:rPr>
                        <w:rFonts w:ascii="Verdana" w:hAnsi="Verdana"/>
                        <w:spacing w:val="-4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22"/>
                        <w:sz w:val="10"/>
                      </w:rPr>
                      <w:t>G</w:t>
                    </w:r>
                    <w:r>
                      <w:rPr>
                        <w:rFonts w:ascii="Verdana" w:hAnsi="Verdana"/>
                        <w:w w:val="104"/>
                        <w:sz w:val="10"/>
                      </w:rPr>
                      <w:t>u</w:t>
                    </w:r>
                    <w:r>
                      <w:rPr>
                        <w:rFonts w:ascii="Verdana" w:hAnsi="Verdana"/>
                        <w:w w:val="123"/>
                        <w:sz w:val="10"/>
                      </w:rPr>
                      <w:t>a</w:t>
                    </w:r>
                    <w:r>
                      <w:rPr>
                        <w:rFonts w:ascii="Verdana" w:hAnsi="Verdana"/>
                        <w:w w:val="93"/>
                        <w:sz w:val="10"/>
                      </w:rPr>
                      <w:t>t</w:t>
                    </w:r>
                    <w:r>
                      <w:rPr>
                        <w:rFonts w:ascii="Verdana" w:hAnsi="Verdana"/>
                        <w:spacing w:val="1"/>
                        <w:w w:val="118"/>
                        <w:sz w:val="10"/>
                      </w:rPr>
                      <w:t>e</w:t>
                    </w:r>
                    <w:r>
                      <w:rPr>
                        <w:rFonts w:ascii="Verdana" w:hAnsi="Verdana"/>
                        <w:spacing w:val="-1"/>
                        <w:w w:val="112"/>
                        <w:sz w:val="10"/>
                      </w:rPr>
                      <w:t>m</w:t>
                    </w:r>
                    <w:r>
                      <w:rPr>
                        <w:rFonts w:ascii="Verdana" w:hAnsi="Verdana"/>
                        <w:w w:val="112"/>
                        <w:sz w:val="10"/>
                      </w:rPr>
                      <w:t>a</w:t>
                    </w:r>
                    <w:r>
                      <w:rPr>
                        <w:rFonts w:ascii="Verdana" w:hAnsi="Verdana"/>
                        <w:w w:val="79"/>
                        <w:sz w:val="10"/>
                      </w:rPr>
                      <w:t>l</w:t>
                    </w:r>
                    <w:r>
                      <w:rPr>
                        <w:rFonts w:ascii="Verdana" w:hAnsi="Verdana"/>
                        <w:w w:val="123"/>
                        <w:sz w:val="10"/>
                      </w:rPr>
                      <w:t>a</w:t>
                    </w:r>
                    <w:r>
                      <w:rPr>
                        <w:rFonts w:ascii="Verdana" w:hAnsi="Verdana"/>
                        <w:w w:val="82"/>
                        <w:sz w:val="10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Gráfico Nº.</w:t>
      </w:r>
      <w:r>
        <w:rPr>
          <w:spacing w:val="-1"/>
        </w:rPr>
        <w:t> </w:t>
      </w:r>
      <w:r>
        <w:rPr/>
        <w:t>Indicador de Cobertura:</w:t>
      </w:r>
      <w:r>
        <w:rPr>
          <w:spacing w:val="-3"/>
        </w:rPr>
        <w:t> </w:t>
      </w:r>
      <w:r>
        <w:rPr/>
        <w:t>TASA NETA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COBERTURA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  <w:r>
        <w:rPr/>
        <w:pict>
          <v:rect style="position:absolute;margin-left:563.880005pt;margin-top:18.905005pt;width:25.44pt;height:1.4399pt;mso-position-horizontal-relative:page;mso-position-vertical-relative:paragraph;z-index:-1549875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113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44128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3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2"/>
        <w:jc w:val="both"/>
      </w:pPr>
      <w:r>
        <w:rPr/>
        <w:t>El gráfico anterior muestra, la tasa neta de cobertura del Sistema Nacional de Educación por Nivel</w:t>
      </w:r>
      <w:r>
        <w:rPr>
          <w:spacing w:val="1"/>
        </w:rPr>
        <w:t> </w:t>
      </w:r>
      <w:r>
        <w:rPr/>
        <w:t>educativo y en un horizonte temporal de 7 años. Durante este período es posible observar las diversas</w:t>
      </w:r>
      <w:r>
        <w:rPr>
          <w:spacing w:val="1"/>
        </w:rPr>
        <w:t> </w:t>
      </w:r>
      <w:r>
        <w:rPr/>
        <w:t>fluctuaciones evidenciando durante los últimos años para el Nivel Preprimaria, un aumento que parte del</w:t>
      </w:r>
      <w:r>
        <w:rPr>
          <w:spacing w:val="-47"/>
        </w:rPr>
        <w:t> </w:t>
      </w:r>
      <w:r>
        <w:rPr/>
        <w:t>57.44% en 2015 hasta un 62.39% en el año 2021. Aunque, el mejor año de cobertura de la serie histórica</w:t>
      </w:r>
      <w:r>
        <w:rPr>
          <w:spacing w:val="1"/>
        </w:rPr>
        <w:t> </w:t>
      </w:r>
      <w:r>
        <w:rPr/>
        <w:t>presentada</w:t>
      </w:r>
      <w:r>
        <w:rPr>
          <w:spacing w:val="-1"/>
        </w:rPr>
        <w:t> </w:t>
      </w:r>
      <w:r>
        <w:rPr/>
        <w:t>fue</w:t>
      </w:r>
      <w:r>
        <w:rPr>
          <w:spacing w:val="-2"/>
        </w:rPr>
        <w:t> </w:t>
      </w:r>
      <w:r>
        <w:rPr/>
        <w:t>el año</w:t>
      </w:r>
      <w:r>
        <w:rPr>
          <w:spacing w:val="-1"/>
        </w:rPr>
        <w:t> </w:t>
      </w:r>
      <w:r>
        <w:rPr/>
        <w:t>2018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3"/>
        </w:rPr>
        <w:t> </w:t>
      </w:r>
      <w:r>
        <w:rPr/>
        <w:t>63.72%.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4"/>
        <w:jc w:val="both"/>
      </w:pPr>
      <w:r>
        <w:rPr/>
        <w:t>Para el nivel de educación primaria, se observa una tasa constante de los años 2015 hasta el 2021,</w:t>
      </w:r>
      <w:r>
        <w:rPr>
          <w:spacing w:val="1"/>
        </w:rPr>
        <w:t> </w:t>
      </w:r>
      <w:r>
        <w:rPr/>
        <w:t>registrando un promedio de cobertura del 93%, reportando el año 2021 como el mejor año de cobertura</w:t>
      </w:r>
      <w:r>
        <w:rPr>
          <w:spacing w:val="1"/>
        </w:rPr>
        <w:t> </w:t>
      </w:r>
      <w:r>
        <w:rPr/>
        <w:t>educativa</w:t>
      </w:r>
      <w:r>
        <w:rPr>
          <w:spacing w:val="-4"/>
        </w:rPr>
        <w:t> </w:t>
      </w:r>
      <w:r>
        <w:rPr/>
        <w:t>para</w:t>
      </w:r>
      <w:r>
        <w:rPr>
          <w:spacing w:val="-1"/>
        </w:rPr>
        <w:t> </w:t>
      </w:r>
      <w:r>
        <w:rPr/>
        <w:t>este nivel.</w:t>
      </w:r>
    </w:p>
    <w:p>
      <w:pPr>
        <w:pStyle w:val="BodyText"/>
        <w:spacing w:before="1"/>
      </w:pPr>
    </w:p>
    <w:p>
      <w:pPr>
        <w:pStyle w:val="BodyText"/>
        <w:spacing w:before="1"/>
        <w:ind w:left="278" w:right="1075"/>
        <w:jc w:val="both"/>
      </w:pPr>
      <w:r>
        <w:rPr/>
        <w:t>A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aumentan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educativos,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desciende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significativa,</w:t>
      </w:r>
      <w:r>
        <w:rPr>
          <w:spacing w:val="1"/>
        </w:rPr>
        <w:t> </w:t>
      </w:r>
      <w:r>
        <w:rPr/>
        <w:t>alcanzando para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nivel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media;</w:t>
      </w:r>
      <w:r>
        <w:rPr>
          <w:spacing w:val="-2"/>
        </w:rPr>
        <w:t> </w:t>
      </w:r>
      <w:r>
        <w:rPr/>
        <w:t>ciclo</w:t>
      </w:r>
      <w:r>
        <w:rPr>
          <w:spacing w:val="-3"/>
        </w:rPr>
        <w:t> </w:t>
      </w:r>
      <w:r>
        <w:rPr/>
        <w:t>básico</w:t>
      </w:r>
      <w:r>
        <w:rPr>
          <w:spacing w:val="2"/>
        </w:rPr>
        <w:t> </w:t>
      </w:r>
      <w:r>
        <w:rPr/>
        <w:t>un</w:t>
      </w:r>
      <w:r>
        <w:rPr>
          <w:spacing w:val="-3"/>
        </w:rPr>
        <w:t> </w:t>
      </w:r>
      <w:r>
        <w:rPr/>
        <w:t>48.28% y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diversificado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25%.</w:t>
      </w:r>
    </w:p>
    <w:p>
      <w:pPr>
        <w:pStyle w:val="BodyText"/>
      </w:pPr>
    </w:p>
    <w:p>
      <w:pPr>
        <w:pStyle w:val="BodyText"/>
        <w:ind w:left="278"/>
        <w:jc w:val="both"/>
      </w:pPr>
      <w:r>
        <w:rPr/>
        <w:t>La</w:t>
      </w:r>
      <w:r>
        <w:rPr>
          <w:spacing w:val="-1"/>
        </w:rPr>
        <w:t> </w:t>
      </w:r>
      <w:r>
        <w:rPr/>
        <w:t>tasa</w:t>
      </w:r>
      <w:r>
        <w:rPr>
          <w:spacing w:val="-4"/>
        </w:rPr>
        <w:t> </w:t>
      </w:r>
      <w:r>
        <w:rPr/>
        <w:t>neta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-TNE-, que</w:t>
      </w:r>
      <w:r>
        <w:rPr>
          <w:spacing w:val="-3"/>
        </w:rPr>
        <w:t> </w:t>
      </w:r>
      <w:r>
        <w:rPr/>
        <w:t>mide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cantidad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alumnos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las</w:t>
      </w:r>
      <w:r>
        <w:rPr>
          <w:spacing w:val="-1"/>
        </w:rPr>
        <w:t> </w:t>
      </w:r>
      <w:r>
        <w:rPr/>
        <w:t>edades</w:t>
      </w:r>
    </w:p>
    <w:p>
      <w:pPr>
        <w:pStyle w:val="BodyText"/>
        <w:spacing w:line="237" w:lineRule="auto" w:before="3"/>
        <w:ind w:left="278" w:right="1074"/>
        <w:jc w:val="both"/>
      </w:pPr>
      <w:r>
        <w:rPr/>
        <w:t>correspondientes a cada nivel educativo, disminuyó en los últimos 7 años entre 2% y 6% en preprimaria,</w:t>
      </w:r>
      <w:r>
        <w:rPr>
          <w:spacing w:val="1"/>
        </w:rPr>
        <w:t> </w:t>
      </w:r>
      <w:r>
        <w:rPr/>
        <w:t>básico</w:t>
      </w:r>
      <w:r>
        <w:rPr>
          <w:spacing w:val="-2"/>
        </w:rPr>
        <w:t> </w:t>
      </w:r>
      <w:r>
        <w:rPr/>
        <w:t>y diversificado; pero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aumentó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3%</w:t>
      </w:r>
      <w:r>
        <w:rPr>
          <w:spacing w:val="-3"/>
        </w:rPr>
        <w:t> </w:t>
      </w:r>
      <w:r>
        <w:rPr/>
        <w:t>en primaria.</w:t>
      </w:r>
    </w:p>
    <w:p>
      <w:pPr>
        <w:pStyle w:val="BodyText"/>
        <w:spacing w:before="1"/>
      </w:pPr>
    </w:p>
    <w:p>
      <w:pPr>
        <w:spacing w:line="242" w:lineRule="auto" w:before="0"/>
        <w:ind w:left="278" w:right="1074" w:firstLine="0"/>
        <w:jc w:val="both"/>
        <w:rPr>
          <w:sz w:val="20"/>
        </w:rPr>
      </w:pPr>
      <w:r>
        <w:rPr>
          <w:sz w:val="22"/>
        </w:rPr>
        <w:t>Lo cual, significa que 6 de cada 10 niños asiste a preprimaria (TNE: 60%), nueve de cada diez están en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primaria</w:t>
      </w:r>
      <w:r>
        <w:rPr>
          <w:spacing w:val="-11"/>
          <w:sz w:val="22"/>
        </w:rPr>
        <w:t> </w:t>
      </w:r>
      <w:r>
        <w:rPr>
          <w:spacing w:val="-1"/>
          <w:sz w:val="20"/>
        </w:rPr>
        <w:t>(TNE: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93%),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menos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la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mitad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asiste</w:t>
      </w:r>
      <w:r>
        <w:rPr>
          <w:spacing w:val="-10"/>
          <w:sz w:val="20"/>
        </w:rPr>
        <w:t> </w:t>
      </w:r>
      <w:r>
        <w:rPr>
          <w:sz w:val="20"/>
        </w:rPr>
        <w:t>al</w:t>
      </w:r>
      <w:r>
        <w:rPr>
          <w:spacing w:val="-7"/>
          <w:sz w:val="20"/>
        </w:rPr>
        <w:t> </w:t>
      </w:r>
      <w:r>
        <w:rPr>
          <w:sz w:val="20"/>
        </w:rPr>
        <w:t>ciclo</w:t>
      </w:r>
      <w:r>
        <w:rPr>
          <w:spacing w:val="-9"/>
          <w:sz w:val="20"/>
        </w:rPr>
        <w:t> </w:t>
      </w:r>
      <w:r>
        <w:rPr>
          <w:sz w:val="20"/>
        </w:rPr>
        <w:t>básico</w:t>
      </w:r>
      <w:r>
        <w:rPr>
          <w:spacing w:val="-7"/>
          <w:sz w:val="20"/>
        </w:rPr>
        <w:t> </w:t>
      </w:r>
      <w:r>
        <w:rPr>
          <w:sz w:val="20"/>
        </w:rPr>
        <w:t>(TNE:</w:t>
      </w:r>
      <w:r>
        <w:rPr>
          <w:spacing w:val="-10"/>
          <w:sz w:val="20"/>
        </w:rPr>
        <w:t> </w:t>
      </w:r>
      <w:r>
        <w:rPr>
          <w:sz w:val="20"/>
        </w:rPr>
        <w:t>48%)</w:t>
      </w:r>
      <w:r>
        <w:rPr>
          <w:spacing w:val="-10"/>
          <w:sz w:val="20"/>
        </w:rPr>
        <w:t> </w:t>
      </w:r>
      <w:r>
        <w:rPr>
          <w:sz w:val="20"/>
        </w:rPr>
        <w:t>y</w:t>
      </w:r>
      <w:r>
        <w:rPr>
          <w:spacing w:val="-9"/>
          <w:sz w:val="20"/>
        </w:rPr>
        <w:t> </w:t>
      </w:r>
      <w:r>
        <w:rPr>
          <w:sz w:val="20"/>
        </w:rPr>
        <w:t>uno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cada</w:t>
      </w:r>
      <w:r>
        <w:rPr>
          <w:spacing w:val="-9"/>
          <w:sz w:val="20"/>
        </w:rPr>
        <w:t> </w:t>
      </w:r>
      <w:r>
        <w:rPr>
          <w:sz w:val="20"/>
        </w:rPr>
        <w:t>cuatro</w:t>
      </w:r>
      <w:r>
        <w:rPr>
          <w:spacing w:val="-9"/>
          <w:sz w:val="20"/>
        </w:rPr>
        <w:t> </w:t>
      </w:r>
      <w:r>
        <w:rPr>
          <w:sz w:val="20"/>
        </w:rPr>
        <w:t>está</w:t>
      </w:r>
      <w:r>
        <w:rPr>
          <w:spacing w:val="-9"/>
          <w:sz w:val="20"/>
        </w:rPr>
        <w:t> </w:t>
      </w:r>
      <w:r>
        <w:rPr>
          <w:sz w:val="20"/>
        </w:rPr>
        <w:t>en</w:t>
      </w:r>
      <w:r>
        <w:rPr>
          <w:spacing w:val="-7"/>
          <w:sz w:val="20"/>
        </w:rPr>
        <w:t> </w:t>
      </w:r>
      <w:r>
        <w:rPr>
          <w:sz w:val="20"/>
        </w:rPr>
        <w:t>el</w:t>
      </w:r>
      <w:r>
        <w:rPr>
          <w:spacing w:val="-10"/>
          <w:sz w:val="20"/>
        </w:rPr>
        <w:t> </w:t>
      </w:r>
      <w:r>
        <w:rPr>
          <w:sz w:val="20"/>
        </w:rPr>
        <w:t>diversificado.</w:t>
      </w:r>
      <w:r>
        <w:rPr>
          <w:spacing w:val="-43"/>
          <w:sz w:val="20"/>
        </w:rPr>
        <w:t> </w:t>
      </w:r>
      <w:r>
        <w:rPr>
          <w:sz w:val="20"/>
        </w:rPr>
        <w:t>(TNE:</w:t>
      </w:r>
      <w:r>
        <w:rPr>
          <w:spacing w:val="-2"/>
          <w:sz w:val="20"/>
        </w:rPr>
        <w:t> </w:t>
      </w:r>
      <w:r>
        <w:rPr>
          <w:sz w:val="20"/>
        </w:rPr>
        <w:t>25%).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la siguiente</w:t>
      </w:r>
      <w:r>
        <w:rPr>
          <w:spacing w:val="-2"/>
          <w:sz w:val="20"/>
        </w:rPr>
        <w:t> </w:t>
      </w:r>
      <w:r>
        <w:rPr>
          <w:sz w:val="20"/>
        </w:rPr>
        <w:t>tabla, se</w:t>
      </w:r>
      <w:r>
        <w:rPr>
          <w:spacing w:val="-3"/>
          <w:sz w:val="20"/>
        </w:rPr>
        <w:t> </w:t>
      </w:r>
      <w:r>
        <w:rPr>
          <w:sz w:val="20"/>
        </w:rPr>
        <w:t>observan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cifras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2"/>
          <w:sz w:val="20"/>
        </w:rPr>
        <w:t> </w:t>
      </w:r>
      <w:r>
        <w:rPr>
          <w:sz w:val="20"/>
        </w:rPr>
        <w:t>TNE</w:t>
      </w:r>
      <w:r>
        <w:rPr>
          <w:spacing w:val="-1"/>
          <w:sz w:val="20"/>
        </w:rPr>
        <w:t> </w:t>
      </w:r>
      <w:r>
        <w:rPr>
          <w:sz w:val="20"/>
        </w:rPr>
        <w:t>para el</w:t>
      </w:r>
      <w:r>
        <w:rPr>
          <w:spacing w:val="-1"/>
          <w:sz w:val="20"/>
        </w:rPr>
        <w:t> </w:t>
      </w:r>
      <w:r>
        <w:rPr>
          <w:sz w:val="20"/>
        </w:rPr>
        <w:t>período 2004-2019.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278" w:right="1070"/>
        <w:jc w:val="both"/>
      </w:pPr>
      <w:r>
        <w:rPr/>
        <w:t>En términos generales, en materia de equidad de género se ha logrado casi la paridad de hombres y</w:t>
      </w:r>
      <w:r>
        <w:rPr>
          <w:spacing w:val="1"/>
        </w:rPr>
        <w:t> </w:t>
      </w:r>
      <w:r>
        <w:rPr/>
        <w:t>mujeres en los niveles de pre-primaria y primaria, llegando incluso a una superioridad de las mujeres en</w:t>
      </w:r>
      <w:r>
        <w:rPr>
          <w:spacing w:val="1"/>
        </w:rPr>
        <w:t> </w:t>
      </w:r>
      <w:r>
        <w:rPr/>
        <w:t>el nivel diversificado, con 25.9 % de mujeres En relación con 23.9 % de hombres. Sin embargo, es preciso</w:t>
      </w:r>
      <w:r>
        <w:rPr>
          <w:spacing w:val="1"/>
        </w:rPr>
        <w:t> </w:t>
      </w:r>
      <w:r>
        <w:rPr/>
        <w:t>hacer un análisis por Departamento y municipio para orientar los esfuerzos e inversión en el Sistema</w:t>
      </w:r>
      <w:r>
        <w:rPr>
          <w:spacing w:val="1"/>
        </w:rPr>
        <w:t> </w:t>
      </w:r>
      <w:r>
        <w:rPr/>
        <w:t>Educativo Nacional.</w:t>
      </w:r>
    </w:p>
    <w:p>
      <w:pPr>
        <w:pStyle w:val="BodyText"/>
        <w:spacing w:before="12"/>
        <w:rPr>
          <w:sz w:val="21"/>
        </w:rPr>
      </w:pPr>
    </w:p>
    <w:p>
      <w:pPr>
        <w:pStyle w:val="BodyText"/>
        <w:ind w:left="278" w:right="1068"/>
        <w:jc w:val="both"/>
      </w:pPr>
      <w:r>
        <w:rPr/>
        <w:t>Un indicador relacionado con la TNE es la “Tasa bruta de cobertura del sistema educativo” que relaciona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cantidad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cupos</w:t>
      </w:r>
      <w:r>
        <w:rPr>
          <w:spacing w:val="-2"/>
        </w:rPr>
        <w:t> </w:t>
      </w:r>
      <w:r>
        <w:rPr/>
        <w:t>disponibles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hay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nivel</w:t>
      </w:r>
      <w:r>
        <w:rPr>
          <w:spacing w:val="-5"/>
        </w:rPr>
        <w:t> </w:t>
      </w:r>
      <w:r>
        <w:rPr/>
        <w:t>escolar,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población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tiene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edad</w:t>
      </w:r>
      <w:r>
        <w:rPr>
          <w:spacing w:val="-2"/>
        </w:rPr>
        <w:t> </w:t>
      </w:r>
      <w:r>
        <w:rPr/>
        <w:t>normativa</w:t>
      </w:r>
      <w:r>
        <w:rPr>
          <w:spacing w:val="-48"/>
        </w:rPr>
        <w:t> </w:t>
      </w:r>
      <w:r>
        <w:rPr/>
        <w:t>para</w:t>
      </w:r>
      <w:r>
        <w:rPr>
          <w:spacing w:val="-1"/>
        </w:rPr>
        <w:t> </w:t>
      </w:r>
      <w:r>
        <w:rPr/>
        <w:t>estar</w:t>
      </w:r>
      <w:r>
        <w:rPr>
          <w:spacing w:val="-3"/>
        </w:rPr>
        <w:t> </w:t>
      </w:r>
      <w:r>
        <w:rPr/>
        <w:t>matriculada en</w:t>
      </w:r>
      <w:r>
        <w:rPr>
          <w:spacing w:val="-4"/>
        </w:rPr>
        <w:t> </w:t>
      </w:r>
      <w:r>
        <w:rPr/>
        <w:t>ese</w:t>
      </w:r>
      <w:r>
        <w:rPr>
          <w:spacing w:val="1"/>
        </w:rPr>
        <w:t> </w:t>
      </w:r>
      <w:r>
        <w:rPr/>
        <w:t>nivel.</w:t>
      </w:r>
    </w:p>
    <w:p>
      <w:pPr>
        <w:pStyle w:val="BodyText"/>
        <w:spacing w:before="1"/>
      </w:pPr>
    </w:p>
    <w:p>
      <w:pPr>
        <w:pStyle w:val="BodyText"/>
        <w:ind w:left="278" w:right="1072"/>
        <w:jc w:val="both"/>
      </w:pPr>
      <w:r>
        <w:rPr/>
        <w:t>En función a la disponibilidad de los datos de este indicador, se desagregaron los datos relacionados a</w:t>
      </w:r>
      <w:r>
        <w:rPr>
          <w:spacing w:val="1"/>
        </w:rPr>
        <w:t> </w:t>
      </w:r>
      <w:r>
        <w:rPr/>
        <w:t>etnia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sexo.</w:t>
      </w:r>
      <w:r>
        <w:rPr>
          <w:spacing w:val="-3"/>
        </w:rPr>
        <w:t> </w:t>
      </w:r>
      <w:r>
        <w:rPr/>
        <w:t>Tal y</w:t>
      </w:r>
      <w:r>
        <w:rPr>
          <w:spacing w:val="-1"/>
        </w:rPr>
        <w:t> </w:t>
      </w: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muestra en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tabla.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after="11"/>
        <w:ind w:left="278"/>
        <w:jc w:val="both"/>
      </w:pPr>
      <w:r>
        <w:rPr/>
        <w:pict>
          <v:group style="position:absolute;margin-left:70.900002pt;margin-top:13.94526pt;width:441.6pt;height:35.8pt;mso-position-horizontal-relative:page;mso-position-vertical-relative:paragraph;z-index:-28771840" coordorigin="1418,279" coordsize="8832,716">
            <v:rect style="position:absolute;left:1426;top:278;width:736;height:716" filled="true" fillcolor="#d9e0f1" stroked="false">
              <v:fill type="solid"/>
            </v:rect>
            <v:rect style="position:absolute;left:2162;top:278;width:8088;height:716" filled="true" fillcolor="#d9d9d9" stroked="false">
              <v:fill type="solid"/>
            </v:rect>
            <v:line style="position:absolute" from="1418,986" to="10250,986" stroked="true" strokeweight=".717535pt" strokecolor="#8ea9db">
              <v:stroke dashstyle="solid"/>
            </v:line>
            <w10:wrap type="none"/>
          </v:group>
        </w:pict>
      </w:r>
      <w:r>
        <w:rPr/>
        <w:t>Tabla</w:t>
      </w:r>
      <w:r>
        <w:rPr>
          <w:spacing w:val="-1"/>
        </w:rPr>
        <w:t> </w:t>
      </w:r>
      <w:r>
        <w:rPr/>
        <w:t>Nº.</w:t>
      </w:r>
      <w:r>
        <w:rPr>
          <w:spacing w:val="-1"/>
        </w:rPr>
        <w:t> </w:t>
      </w:r>
      <w:r>
        <w:rPr/>
        <w:t>Desagregación</w:t>
      </w:r>
      <w:r>
        <w:rPr>
          <w:spacing w:val="-2"/>
        </w:rPr>
        <w:t> </w:t>
      </w:r>
      <w:r>
        <w:rPr/>
        <w:t>por nivel</w:t>
      </w:r>
      <w:r>
        <w:rPr>
          <w:spacing w:val="-1"/>
        </w:rPr>
        <w:t> </w:t>
      </w:r>
      <w:r>
        <w:rPr/>
        <w:t>educativo,</w:t>
      </w:r>
      <w:r>
        <w:rPr>
          <w:spacing w:val="-3"/>
        </w:rPr>
        <w:t> </w:t>
      </w:r>
      <w:r>
        <w:rPr/>
        <w:t>etnia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sexo.</w:t>
      </w:r>
    </w:p>
    <w:tbl>
      <w:tblPr>
        <w:tblW w:w="0" w:type="auto"/>
        <w:jc w:val="left"/>
        <w:tblInd w:w="2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2"/>
        <w:gridCol w:w="552"/>
        <w:gridCol w:w="539"/>
        <w:gridCol w:w="495"/>
        <w:gridCol w:w="1155"/>
        <w:gridCol w:w="556"/>
        <w:gridCol w:w="632"/>
        <w:gridCol w:w="474"/>
        <w:gridCol w:w="569"/>
        <w:gridCol w:w="592"/>
        <w:gridCol w:w="507"/>
        <w:gridCol w:w="749"/>
        <w:gridCol w:w="678"/>
      </w:tblGrid>
      <w:tr>
        <w:trPr>
          <w:trHeight w:val="706" w:hRule="atLeast"/>
        </w:trPr>
        <w:tc>
          <w:tcPr>
            <w:tcW w:w="1322" w:type="dxa"/>
          </w:tcPr>
          <w:p>
            <w:pPr>
              <w:pStyle w:val="TableParagraph"/>
              <w:spacing w:line="358" w:lineRule="exact"/>
              <w:ind w:left="763" w:right="-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8"/>
                <w:w w:val="60"/>
                <w:sz w:val="18"/>
              </w:rPr>
              <w:t>EXTRANJER</w:t>
            </w:r>
            <w:r>
              <w:rPr>
                <w:rFonts w:ascii="Arial"/>
                <w:b/>
                <w:spacing w:val="-27"/>
                <w:w w:val="60"/>
                <w:sz w:val="18"/>
              </w:rPr>
              <w:t> </w:t>
            </w:r>
            <w:r>
              <w:rPr>
                <w:rFonts w:ascii="Arial"/>
                <w:b/>
                <w:spacing w:val="-7"/>
                <w:w w:val="65"/>
                <w:sz w:val="18"/>
              </w:rPr>
              <w:t>HOMBRES</w:t>
            </w:r>
          </w:p>
        </w:tc>
        <w:tc>
          <w:tcPr>
            <w:tcW w:w="7498" w:type="dxa"/>
            <w:gridSpan w:val="12"/>
            <w:shd w:val="clear" w:color="auto" w:fill="D9D9D9"/>
          </w:tcPr>
          <w:p>
            <w:pPr>
              <w:pStyle w:val="TableParagraph"/>
              <w:tabs>
                <w:tab w:pos="535" w:val="left" w:leader="none"/>
                <w:tab w:pos="1711" w:val="left" w:leader="none"/>
                <w:tab w:pos="2860" w:val="left" w:leader="none"/>
                <w:tab w:pos="3964" w:val="left" w:leader="none"/>
                <w:tab w:pos="4951" w:val="left" w:leader="none"/>
                <w:tab w:pos="6351" w:val="left" w:leader="none"/>
                <w:tab w:pos="7060" w:val="left" w:leader="none"/>
              </w:tabs>
              <w:spacing w:line="283" w:lineRule="exact" w:before="2"/>
              <w:ind w:left="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70"/>
                <w:sz w:val="18"/>
              </w:rPr>
              <w:t>O</w:t>
              <w:tab/>
            </w:r>
            <w:r>
              <w:rPr>
                <w:rFonts w:ascii="Arial" w:hAnsi="Arial"/>
                <w:b/>
                <w:spacing w:val="-3"/>
                <w:w w:val="70"/>
                <w:sz w:val="18"/>
              </w:rPr>
              <w:t>GARIFUNA</w:t>
              <w:tab/>
            </w:r>
            <w:r>
              <w:rPr>
                <w:rFonts w:ascii="Arial" w:hAnsi="Arial"/>
                <w:b/>
                <w:w w:val="70"/>
                <w:sz w:val="18"/>
              </w:rPr>
              <w:t>LADINO</w:t>
              <w:tab/>
              <w:t>MAYA</w:t>
              <w:tab/>
              <w:t>XINCA</w:t>
              <w:tab/>
            </w:r>
            <w:r>
              <w:rPr>
                <w:rFonts w:ascii="Arial" w:hAnsi="Arial"/>
                <w:b/>
                <w:spacing w:val="-1"/>
                <w:w w:val="60"/>
                <w:sz w:val="18"/>
              </w:rPr>
              <w:t>Sin</w:t>
            </w:r>
            <w:r>
              <w:rPr>
                <w:rFonts w:ascii="Arial" w:hAnsi="Arial"/>
                <w:b/>
                <w:spacing w:val="-2"/>
                <w:w w:val="60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w w:val="60"/>
                <w:sz w:val="18"/>
              </w:rPr>
              <w:t>Clasificación</w:t>
              <w:tab/>
            </w:r>
            <w:r>
              <w:rPr>
                <w:rFonts w:ascii="Arial" w:hAnsi="Arial"/>
                <w:b/>
                <w:w w:val="70"/>
                <w:position w:val="12"/>
                <w:sz w:val="18"/>
              </w:rPr>
              <w:t>Total</w:t>
              <w:tab/>
              <w:t>Total</w:t>
            </w:r>
          </w:p>
          <w:p>
            <w:pPr>
              <w:pStyle w:val="TableParagraph"/>
              <w:tabs>
                <w:tab w:pos="6953" w:val="left" w:leader="none"/>
              </w:tabs>
              <w:spacing w:line="163" w:lineRule="exact"/>
              <w:ind w:left="62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3"/>
                <w:w w:val="65"/>
                <w:sz w:val="18"/>
              </w:rPr>
              <w:t>HOMBRES</w:t>
              <w:tab/>
            </w:r>
            <w:r>
              <w:rPr>
                <w:rFonts w:ascii="Arial"/>
                <w:b/>
                <w:spacing w:val="-8"/>
                <w:w w:val="65"/>
                <w:sz w:val="18"/>
              </w:rPr>
              <w:t>MUJERES</w:t>
            </w:r>
          </w:p>
          <w:p>
            <w:pPr>
              <w:pStyle w:val="TableParagraph"/>
              <w:spacing w:before="31"/>
              <w:ind w:left="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8"/>
                <w:w w:val="60"/>
                <w:sz w:val="18"/>
              </w:rPr>
              <w:t>MUJERESHOMBRES</w:t>
            </w:r>
            <w:r>
              <w:rPr>
                <w:rFonts w:ascii="Arial"/>
                <w:b/>
                <w:spacing w:val="43"/>
                <w:sz w:val="18"/>
              </w:rPr>
              <w:t> </w:t>
            </w:r>
            <w:r>
              <w:rPr>
                <w:rFonts w:ascii="Arial"/>
                <w:b/>
                <w:spacing w:val="-8"/>
                <w:w w:val="60"/>
                <w:sz w:val="18"/>
              </w:rPr>
              <w:t>MUJERES</w:t>
            </w:r>
            <w:r>
              <w:rPr>
                <w:rFonts w:ascii="Arial"/>
                <w:b/>
                <w:spacing w:val="-5"/>
                <w:sz w:val="18"/>
              </w:rPr>
              <w:t> </w:t>
            </w:r>
            <w:r>
              <w:rPr>
                <w:rFonts w:ascii="Arial"/>
                <w:b/>
                <w:spacing w:val="-8"/>
                <w:w w:val="60"/>
                <w:sz w:val="18"/>
              </w:rPr>
              <w:t>HOMBRES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pacing w:val="-7"/>
                <w:w w:val="60"/>
                <w:sz w:val="18"/>
              </w:rPr>
              <w:t>MUJERES</w:t>
            </w:r>
            <w:r>
              <w:rPr>
                <w:rFonts w:ascii="Arial"/>
                <w:b/>
                <w:spacing w:val="30"/>
                <w:sz w:val="18"/>
              </w:rPr>
              <w:t> </w:t>
            </w:r>
            <w:r>
              <w:rPr>
                <w:rFonts w:ascii="Arial"/>
                <w:b/>
                <w:spacing w:val="-7"/>
                <w:w w:val="60"/>
                <w:sz w:val="18"/>
              </w:rPr>
              <w:t>HOMBRES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7"/>
                <w:w w:val="60"/>
                <w:sz w:val="18"/>
              </w:rPr>
              <w:t>MUJERES</w:t>
            </w:r>
            <w:r>
              <w:rPr>
                <w:rFonts w:ascii="Arial"/>
                <w:b/>
                <w:spacing w:val="30"/>
                <w:sz w:val="18"/>
              </w:rPr>
              <w:t> </w:t>
            </w:r>
            <w:r>
              <w:rPr>
                <w:rFonts w:ascii="Arial"/>
                <w:b/>
                <w:spacing w:val="-7"/>
                <w:w w:val="60"/>
                <w:sz w:val="18"/>
              </w:rPr>
              <w:t>HOMBRES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7"/>
                <w:w w:val="60"/>
                <w:sz w:val="18"/>
              </w:rPr>
              <w:t>MUJERES</w:t>
            </w:r>
            <w:r>
              <w:rPr>
                <w:rFonts w:ascii="Arial"/>
                <w:b/>
                <w:spacing w:val="14"/>
                <w:w w:val="60"/>
                <w:sz w:val="18"/>
              </w:rPr>
              <w:t> </w:t>
            </w:r>
            <w:r>
              <w:rPr>
                <w:rFonts w:ascii="Arial"/>
                <w:b/>
                <w:spacing w:val="-7"/>
                <w:w w:val="60"/>
                <w:sz w:val="18"/>
              </w:rPr>
              <w:t>HOMBRES</w:t>
            </w:r>
            <w:r>
              <w:rPr>
                <w:rFonts w:ascii="Arial"/>
                <w:b/>
                <w:spacing w:val="12"/>
                <w:sz w:val="18"/>
              </w:rPr>
              <w:t> </w:t>
            </w:r>
            <w:r>
              <w:rPr>
                <w:rFonts w:ascii="Arial"/>
                <w:b/>
                <w:spacing w:val="14"/>
                <w:sz w:val="18"/>
              </w:rPr>
              <w:t> </w:t>
            </w:r>
            <w:r>
              <w:rPr>
                <w:rFonts w:ascii="Arial"/>
                <w:b/>
                <w:spacing w:val="-7"/>
                <w:w w:val="60"/>
                <w:sz w:val="18"/>
              </w:rPr>
              <w:t>MUJERES</w:t>
            </w:r>
          </w:p>
        </w:tc>
      </w:tr>
      <w:tr>
        <w:trPr>
          <w:trHeight w:val="220" w:hRule="atLeast"/>
        </w:trPr>
        <w:tc>
          <w:tcPr>
            <w:tcW w:w="1322" w:type="dxa"/>
          </w:tcPr>
          <w:p>
            <w:pPr>
              <w:pStyle w:val="TableParagraph"/>
              <w:tabs>
                <w:tab w:pos="663" w:val="left" w:leader="none"/>
              </w:tabs>
              <w:spacing w:line="200" w:lineRule="exact"/>
              <w:ind w:right="137"/>
              <w:jc w:val="right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2017</w:t>
              <w:tab/>
              <w:t>1,874</w:t>
            </w:r>
          </w:p>
        </w:tc>
        <w:tc>
          <w:tcPr>
            <w:tcW w:w="552" w:type="dxa"/>
          </w:tcPr>
          <w:p>
            <w:pPr>
              <w:pStyle w:val="TableParagraph"/>
              <w:spacing w:line="200" w:lineRule="exact"/>
              <w:ind w:left="58" w:right="5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1,777</w:t>
            </w:r>
          </w:p>
        </w:tc>
        <w:tc>
          <w:tcPr>
            <w:tcW w:w="539" w:type="dxa"/>
          </w:tcPr>
          <w:p>
            <w:pPr>
              <w:pStyle w:val="TableParagraph"/>
              <w:spacing w:line="200" w:lineRule="exact"/>
              <w:ind w:left="76" w:right="90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1,011</w:t>
            </w:r>
          </w:p>
        </w:tc>
        <w:tc>
          <w:tcPr>
            <w:tcW w:w="495" w:type="dxa"/>
          </w:tcPr>
          <w:p>
            <w:pPr>
              <w:pStyle w:val="TableParagraph"/>
              <w:spacing w:line="200" w:lineRule="exact"/>
              <w:ind w:right="125"/>
              <w:jc w:val="right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914</w:t>
            </w:r>
          </w:p>
        </w:tc>
        <w:tc>
          <w:tcPr>
            <w:tcW w:w="1155" w:type="dxa"/>
          </w:tcPr>
          <w:p>
            <w:pPr>
              <w:pStyle w:val="TableParagraph"/>
              <w:spacing w:line="200" w:lineRule="exact"/>
              <w:ind w:left="71" w:right="34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50"/>
                <w:sz w:val="18"/>
              </w:rPr>
              <w:t>1,435,747</w:t>
            </w:r>
            <w:r>
              <w:rPr>
                <w:rFonts w:ascii="Verdana"/>
                <w:spacing w:val="25"/>
                <w:w w:val="50"/>
                <w:sz w:val="18"/>
              </w:rPr>
              <w:t> </w:t>
            </w:r>
            <w:r>
              <w:rPr>
                <w:rFonts w:ascii="Verdana"/>
                <w:w w:val="50"/>
                <w:sz w:val="18"/>
              </w:rPr>
              <w:t>1,359,503</w:t>
            </w:r>
          </w:p>
        </w:tc>
        <w:tc>
          <w:tcPr>
            <w:tcW w:w="556" w:type="dxa"/>
          </w:tcPr>
          <w:p>
            <w:pPr>
              <w:pStyle w:val="TableParagraph"/>
              <w:spacing w:line="200" w:lineRule="exact"/>
              <w:ind w:left="83"/>
              <w:rPr>
                <w:rFonts w:ascii="Verdana"/>
                <w:sz w:val="18"/>
              </w:rPr>
            </w:pPr>
            <w:r>
              <w:rPr>
                <w:rFonts w:ascii="Verdana"/>
                <w:w w:val="55"/>
                <w:sz w:val="18"/>
              </w:rPr>
              <w:t>719,185</w:t>
            </w:r>
          </w:p>
        </w:tc>
        <w:tc>
          <w:tcPr>
            <w:tcW w:w="632" w:type="dxa"/>
          </w:tcPr>
          <w:p>
            <w:pPr>
              <w:pStyle w:val="TableParagraph"/>
              <w:spacing w:line="200" w:lineRule="exact"/>
              <w:ind w:left="84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647,518</w:t>
            </w:r>
          </w:p>
        </w:tc>
        <w:tc>
          <w:tcPr>
            <w:tcW w:w="474" w:type="dxa"/>
          </w:tcPr>
          <w:p>
            <w:pPr>
              <w:pStyle w:val="TableParagraph"/>
              <w:spacing w:line="200" w:lineRule="exact"/>
              <w:ind w:left="75" w:right="141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86</w:t>
            </w:r>
          </w:p>
        </w:tc>
        <w:tc>
          <w:tcPr>
            <w:tcW w:w="569" w:type="dxa"/>
          </w:tcPr>
          <w:p>
            <w:pPr>
              <w:pStyle w:val="TableParagraph"/>
              <w:spacing w:line="200" w:lineRule="exact"/>
              <w:ind w:left="207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85</w:t>
            </w:r>
          </w:p>
        </w:tc>
        <w:tc>
          <w:tcPr>
            <w:tcW w:w="592" w:type="dxa"/>
          </w:tcPr>
          <w:p>
            <w:pPr>
              <w:pStyle w:val="TableParagraph"/>
              <w:spacing w:line="200" w:lineRule="exact"/>
              <w:ind w:left="213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274</w:t>
            </w:r>
          </w:p>
        </w:tc>
        <w:tc>
          <w:tcPr>
            <w:tcW w:w="507" w:type="dxa"/>
          </w:tcPr>
          <w:p>
            <w:pPr>
              <w:pStyle w:val="TableParagraph"/>
              <w:spacing w:line="200" w:lineRule="exact"/>
              <w:ind w:left="167" w:right="87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244</w:t>
            </w:r>
          </w:p>
        </w:tc>
        <w:tc>
          <w:tcPr>
            <w:tcW w:w="749" w:type="dxa"/>
          </w:tcPr>
          <w:p>
            <w:pPr>
              <w:pStyle w:val="TableParagraph"/>
              <w:spacing w:line="200" w:lineRule="exact"/>
              <w:ind w:left="62" w:right="9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2,158,177</w:t>
            </w:r>
          </w:p>
        </w:tc>
        <w:tc>
          <w:tcPr>
            <w:tcW w:w="678" w:type="dxa"/>
          </w:tcPr>
          <w:p>
            <w:pPr>
              <w:pStyle w:val="TableParagraph"/>
              <w:spacing w:line="200" w:lineRule="exact"/>
              <w:ind w:left="34" w:right="7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2,010,041</w:t>
            </w:r>
          </w:p>
        </w:tc>
      </w:tr>
      <w:tr>
        <w:trPr>
          <w:trHeight w:val="238" w:hRule="atLeast"/>
        </w:trPr>
        <w:tc>
          <w:tcPr>
            <w:tcW w:w="1322" w:type="dxa"/>
          </w:tcPr>
          <w:p>
            <w:pPr>
              <w:pStyle w:val="TableParagraph"/>
              <w:tabs>
                <w:tab w:pos="663" w:val="left" w:leader="none"/>
              </w:tabs>
              <w:spacing w:line="210" w:lineRule="exact" w:before="9"/>
              <w:ind w:right="137"/>
              <w:jc w:val="right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2018</w:t>
              <w:tab/>
              <w:t>2,145</w:t>
            </w:r>
          </w:p>
        </w:tc>
        <w:tc>
          <w:tcPr>
            <w:tcW w:w="552" w:type="dxa"/>
          </w:tcPr>
          <w:p>
            <w:pPr>
              <w:pStyle w:val="TableParagraph"/>
              <w:spacing w:line="210" w:lineRule="exact" w:before="9"/>
              <w:ind w:left="58" w:right="5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1,988</w:t>
            </w:r>
          </w:p>
        </w:tc>
        <w:tc>
          <w:tcPr>
            <w:tcW w:w="539" w:type="dxa"/>
          </w:tcPr>
          <w:p>
            <w:pPr>
              <w:pStyle w:val="TableParagraph"/>
              <w:spacing w:line="210" w:lineRule="exact" w:before="9"/>
              <w:ind w:left="76" w:right="90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877</w:t>
            </w:r>
          </w:p>
        </w:tc>
        <w:tc>
          <w:tcPr>
            <w:tcW w:w="495" w:type="dxa"/>
          </w:tcPr>
          <w:p>
            <w:pPr>
              <w:pStyle w:val="TableParagraph"/>
              <w:spacing w:line="210" w:lineRule="exact" w:before="9"/>
              <w:ind w:right="125"/>
              <w:jc w:val="right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826</w:t>
            </w:r>
          </w:p>
        </w:tc>
        <w:tc>
          <w:tcPr>
            <w:tcW w:w="1155" w:type="dxa"/>
          </w:tcPr>
          <w:p>
            <w:pPr>
              <w:pStyle w:val="TableParagraph"/>
              <w:spacing w:line="210" w:lineRule="exact" w:before="9"/>
              <w:ind w:left="71" w:right="34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50"/>
                <w:sz w:val="18"/>
              </w:rPr>
              <w:t>1,449,166</w:t>
            </w:r>
            <w:r>
              <w:rPr>
                <w:rFonts w:ascii="Verdana"/>
                <w:spacing w:val="25"/>
                <w:w w:val="50"/>
                <w:sz w:val="18"/>
              </w:rPr>
              <w:t> </w:t>
            </w:r>
            <w:r>
              <w:rPr>
                <w:rFonts w:ascii="Verdana"/>
                <w:w w:val="50"/>
                <w:sz w:val="18"/>
              </w:rPr>
              <w:t>1,374,698</w:t>
            </w:r>
          </w:p>
        </w:tc>
        <w:tc>
          <w:tcPr>
            <w:tcW w:w="556" w:type="dxa"/>
          </w:tcPr>
          <w:p>
            <w:pPr>
              <w:pStyle w:val="TableParagraph"/>
              <w:spacing w:line="210" w:lineRule="exact" w:before="9"/>
              <w:ind w:left="83"/>
              <w:rPr>
                <w:rFonts w:ascii="Verdana"/>
                <w:sz w:val="18"/>
              </w:rPr>
            </w:pPr>
            <w:r>
              <w:rPr>
                <w:rFonts w:ascii="Verdana"/>
                <w:w w:val="55"/>
                <w:sz w:val="18"/>
              </w:rPr>
              <w:t>739,840</w:t>
            </w:r>
          </w:p>
        </w:tc>
        <w:tc>
          <w:tcPr>
            <w:tcW w:w="632" w:type="dxa"/>
          </w:tcPr>
          <w:p>
            <w:pPr>
              <w:pStyle w:val="TableParagraph"/>
              <w:spacing w:line="210" w:lineRule="exact" w:before="9"/>
              <w:ind w:left="84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669,093</w:t>
            </w:r>
          </w:p>
        </w:tc>
        <w:tc>
          <w:tcPr>
            <w:tcW w:w="474" w:type="dxa"/>
          </w:tcPr>
          <w:p>
            <w:pPr>
              <w:pStyle w:val="TableParagraph"/>
              <w:spacing w:line="210" w:lineRule="exact" w:before="9"/>
              <w:ind w:left="80" w:right="141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115</w:t>
            </w:r>
          </w:p>
        </w:tc>
        <w:tc>
          <w:tcPr>
            <w:tcW w:w="569" w:type="dxa"/>
          </w:tcPr>
          <w:p>
            <w:pPr>
              <w:pStyle w:val="TableParagraph"/>
              <w:spacing w:line="210" w:lineRule="exact" w:before="9"/>
              <w:ind w:left="181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135</w:t>
            </w:r>
          </w:p>
        </w:tc>
        <w:tc>
          <w:tcPr>
            <w:tcW w:w="592" w:type="dxa"/>
          </w:tcPr>
          <w:p>
            <w:pPr>
              <w:pStyle w:val="TableParagraph"/>
              <w:spacing w:line="210" w:lineRule="exact" w:before="9"/>
              <w:ind w:left="213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144</w:t>
            </w:r>
          </w:p>
        </w:tc>
        <w:tc>
          <w:tcPr>
            <w:tcW w:w="507" w:type="dxa"/>
          </w:tcPr>
          <w:p>
            <w:pPr>
              <w:pStyle w:val="TableParagraph"/>
              <w:spacing w:line="210" w:lineRule="exact" w:before="9"/>
              <w:ind w:left="167" w:right="87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128</w:t>
            </w:r>
          </w:p>
        </w:tc>
        <w:tc>
          <w:tcPr>
            <w:tcW w:w="749" w:type="dxa"/>
          </w:tcPr>
          <w:p>
            <w:pPr>
              <w:pStyle w:val="TableParagraph"/>
              <w:spacing w:line="210" w:lineRule="exact" w:before="9"/>
              <w:ind w:left="62" w:right="9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2,192,287</w:t>
            </w:r>
          </w:p>
        </w:tc>
        <w:tc>
          <w:tcPr>
            <w:tcW w:w="678" w:type="dxa"/>
          </w:tcPr>
          <w:p>
            <w:pPr>
              <w:pStyle w:val="TableParagraph"/>
              <w:spacing w:line="210" w:lineRule="exact" w:before="9"/>
              <w:ind w:left="34" w:right="7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2,046,868</w:t>
            </w:r>
          </w:p>
        </w:tc>
      </w:tr>
      <w:tr>
        <w:trPr>
          <w:trHeight w:val="238" w:hRule="atLeast"/>
        </w:trPr>
        <w:tc>
          <w:tcPr>
            <w:tcW w:w="1322" w:type="dxa"/>
          </w:tcPr>
          <w:p>
            <w:pPr>
              <w:pStyle w:val="TableParagraph"/>
              <w:tabs>
                <w:tab w:pos="663" w:val="left" w:leader="none"/>
              </w:tabs>
              <w:spacing w:line="210" w:lineRule="exact" w:before="8"/>
              <w:ind w:right="137"/>
              <w:jc w:val="right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2019</w:t>
              <w:tab/>
              <w:t>2,506</w:t>
            </w:r>
          </w:p>
        </w:tc>
        <w:tc>
          <w:tcPr>
            <w:tcW w:w="552" w:type="dxa"/>
          </w:tcPr>
          <w:p>
            <w:pPr>
              <w:pStyle w:val="TableParagraph"/>
              <w:spacing w:line="210" w:lineRule="exact" w:before="8"/>
              <w:ind w:left="58" w:right="5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2,314</w:t>
            </w:r>
          </w:p>
        </w:tc>
        <w:tc>
          <w:tcPr>
            <w:tcW w:w="539" w:type="dxa"/>
          </w:tcPr>
          <w:p>
            <w:pPr>
              <w:pStyle w:val="TableParagraph"/>
              <w:spacing w:line="210" w:lineRule="exact" w:before="8"/>
              <w:ind w:left="76" w:right="90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756</w:t>
            </w:r>
          </w:p>
        </w:tc>
        <w:tc>
          <w:tcPr>
            <w:tcW w:w="495" w:type="dxa"/>
          </w:tcPr>
          <w:p>
            <w:pPr>
              <w:pStyle w:val="TableParagraph"/>
              <w:spacing w:line="210" w:lineRule="exact" w:before="8"/>
              <w:ind w:right="125"/>
              <w:jc w:val="right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746</w:t>
            </w:r>
          </w:p>
        </w:tc>
        <w:tc>
          <w:tcPr>
            <w:tcW w:w="1155" w:type="dxa"/>
          </w:tcPr>
          <w:p>
            <w:pPr>
              <w:pStyle w:val="TableParagraph"/>
              <w:spacing w:line="210" w:lineRule="exact" w:before="8"/>
              <w:ind w:left="71" w:right="34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50"/>
                <w:sz w:val="18"/>
              </w:rPr>
              <w:t>1,422,691</w:t>
            </w:r>
            <w:r>
              <w:rPr>
                <w:rFonts w:ascii="Verdana"/>
                <w:spacing w:val="25"/>
                <w:w w:val="50"/>
                <w:sz w:val="18"/>
              </w:rPr>
              <w:t> </w:t>
            </w:r>
            <w:r>
              <w:rPr>
                <w:rFonts w:ascii="Verdana"/>
                <w:w w:val="50"/>
                <w:sz w:val="18"/>
              </w:rPr>
              <w:t>1,358,393</w:t>
            </w:r>
          </w:p>
        </w:tc>
        <w:tc>
          <w:tcPr>
            <w:tcW w:w="556" w:type="dxa"/>
          </w:tcPr>
          <w:p>
            <w:pPr>
              <w:pStyle w:val="TableParagraph"/>
              <w:spacing w:line="210" w:lineRule="exact" w:before="8"/>
              <w:ind w:left="83"/>
              <w:rPr>
                <w:rFonts w:ascii="Verdana"/>
                <w:sz w:val="18"/>
              </w:rPr>
            </w:pPr>
            <w:r>
              <w:rPr>
                <w:rFonts w:ascii="Verdana"/>
                <w:w w:val="55"/>
                <w:sz w:val="18"/>
              </w:rPr>
              <w:t>727,532</w:t>
            </w:r>
          </w:p>
        </w:tc>
        <w:tc>
          <w:tcPr>
            <w:tcW w:w="632" w:type="dxa"/>
          </w:tcPr>
          <w:p>
            <w:pPr>
              <w:pStyle w:val="TableParagraph"/>
              <w:spacing w:line="210" w:lineRule="exact" w:before="8"/>
              <w:ind w:left="84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662,627</w:t>
            </w:r>
          </w:p>
        </w:tc>
        <w:tc>
          <w:tcPr>
            <w:tcW w:w="474" w:type="dxa"/>
          </w:tcPr>
          <w:p>
            <w:pPr>
              <w:pStyle w:val="TableParagraph"/>
              <w:spacing w:line="210" w:lineRule="exact" w:before="8"/>
              <w:ind w:left="80" w:right="141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148</w:t>
            </w:r>
          </w:p>
        </w:tc>
        <w:tc>
          <w:tcPr>
            <w:tcW w:w="569" w:type="dxa"/>
          </w:tcPr>
          <w:p>
            <w:pPr>
              <w:pStyle w:val="TableParagraph"/>
              <w:spacing w:line="210" w:lineRule="exact" w:before="8"/>
              <w:ind w:left="181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172</w:t>
            </w:r>
          </w:p>
        </w:tc>
        <w:tc>
          <w:tcPr>
            <w:tcW w:w="592" w:type="dxa"/>
          </w:tcPr>
          <w:p>
            <w:pPr>
              <w:pStyle w:val="TableParagraph"/>
              <w:spacing w:line="210" w:lineRule="exact" w:before="8"/>
              <w:ind w:left="239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83</w:t>
            </w:r>
          </w:p>
        </w:tc>
        <w:tc>
          <w:tcPr>
            <w:tcW w:w="507" w:type="dxa"/>
          </w:tcPr>
          <w:p>
            <w:pPr>
              <w:pStyle w:val="TableParagraph"/>
              <w:spacing w:line="210" w:lineRule="exact" w:before="8"/>
              <w:ind w:left="161" w:right="87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74</w:t>
            </w:r>
          </w:p>
        </w:tc>
        <w:tc>
          <w:tcPr>
            <w:tcW w:w="749" w:type="dxa"/>
          </w:tcPr>
          <w:p>
            <w:pPr>
              <w:pStyle w:val="TableParagraph"/>
              <w:spacing w:line="210" w:lineRule="exact" w:before="8"/>
              <w:ind w:left="62" w:right="9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2,153,716</w:t>
            </w:r>
          </w:p>
        </w:tc>
        <w:tc>
          <w:tcPr>
            <w:tcW w:w="678" w:type="dxa"/>
          </w:tcPr>
          <w:p>
            <w:pPr>
              <w:pStyle w:val="TableParagraph"/>
              <w:spacing w:line="210" w:lineRule="exact" w:before="8"/>
              <w:ind w:left="34" w:right="7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2,024,326</w:t>
            </w:r>
          </w:p>
        </w:tc>
      </w:tr>
      <w:tr>
        <w:trPr>
          <w:trHeight w:val="238" w:hRule="atLeast"/>
        </w:trPr>
        <w:tc>
          <w:tcPr>
            <w:tcW w:w="1322" w:type="dxa"/>
          </w:tcPr>
          <w:p>
            <w:pPr>
              <w:pStyle w:val="TableParagraph"/>
              <w:tabs>
                <w:tab w:pos="663" w:val="left" w:leader="none"/>
              </w:tabs>
              <w:spacing w:line="210" w:lineRule="exact" w:before="8"/>
              <w:ind w:right="137"/>
              <w:jc w:val="right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2020</w:t>
              <w:tab/>
              <w:t>2,548</w:t>
            </w:r>
          </w:p>
        </w:tc>
        <w:tc>
          <w:tcPr>
            <w:tcW w:w="552" w:type="dxa"/>
          </w:tcPr>
          <w:p>
            <w:pPr>
              <w:pStyle w:val="TableParagraph"/>
              <w:spacing w:line="210" w:lineRule="exact" w:before="8"/>
              <w:ind w:left="58" w:right="5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2,393</w:t>
            </w:r>
          </w:p>
        </w:tc>
        <w:tc>
          <w:tcPr>
            <w:tcW w:w="539" w:type="dxa"/>
          </w:tcPr>
          <w:p>
            <w:pPr>
              <w:pStyle w:val="TableParagraph"/>
              <w:spacing w:line="210" w:lineRule="exact" w:before="8"/>
              <w:ind w:left="76" w:right="90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661</w:t>
            </w:r>
          </w:p>
        </w:tc>
        <w:tc>
          <w:tcPr>
            <w:tcW w:w="495" w:type="dxa"/>
          </w:tcPr>
          <w:p>
            <w:pPr>
              <w:pStyle w:val="TableParagraph"/>
              <w:spacing w:line="210" w:lineRule="exact" w:before="8"/>
              <w:ind w:right="125"/>
              <w:jc w:val="right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673</w:t>
            </w:r>
          </w:p>
        </w:tc>
        <w:tc>
          <w:tcPr>
            <w:tcW w:w="1155" w:type="dxa"/>
          </w:tcPr>
          <w:p>
            <w:pPr>
              <w:pStyle w:val="TableParagraph"/>
              <w:spacing w:line="210" w:lineRule="exact" w:before="8"/>
              <w:ind w:left="71" w:right="34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50"/>
                <w:sz w:val="18"/>
              </w:rPr>
              <w:t>1,399,446</w:t>
            </w:r>
            <w:r>
              <w:rPr>
                <w:rFonts w:ascii="Verdana"/>
                <w:spacing w:val="25"/>
                <w:w w:val="50"/>
                <w:sz w:val="18"/>
              </w:rPr>
              <w:t> </w:t>
            </w:r>
            <w:r>
              <w:rPr>
                <w:rFonts w:ascii="Verdana"/>
                <w:w w:val="50"/>
                <w:sz w:val="18"/>
              </w:rPr>
              <w:t>1,344,840</w:t>
            </w:r>
          </w:p>
        </w:tc>
        <w:tc>
          <w:tcPr>
            <w:tcW w:w="556" w:type="dxa"/>
          </w:tcPr>
          <w:p>
            <w:pPr>
              <w:pStyle w:val="TableParagraph"/>
              <w:spacing w:line="210" w:lineRule="exact" w:before="8"/>
              <w:ind w:left="83"/>
              <w:rPr>
                <w:rFonts w:ascii="Verdana"/>
                <w:sz w:val="18"/>
              </w:rPr>
            </w:pPr>
            <w:r>
              <w:rPr>
                <w:rFonts w:ascii="Verdana"/>
                <w:w w:val="55"/>
                <w:sz w:val="18"/>
              </w:rPr>
              <w:t>724,948</w:t>
            </w:r>
          </w:p>
        </w:tc>
        <w:tc>
          <w:tcPr>
            <w:tcW w:w="632" w:type="dxa"/>
          </w:tcPr>
          <w:p>
            <w:pPr>
              <w:pStyle w:val="TableParagraph"/>
              <w:spacing w:line="210" w:lineRule="exact" w:before="8"/>
              <w:ind w:left="84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662,794</w:t>
            </w:r>
          </w:p>
        </w:tc>
        <w:tc>
          <w:tcPr>
            <w:tcW w:w="474" w:type="dxa"/>
          </w:tcPr>
          <w:p>
            <w:pPr>
              <w:pStyle w:val="TableParagraph"/>
              <w:spacing w:line="210" w:lineRule="exact" w:before="8"/>
              <w:ind w:left="80" w:right="141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204</w:t>
            </w:r>
          </w:p>
        </w:tc>
        <w:tc>
          <w:tcPr>
            <w:tcW w:w="569" w:type="dxa"/>
          </w:tcPr>
          <w:p>
            <w:pPr>
              <w:pStyle w:val="TableParagraph"/>
              <w:spacing w:line="210" w:lineRule="exact" w:before="8"/>
              <w:ind w:left="181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233</w:t>
            </w:r>
          </w:p>
        </w:tc>
        <w:tc>
          <w:tcPr>
            <w:tcW w:w="592" w:type="dxa"/>
          </w:tcPr>
          <w:p>
            <w:pPr>
              <w:pStyle w:val="TableParagraph"/>
              <w:spacing w:line="210" w:lineRule="exact" w:before="8"/>
              <w:ind w:left="239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68</w:t>
            </w:r>
          </w:p>
        </w:tc>
        <w:tc>
          <w:tcPr>
            <w:tcW w:w="507" w:type="dxa"/>
          </w:tcPr>
          <w:p>
            <w:pPr>
              <w:pStyle w:val="TableParagraph"/>
              <w:spacing w:line="210" w:lineRule="exact" w:before="8"/>
              <w:ind w:left="161" w:right="87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72</w:t>
            </w:r>
          </w:p>
        </w:tc>
        <w:tc>
          <w:tcPr>
            <w:tcW w:w="749" w:type="dxa"/>
          </w:tcPr>
          <w:p>
            <w:pPr>
              <w:pStyle w:val="TableParagraph"/>
              <w:spacing w:line="210" w:lineRule="exact" w:before="8"/>
              <w:ind w:left="62" w:right="9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2,127,875</w:t>
            </w:r>
          </w:p>
        </w:tc>
        <w:tc>
          <w:tcPr>
            <w:tcW w:w="678" w:type="dxa"/>
          </w:tcPr>
          <w:p>
            <w:pPr>
              <w:pStyle w:val="TableParagraph"/>
              <w:spacing w:line="210" w:lineRule="exact" w:before="8"/>
              <w:ind w:left="34" w:right="7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2,011,005</w:t>
            </w:r>
          </w:p>
        </w:tc>
      </w:tr>
      <w:tr>
        <w:trPr>
          <w:trHeight w:val="241" w:hRule="atLeast"/>
        </w:trPr>
        <w:tc>
          <w:tcPr>
            <w:tcW w:w="1322" w:type="dxa"/>
            <w:tcBorders>
              <w:bottom w:val="single" w:sz="6" w:space="0" w:color="8EA9DB"/>
            </w:tcBorders>
          </w:tcPr>
          <w:p>
            <w:pPr>
              <w:pStyle w:val="TableParagraph"/>
              <w:tabs>
                <w:tab w:pos="663" w:val="left" w:leader="none"/>
              </w:tabs>
              <w:spacing w:line="213" w:lineRule="exact" w:before="8"/>
              <w:ind w:right="137"/>
              <w:jc w:val="right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2021</w:t>
              <w:tab/>
              <w:t>2,366</w:t>
            </w:r>
          </w:p>
        </w:tc>
        <w:tc>
          <w:tcPr>
            <w:tcW w:w="552" w:type="dxa"/>
            <w:tcBorders>
              <w:bottom w:val="single" w:sz="6" w:space="0" w:color="8EA9DB"/>
            </w:tcBorders>
          </w:tcPr>
          <w:p>
            <w:pPr>
              <w:pStyle w:val="TableParagraph"/>
              <w:spacing w:line="213" w:lineRule="exact" w:before="8"/>
              <w:ind w:left="58" w:right="5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2,272</w:t>
            </w:r>
          </w:p>
        </w:tc>
        <w:tc>
          <w:tcPr>
            <w:tcW w:w="539" w:type="dxa"/>
            <w:tcBorders>
              <w:bottom w:val="single" w:sz="6" w:space="0" w:color="8EA9DB"/>
            </w:tcBorders>
          </w:tcPr>
          <w:p>
            <w:pPr>
              <w:pStyle w:val="TableParagraph"/>
              <w:spacing w:line="213" w:lineRule="exact" w:before="8"/>
              <w:ind w:left="76" w:right="90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589</w:t>
            </w:r>
          </w:p>
        </w:tc>
        <w:tc>
          <w:tcPr>
            <w:tcW w:w="495" w:type="dxa"/>
            <w:tcBorders>
              <w:bottom w:val="single" w:sz="6" w:space="0" w:color="8EA9DB"/>
            </w:tcBorders>
          </w:tcPr>
          <w:p>
            <w:pPr>
              <w:pStyle w:val="TableParagraph"/>
              <w:spacing w:line="213" w:lineRule="exact" w:before="8"/>
              <w:ind w:right="125"/>
              <w:jc w:val="right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611</w:t>
            </w:r>
          </w:p>
        </w:tc>
        <w:tc>
          <w:tcPr>
            <w:tcW w:w="1155" w:type="dxa"/>
            <w:tcBorders>
              <w:bottom w:val="single" w:sz="6" w:space="0" w:color="8EA9DB"/>
            </w:tcBorders>
          </w:tcPr>
          <w:p>
            <w:pPr>
              <w:pStyle w:val="TableParagraph"/>
              <w:spacing w:line="213" w:lineRule="exact" w:before="8"/>
              <w:ind w:left="71" w:right="34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50"/>
                <w:sz w:val="18"/>
              </w:rPr>
              <w:t>1,369,683</w:t>
            </w:r>
            <w:r>
              <w:rPr>
                <w:rFonts w:ascii="Verdana"/>
                <w:spacing w:val="25"/>
                <w:w w:val="50"/>
                <w:sz w:val="18"/>
              </w:rPr>
              <w:t> </w:t>
            </w:r>
            <w:r>
              <w:rPr>
                <w:rFonts w:ascii="Verdana"/>
                <w:w w:val="50"/>
                <w:sz w:val="18"/>
              </w:rPr>
              <w:t>1,326,407</w:t>
            </w:r>
          </w:p>
        </w:tc>
        <w:tc>
          <w:tcPr>
            <w:tcW w:w="556" w:type="dxa"/>
            <w:tcBorders>
              <w:bottom w:val="single" w:sz="6" w:space="0" w:color="8EA9DB"/>
            </w:tcBorders>
          </w:tcPr>
          <w:p>
            <w:pPr>
              <w:pStyle w:val="TableParagraph"/>
              <w:spacing w:line="213" w:lineRule="exact" w:before="8"/>
              <w:ind w:left="83"/>
              <w:rPr>
                <w:rFonts w:ascii="Verdana"/>
                <w:sz w:val="18"/>
              </w:rPr>
            </w:pPr>
            <w:r>
              <w:rPr>
                <w:rFonts w:ascii="Verdana"/>
                <w:w w:val="55"/>
                <w:sz w:val="18"/>
              </w:rPr>
              <w:t>732,800</w:t>
            </w:r>
          </w:p>
        </w:tc>
        <w:tc>
          <w:tcPr>
            <w:tcW w:w="632" w:type="dxa"/>
            <w:tcBorders>
              <w:bottom w:val="single" w:sz="6" w:space="0" w:color="8EA9DB"/>
            </w:tcBorders>
          </w:tcPr>
          <w:p>
            <w:pPr>
              <w:pStyle w:val="TableParagraph"/>
              <w:spacing w:line="213" w:lineRule="exact" w:before="8"/>
              <w:ind w:left="84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676,346</w:t>
            </w:r>
          </w:p>
        </w:tc>
        <w:tc>
          <w:tcPr>
            <w:tcW w:w="474" w:type="dxa"/>
            <w:tcBorders>
              <w:bottom w:val="single" w:sz="6" w:space="0" w:color="8EA9DB"/>
            </w:tcBorders>
          </w:tcPr>
          <w:p>
            <w:pPr>
              <w:pStyle w:val="TableParagraph"/>
              <w:spacing w:line="213" w:lineRule="exact" w:before="8"/>
              <w:ind w:left="80" w:right="141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238</w:t>
            </w:r>
          </w:p>
        </w:tc>
        <w:tc>
          <w:tcPr>
            <w:tcW w:w="569" w:type="dxa"/>
            <w:tcBorders>
              <w:bottom w:val="single" w:sz="6" w:space="0" w:color="8EA9DB"/>
            </w:tcBorders>
          </w:tcPr>
          <w:p>
            <w:pPr>
              <w:pStyle w:val="TableParagraph"/>
              <w:spacing w:line="213" w:lineRule="exact" w:before="8"/>
              <w:ind w:left="181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251</w:t>
            </w:r>
          </w:p>
        </w:tc>
        <w:tc>
          <w:tcPr>
            <w:tcW w:w="592" w:type="dxa"/>
            <w:tcBorders>
              <w:bottom w:val="single" w:sz="6" w:space="0" w:color="8EA9DB"/>
            </w:tcBorders>
          </w:tcPr>
          <w:p>
            <w:pPr>
              <w:pStyle w:val="TableParagraph"/>
              <w:spacing w:line="213" w:lineRule="exact" w:before="8"/>
              <w:ind w:left="213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215</w:t>
            </w:r>
          </w:p>
        </w:tc>
        <w:tc>
          <w:tcPr>
            <w:tcW w:w="507" w:type="dxa"/>
            <w:tcBorders>
              <w:bottom w:val="single" w:sz="6" w:space="0" w:color="8EA9DB"/>
            </w:tcBorders>
          </w:tcPr>
          <w:p>
            <w:pPr>
              <w:pStyle w:val="TableParagraph"/>
              <w:spacing w:line="213" w:lineRule="exact" w:before="8"/>
              <w:ind w:left="167" w:right="87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279</w:t>
            </w:r>
          </w:p>
        </w:tc>
        <w:tc>
          <w:tcPr>
            <w:tcW w:w="749" w:type="dxa"/>
            <w:tcBorders>
              <w:bottom w:val="single" w:sz="6" w:space="0" w:color="8EA9DB"/>
            </w:tcBorders>
          </w:tcPr>
          <w:p>
            <w:pPr>
              <w:pStyle w:val="TableParagraph"/>
              <w:spacing w:line="213" w:lineRule="exact" w:before="8"/>
              <w:ind w:left="62" w:right="9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2,105,891</w:t>
            </w:r>
          </w:p>
        </w:tc>
        <w:tc>
          <w:tcPr>
            <w:tcW w:w="678" w:type="dxa"/>
            <w:tcBorders>
              <w:bottom w:val="single" w:sz="6" w:space="0" w:color="8EA9DB"/>
            </w:tcBorders>
          </w:tcPr>
          <w:p>
            <w:pPr>
              <w:pStyle w:val="TableParagraph"/>
              <w:spacing w:line="213" w:lineRule="exact" w:before="8"/>
              <w:ind w:left="34" w:right="7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60"/>
                <w:sz w:val="18"/>
              </w:rPr>
              <w:t>2,006,166</w:t>
            </w:r>
          </w:p>
        </w:tc>
      </w:tr>
      <w:tr>
        <w:trPr>
          <w:trHeight w:val="227" w:hRule="atLeast"/>
        </w:trPr>
        <w:tc>
          <w:tcPr>
            <w:tcW w:w="1322" w:type="dxa"/>
            <w:tcBorders>
              <w:top w:val="single" w:sz="6" w:space="0" w:color="8EA9DB"/>
            </w:tcBorders>
            <w:shd w:val="clear" w:color="auto" w:fill="D9D9D9"/>
          </w:tcPr>
          <w:p>
            <w:pPr>
              <w:pStyle w:val="TableParagraph"/>
              <w:spacing w:line="205" w:lineRule="exact" w:before="2"/>
              <w:ind w:right="10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60"/>
                <w:sz w:val="18"/>
              </w:rPr>
              <w:t>Total</w:t>
            </w:r>
            <w:r>
              <w:rPr>
                <w:rFonts w:ascii="Arial"/>
                <w:b/>
                <w:spacing w:val="-5"/>
                <w:w w:val="60"/>
                <w:sz w:val="18"/>
              </w:rPr>
              <w:t> </w:t>
            </w:r>
            <w:r>
              <w:rPr>
                <w:rFonts w:ascii="Arial"/>
                <w:b/>
                <w:w w:val="60"/>
                <w:sz w:val="18"/>
              </w:rPr>
              <w:t>general</w:t>
            </w:r>
            <w:r>
              <w:rPr>
                <w:rFonts w:ascii="Arial"/>
                <w:b/>
                <w:spacing w:val="15"/>
                <w:sz w:val="18"/>
              </w:rPr>
              <w:t>   </w:t>
            </w:r>
            <w:r>
              <w:rPr>
                <w:rFonts w:ascii="Arial"/>
                <w:b/>
                <w:w w:val="60"/>
                <w:sz w:val="18"/>
              </w:rPr>
              <w:t>11,439</w:t>
            </w:r>
          </w:p>
        </w:tc>
        <w:tc>
          <w:tcPr>
            <w:tcW w:w="552" w:type="dxa"/>
            <w:tcBorders>
              <w:top w:val="single" w:sz="6" w:space="0" w:color="8EA9DB"/>
            </w:tcBorders>
            <w:shd w:val="clear" w:color="auto" w:fill="D9D9D9"/>
          </w:tcPr>
          <w:p>
            <w:pPr>
              <w:pStyle w:val="TableParagraph"/>
              <w:spacing w:line="205" w:lineRule="exact" w:before="2"/>
              <w:ind w:left="58" w:right="6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70"/>
                <w:sz w:val="18"/>
              </w:rPr>
              <w:t>10,744</w:t>
            </w:r>
          </w:p>
        </w:tc>
        <w:tc>
          <w:tcPr>
            <w:tcW w:w="539" w:type="dxa"/>
            <w:tcBorders>
              <w:top w:val="single" w:sz="6" w:space="0" w:color="8EA9DB"/>
            </w:tcBorders>
            <w:shd w:val="clear" w:color="auto" w:fill="D9D9D9"/>
          </w:tcPr>
          <w:p>
            <w:pPr>
              <w:pStyle w:val="TableParagraph"/>
              <w:spacing w:line="205" w:lineRule="exact" w:before="2"/>
              <w:ind w:left="69" w:right="9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70"/>
                <w:sz w:val="18"/>
              </w:rPr>
              <w:t>3,894</w:t>
            </w:r>
          </w:p>
        </w:tc>
        <w:tc>
          <w:tcPr>
            <w:tcW w:w="495" w:type="dxa"/>
            <w:tcBorders>
              <w:top w:val="single" w:sz="6" w:space="0" w:color="8EA9DB"/>
            </w:tcBorders>
            <w:shd w:val="clear" w:color="auto" w:fill="D9D9D9"/>
          </w:tcPr>
          <w:p>
            <w:pPr>
              <w:pStyle w:val="TableParagraph"/>
              <w:spacing w:line="205" w:lineRule="exact" w:before="2"/>
              <w:ind w:right="7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70"/>
                <w:sz w:val="18"/>
              </w:rPr>
              <w:t>3,770</w:t>
            </w:r>
          </w:p>
        </w:tc>
        <w:tc>
          <w:tcPr>
            <w:tcW w:w="1155" w:type="dxa"/>
            <w:tcBorders>
              <w:top w:val="single" w:sz="6" w:space="0" w:color="8EA9DB"/>
            </w:tcBorders>
            <w:shd w:val="clear" w:color="auto" w:fill="D9D9D9"/>
          </w:tcPr>
          <w:p>
            <w:pPr>
              <w:pStyle w:val="TableParagraph"/>
              <w:spacing w:line="205" w:lineRule="exact" w:before="2"/>
              <w:ind w:left="75" w:right="3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60"/>
                <w:sz w:val="18"/>
              </w:rPr>
              <w:t>7,076,733</w:t>
            </w:r>
            <w:r>
              <w:rPr>
                <w:rFonts w:ascii="Arial"/>
                <w:b/>
                <w:spacing w:val="14"/>
                <w:w w:val="60"/>
                <w:sz w:val="18"/>
              </w:rPr>
              <w:t> </w:t>
            </w:r>
            <w:r>
              <w:rPr>
                <w:rFonts w:ascii="Arial"/>
                <w:b/>
                <w:w w:val="60"/>
                <w:sz w:val="18"/>
              </w:rPr>
              <w:t>6,763,841</w:t>
            </w:r>
          </w:p>
        </w:tc>
        <w:tc>
          <w:tcPr>
            <w:tcW w:w="556" w:type="dxa"/>
            <w:tcBorders>
              <w:top w:val="single" w:sz="6" w:space="0" w:color="8EA9DB"/>
            </w:tcBorders>
            <w:shd w:val="clear" w:color="auto" w:fill="D9D9D9"/>
          </w:tcPr>
          <w:p>
            <w:pPr>
              <w:pStyle w:val="TableParagraph"/>
              <w:spacing w:line="205" w:lineRule="exact" w:before="2"/>
              <w:ind w:left="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60"/>
                <w:sz w:val="18"/>
              </w:rPr>
              <w:t>3,644,305</w:t>
            </w:r>
          </w:p>
        </w:tc>
        <w:tc>
          <w:tcPr>
            <w:tcW w:w="632" w:type="dxa"/>
            <w:tcBorders>
              <w:top w:val="single" w:sz="6" w:space="0" w:color="8EA9DB"/>
            </w:tcBorders>
            <w:shd w:val="clear" w:color="auto" w:fill="D9D9D9"/>
          </w:tcPr>
          <w:p>
            <w:pPr>
              <w:pStyle w:val="TableParagraph"/>
              <w:spacing w:line="205" w:lineRule="exact" w:before="2"/>
              <w:ind w:left="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w w:val="70"/>
                <w:sz w:val="18"/>
              </w:rPr>
              <w:t>3,318,378</w:t>
            </w:r>
          </w:p>
        </w:tc>
        <w:tc>
          <w:tcPr>
            <w:tcW w:w="474" w:type="dxa"/>
            <w:tcBorders>
              <w:top w:val="single" w:sz="6" w:space="0" w:color="8EA9DB"/>
            </w:tcBorders>
            <w:shd w:val="clear" w:color="auto" w:fill="D9D9D9"/>
          </w:tcPr>
          <w:p>
            <w:pPr>
              <w:pStyle w:val="TableParagraph"/>
              <w:spacing w:line="205" w:lineRule="exact" w:before="2"/>
              <w:ind w:left="82" w:right="14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70"/>
                <w:sz w:val="18"/>
              </w:rPr>
              <w:t>791</w:t>
            </w:r>
          </w:p>
        </w:tc>
        <w:tc>
          <w:tcPr>
            <w:tcW w:w="569" w:type="dxa"/>
            <w:tcBorders>
              <w:top w:val="single" w:sz="6" w:space="0" w:color="8EA9DB"/>
            </w:tcBorders>
            <w:shd w:val="clear" w:color="auto" w:fill="D9D9D9"/>
          </w:tcPr>
          <w:p>
            <w:pPr>
              <w:pStyle w:val="TableParagraph"/>
              <w:spacing w:line="205" w:lineRule="exact" w:before="2"/>
              <w:ind w:left="1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70"/>
                <w:sz w:val="18"/>
              </w:rPr>
              <w:t>876</w:t>
            </w:r>
          </w:p>
        </w:tc>
        <w:tc>
          <w:tcPr>
            <w:tcW w:w="592" w:type="dxa"/>
            <w:tcBorders>
              <w:top w:val="single" w:sz="6" w:space="0" w:color="8EA9DB"/>
            </w:tcBorders>
            <w:shd w:val="clear" w:color="auto" w:fill="D9D9D9"/>
          </w:tcPr>
          <w:p>
            <w:pPr>
              <w:pStyle w:val="TableParagraph"/>
              <w:spacing w:line="205" w:lineRule="exact" w:before="2"/>
              <w:ind w:left="2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70"/>
                <w:sz w:val="18"/>
              </w:rPr>
              <w:t>784</w:t>
            </w:r>
          </w:p>
        </w:tc>
        <w:tc>
          <w:tcPr>
            <w:tcW w:w="507" w:type="dxa"/>
            <w:tcBorders>
              <w:top w:val="single" w:sz="6" w:space="0" w:color="8EA9DB"/>
            </w:tcBorders>
            <w:shd w:val="clear" w:color="auto" w:fill="D9D9D9"/>
          </w:tcPr>
          <w:p>
            <w:pPr>
              <w:pStyle w:val="TableParagraph"/>
              <w:spacing w:line="205" w:lineRule="exact" w:before="2"/>
              <w:ind w:left="169" w:right="8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70"/>
                <w:sz w:val="18"/>
              </w:rPr>
              <w:t>797</w:t>
            </w:r>
          </w:p>
        </w:tc>
        <w:tc>
          <w:tcPr>
            <w:tcW w:w="749" w:type="dxa"/>
            <w:tcBorders>
              <w:top w:val="single" w:sz="6" w:space="0" w:color="8EA9DB"/>
            </w:tcBorders>
            <w:shd w:val="clear" w:color="auto" w:fill="D9D9D9"/>
          </w:tcPr>
          <w:p>
            <w:pPr>
              <w:pStyle w:val="TableParagraph"/>
              <w:spacing w:line="205" w:lineRule="exact" w:before="2"/>
              <w:ind w:left="62" w:righ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70"/>
                <w:sz w:val="18"/>
              </w:rPr>
              <w:t>10,737,946</w:t>
            </w:r>
          </w:p>
        </w:tc>
        <w:tc>
          <w:tcPr>
            <w:tcW w:w="678" w:type="dxa"/>
            <w:tcBorders>
              <w:top w:val="single" w:sz="6" w:space="0" w:color="8EA9DB"/>
            </w:tcBorders>
            <w:shd w:val="clear" w:color="auto" w:fill="D9D9D9"/>
          </w:tcPr>
          <w:p>
            <w:pPr>
              <w:pStyle w:val="TableParagraph"/>
              <w:spacing w:line="205" w:lineRule="exact" w:before="2"/>
              <w:ind w:left="44" w:righ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65"/>
                <w:sz w:val="18"/>
              </w:rPr>
              <w:t>10,098,406</w:t>
            </w:r>
          </w:p>
        </w:tc>
      </w:tr>
    </w:tbl>
    <w:p>
      <w:pPr>
        <w:spacing w:before="3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2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3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4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pict>
          <v:rect style="position:absolute;margin-left:563.880005pt;margin-top:18.587112pt;width:25.44pt;height:1.4399pt;mso-position-horizontal-relative:page;mso-position-vertical-relative:paragraph;z-index:-1549721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114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4617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3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2"/>
        <w:jc w:val="both"/>
      </w:pPr>
      <w:r>
        <w:rPr/>
        <w:t>Los datos asociados a los niveles del sistema educativo nacional para el período 2017-2021, con la</w:t>
      </w:r>
      <w:r>
        <w:rPr>
          <w:spacing w:val="1"/>
        </w:rPr>
        <w:t> </w:t>
      </w:r>
      <w:r>
        <w:rPr/>
        <w:t>composición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principales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étnicos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sexo</w:t>
      </w:r>
      <w:r>
        <w:rPr>
          <w:spacing w:val="1"/>
        </w:rPr>
        <w:t> </w:t>
      </w:r>
      <w:r>
        <w:rPr/>
        <w:t>(hombre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mujer)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guatemalteca.</w:t>
      </w:r>
      <w:r>
        <w:rPr>
          <w:spacing w:val="1"/>
        </w:rPr>
        <w:t> </w:t>
      </w:r>
      <w:r>
        <w:rPr/>
        <w:t>Cabe</w:t>
      </w:r>
      <w:r>
        <w:rPr>
          <w:spacing w:val="1"/>
        </w:rPr>
        <w:t> </w:t>
      </w:r>
      <w:r>
        <w:rPr/>
        <w:t>destacar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clasificación</w:t>
      </w:r>
      <w:r>
        <w:rPr>
          <w:spacing w:val="1"/>
        </w:rPr>
        <w:t> </w:t>
      </w:r>
      <w:r>
        <w:rPr/>
        <w:t>Maya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integrado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pueblos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originarios,</w:t>
      </w:r>
      <w:r>
        <w:rPr>
          <w:spacing w:val="-3"/>
        </w:rPr>
        <w:t> </w:t>
      </w:r>
      <w:r>
        <w:rPr/>
        <w:t>tales</w:t>
      </w:r>
      <w:r>
        <w:rPr>
          <w:spacing w:val="-3"/>
        </w:rPr>
        <w:t> </w:t>
      </w:r>
      <w:r>
        <w:rPr/>
        <w:t>como: (Achí,</w:t>
      </w:r>
      <w:r>
        <w:rPr>
          <w:spacing w:val="-1"/>
        </w:rPr>
        <w:t> </w:t>
      </w:r>
      <w:r>
        <w:rPr/>
        <w:t>Akateko,</w:t>
      </w:r>
      <w:r>
        <w:rPr>
          <w:spacing w:val="-3"/>
        </w:rPr>
        <w:t> </w:t>
      </w:r>
      <w:r>
        <w:rPr/>
        <w:t>Q’ekch’i,</w:t>
      </w:r>
      <w:r>
        <w:rPr>
          <w:spacing w:val="-3"/>
        </w:rPr>
        <w:t> </w:t>
      </w:r>
      <w:r>
        <w:rPr/>
        <w:t>entre</w:t>
      </w:r>
      <w:r>
        <w:rPr>
          <w:spacing w:val="-2"/>
        </w:rPr>
        <w:t> </w:t>
      </w:r>
      <w:r>
        <w:rPr/>
        <w:t>otros).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1"/>
        <w:jc w:val="both"/>
      </w:pPr>
      <w:r>
        <w:rPr/>
        <w:t>Como se observa, durante el período 2017-2021, la población que mayoritariamente accedió al sistema</w:t>
      </w:r>
      <w:r>
        <w:rPr>
          <w:spacing w:val="1"/>
        </w:rPr>
        <w:t> </w:t>
      </w:r>
      <w:r>
        <w:rPr/>
        <w:t>educativo nacional fue la Ladina con una media de 1,384,058 por año por sexo y un total de 13,840,574.</w:t>
      </w:r>
      <w:r>
        <w:rPr>
          <w:spacing w:val="1"/>
        </w:rPr>
        <w:t> </w:t>
      </w:r>
      <w:r>
        <w:rPr/>
        <w:t>Estos datos denotan que para la población perteneciente al grupo étnico ladino no hay mayor de brecha</w:t>
      </w:r>
      <w:r>
        <w:rPr>
          <w:spacing w:val="1"/>
        </w:rPr>
        <w:t> </w:t>
      </w:r>
      <w:r>
        <w:rPr/>
        <w:t>de género respecto del acceso al sistema nacional de educación. Cabe aclarar que en los capítulos</w:t>
      </w:r>
      <w:r>
        <w:rPr>
          <w:spacing w:val="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profundizará</w:t>
      </w:r>
      <w:r>
        <w:rPr>
          <w:spacing w:val="-3"/>
        </w:rPr>
        <w:t> </w:t>
      </w:r>
      <w:r>
        <w:rPr/>
        <w:t>en este</w:t>
      </w:r>
      <w:r>
        <w:rPr>
          <w:spacing w:val="1"/>
        </w:rPr>
        <w:t> </w:t>
      </w:r>
      <w:r>
        <w:rPr/>
        <w:t>tema.</w:t>
      </w:r>
    </w:p>
    <w:p>
      <w:pPr>
        <w:pStyle w:val="BodyText"/>
        <w:spacing w:before="2"/>
      </w:pPr>
    </w:p>
    <w:p>
      <w:pPr>
        <w:pStyle w:val="BodyText"/>
        <w:ind w:left="278" w:right="1072"/>
        <w:jc w:val="both"/>
      </w:pPr>
      <w:r>
        <w:rPr/>
        <w:t>Le sigue la etnia Maya con un total de 6,962,683 y una cantidad media de 728,861para los hombres y</w:t>
      </w:r>
      <w:r>
        <w:rPr>
          <w:spacing w:val="1"/>
        </w:rPr>
        <w:t> </w:t>
      </w:r>
      <w:r>
        <w:rPr/>
        <w:t>663,676 para las mujeres. En este contexto, la proporción es abismal sobre todo considerando que</w:t>
      </w:r>
      <w:r>
        <w:rPr>
          <w:spacing w:val="1"/>
        </w:rPr>
        <w:t> </w:t>
      </w:r>
      <w:r>
        <w:rPr/>
        <w:t>representan el mayor grupo étnico en nuestro país. El tercer grupo, lo integra la etnia garífuna, la cual,</w:t>
      </w:r>
      <w:r>
        <w:rPr>
          <w:spacing w:val="1"/>
        </w:rPr>
        <w:t> </w:t>
      </w:r>
      <w:r>
        <w:rPr/>
        <w:t>registró un total de 7,664 estudiantes durante los cinco años con una media de 766 alumnos por sexo y</w:t>
      </w:r>
      <w:r>
        <w:rPr>
          <w:spacing w:val="1"/>
        </w:rPr>
        <w:t> </w:t>
      </w:r>
      <w:r>
        <w:rPr/>
        <w:t>año.</w:t>
      </w:r>
      <w:r>
        <w:rPr>
          <w:spacing w:val="1"/>
        </w:rPr>
        <w:t> </w:t>
      </w:r>
      <w:r>
        <w:rPr/>
        <w:t>El cuarto lugar lo ocupan los extranjeros (de diversos países de procedencia como: Italia, Estados</w:t>
      </w:r>
      <w:r>
        <w:rPr>
          <w:spacing w:val="1"/>
        </w:rPr>
        <w:t> </w:t>
      </w:r>
      <w:r>
        <w:rPr/>
        <w:t>Unidos,</w:t>
      </w:r>
      <w:r>
        <w:rPr>
          <w:spacing w:val="-1"/>
        </w:rPr>
        <w:t> </w:t>
      </w:r>
      <w:r>
        <w:rPr/>
        <w:t>Alemania,</w:t>
      </w:r>
      <w:r>
        <w:rPr>
          <w:spacing w:val="-4"/>
        </w:rPr>
        <w:t> </w:t>
      </w:r>
      <w:r>
        <w:rPr/>
        <w:t>entre</w:t>
      </w:r>
      <w:r>
        <w:rPr>
          <w:spacing w:val="-2"/>
        </w:rPr>
        <w:t> </w:t>
      </w:r>
      <w:r>
        <w:rPr/>
        <w:t>otros).</w:t>
      </w:r>
      <w:r>
        <w:rPr>
          <w:spacing w:val="-1"/>
        </w:rPr>
        <w:t> </w:t>
      </w:r>
      <w:r>
        <w:rPr/>
        <w:t>Incluso</w:t>
      </w:r>
      <w:r>
        <w:rPr>
          <w:spacing w:val="1"/>
        </w:rPr>
        <w:t> </w:t>
      </w:r>
      <w:r>
        <w:rPr/>
        <w:t>esta</w:t>
      </w:r>
      <w:r>
        <w:rPr>
          <w:spacing w:val="-1"/>
        </w:rPr>
        <w:t> </w:t>
      </w:r>
      <w:r>
        <w:rPr/>
        <w:t>categoría</w:t>
      </w:r>
      <w:r>
        <w:rPr>
          <w:spacing w:val="-3"/>
        </w:rPr>
        <w:t> </w:t>
      </w:r>
      <w:r>
        <w:rPr/>
        <w:t>posee</w:t>
      </w:r>
      <w:r>
        <w:rPr>
          <w:spacing w:val="-3"/>
        </w:rPr>
        <w:t> </w:t>
      </w:r>
      <w:r>
        <w:rPr/>
        <w:t>un</w:t>
      </w:r>
      <w:r>
        <w:rPr>
          <w:spacing w:val="-1"/>
        </w:rPr>
        <w:t> </w:t>
      </w:r>
      <w:r>
        <w:rPr/>
        <w:t>número</w:t>
      </w:r>
      <w:r>
        <w:rPr>
          <w:spacing w:val="-2"/>
        </w:rPr>
        <w:t> </w:t>
      </w:r>
      <w:r>
        <w:rPr/>
        <w:t>mayor que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etnia Xinca.</w:t>
      </w:r>
    </w:p>
    <w:p>
      <w:pPr>
        <w:pStyle w:val="BodyText"/>
        <w:spacing w:before="7"/>
      </w:pPr>
    </w:p>
    <w:tbl>
      <w:tblPr>
        <w:tblW w:w="0" w:type="auto"/>
        <w:jc w:val="left"/>
        <w:tblInd w:w="1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2"/>
        <w:gridCol w:w="1752"/>
        <w:gridCol w:w="1338"/>
        <w:gridCol w:w="1446"/>
        <w:gridCol w:w="1597"/>
      </w:tblGrid>
      <w:tr>
        <w:trPr>
          <w:trHeight w:val="436" w:hRule="atLeast"/>
        </w:trPr>
        <w:tc>
          <w:tcPr>
            <w:tcW w:w="7055" w:type="dxa"/>
            <w:gridSpan w:val="5"/>
            <w:tcBorders>
              <w:top w:val="nil"/>
              <w:bottom w:val="single" w:sz="6" w:space="0" w:color="000000"/>
              <w:right w:val="nil"/>
            </w:tcBorders>
            <w:shd w:val="clear" w:color="auto" w:fill="BEBEBE"/>
          </w:tcPr>
          <w:p>
            <w:pPr>
              <w:pStyle w:val="TableParagraph"/>
              <w:spacing w:before="12"/>
              <w:ind w:left="713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130"/>
                <w:sz w:val="19"/>
              </w:rPr>
              <w:t>Porcenta</w:t>
            </w:r>
            <w:r>
              <w:rPr>
                <w:rFonts w:ascii="Arial" w:hAnsi="Arial"/>
                <w:b/>
                <w:spacing w:val="-37"/>
                <w:w w:val="130"/>
                <w:sz w:val="19"/>
              </w:rPr>
              <w:t> </w:t>
            </w:r>
            <w:r>
              <w:rPr>
                <w:rFonts w:ascii="Arial" w:hAnsi="Arial"/>
                <w:b/>
                <w:w w:val="130"/>
                <w:sz w:val="19"/>
              </w:rPr>
              <w:t>je</w:t>
            </w:r>
            <w:r>
              <w:rPr>
                <w:rFonts w:ascii="Arial" w:hAnsi="Arial"/>
                <w:b/>
                <w:spacing w:val="47"/>
                <w:w w:val="130"/>
                <w:sz w:val="19"/>
              </w:rPr>
              <w:t> </w:t>
            </w:r>
            <w:r>
              <w:rPr>
                <w:rFonts w:ascii="Arial" w:hAnsi="Arial"/>
                <w:b/>
                <w:w w:val="130"/>
                <w:sz w:val="19"/>
              </w:rPr>
              <w:t>de</w:t>
            </w:r>
            <w:r>
              <w:rPr>
                <w:rFonts w:ascii="Arial" w:hAnsi="Arial"/>
                <w:b/>
                <w:spacing w:val="47"/>
                <w:w w:val="130"/>
                <w:sz w:val="19"/>
              </w:rPr>
              <w:t> </w:t>
            </w:r>
            <w:r>
              <w:rPr>
                <w:rFonts w:ascii="Arial" w:hAnsi="Arial"/>
                <w:b/>
                <w:w w:val="130"/>
                <w:sz w:val="19"/>
              </w:rPr>
              <w:t>la</w:t>
            </w:r>
            <w:r>
              <w:rPr>
                <w:rFonts w:ascii="Arial" w:hAnsi="Arial"/>
                <w:b/>
                <w:spacing w:val="54"/>
                <w:w w:val="130"/>
                <w:sz w:val="19"/>
              </w:rPr>
              <w:t> </w:t>
            </w:r>
            <w:r>
              <w:rPr>
                <w:rFonts w:ascii="Arial" w:hAnsi="Arial"/>
                <w:b/>
                <w:w w:val="130"/>
                <w:sz w:val="19"/>
              </w:rPr>
              <w:t>población</w:t>
            </w:r>
            <w:r>
              <w:rPr>
                <w:rFonts w:ascii="Arial" w:hAnsi="Arial"/>
                <w:b/>
                <w:spacing w:val="18"/>
                <w:w w:val="130"/>
                <w:sz w:val="19"/>
              </w:rPr>
              <w:t> </w:t>
            </w:r>
            <w:r>
              <w:rPr>
                <w:rFonts w:ascii="Arial" w:hAnsi="Arial"/>
                <w:b/>
                <w:w w:val="130"/>
                <w:sz w:val="19"/>
              </w:rPr>
              <w:t>menor</w:t>
            </w:r>
            <w:r>
              <w:rPr>
                <w:rFonts w:ascii="Arial" w:hAnsi="Arial"/>
                <w:b/>
                <w:spacing w:val="-2"/>
                <w:w w:val="130"/>
                <w:sz w:val="19"/>
              </w:rPr>
              <w:t> </w:t>
            </w:r>
            <w:r>
              <w:rPr>
                <w:rFonts w:ascii="Arial" w:hAnsi="Arial"/>
                <w:b/>
                <w:w w:val="130"/>
                <w:sz w:val="19"/>
              </w:rPr>
              <w:t>de</w:t>
            </w:r>
            <w:r>
              <w:rPr>
                <w:rFonts w:ascii="Arial" w:hAnsi="Arial"/>
                <w:b/>
                <w:spacing w:val="47"/>
                <w:w w:val="130"/>
                <w:sz w:val="19"/>
              </w:rPr>
              <w:t> </w:t>
            </w:r>
            <w:r>
              <w:rPr>
                <w:rFonts w:ascii="Arial" w:hAnsi="Arial"/>
                <w:b/>
                <w:w w:val="130"/>
                <w:sz w:val="19"/>
              </w:rPr>
              <w:t>15</w:t>
            </w:r>
            <w:r>
              <w:rPr>
                <w:rFonts w:ascii="Arial" w:hAnsi="Arial"/>
                <w:b/>
                <w:spacing w:val="19"/>
                <w:w w:val="130"/>
                <w:sz w:val="19"/>
              </w:rPr>
              <w:t> </w:t>
            </w:r>
            <w:r>
              <w:rPr>
                <w:rFonts w:ascii="Arial" w:hAnsi="Arial"/>
                <w:b/>
                <w:w w:val="130"/>
                <w:sz w:val="19"/>
              </w:rPr>
              <w:t>años</w:t>
            </w:r>
          </w:p>
        </w:tc>
      </w:tr>
      <w:tr>
        <w:trPr>
          <w:trHeight w:val="774" w:hRule="atLeast"/>
        </w:trPr>
        <w:tc>
          <w:tcPr>
            <w:tcW w:w="92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8"/>
              <w:ind w:left="9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35"/>
                <w:sz w:val="15"/>
              </w:rPr>
              <w:t>Código</w:t>
            </w:r>
          </w:p>
        </w:tc>
        <w:tc>
          <w:tcPr>
            <w:tcW w:w="17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8"/>
              <w:ind w:left="17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35"/>
                <w:sz w:val="15"/>
              </w:rPr>
              <w:t>Departamento</w:t>
            </w:r>
          </w:p>
        </w:tc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line="273" w:lineRule="auto"/>
              <w:ind w:left="80" w:firstLine="7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30"/>
                <w:sz w:val="15"/>
              </w:rPr>
              <w:t>Porc entaje</w:t>
            </w:r>
            <w:r>
              <w:rPr>
                <w:rFonts w:ascii="Arial"/>
                <w:b/>
                <w:spacing w:val="1"/>
                <w:w w:val="130"/>
                <w:sz w:val="15"/>
              </w:rPr>
              <w:t> </w:t>
            </w:r>
            <w:r>
              <w:rPr>
                <w:rFonts w:ascii="Arial"/>
                <w:b/>
                <w:w w:val="135"/>
                <w:sz w:val="15"/>
              </w:rPr>
              <w:t>de</w:t>
            </w:r>
            <w:r>
              <w:rPr>
                <w:rFonts w:ascii="Arial"/>
                <w:b/>
                <w:spacing w:val="15"/>
                <w:w w:val="135"/>
                <w:sz w:val="15"/>
              </w:rPr>
              <w:t> </w:t>
            </w:r>
            <w:r>
              <w:rPr>
                <w:rFonts w:ascii="Arial"/>
                <w:b/>
                <w:w w:val="135"/>
                <w:sz w:val="15"/>
              </w:rPr>
              <w:t>hombres</w:t>
            </w:r>
          </w:p>
        </w:tc>
        <w:tc>
          <w:tcPr>
            <w:tcW w:w="144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line="273" w:lineRule="auto"/>
              <w:ind w:left="170" w:firstLine="1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30"/>
                <w:sz w:val="15"/>
              </w:rPr>
              <w:t>Porc entaje</w:t>
            </w:r>
            <w:r>
              <w:rPr>
                <w:rFonts w:ascii="Arial"/>
                <w:b/>
                <w:spacing w:val="-52"/>
                <w:w w:val="130"/>
                <w:sz w:val="15"/>
              </w:rPr>
              <w:t> </w:t>
            </w:r>
            <w:r>
              <w:rPr>
                <w:rFonts w:ascii="Arial"/>
                <w:b/>
                <w:w w:val="135"/>
                <w:sz w:val="15"/>
              </w:rPr>
              <w:t>de</w:t>
            </w:r>
            <w:r>
              <w:rPr>
                <w:rFonts w:ascii="Arial"/>
                <w:b/>
                <w:spacing w:val="14"/>
                <w:w w:val="135"/>
                <w:sz w:val="15"/>
              </w:rPr>
              <w:t> </w:t>
            </w:r>
            <w:r>
              <w:rPr>
                <w:rFonts w:ascii="Arial"/>
                <w:b/>
                <w:w w:val="135"/>
                <w:sz w:val="15"/>
              </w:rPr>
              <w:t>mujeres</w:t>
            </w:r>
          </w:p>
        </w:tc>
        <w:tc>
          <w:tcPr>
            <w:tcW w:w="1597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BEBEBE"/>
          </w:tcPr>
          <w:p>
            <w:pPr>
              <w:pStyle w:val="TableParagraph"/>
              <w:spacing w:line="273" w:lineRule="auto" w:before="7"/>
              <w:ind w:left="116" w:right="125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30"/>
                <w:sz w:val="15"/>
              </w:rPr>
              <w:t>Porc entaje de</w:t>
            </w:r>
            <w:r>
              <w:rPr>
                <w:rFonts w:ascii="Arial" w:hAnsi="Arial"/>
                <w:b/>
                <w:spacing w:val="-52"/>
                <w:w w:val="130"/>
                <w:sz w:val="15"/>
              </w:rPr>
              <w:t> </w:t>
            </w:r>
            <w:r>
              <w:rPr>
                <w:rFonts w:ascii="Arial" w:hAnsi="Arial"/>
                <w:b/>
                <w:w w:val="135"/>
                <w:sz w:val="15"/>
              </w:rPr>
              <w:t>población</w:t>
            </w:r>
            <w:r>
              <w:rPr>
                <w:rFonts w:ascii="Arial" w:hAnsi="Arial"/>
                <w:b/>
                <w:spacing w:val="1"/>
                <w:w w:val="135"/>
                <w:sz w:val="15"/>
              </w:rPr>
              <w:t> </w:t>
            </w:r>
            <w:r>
              <w:rPr>
                <w:rFonts w:ascii="Arial" w:hAnsi="Arial"/>
                <w:b/>
                <w:w w:val="130"/>
                <w:sz w:val="15"/>
              </w:rPr>
              <w:t>menor</w:t>
            </w:r>
            <w:r>
              <w:rPr>
                <w:rFonts w:ascii="Arial" w:hAnsi="Arial"/>
                <w:b/>
                <w:spacing w:val="-4"/>
                <w:w w:val="130"/>
                <w:sz w:val="15"/>
              </w:rPr>
              <w:t> </w:t>
            </w:r>
            <w:r>
              <w:rPr>
                <w:rFonts w:ascii="Arial" w:hAnsi="Arial"/>
                <w:b/>
                <w:w w:val="130"/>
                <w:sz w:val="15"/>
              </w:rPr>
              <w:t>de</w:t>
            </w:r>
            <w:r>
              <w:rPr>
                <w:rFonts w:ascii="Arial" w:hAnsi="Arial"/>
                <w:b/>
                <w:spacing w:val="34"/>
                <w:w w:val="130"/>
                <w:sz w:val="15"/>
              </w:rPr>
              <w:t> </w:t>
            </w:r>
            <w:r>
              <w:rPr>
                <w:rFonts w:ascii="Arial" w:hAnsi="Arial"/>
                <w:b/>
                <w:w w:val="130"/>
                <w:sz w:val="15"/>
              </w:rPr>
              <w:t>15</w:t>
            </w:r>
          </w:p>
          <w:p>
            <w:pPr>
              <w:pStyle w:val="TableParagraph"/>
              <w:spacing w:line="155" w:lineRule="exact" w:before="2"/>
              <w:ind w:left="116" w:right="80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35"/>
                <w:sz w:val="15"/>
              </w:rPr>
              <w:t>años</w:t>
            </w:r>
          </w:p>
        </w:tc>
      </w:tr>
      <w:tr>
        <w:trPr>
          <w:trHeight w:val="210" w:hRule="atLeast"/>
        </w:trPr>
        <w:tc>
          <w:tcPr>
            <w:tcW w:w="9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1</w:t>
            </w:r>
          </w:p>
        </w:tc>
        <w:tc>
          <w:tcPr>
            <w:tcW w:w="17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spacing w:val="-3"/>
                <w:w w:val="135"/>
                <w:sz w:val="15"/>
              </w:rPr>
              <w:t>Alta</w:t>
            </w:r>
            <w:r>
              <w:rPr>
                <w:rFonts w:ascii="Verdana"/>
                <w:spacing w:val="-16"/>
                <w:w w:val="135"/>
                <w:sz w:val="15"/>
              </w:rPr>
              <w:t> </w:t>
            </w:r>
            <w:r>
              <w:rPr>
                <w:rFonts w:ascii="Verdana"/>
                <w:spacing w:val="-3"/>
                <w:w w:val="135"/>
                <w:sz w:val="15"/>
              </w:rPr>
              <w:t>Verapaz</w:t>
            </w:r>
          </w:p>
        </w:tc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49.77</w:t>
            </w:r>
          </w:p>
        </w:tc>
        <w:tc>
          <w:tcPr>
            <w:tcW w:w="14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50.23</w:t>
            </w:r>
          </w:p>
        </w:tc>
        <w:tc>
          <w:tcPr>
            <w:tcW w:w="1597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39.32</w:t>
            </w:r>
          </w:p>
        </w:tc>
      </w:tr>
      <w:tr>
        <w:trPr>
          <w:trHeight w:val="209" w:hRule="atLeast"/>
        </w:trPr>
        <w:tc>
          <w:tcPr>
            <w:tcW w:w="9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2</w:t>
            </w:r>
          </w:p>
        </w:tc>
        <w:tc>
          <w:tcPr>
            <w:tcW w:w="17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30"/>
                <w:sz w:val="15"/>
              </w:rPr>
              <w:t>Baja</w:t>
            </w:r>
            <w:r>
              <w:rPr>
                <w:rFonts w:ascii="Verdana"/>
                <w:spacing w:val="-16"/>
                <w:w w:val="130"/>
                <w:sz w:val="15"/>
              </w:rPr>
              <w:t> </w:t>
            </w:r>
            <w:r>
              <w:rPr>
                <w:rFonts w:ascii="Verdana"/>
                <w:w w:val="130"/>
                <w:sz w:val="15"/>
              </w:rPr>
              <w:t>Verapaz</w:t>
            </w:r>
          </w:p>
        </w:tc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48.57</w:t>
            </w:r>
          </w:p>
        </w:tc>
        <w:tc>
          <w:tcPr>
            <w:tcW w:w="14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51.43</w:t>
            </w:r>
          </w:p>
        </w:tc>
        <w:tc>
          <w:tcPr>
            <w:tcW w:w="1597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36.65</w:t>
            </w:r>
          </w:p>
        </w:tc>
      </w:tr>
      <w:tr>
        <w:trPr>
          <w:trHeight w:val="211" w:hRule="atLeast"/>
        </w:trPr>
        <w:tc>
          <w:tcPr>
            <w:tcW w:w="9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3</w:t>
            </w:r>
          </w:p>
        </w:tc>
        <w:tc>
          <w:tcPr>
            <w:tcW w:w="17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30"/>
                <w:sz w:val="15"/>
              </w:rPr>
              <w:t>Chimaltenango</w:t>
            </w:r>
          </w:p>
        </w:tc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48.40</w:t>
            </w:r>
          </w:p>
        </w:tc>
        <w:tc>
          <w:tcPr>
            <w:tcW w:w="14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51.60</w:t>
            </w:r>
          </w:p>
        </w:tc>
        <w:tc>
          <w:tcPr>
            <w:tcW w:w="1597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34.60</w:t>
            </w:r>
          </w:p>
        </w:tc>
      </w:tr>
      <w:tr>
        <w:trPr>
          <w:trHeight w:val="210" w:hRule="atLeast"/>
        </w:trPr>
        <w:tc>
          <w:tcPr>
            <w:tcW w:w="9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4</w:t>
            </w:r>
          </w:p>
        </w:tc>
        <w:tc>
          <w:tcPr>
            <w:tcW w:w="17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25"/>
                <w:sz w:val="15"/>
              </w:rPr>
              <w:t>Chiquimula</w:t>
            </w:r>
          </w:p>
        </w:tc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49.16</w:t>
            </w:r>
          </w:p>
        </w:tc>
        <w:tc>
          <w:tcPr>
            <w:tcW w:w="14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50.84</w:t>
            </w:r>
          </w:p>
        </w:tc>
        <w:tc>
          <w:tcPr>
            <w:tcW w:w="1597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42.19</w:t>
            </w:r>
          </w:p>
        </w:tc>
      </w:tr>
      <w:tr>
        <w:trPr>
          <w:trHeight w:val="209" w:hRule="atLeast"/>
        </w:trPr>
        <w:tc>
          <w:tcPr>
            <w:tcW w:w="9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5</w:t>
            </w:r>
          </w:p>
        </w:tc>
        <w:tc>
          <w:tcPr>
            <w:tcW w:w="17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20"/>
                <w:sz w:val="15"/>
              </w:rPr>
              <w:t>El</w:t>
            </w:r>
            <w:r>
              <w:rPr>
                <w:rFonts w:ascii="Verdana"/>
                <w:spacing w:val="3"/>
                <w:w w:val="120"/>
                <w:sz w:val="15"/>
              </w:rPr>
              <w:t> </w:t>
            </w:r>
            <w:r>
              <w:rPr>
                <w:rFonts w:ascii="Verdana"/>
                <w:w w:val="120"/>
                <w:sz w:val="15"/>
              </w:rPr>
              <w:t>Progreso</w:t>
            </w:r>
          </w:p>
        </w:tc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50.10</w:t>
            </w:r>
          </w:p>
        </w:tc>
        <w:tc>
          <w:tcPr>
            <w:tcW w:w="14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49.90</w:t>
            </w:r>
          </w:p>
        </w:tc>
        <w:tc>
          <w:tcPr>
            <w:tcW w:w="1597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30.80</w:t>
            </w:r>
          </w:p>
        </w:tc>
      </w:tr>
      <w:tr>
        <w:trPr>
          <w:trHeight w:val="211" w:hRule="atLeast"/>
        </w:trPr>
        <w:tc>
          <w:tcPr>
            <w:tcW w:w="9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6</w:t>
            </w:r>
          </w:p>
        </w:tc>
        <w:tc>
          <w:tcPr>
            <w:tcW w:w="17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20"/>
                <w:sz w:val="15"/>
              </w:rPr>
              <w:t>Escuintla</w:t>
            </w:r>
          </w:p>
        </w:tc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50.92</w:t>
            </w:r>
          </w:p>
        </w:tc>
        <w:tc>
          <w:tcPr>
            <w:tcW w:w="14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49.08</w:t>
            </w:r>
          </w:p>
        </w:tc>
        <w:tc>
          <w:tcPr>
            <w:tcW w:w="1597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27.01</w:t>
            </w:r>
          </w:p>
        </w:tc>
      </w:tr>
      <w:tr>
        <w:trPr>
          <w:trHeight w:val="210" w:hRule="atLeast"/>
        </w:trPr>
        <w:tc>
          <w:tcPr>
            <w:tcW w:w="9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7</w:t>
            </w:r>
          </w:p>
        </w:tc>
        <w:tc>
          <w:tcPr>
            <w:tcW w:w="17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35"/>
                <w:sz w:val="15"/>
              </w:rPr>
              <w:t>Guatemala</w:t>
            </w:r>
          </w:p>
        </w:tc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48.82</w:t>
            </w:r>
          </w:p>
        </w:tc>
        <w:tc>
          <w:tcPr>
            <w:tcW w:w="14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51.18</w:t>
            </w:r>
          </w:p>
        </w:tc>
        <w:tc>
          <w:tcPr>
            <w:tcW w:w="1597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28.49</w:t>
            </w:r>
          </w:p>
        </w:tc>
      </w:tr>
      <w:tr>
        <w:trPr>
          <w:trHeight w:val="209" w:hRule="atLeast"/>
        </w:trPr>
        <w:tc>
          <w:tcPr>
            <w:tcW w:w="9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8</w:t>
            </w:r>
          </w:p>
        </w:tc>
        <w:tc>
          <w:tcPr>
            <w:tcW w:w="17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35"/>
                <w:sz w:val="15"/>
              </w:rPr>
              <w:t>Huehuetenango</w:t>
            </w:r>
          </w:p>
        </w:tc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47.45</w:t>
            </w:r>
          </w:p>
        </w:tc>
        <w:tc>
          <w:tcPr>
            <w:tcW w:w="14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52.55</w:t>
            </w:r>
          </w:p>
        </w:tc>
        <w:tc>
          <w:tcPr>
            <w:tcW w:w="1597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40.34</w:t>
            </w:r>
          </w:p>
        </w:tc>
      </w:tr>
      <w:tr>
        <w:trPr>
          <w:trHeight w:val="211" w:hRule="atLeast"/>
        </w:trPr>
        <w:tc>
          <w:tcPr>
            <w:tcW w:w="9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9</w:t>
            </w:r>
          </w:p>
        </w:tc>
        <w:tc>
          <w:tcPr>
            <w:tcW w:w="17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25"/>
                <w:sz w:val="15"/>
              </w:rPr>
              <w:t>Izabal</w:t>
            </w:r>
          </w:p>
        </w:tc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50.39</w:t>
            </w:r>
          </w:p>
        </w:tc>
        <w:tc>
          <w:tcPr>
            <w:tcW w:w="14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49.61</w:t>
            </w:r>
          </w:p>
        </w:tc>
        <w:tc>
          <w:tcPr>
            <w:tcW w:w="1597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41.22</w:t>
            </w:r>
          </w:p>
        </w:tc>
      </w:tr>
      <w:tr>
        <w:trPr>
          <w:trHeight w:val="210" w:hRule="atLeast"/>
        </w:trPr>
        <w:tc>
          <w:tcPr>
            <w:tcW w:w="9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10</w:t>
            </w:r>
          </w:p>
        </w:tc>
        <w:tc>
          <w:tcPr>
            <w:tcW w:w="17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45"/>
                <w:sz w:val="15"/>
              </w:rPr>
              <w:t>Jalapa</w:t>
            </w:r>
          </w:p>
        </w:tc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47.43</w:t>
            </w:r>
          </w:p>
        </w:tc>
        <w:tc>
          <w:tcPr>
            <w:tcW w:w="14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52.57</w:t>
            </w:r>
          </w:p>
        </w:tc>
        <w:tc>
          <w:tcPr>
            <w:tcW w:w="1597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29.59</w:t>
            </w:r>
          </w:p>
        </w:tc>
      </w:tr>
      <w:tr>
        <w:trPr>
          <w:trHeight w:val="209" w:hRule="atLeast"/>
        </w:trPr>
        <w:tc>
          <w:tcPr>
            <w:tcW w:w="9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11</w:t>
            </w:r>
          </w:p>
        </w:tc>
        <w:tc>
          <w:tcPr>
            <w:tcW w:w="17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35"/>
                <w:sz w:val="15"/>
              </w:rPr>
              <w:t>Jutiapa</w:t>
            </w:r>
          </w:p>
        </w:tc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51.66</w:t>
            </w:r>
          </w:p>
        </w:tc>
        <w:tc>
          <w:tcPr>
            <w:tcW w:w="14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48.34</w:t>
            </w:r>
          </w:p>
        </w:tc>
        <w:tc>
          <w:tcPr>
            <w:tcW w:w="1597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29.55</w:t>
            </w:r>
          </w:p>
        </w:tc>
      </w:tr>
      <w:tr>
        <w:trPr>
          <w:trHeight w:val="211" w:hRule="atLeast"/>
        </w:trPr>
        <w:tc>
          <w:tcPr>
            <w:tcW w:w="9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12</w:t>
            </w:r>
          </w:p>
        </w:tc>
        <w:tc>
          <w:tcPr>
            <w:tcW w:w="17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 w:hAnsi="Verdana"/>
                <w:sz w:val="15"/>
              </w:rPr>
            </w:pPr>
            <w:r>
              <w:rPr>
                <w:rFonts w:ascii="Verdana" w:hAnsi="Verdana"/>
                <w:w w:val="130"/>
                <w:sz w:val="15"/>
              </w:rPr>
              <w:t>Petén</w:t>
            </w:r>
          </w:p>
        </w:tc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50.50</w:t>
            </w:r>
          </w:p>
        </w:tc>
        <w:tc>
          <w:tcPr>
            <w:tcW w:w="14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49.50</w:t>
            </w:r>
          </w:p>
        </w:tc>
        <w:tc>
          <w:tcPr>
            <w:tcW w:w="1597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39.05</w:t>
            </w:r>
          </w:p>
        </w:tc>
      </w:tr>
      <w:tr>
        <w:trPr>
          <w:trHeight w:val="210" w:hRule="atLeast"/>
        </w:trPr>
        <w:tc>
          <w:tcPr>
            <w:tcW w:w="9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13</w:t>
            </w:r>
          </w:p>
        </w:tc>
        <w:tc>
          <w:tcPr>
            <w:tcW w:w="17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30"/>
                <w:sz w:val="15"/>
              </w:rPr>
              <w:t>Quetzaltenango</w:t>
            </w:r>
          </w:p>
        </w:tc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46.37</w:t>
            </w:r>
          </w:p>
        </w:tc>
        <w:tc>
          <w:tcPr>
            <w:tcW w:w="14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53.63</w:t>
            </w:r>
          </w:p>
        </w:tc>
        <w:tc>
          <w:tcPr>
            <w:tcW w:w="1597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31.86</w:t>
            </w:r>
          </w:p>
        </w:tc>
      </w:tr>
      <w:tr>
        <w:trPr>
          <w:trHeight w:val="209" w:hRule="atLeast"/>
        </w:trPr>
        <w:tc>
          <w:tcPr>
            <w:tcW w:w="9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14</w:t>
            </w:r>
          </w:p>
        </w:tc>
        <w:tc>
          <w:tcPr>
            <w:tcW w:w="17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 w:hAnsi="Verdana"/>
                <w:sz w:val="15"/>
              </w:rPr>
            </w:pPr>
            <w:r>
              <w:rPr>
                <w:rFonts w:ascii="Verdana" w:hAnsi="Verdana"/>
                <w:w w:val="135"/>
                <w:sz w:val="15"/>
              </w:rPr>
              <w:t>Quiché</w:t>
            </w:r>
          </w:p>
        </w:tc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47.85</w:t>
            </w:r>
          </w:p>
        </w:tc>
        <w:tc>
          <w:tcPr>
            <w:tcW w:w="14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52.15</w:t>
            </w:r>
          </w:p>
        </w:tc>
        <w:tc>
          <w:tcPr>
            <w:tcW w:w="1597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39.38</w:t>
            </w:r>
          </w:p>
        </w:tc>
      </w:tr>
      <w:tr>
        <w:trPr>
          <w:trHeight w:val="211" w:hRule="atLeast"/>
        </w:trPr>
        <w:tc>
          <w:tcPr>
            <w:tcW w:w="9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15</w:t>
            </w:r>
          </w:p>
        </w:tc>
        <w:tc>
          <w:tcPr>
            <w:tcW w:w="17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30"/>
                <w:sz w:val="15"/>
              </w:rPr>
              <w:t>Retalhuleu</w:t>
            </w:r>
          </w:p>
        </w:tc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48.14</w:t>
            </w:r>
          </w:p>
        </w:tc>
        <w:tc>
          <w:tcPr>
            <w:tcW w:w="14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51.86</w:t>
            </w:r>
          </w:p>
        </w:tc>
        <w:tc>
          <w:tcPr>
            <w:tcW w:w="1597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30.92</w:t>
            </w:r>
          </w:p>
        </w:tc>
      </w:tr>
      <w:tr>
        <w:trPr>
          <w:trHeight w:val="210" w:hRule="atLeast"/>
        </w:trPr>
        <w:tc>
          <w:tcPr>
            <w:tcW w:w="9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16</w:t>
            </w:r>
          </w:p>
        </w:tc>
        <w:tc>
          <w:tcPr>
            <w:tcW w:w="17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 w:hAnsi="Verdana"/>
                <w:sz w:val="15"/>
              </w:rPr>
            </w:pPr>
            <w:r>
              <w:rPr>
                <w:rFonts w:ascii="Verdana" w:hAnsi="Verdana"/>
                <w:w w:val="135"/>
                <w:sz w:val="15"/>
              </w:rPr>
              <w:t>Sacatepéquez</w:t>
            </w:r>
          </w:p>
        </w:tc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49.49</w:t>
            </w:r>
          </w:p>
        </w:tc>
        <w:tc>
          <w:tcPr>
            <w:tcW w:w="14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50.51</w:t>
            </w:r>
          </w:p>
        </w:tc>
        <w:tc>
          <w:tcPr>
            <w:tcW w:w="1597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30.74</w:t>
            </w:r>
          </w:p>
        </w:tc>
      </w:tr>
      <w:tr>
        <w:trPr>
          <w:trHeight w:val="209" w:hRule="atLeast"/>
        </w:trPr>
        <w:tc>
          <w:tcPr>
            <w:tcW w:w="9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17</w:t>
            </w:r>
          </w:p>
        </w:tc>
        <w:tc>
          <w:tcPr>
            <w:tcW w:w="17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30"/>
                <w:sz w:val="15"/>
              </w:rPr>
              <w:t>San</w:t>
            </w:r>
            <w:r>
              <w:rPr>
                <w:rFonts w:ascii="Verdana"/>
                <w:spacing w:val="-9"/>
                <w:w w:val="130"/>
                <w:sz w:val="15"/>
              </w:rPr>
              <w:t> </w:t>
            </w:r>
            <w:r>
              <w:rPr>
                <w:rFonts w:ascii="Verdana"/>
                <w:w w:val="130"/>
                <w:sz w:val="15"/>
              </w:rPr>
              <w:t>Marcos</w:t>
            </w:r>
          </w:p>
        </w:tc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47.98</w:t>
            </w:r>
          </w:p>
        </w:tc>
        <w:tc>
          <w:tcPr>
            <w:tcW w:w="14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52.02</w:t>
            </w:r>
          </w:p>
        </w:tc>
        <w:tc>
          <w:tcPr>
            <w:tcW w:w="1597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41.28</w:t>
            </w:r>
          </w:p>
        </w:tc>
      </w:tr>
      <w:tr>
        <w:trPr>
          <w:trHeight w:val="211" w:hRule="atLeast"/>
        </w:trPr>
        <w:tc>
          <w:tcPr>
            <w:tcW w:w="9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18</w:t>
            </w:r>
          </w:p>
        </w:tc>
        <w:tc>
          <w:tcPr>
            <w:tcW w:w="17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25"/>
                <w:sz w:val="15"/>
              </w:rPr>
              <w:t>Santa Rosa</w:t>
            </w:r>
          </w:p>
        </w:tc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51.95</w:t>
            </w:r>
          </w:p>
        </w:tc>
        <w:tc>
          <w:tcPr>
            <w:tcW w:w="14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48.05</w:t>
            </w:r>
          </w:p>
        </w:tc>
        <w:tc>
          <w:tcPr>
            <w:tcW w:w="1597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30.13</w:t>
            </w:r>
          </w:p>
        </w:tc>
      </w:tr>
      <w:tr>
        <w:trPr>
          <w:trHeight w:val="209" w:hRule="atLeast"/>
        </w:trPr>
        <w:tc>
          <w:tcPr>
            <w:tcW w:w="9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19</w:t>
            </w:r>
          </w:p>
        </w:tc>
        <w:tc>
          <w:tcPr>
            <w:tcW w:w="17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 w:hAnsi="Verdana"/>
                <w:sz w:val="15"/>
              </w:rPr>
            </w:pPr>
            <w:r>
              <w:rPr>
                <w:rFonts w:ascii="Verdana" w:hAnsi="Verdana"/>
                <w:w w:val="120"/>
                <w:sz w:val="15"/>
              </w:rPr>
              <w:t>Sololá</w:t>
            </w:r>
          </w:p>
        </w:tc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47.80</w:t>
            </w:r>
          </w:p>
        </w:tc>
        <w:tc>
          <w:tcPr>
            <w:tcW w:w="14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52.20</w:t>
            </w:r>
          </w:p>
        </w:tc>
        <w:tc>
          <w:tcPr>
            <w:tcW w:w="1597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33.24</w:t>
            </w:r>
          </w:p>
        </w:tc>
      </w:tr>
      <w:tr>
        <w:trPr>
          <w:trHeight w:val="210" w:hRule="atLeast"/>
        </w:trPr>
        <w:tc>
          <w:tcPr>
            <w:tcW w:w="9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20</w:t>
            </w:r>
          </w:p>
        </w:tc>
        <w:tc>
          <w:tcPr>
            <w:tcW w:w="17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 w:hAnsi="Verdana"/>
                <w:sz w:val="15"/>
              </w:rPr>
            </w:pPr>
            <w:r>
              <w:rPr>
                <w:rFonts w:ascii="Verdana" w:hAnsi="Verdana"/>
                <w:w w:val="130"/>
                <w:sz w:val="15"/>
              </w:rPr>
              <w:t>Suchitepéquez</w:t>
            </w:r>
          </w:p>
        </w:tc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49.10</w:t>
            </w:r>
          </w:p>
        </w:tc>
        <w:tc>
          <w:tcPr>
            <w:tcW w:w="14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50.90</w:t>
            </w:r>
          </w:p>
        </w:tc>
        <w:tc>
          <w:tcPr>
            <w:tcW w:w="1597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33.18</w:t>
            </w:r>
          </w:p>
        </w:tc>
      </w:tr>
      <w:tr>
        <w:trPr>
          <w:trHeight w:val="211" w:hRule="atLeast"/>
        </w:trPr>
        <w:tc>
          <w:tcPr>
            <w:tcW w:w="9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21</w:t>
            </w:r>
          </w:p>
        </w:tc>
        <w:tc>
          <w:tcPr>
            <w:tcW w:w="17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 w:hAnsi="Verdana"/>
                <w:sz w:val="15"/>
              </w:rPr>
            </w:pPr>
            <w:r>
              <w:rPr>
                <w:rFonts w:ascii="Verdana" w:hAnsi="Verdana"/>
                <w:w w:val="130"/>
                <w:sz w:val="15"/>
              </w:rPr>
              <w:t>Totonicapán</w:t>
            </w:r>
          </w:p>
        </w:tc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46.95</w:t>
            </w:r>
          </w:p>
        </w:tc>
        <w:tc>
          <w:tcPr>
            <w:tcW w:w="14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53.05</w:t>
            </w:r>
          </w:p>
        </w:tc>
        <w:tc>
          <w:tcPr>
            <w:tcW w:w="1597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34.61</w:t>
            </w:r>
          </w:p>
        </w:tc>
      </w:tr>
      <w:tr>
        <w:trPr>
          <w:trHeight w:val="213" w:hRule="atLeast"/>
        </w:trPr>
        <w:tc>
          <w:tcPr>
            <w:tcW w:w="922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22</w:t>
            </w:r>
          </w:p>
        </w:tc>
        <w:tc>
          <w:tcPr>
            <w:tcW w:w="1752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line="179" w:lineRule="exact"/>
              <w:ind w:left="44"/>
              <w:rPr>
                <w:rFonts w:ascii="Verdana"/>
                <w:sz w:val="15"/>
              </w:rPr>
            </w:pPr>
            <w:r>
              <w:rPr>
                <w:rFonts w:ascii="Verdana"/>
                <w:w w:val="140"/>
                <w:sz w:val="15"/>
              </w:rPr>
              <w:t>Zacapa</w:t>
            </w:r>
          </w:p>
        </w:tc>
        <w:tc>
          <w:tcPr>
            <w:tcW w:w="1338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51.81</w:t>
            </w:r>
          </w:p>
        </w:tc>
        <w:tc>
          <w:tcPr>
            <w:tcW w:w="1446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48.19</w:t>
            </w:r>
          </w:p>
        </w:tc>
        <w:tc>
          <w:tcPr>
            <w:tcW w:w="1597" w:type="dxa"/>
            <w:tcBorders>
              <w:top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115"/>
                <w:sz w:val="15"/>
              </w:rPr>
              <w:t>33.78</w:t>
            </w:r>
          </w:p>
        </w:tc>
      </w:tr>
    </w:tbl>
    <w:p>
      <w:pPr>
        <w:spacing w:before="0"/>
        <w:ind w:left="1718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base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estadísticos</w:t>
      </w:r>
      <w:r>
        <w:rPr>
          <w:spacing w:val="-3"/>
          <w:sz w:val="16"/>
        </w:rPr>
        <w:t> </w:t>
      </w:r>
      <w:r>
        <w:rPr>
          <w:sz w:val="16"/>
        </w:rPr>
        <w:t>del INE,2018.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pict>
          <v:rect style="position:absolute;margin-left:563.880005pt;margin-top:17.265879pt;width:25.44pt;height:1.4399pt;mso-position-horizontal-relative:page;mso-position-vertical-relative:paragraph;z-index:-1549516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115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49760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4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3"/>
        <w:jc w:val="both"/>
      </w:pPr>
      <w:r>
        <w:rPr/>
        <w:t>Desde otra perspectiva, considerando la Tasa Bruta de Cobertura durante el mismo período es posible</w:t>
      </w:r>
      <w:r>
        <w:rPr>
          <w:spacing w:val="1"/>
        </w:rPr>
        <w:t> </w:t>
      </w:r>
      <w:r>
        <w:rPr/>
        <w:t>visualizar</w:t>
      </w:r>
      <w:r>
        <w:rPr>
          <w:spacing w:val="-9"/>
        </w:rPr>
        <w:t> </w:t>
      </w:r>
      <w:r>
        <w:rPr/>
        <w:t>este</w:t>
      </w:r>
      <w:r>
        <w:rPr>
          <w:spacing w:val="-7"/>
        </w:rPr>
        <w:t> </w:t>
      </w:r>
      <w:r>
        <w:rPr/>
        <w:t>indicador</w:t>
      </w:r>
      <w:r>
        <w:rPr>
          <w:spacing w:val="-8"/>
        </w:rPr>
        <w:t> </w:t>
      </w:r>
      <w:r>
        <w:rPr/>
        <w:t>diferenciado</w:t>
      </w:r>
      <w:r>
        <w:rPr>
          <w:spacing w:val="-9"/>
        </w:rPr>
        <w:t> </w:t>
      </w:r>
      <w:r>
        <w:rPr/>
        <w:t>por</w:t>
      </w:r>
      <w:r>
        <w:rPr>
          <w:spacing w:val="-11"/>
        </w:rPr>
        <w:t> </w:t>
      </w:r>
      <w:r>
        <w:rPr/>
        <w:t>Departamento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sexo</w:t>
      </w:r>
      <w:r>
        <w:rPr>
          <w:spacing w:val="-7"/>
        </w:rPr>
        <w:t> </w:t>
      </w:r>
      <w:r>
        <w:rPr/>
        <w:t>para</w:t>
      </w:r>
      <w:r>
        <w:rPr>
          <w:spacing w:val="-9"/>
        </w:rPr>
        <w:t> </w:t>
      </w:r>
      <w:r>
        <w:rPr/>
        <w:t>todos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sectores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áreas.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observa</w:t>
      </w:r>
      <w:r>
        <w:rPr>
          <w:spacing w:val="-47"/>
        </w:rPr>
        <w:t> </w:t>
      </w:r>
      <w:r>
        <w:rPr/>
        <w:t>la brecha que continúa existiendo entre hombres y mujeres al observar el porcentaje nacional el cual de</w:t>
      </w:r>
      <w:r>
        <w:rPr>
          <w:spacing w:val="1"/>
        </w:rPr>
        <w:t> </w:t>
      </w:r>
      <w:r>
        <w:rPr/>
        <w:t>media</w:t>
      </w:r>
      <w:r>
        <w:rPr>
          <w:spacing w:val="-6"/>
        </w:rPr>
        <w:t> </w:t>
      </w:r>
      <w:r>
        <w:rPr/>
        <w:t>para</w:t>
      </w:r>
      <w:r>
        <w:rPr>
          <w:spacing w:val="-3"/>
        </w:rPr>
        <w:t> </w:t>
      </w:r>
      <w:r>
        <w:rPr/>
        <w:t>las</w:t>
      </w:r>
      <w:r>
        <w:rPr>
          <w:spacing w:val="-6"/>
        </w:rPr>
        <w:t> </w:t>
      </w:r>
      <w:r>
        <w:rPr/>
        <w:t>mujeres</w:t>
      </w:r>
      <w:r>
        <w:rPr>
          <w:spacing w:val="-4"/>
        </w:rPr>
        <w:t> </w:t>
      </w:r>
      <w:r>
        <w:rPr/>
        <w:t>presenta</w:t>
      </w:r>
      <w:r>
        <w:rPr>
          <w:spacing w:val="-3"/>
        </w:rPr>
        <w:t> </w:t>
      </w:r>
      <w:r>
        <w:rPr/>
        <w:t>un</w:t>
      </w:r>
      <w:r>
        <w:rPr>
          <w:spacing w:val="-5"/>
        </w:rPr>
        <w:t> </w:t>
      </w:r>
      <w:r>
        <w:rPr/>
        <w:t>total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81%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los</w:t>
      </w:r>
      <w:r>
        <w:rPr>
          <w:spacing w:val="-5"/>
        </w:rPr>
        <w:t> </w:t>
      </w:r>
      <w:r>
        <w:rPr/>
        <w:t>hombres</w:t>
      </w:r>
      <w:r>
        <w:rPr>
          <w:spacing w:val="-4"/>
        </w:rPr>
        <w:t> </w:t>
      </w:r>
      <w:r>
        <w:rPr/>
        <w:t>83%.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contraste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cantidad</w:t>
      </w:r>
      <w:r>
        <w:rPr>
          <w:spacing w:val="-3"/>
        </w:rPr>
        <w:t> </w:t>
      </w:r>
      <w:r>
        <w:rPr/>
        <w:t>de</w:t>
      </w:r>
      <w:r>
        <w:rPr>
          <w:spacing w:val="-48"/>
        </w:rPr>
        <w:t> </w:t>
      </w:r>
      <w:r>
        <w:rPr/>
        <w:t>población De acuerdo con INE, 2018, hay un 51.53% de mujeres y el 48.47% de hombres. Es decir, se</w:t>
      </w:r>
      <w:r>
        <w:rPr>
          <w:spacing w:val="1"/>
        </w:rPr>
        <w:t> </w:t>
      </w:r>
      <w:r>
        <w:rPr/>
        <w:t>continúa desatendiendo la educación de las niñas y adolescentes mujeres en proporción al total de la</w:t>
      </w:r>
      <w:r>
        <w:rPr>
          <w:spacing w:val="1"/>
        </w:rPr>
        <w:t> </w:t>
      </w:r>
      <w:r>
        <w:rPr/>
        <w:t>población.</w:t>
      </w:r>
      <w:r>
        <w:rPr>
          <w:spacing w:val="1"/>
        </w:rPr>
        <w:t> </w:t>
      </w:r>
      <w:r>
        <w:rPr/>
        <w:t>En el siguiente gráfico se presenta la Tasa Bruta de Cobertura por departamento y por sexo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todos los niveles.</w:t>
      </w:r>
    </w:p>
    <w:p>
      <w:pPr>
        <w:pStyle w:val="BodyText"/>
        <w:spacing w:before="12"/>
        <w:rPr>
          <w:sz w:val="21"/>
        </w:rPr>
      </w:pPr>
    </w:p>
    <w:p>
      <w:pPr>
        <w:pStyle w:val="BodyText"/>
        <w:ind w:left="278"/>
        <w:jc w:val="both"/>
      </w:pPr>
      <w:r>
        <w:rPr/>
        <w:t>Tabla</w:t>
      </w:r>
      <w:r>
        <w:rPr>
          <w:spacing w:val="-2"/>
        </w:rPr>
        <w:t> </w:t>
      </w:r>
      <w:r>
        <w:rPr/>
        <w:t>Nº.</w:t>
      </w:r>
      <w:r>
        <w:rPr>
          <w:spacing w:val="-1"/>
        </w:rPr>
        <w:t> </w:t>
      </w:r>
      <w:r>
        <w:rPr/>
        <w:t>Indicador</w:t>
      </w:r>
      <w:r>
        <w:rPr>
          <w:spacing w:val="-2"/>
        </w:rPr>
        <w:t> </w:t>
      </w:r>
      <w:r>
        <w:rPr/>
        <w:t>de Cobertura:</w:t>
      </w:r>
      <w:r>
        <w:rPr>
          <w:spacing w:val="-4"/>
        </w:rPr>
        <w:t> </w:t>
      </w:r>
      <w:r>
        <w:rPr/>
        <w:t>TASA</w:t>
      </w:r>
      <w:r>
        <w:rPr>
          <w:spacing w:val="-1"/>
        </w:rPr>
        <w:t> </w:t>
      </w:r>
      <w:r>
        <w:rPr/>
        <w:t>BRUTA</w:t>
      </w:r>
    </w:p>
    <w:p>
      <w:pPr>
        <w:pStyle w:val="BodyText"/>
        <w:spacing w:before="4"/>
        <w:rPr>
          <w:sz w:val="18"/>
        </w:rPr>
      </w:pPr>
    </w:p>
    <w:p>
      <w:pPr>
        <w:spacing w:before="0"/>
        <w:ind w:left="32" w:right="1439" w:firstLine="0"/>
        <w:jc w:val="center"/>
        <w:rPr>
          <w:rFonts w:ascii="Verdana"/>
          <w:sz w:val="23"/>
        </w:rPr>
      </w:pPr>
      <w:r>
        <w:rPr>
          <w:rFonts w:ascii="Verdana"/>
          <w:color w:val="333333"/>
          <w:w w:val="52"/>
          <w:sz w:val="23"/>
        </w:rPr>
        <w:t>I</w:t>
      </w:r>
      <w:r>
        <w:rPr>
          <w:rFonts w:ascii="Verdana"/>
          <w:color w:val="333333"/>
          <w:w w:val="94"/>
          <w:sz w:val="23"/>
        </w:rPr>
        <w:t>n</w:t>
      </w:r>
      <w:r>
        <w:rPr>
          <w:rFonts w:ascii="Verdana"/>
          <w:color w:val="333333"/>
          <w:spacing w:val="-1"/>
          <w:w w:val="107"/>
          <w:sz w:val="23"/>
        </w:rPr>
        <w:t>d</w:t>
      </w:r>
      <w:r>
        <w:rPr>
          <w:rFonts w:ascii="Verdana"/>
          <w:color w:val="333333"/>
          <w:w w:val="71"/>
          <w:sz w:val="23"/>
        </w:rPr>
        <w:t>i</w:t>
      </w:r>
      <w:r>
        <w:rPr>
          <w:rFonts w:ascii="Verdana"/>
          <w:color w:val="333333"/>
          <w:spacing w:val="-1"/>
          <w:w w:val="115"/>
          <w:sz w:val="23"/>
        </w:rPr>
        <w:t>c</w:t>
      </w:r>
      <w:r>
        <w:rPr>
          <w:rFonts w:ascii="Verdana"/>
          <w:color w:val="333333"/>
          <w:spacing w:val="2"/>
          <w:w w:val="115"/>
          <w:sz w:val="23"/>
        </w:rPr>
        <w:t>a</w:t>
      </w:r>
      <w:r>
        <w:rPr>
          <w:rFonts w:ascii="Verdana"/>
          <w:color w:val="333333"/>
          <w:spacing w:val="-1"/>
          <w:w w:val="107"/>
          <w:sz w:val="23"/>
        </w:rPr>
        <w:t>d</w:t>
      </w:r>
      <w:r>
        <w:rPr>
          <w:rFonts w:ascii="Verdana"/>
          <w:color w:val="333333"/>
          <w:spacing w:val="1"/>
          <w:w w:val="105"/>
          <w:sz w:val="23"/>
        </w:rPr>
        <w:t>o</w:t>
      </w:r>
      <w:r>
        <w:rPr>
          <w:rFonts w:ascii="Verdana"/>
          <w:color w:val="333333"/>
          <w:w w:val="68"/>
          <w:sz w:val="23"/>
        </w:rPr>
        <w:t>r</w:t>
      </w:r>
      <w:r>
        <w:rPr>
          <w:rFonts w:ascii="Verdana"/>
          <w:color w:val="333333"/>
          <w:spacing w:val="-19"/>
          <w:sz w:val="23"/>
        </w:rPr>
        <w:t> </w:t>
      </w:r>
      <w:r>
        <w:rPr>
          <w:rFonts w:ascii="Verdana"/>
          <w:color w:val="333333"/>
          <w:w w:val="107"/>
          <w:sz w:val="23"/>
        </w:rPr>
        <w:t>d</w:t>
      </w:r>
      <w:r>
        <w:rPr>
          <w:rFonts w:ascii="Verdana"/>
          <w:color w:val="333333"/>
          <w:w w:val="106"/>
          <w:sz w:val="23"/>
        </w:rPr>
        <w:t>e</w:t>
      </w:r>
      <w:r>
        <w:rPr>
          <w:rFonts w:ascii="Verdana"/>
          <w:color w:val="333333"/>
          <w:spacing w:val="-19"/>
          <w:sz w:val="23"/>
        </w:rPr>
        <w:t> </w:t>
      </w:r>
      <w:r>
        <w:rPr>
          <w:rFonts w:ascii="Verdana"/>
          <w:color w:val="333333"/>
          <w:w w:val="109"/>
          <w:sz w:val="23"/>
        </w:rPr>
        <w:t>Co</w:t>
      </w:r>
      <w:r>
        <w:rPr>
          <w:rFonts w:ascii="Verdana"/>
          <w:color w:val="333333"/>
          <w:w w:val="106"/>
          <w:sz w:val="23"/>
        </w:rPr>
        <w:t>b</w:t>
      </w:r>
      <w:r>
        <w:rPr>
          <w:rFonts w:ascii="Verdana"/>
          <w:color w:val="333333"/>
          <w:w w:val="106"/>
          <w:sz w:val="23"/>
        </w:rPr>
        <w:t>e</w:t>
      </w:r>
      <w:r>
        <w:rPr>
          <w:rFonts w:ascii="Verdana"/>
          <w:color w:val="333333"/>
          <w:spacing w:val="-1"/>
          <w:w w:val="68"/>
          <w:sz w:val="23"/>
        </w:rPr>
        <w:t>r</w:t>
      </w:r>
      <w:r>
        <w:rPr>
          <w:rFonts w:ascii="Verdana"/>
          <w:color w:val="333333"/>
          <w:w w:val="83"/>
          <w:sz w:val="23"/>
        </w:rPr>
        <w:t>t</w:t>
      </w:r>
      <w:r>
        <w:rPr>
          <w:rFonts w:ascii="Verdana"/>
          <w:color w:val="333333"/>
          <w:spacing w:val="-1"/>
          <w:w w:val="93"/>
          <w:sz w:val="23"/>
        </w:rPr>
        <w:t>u</w:t>
      </w:r>
      <w:r>
        <w:rPr>
          <w:rFonts w:ascii="Verdana"/>
          <w:color w:val="333333"/>
          <w:w w:val="68"/>
          <w:sz w:val="23"/>
        </w:rPr>
        <w:t>r</w:t>
      </w:r>
      <w:r>
        <w:rPr>
          <w:rFonts w:ascii="Verdana"/>
          <w:color w:val="333333"/>
          <w:spacing w:val="-1"/>
          <w:w w:val="111"/>
          <w:sz w:val="23"/>
        </w:rPr>
        <w:t>a</w:t>
      </w:r>
      <w:r>
        <w:rPr>
          <w:rFonts w:ascii="Verdana"/>
          <w:color w:val="333333"/>
          <w:w w:val="59"/>
          <w:sz w:val="23"/>
        </w:rPr>
        <w:t>:</w:t>
      </w:r>
      <w:r>
        <w:rPr>
          <w:rFonts w:ascii="Verdana"/>
          <w:color w:val="333333"/>
          <w:spacing w:val="-19"/>
          <w:sz w:val="23"/>
        </w:rPr>
        <w:t> </w:t>
      </w:r>
      <w:r>
        <w:rPr>
          <w:rFonts w:ascii="Verdana"/>
          <w:color w:val="333333"/>
          <w:spacing w:val="-18"/>
          <w:w w:val="67"/>
          <w:sz w:val="23"/>
        </w:rPr>
        <w:t>T</w:t>
      </w:r>
      <w:r>
        <w:rPr>
          <w:rFonts w:ascii="Verdana"/>
          <w:color w:val="333333"/>
          <w:spacing w:val="-1"/>
          <w:w w:val="105"/>
          <w:sz w:val="23"/>
        </w:rPr>
        <w:t>A</w:t>
      </w:r>
      <w:r>
        <w:rPr>
          <w:rFonts w:ascii="Verdana"/>
          <w:color w:val="333333"/>
          <w:spacing w:val="-1"/>
          <w:w w:val="88"/>
          <w:sz w:val="23"/>
        </w:rPr>
        <w:t>S</w:t>
      </w:r>
      <w:r>
        <w:rPr>
          <w:rFonts w:ascii="Verdana"/>
          <w:color w:val="333333"/>
          <w:w w:val="88"/>
          <w:sz w:val="23"/>
        </w:rPr>
        <w:t>A</w:t>
      </w:r>
      <w:r>
        <w:rPr>
          <w:rFonts w:ascii="Verdana"/>
          <w:color w:val="333333"/>
          <w:spacing w:val="-18"/>
          <w:sz w:val="23"/>
        </w:rPr>
        <w:t> </w:t>
      </w:r>
      <w:r>
        <w:rPr>
          <w:rFonts w:ascii="Verdana"/>
          <w:color w:val="333333"/>
          <w:w w:val="81"/>
          <w:sz w:val="23"/>
        </w:rPr>
        <w:t>B</w:t>
      </w:r>
      <w:r>
        <w:rPr>
          <w:rFonts w:ascii="Verdana"/>
          <w:color w:val="333333"/>
          <w:w w:val="85"/>
          <w:sz w:val="23"/>
        </w:rPr>
        <w:t>R</w:t>
      </w:r>
      <w:r>
        <w:rPr>
          <w:rFonts w:ascii="Verdana"/>
          <w:color w:val="333333"/>
          <w:spacing w:val="1"/>
          <w:w w:val="87"/>
          <w:sz w:val="23"/>
        </w:rPr>
        <w:t>U</w:t>
      </w:r>
      <w:r>
        <w:rPr>
          <w:rFonts w:ascii="Verdana"/>
          <w:color w:val="333333"/>
          <w:spacing w:val="-20"/>
          <w:w w:val="67"/>
          <w:sz w:val="23"/>
        </w:rPr>
        <w:t>T</w:t>
      </w:r>
      <w:r>
        <w:rPr>
          <w:rFonts w:ascii="Verdana"/>
          <w:color w:val="333333"/>
          <w:w w:val="105"/>
          <w:sz w:val="23"/>
        </w:rPr>
        <w:t>A</w:t>
      </w:r>
    </w:p>
    <w:p>
      <w:pPr>
        <w:spacing w:line="254" w:lineRule="auto" w:before="27"/>
        <w:ind w:left="1653" w:right="2998" w:firstLine="0"/>
        <w:jc w:val="center"/>
        <w:rPr>
          <w:rFonts w:ascii="Verdana" w:hAnsi="Verdana"/>
          <w:sz w:val="16"/>
        </w:rPr>
      </w:pPr>
      <w:r>
        <w:rPr>
          <w:rFonts w:ascii="Verdana" w:hAnsi="Verdana"/>
          <w:color w:val="333333"/>
          <w:w w:val="90"/>
          <w:sz w:val="16"/>
        </w:rPr>
        <w:t>Todos</w:t>
      </w:r>
      <w:r>
        <w:rPr>
          <w:rFonts w:ascii="Verdana" w:hAnsi="Verdana"/>
          <w:color w:val="333333"/>
          <w:spacing w:val="6"/>
          <w:w w:val="90"/>
          <w:sz w:val="16"/>
        </w:rPr>
        <w:t> </w:t>
      </w:r>
      <w:r>
        <w:rPr>
          <w:rFonts w:ascii="Verdana" w:hAnsi="Verdana"/>
          <w:color w:val="333333"/>
          <w:w w:val="90"/>
          <w:sz w:val="16"/>
        </w:rPr>
        <w:t>los</w:t>
      </w:r>
      <w:r>
        <w:rPr>
          <w:rFonts w:ascii="Verdana" w:hAnsi="Verdana"/>
          <w:color w:val="333333"/>
          <w:spacing w:val="6"/>
          <w:w w:val="90"/>
          <w:sz w:val="16"/>
        </w:rPr>
        <w:t> </w:t>
      </w:r>
      <w:r>
        <w:rPr>
          <w:rFonts w:ascii="Verdana" w:hAnsi="Verdana"/>
          <w:color w:val="333333"/>
          <w:w w:val="90"/>
          <w:sz w:val="16"/>
        </w:rPr>
        <w:t>sectores,</w:t>
      </w:r>
      <w:r>
        <w:rPr>
          <w:rFonts w:ascii="Verdana" w:hAnsi="Verdana"/>
          <w:color w:val="333333"/>
          <w:spacing w:val="8"/>
          <w:w w:val="90"/>
          <w:sz w:val="16"/>
        </w:rPr>
        <w:t> </w:t>
      </w:r>
      <w:r>
        <w:rPr>
          <w:rFonts w:ascii="Verdana" w:hAnsi="Verdana"/>
          <w:color w:val="333333"/>
          <w:w w:val="90"/>
          <w:sz w:val="16"/>
        </w:rPr>
        <w:t>todas</w:t>
      </w:r>
      <w:r>
        <w:rPr>
          <w:rFonts w:ascii="Verdana" w:hAnsi="Verdana"/>
          <w:color w:val="333333"/>
          <w:spacing w:val="7"/>
          <w:w w:val="90"/>
          <w:sz w:val="16"/>
        </w:rPr>
        <w:t> </w:t>
      </w:r>
      <w:r>
        <w:rPr>
          <w:rFonts w:ascii="Verdana" w:hAnsi="Verdana"/>
          <w:color w:val="333333"/>
          <w:w w:val="90"/>
          <w:sz w:val="16"/>
        </w:rPr>
        <w:t>las</w:t>
      </w:r>
      <w:r>
        <w:rPr>
          <w:rFonts w:ascii="Verdana" w:hAnsi="Verdana"/>
          <w:color w:val="333333"/>
          <w:spacing w:val="6"/>
          <w:w w:val="90"/>
          <w:sz w:val="16"/>
        </w:rPr>
        <w:t> </w:t>
      </w:r>
      <w:r>
        <w:rPr>
          <w:rFonts w:ascii="Verdana" w:hAnsi="Verdana"/>
          <w:color w:val="333333"/>
          <w:w w:val="90"/>
          <w:sz w:val="16"/>
        </w:rPr>
        <w:t>áreas,</w:t>
      </w:r>
      <w:r>
        <w:rPr>
          <w:rFonts w:ascii="Verdana" w:hAnsi="Verdana"/>
          <w:color w:val="333333"/>
          <w:spacing w:val="7"/>
          <w:w w:val="90"/>
          <w:sz w:val="16"/>
        </w:rPr>
        <w:t> </w:t>
      </w:r>
      <w:r>
        <w:rPr>
          <w:rFonts w:ascii="Verdana" w:hAnsi="Verdana"/>
          <w:color w:val="333333"/>
          <w:w w:val="90"/>
          <w:sz w:val="16"/>
        </w:rPr>
        <w:t>por</w:t>
      </w:r>
      <w:r>
        <w:rPr>
          <w:rFonts w:ascii="Verdana" w:hAnsi="Verdana"/>
          <w:color w:val="333333"/>
          <w:spacing w:val="7"/>
          <w:w w:val="90"/>
          <w:sz w:val="16"/>
        </w:rPr>
        <w:t> </w:t>
      </w:r>
      <w:r>
        <w:rPr>
          <w:rFonts w:ascii="Verdana" w:hAnsi="Verdana"/>
          <w:color w:val="333333"/>
          <w:w w:val="90"/>
          <w:sz w:val="16"/>
        </w:rPr>
        <w:t>año,</w:t>
      </w:r>
      <w:r>
        <w:rPr>
          <w:rFonts w:ascii="Verdana" w:hAnsi="Verdana"/>
          <w:color w:val="333333"/>
          <w:spacing w:val="7"/>
          <w:w w:val="90"/>
          <w:sz w:val="16"/>
        </w:rPr>
        <w:t> </w:t>
      </w:r>
      <w:r>
        <w:rPr>
          <w:rFonts w:ascii="Verdana" w:hAnsi="Verdana"/>
          <w:color w:val="333333"/>
          <w:w w:val="90"/>
          <w:sz w:val="16"/>
        </w:rPr>
        <w:t>variable</w:t>
      </w:r>
      <w:r>
        <w:rPr>
          <w:rFonts w:ascii="Verdana" w:hAnsi="Verdana"/>
          <w:color w:val="333333"/>
          <w:spacing w:val="6"/>
          <w:w w:val="90"/>
          <w:sz w:val="16"/>
        </w:rPr>
        <w:t> </w:t>
      </w:r>
      <w:r>
        <w:rPr>
          <w:rFonts w:ascii="Verdana" w:hAnsi="Verdana"/>
          <w:color w:val="333333"/>
          <w:w w:val="90"/>
          <w:sz w:val="16"/>
        </w:rPr>
        <w:t>y</w:t>
      </w:r>
      <w:r>
        <w:rPr>
          <w:rFonts w:ascii="Verdana" w:hAnsi="Verdana"/>
          <w:color w:val="333333"/>
          <w:spacing w:val="7"/>
          <w:w w:val="90"/>
          <w:sz w:val="16"/>
        </w:rPr>
        <w:t> </w:t>
      </w:r>
      <w:r>
        <w:rPr>
          <w:rFonts w:ascii="Verdana" w:hAnsi="Verdana"/>
          <w:color w:val="333333"/>
          <w:w w:val="90"/>
          <w:sz w:val="16"/>
        </w:rPr>
        <w:t>sexo,</w:t>
      </w:r>
      <w:r>
        <w:rPr>
          <w:rFonts w:ascii="Verdana" w:hAnsi="Verdana"/>
          <w:color w:val="333333"/>
          <w:spacing w:val="7"/>
          <w:w w:val="90"/>
          <w:sz w:val="16"/>
        </w:rPr>
        <w:t> </w:t>
      </w:r>
      <w:r>
        <w:rPr>
          <w:rFonts w:ascii="Verdana" w:hAnsi="Verdana"/>
          <w:color w:val="333333"/>
          <w:w w:val="90"/>
          <w:sz w:val="16"/>
        </w:rPr>
        <w:t>según</w:t>
      </w:r>
      <w:r>
        <w:rPr>
          <w:rFonts w:ascii="Verdana" w:hAnsi="Verdana"/>
          <w:color w:val="333333"/>
          <w:spacing w:val="7"/>
          <w:w w:val="90"/>
          <w:sz w:val="16"/>
        </w:rPr>
        <w:t> </w:t>
      </w:r>
      <w:r>
        <w:rPr>
          <w:rFonts w:ascii="Verdana" w:hAnsi="Verdana"/>
          <w:color w:val="333333"/>
          <w:w w:val="90"/>
          <w:sz w:val="16"/>
        </w:rPr>
        <w:t>departamento</w:t>
      </w:r>
      <w:r>
        <w:rPr>
          <w:rFonts w:ascii="Verdana" w:hAnsi="Verdana"/>
          <w:color w:val="333333"/>
          <w:spacing w:val="-48"/>
          <w:w w:val="90"/>
          <w:sz w:val="16"/>
        </w:rPr>
        <w:t> </w:t>
      </w:r>
      <w:r>
        <w:rPr>
          <w:rFonts w:ascii="Verdana" w:hAnsi="Verdana"/>
          <w:color w:val="333333"/>
          <w:sz w:val="16"/>
        </w:rPr>
        <w:t>Años:</w:t>
      </w:r>
      <w:r>
        <w:rPr>
          <w:rFonts w:ascii="Verdana" w:hAnsi="Verdana"/>
          <w:color w:val="333333"/>
          <w:spacing w:val="-15"/>
          <w:sz w:val="16"/>
        </w:rPr>
        <w:t> </w:t>
      </w:r>
      <w:r>
        <w:rPr>
          <w:rFonts w:ascii="Verdana" w:hAnsi="Verdana"/>
          <w:color w:val="333333"/>
          <w:sz w:val="16"/>
        </w:rPr>
        <w:t>2017</w:t>
      </w:r>
      <w:r>
        <w:rPr>
          <w:rFonts w:ascii="Verdana" w:hAnsi="Verdana"/>
          <w:color w:val="333333"/>
          <w:spacing w:val="-15"/>
          <w:sz w:val="16"/>
        </w:rPr>
        <w:t> </w:t>
      </w:r>
      <w:r>
        <w:rPr>
          <w:rFonts w:ascii="Verdana" w:hAnsi="Verdana"/>
          <w:color w:val="333333"/>
          <w:sz w:val="16"/>
        </w:rPr>
        <w:t>-</w:t>
      </w:r>
      <w:r>
        <w:rPr>
          <w:rFonts w:ascii="Verdana" w:hAnsi="Verdana"/>
          <w:color w:val="333333"/>
          <w:spacing w:val="-17"/>
          <w:sz w:val="16"/>
        </w:rPr>
        <w:t> </w:t>
      </w:r>
      <w:r>
        <w:rPr>
          <w:rFonts w:ascii="Verdana" w:hAnsi="Verdana"/>
          <w:color w:val="333333"/>
          <w:sz w:val="16"/>
        </w:rPr>
        <w:t>2021</w:t>
      </w:r>
    </w:p>
    <w:tbl>
      <w:tblPr>
        <w:tblW w:w="0" w:type="auto"/>
        <w:jc w:val="left"/>
        <w:tblInd w:w="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6"/>
        <w:gridCol w:w="1539"/>
        <w:gridCol w:w="714"/>
        <w:gridCol w:w="672"/>
        <w:gridCol w:w="714"/>
        <w:gridCol w:w="672"/>
        <w:gridCol w:w="714"/>
        <w:gridCol w:w="672"/>
        <w:gridCol w:w="714"/>
        <w:gridCol w:w="672"/>
        <w:gridCol w:w="714"/>
        <w:gridCol w:w="630"/>
      </w:tblGrid>
      <w:tr>
        <w:trPr>
          <w:trHeight w:val="338" w:hRule="atLeast"/>
        </w:trPr>
        <w:tc>
          <w:tcPr>
            <w:tcW w:w="1945" w:type="dxa"/>
            <w:gridSpan w:val="2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6" w:type="dxa"/>
            <w:gridSpan w:val="2"/>
            <w:shd w:val="clear" w:color="auto" w:fill="1F4E78"/>
          </w:tcPr>
          <w:p>
            <w:pPr>
              <w:pStyle w:val="TableParagraph"/>
              <w:spacing w:before="83"/>
              <w:ind w:left="531" w:right="50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FFFFFF"/>
                <w:sz w:val="13"/>
              </w:rPr>
              <w:t>2017</w:t>
            </w:r>
          </w:p>
        </w:tc>
        <w:tc>
          <w:tcPr>
            <w:tcW w:w="1386" w:type="dxa"/>
            <w:gridSpan w:val="2"/>
            <w:tcBorders>
              <w:top w:val="nil"/>
            </w:tcBorders>
            <w:shd w:val="clear" w:color="auto" w:fill="1F4E78"/>
          </w:tcPr>
          <w:p>
            <w:pPr>
              <w:pStyle w:val="TableParagraph"/>
              <w:spacing w:line="46" w:lineRule="exact"/>
              <w:ind w:left="-2"/>
              <w:rPr>
                <w:rFonts w:ascii="Verdana"/>
                <w:sz w:val="4"/>
              </w:rPr>
            </w:pPr>
            <w:r>
              <w:rPr>
                <w:rFonts w:ascii="Verdana"/>
                <w:position w:val="0"/>
                <w:sz w:val="4"/>
              </w:rPr>
              <w:pict>
                <v:group style="width:2.15pt;height:2.25pt;mso-position-horizontal-relative:char;mso-position-vertical-relative:line" coordorigin="0,0" coordsize="43,45">
                  <v:shape style="position:absolute;left:0;top:7;width:43;height:31" coordorigin="0,7" coordsize="43,31" path="m0,7l0,7,42,7m0,22l0,22,28,22m0,37l0,37,14,37e" filled="false" stroked="true" strokeweight=".694685pt" strokecolor="#008000">
                    <v:path arrowok="t"/>
                    <v:stroke dashstyle="solid"/>
                  </v:shape>
                </v:group>
              </w:pict>
            </w:r>
            <w:r>
              <w:rPr>
                <w:rFonts w:ascii="Verdana"/>
                <w:position w:val="0"/>
                <w:sz w:val="4"/>
              </w:rPr>
            </w:r>
          </w:p>
          <w:p>
            <w:pPr>
              <w:pStyle w:val="TableParagraph"/>
              <w:spacing w:before="37"/>
              <w:ind w:left="26" w:right="4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FFFFFF"/>
                <w:sz w:val="13"/>
              </w:rPr>
              <w:t>2018</w:t>
            </w:r>
          </w:p>
        </w:tc>
        <w:tc>
          <w:tcPr>
            <w:tcW w:w="1386" w:type="dxa"/>
            <w:gridSpan w:val="2"/>
            <w:tcBorders>
              <w:top w:val="nil"/>
            </w:tcBorders>
            <w:shd w:val="clear" w:color="auto" w:fill="1F4E78"/>
          </w:tcPr>
          <w:p>
            <w:pPr>
              <w:pStyle w:val="TableParagraph"/>
              <w:spacing w:line="60" w:lineRule="exact"/>
              <w:ind w:left="-2"/>
              <w:rPr>
                <w:rFonts w:ascii="Verdana"/>
                <w:sz w:val="6"/>
              </w:rPr>
            </w:pPr>
            <w:r>
              <w:rPr>
                <w:rFonts w:ascii="Verdana"/>
                <w:position w:val="0"/>
                <w:sz w:val="6"/>
              </w:rPr>
              <w:pict>
                <v:group style="width:2.8pt;height:2.95pt;mso-position-horizontal-relative:char;mso-position-vertical-relative:line" coordorigin="0,0" coordsize="56,59">
                  <v:shape style="position:absolute;left:0;top:7;width:56;height:45" coordorigin="0,7" coordsize="56,45" path="m0,7l0,7,56,7m0,21l0,21,42,21m0,36l0,36,29,36m0,51l0,51,14,51e" filled="false" stroked="true" strokeweight=".694685pt" strokecolor="#008000">
                    <v:path arrowok="t"/>
                    <v:stroke dashstyle="solid"/>
                  </v:shape>
                </v:group>
              </w:pict>
            </w:r>
            <w:r>
              <w:rPr>
                <w:rFonts w:ascii="Verdana"/>
                <w:position w:val="0"/>
                <w:sz w:val="6"/>
              </w:rPr>
            </w:r>
          </w:p>
          <w:p>
            <w:pPr>
              <w:pStyle w:val="TableParagraph"/>
              <w:spacing w:before="23"/>
              <w:ind w:left="25" w:right="4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FFFFFF"/>
                <w:sz w:val="13"/>
              </w:rPr>
              <w:t>2019</w:t>
            </w:r>
          </w:p>
        </w:tc>
        <w:tc>
          <w:tcPr>
            <w:tcW w:w="1386" w:type="dxa"/>
            <w:gridSpan w:val="2"/>
            <w:tcBorders>
              <w:top w:val="nil"/>
            </w:tcBorders>
            <w:shd w:val="clear" w:color="auto" w:fill="1F4E78"/>
          </w:tcPr>
          <w:p>
            <w:pPr>
              <w:pStyle w:val="TableParagraph"/>
              <w:spacing w:line="60" w:lineRule="exact"/>
              <w:ind w:left="-2"/>
              <w:rPr>
                <w:rFonts w:ascii="Verdana"/>
                <w:sz w:val="6"/>
              </w:rPr>
            </w:pPr>
            <w:r>
              <w:rPr>
                <w:rFonts w:ascii="Verdana"/>
                <w:position w:val="0"/>
                <w:sz w:val="6"/>
              </w:rPr>
              <w:pict>
                <v:group style="width:2.8pt;height:2.95pt;mso-position-horizontal-relative:char;mso-position-vertical-relative:line" coordorigin="0,0" coordsize="56,59">
                  <v:shape style="position:absolute;left:0;top:7;width:56;height:45" coordorigin="0,7" coordsize="56,45" path="m0,7l0,7,56,7m0,21l0,21,42,21m0,36l0,36,28,36m0,51l0,51,14,51e" filled="false" stroked="true" strokeweight=".694685pt" strokecolor="#008000">
                    <v:path arrowok="t"/>
                    <v:stroke dashstyle="solid"/>
                  </v:shape>
                </v:group>
              </w:pict>
            </w:r>
            <w:r>
              <w:rPr>
                <w:rFonts w:ascii="Verdana"/>
                <w:position w:val="0"/>
                <w:sz w:val="6"/>
              </w:rPr>
            </w:r>
          </w:p>
          <w:p>
            <w:pPr>
              <w:pStyle w:val="TableParagraph"/>
              <w:spacing w:before="23"/>
              <w:ind w:left="25" w:right="4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FFFFFF"/>
                <w:sz w:val="13"/>
              </w:rPr>
              <w:t>2020</w:t>
            </w:r>
          </w:p>
        </w:tc>
        <w:tc>
          <w:tcPr>
            <w:tcW w:w="1344" w:type="dxa"/>
            <w:gridSpan w:val="2"/>
            <w:tcBorders>
              <w:top w:val="nil"/>
              <w:right w:val="single" w:sz="4" w:space="0" w:color="FFFFFF"/>
            </w:tcBorders>
            <w:shd w:val="clear" w:color="auto" w:fill="1F4E78"/>
          </w:tcPr>
          <w:p>
            <w:pPr>
              <w:pStyle w:val="TableParagraph"/>
              <w:spacing w:line="60" w:lineRule="exact"/>
              <w:ind w:left="-3"/>
              <w:rPr>
                <w:rFonts w:ascii="Verdana"/>
                <w:sz w:val="6"/>
              </w:rPr>
            </w:pPr>
            <w:r>
              <w:rPr>
                <w:rFonts w:ascii="Verdana"/>
                <w:position w:val="0"/>
                <w:sz w:val="6"/>
              </w:rPr>
              <w:pict>
                <v:group style="width:2.8pt;height:2.95pt;mso-position-horizontal-relative:char;mso-position-vertical-relative:line" coordorigin="0,0" coordsize="56,59">
                  <v:shape style="position:absolute;left:0;top:7;width:56;height:45" coordorigin="0,7" coordsize="56,45" path="m0,7l0,7,56,7m0,21l0,21,42,21m0,36l0,36,28,36m0,51l0,51,14,51e" filled="false" stroked="true" strokeweight=".694685pt" strokecolor="#008000">
                    <v:path arrowok="t"/>
                    <v:stroke dashstyle="solid"/>
                  </v:shape>
                </v:group>
              </w:pict>
            </w:r>
            <w:r>
              <w:rPr>
                <w:rFonts w:ascii="Verdana"/>
                <w:position w:val="0"/>
                <w:sz w:val="6"/>
              </w:rPr>
            </w:r>
          </w:p>
          <w:p>
            <w:pPr>
              <w:pStyle w:val="TableParagraph"/>
              <w:spacing w:before="23"/>
              <w:ind w:left="502" w:right="49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FFFFFF"/>
                <w:sz w:val="13"/>
              </w:rPr>
              <w:t>2021</w:t>
            </w:r>
          </w:p>
        </w:tc>
      </w:tr>
      <w:tr>
        <w:trPr>
          <w:trHeight w:val="264" w:hRule="atLeast"/>
        </w:trPr>
        <w:tc>
          <w:tcPr>
            <w:tcW w:w="1945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6" w:type="dxa"/>
            <w:gridSpan w:val="2"/>
            <w:shd w:val="clear" w:color="auto" w:fill="BEBEBE"/>
          </w:tcPr>
          <w:p>
            <w:pPr>
              <w:pStyle w:val="TableParagraph"/>
              <w:spacing w:line="165" w:lineRule="exact" w:before="80"/>
              <w:ind w:left="28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333333"/>
                <w:spacing w:val="-10"/>
                <w:w w:val="90"/>
                <w:sz w:val="15"/>
              </w:rPr>
              <w:t>TASA</w:t>
            </w:r>
            <w:r>
              <w:rPr>
                <w:rFonts w:ascii="Arial"/>
                <w:b/>
                <w:color w:val="333333"/>
                <w:spacing w:val="4"/>
                <w:w w:val="90"/>
                <w:sz w:val="15"/>
              </w:rPr>
              <w:t> </w:t>
            </w:r>
            <w:r>
              <w:rPr>
                <w:rFonts w:ascii="Arial"/>
                <w:b/>
                <w:color w:val="333333"/>
                <w:spacing w:val="-10"/>
                <w:w w:val="90"/>
                <w:sz w:val="15"/>
              </w:rPr>
              <w:t>BRUTA</w:t>
            </w:r>
          </w:p>
        </w:tc>
        <w:tc>
          <w:tcPr>
            <w:tcW w:w="1386" w:type="dxa"/>
            <w:gridSpan w:val="2"/>
            <w:shd w:val="clear" w:color="auto" w:fill="BEBEBE"/>
          </w:tcPr>
          <w:p>
            <w:pPr>
              <w:pStyle w:val="TableParagraph"/>
              <w:spacing w:line="165" w:lineRule="exact" w:before="80"/>
              <w:ind w:left="28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333333"/>
                <w:spacing w:val="-10"/>
                <w:w w:val="90"/>
                <w:sz w:val="15"/>
              </w:rPr>
              <w:t>TASA</w:t>
            </w:r>
            <w:r>
              <w:rPr>
                <w:rFonts w:ascii="Arial"/>
                <w:b/>
                <w:color w:val="333333"/>
                <w:spacing w:val="4"/>
                <w:w w:val="90"/>
                <w:sz w:val="15"/>
              </w:rPr>
              <w:t> </w:t>
            </w:r>
            <w:r>
              <w:rPr>
                <w:rFonts w:ascii="Arial"/>
                <w:b/>
                <w:color w:val="333333"/>
                <w:spacing w:val="-10"/>
                <w:w w:val="90"/>
                <w:sz w:val="15"/>
              </w:rPr>
              <w:t>BRUTA</w:t>
            </w:r>
          </w:p>
        </w:tc>
        <w:tc>
          <w:tcPr>
            <w:tcW w:w="1386" w:type="dxa"/>
            <w:gridSpan w:val="2"/>
            <w:shd w:val="clear" w:color="auto" w:fill="BEBEBE"/>
          </w:tcPr>
          <w:p>
            <w:pPr>
              <w:pStyle w:val="TableParagraph"/>
              <w:spacing w:line="165" w:lineRule="exact" w:before="80"/>
              <w:ind w:left="28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333333"/>
                <w:spacing w:val="-10"/>
                <w:w w:val="90"/>
                <w:sz w:val="15"/>
              </w:rPr>
              <w:t>TASA</w:t>
            </w:r>
            <w:r>
              <w:rPr>
                <w:rFonts w:ascii="Arial"/>
                <w:b/>
                <w:color w:val="333333"/>
                <w:spacing w:val="4"/>
                <w:w w:val="90"/>
                <w:sz w:val="15"/>
              </w:rPr>
              <w:t> </w:t>
            </w:r>
            <w:r>
              <w:rPr>
                <w:rFonts w:ascii="Arial"/>
                <w:b/>
                <w:color w:val="333333"/>
                <w:spacing w:val="-10"/>
                <w:w w:val="90"/>
                <w:sz w:val="15"/>
              </w:rPr>
              <w:t>BRUTA</w:t>
            </w:r>
          </w:p>
        </w:tc>
        <w:tc>
          <w:tcPr>
            <w:tcW w:w="1386" w:type="dxa"/>
            <w:gridSpan w:val="2"/>
            <w:shd w:val="clear" w:color="auto" w:fill="BEBEBE"/>
          </w:tcPr>
          <w:p>
            <w:pPr>
              <w:pStyle w:val="TableParagraph"/>
              <w:spacing w:line="165" w:lineRule="exact" w:before="80"/>
              <w:ind w:left="28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333333"/>
                <w:spacing w:val="-10"/>
                <w:w w:val="90"/>
                <w:sz w:val="15"/>
              </w:rPr>
              <w:t>TASA</w:t>
            </w:r>
            <w:r>
              <w:rPr>
                <w:rFonts w:ascii="Arial"/>
                <w:b/>
                <w:color w:val="333333"/>
                <w:spacing w:val="4"/>
                <w:w w:val="90"/>
                <w:sz w:val="15"/>
              </w:rPr>
              <w:t> </w:t>
            </w:r>
            <w:r>
              <w:rPr>
                <w:rFonts w:ascii="Arial"/>
                <w:b/>
                <w:color w:val="333333"/>
                <w:spacing w:val="-10"/>
                <w:w w:val="90"/>
                <w:sz w:val="15"/>
              </w:rPr>
              <w:t>BRUTA</w:t>
            </w:r>
          </w:p>
        </w:tc>
        <w:tc>
          <w:tcPr>
            <w:tcW w:w="1344" w:type="dxa"/>
            <w:gridSpan w:val="2"/>
            <w:shd w:val="clear" w:color="auto" w:fill="BEBEBE"/>
          </w:tcPr>
          <w:p>
            <w:pPr>
              <w:pStyle w:val="TableParagraph"/>
              <w:spacing w:line="165" w:lineRule="exact" w:before="80"/>
              <w:ind w:left="27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333333"/>
                <w:spacing w:val="-10"/>
                <w:w w:val="90"/>
                <w:sz w:val="15"/>
              </w:rPr>
              <w:t>TASA</w:t>
            </w:r>
            <w:r>
              <w:rPr>
                <w:rFonts w:ascii="Arial"/>
                <w:b/>
                <w:color w:val="333333"/>
                <w:spacing w:val="4"/>
                <w:w w:val="90"/>
                <w:sz w:val="15"/>
              </w:rPr>
              <w:t> </w:t>
            </w:r>
            <w:r>
              <w:rPr>
                <w:rFonts w:ascii="Arial"/>
                <w:b/>
                <w:color w:val="333333"/>
                <w:spacing w:val="-10"/>
                <w:w w:val="90"/>
                <w:sz w:val="15"/>
              </w:rPr>
              <w:t>BRUTA</w:t>
            </w:r>
          </w:p>
        </w:tc>
      </w:tr>
      <w:tr>
        <w:trPr>
          <w:trHeight w:val="265" w:hRule="atLeast"/>
        </w:trPr>
        <w:tc>
          <w:tcPr>
            <w:tcW w:w="1945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4" w:type="dxa"/>
          </w:tcPr>
          <w:p>
            <w:pPr>
              <w:pStyle w:val="TableParagraph"/>
              <w:spacing w:line="147" w:lineRule="exact" w:before="98"/>
              <w:ind w:right="9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333333"/>
                <w:sz w:val="13"/>
              </w:rPr>
              <w:t>Hombres</w:t>
            </w:r>
          </w:p>
        </w:tc>
        <w:tc>
          <w:tcPr>
            <w:tcW w:w="672" w:type="dxa"/>
          </w:tcPr>
          <w:p>
            <w:pPr>
              <w:pStyle w:val="TableParagraph"/>
              <w:spacing w:line="147" w:lineRule="exact" w:before="98"/>
              <w:ind w:left="3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333333"/>
                <w:sz w:val="13"/>
              </w:rPr>
              <w:t>Mujeres</w:t>
            </w:r>
          </w:p>
        </w:tc>
        <w:tc>
          <w:tcPr>
            <w:tcW w:w="714" w:type="dxa"/>
          </w:tcPr>
          <w:p>
            <w:pPr>
              <w:pStyle w:val="TableParagraph"/>
              <w:spacing w:line="147" w:lineRule="exact" w:before="98"/>
              <w:ind w:left="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333333"/>
                <w:sz w:val="13"/>
              </w:rPr>
              <w:t>Hombres</w:t>
            </w:r>
          </w:p>
        </w:tc>
        <w:tc>
          <w:tcPr>
            <w:tcW w:w="672" w:type="dxa"/>
          </w:tcPr>
          <w:p>
            <w:pPr>
              <w:pStyle w:val="TableParagraph"/>
              <w:spacing w:line="147" w:lineRule="exact" w:before="98"/>
              <w:ind w:left="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333333"/>
                <w:sz w:val="13"/>
              </w:rPr>
              <w:t>Mujeres</w:t>
            </w:r>
          </w:p>
        </w:tc>
        <w:tc>
          <w:tcPr>
            <w:tcW w:w="714" w:type="dxa"/>
          </w:tcPr>
          <w:p>
            <w:pPr>
              <w:pStyle w:val="TableParagraph"/>
              <w:spacing w:line="147" w:lineRule="exact" w:before="98"/>
              <w:ind w:left="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333333"/>
                <w:sz w:val="13"/>
              </w:rPr>
              <w:t>Hombres</w:t>
            </w:r>
          </w:p>
        </w:tc>
        <w:tc>
          <w:tcPr>
            <w:tcW w:w="672" w:type="dxa"/>
          </w:tcPr>
          <w:p>
            <w:pPr>
              <w:pStyle w:val="TableParagraph"/>
              <w:spacing w:line="147" w:lineRule="exact" w:before="98"/>
              <w:ind w:left="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333333"/>
                <w:sz w:val="13"/>
              </w:rPr>
              <w:t>Mujeres</w:t>
            </w:r>
          </w:p>
        </w:tc>
        <w:tc>
          <w:tcPr>
            <w:tcW w:w="714" w:type="dxa"/>
          </w:tcPr>
          <w:p>
            <w:pPr>
              <w:pStyle w:val="TableParagraph"/>
              <w:spacing w:line="147" w:lineRule="exact" w:before="98"/>
              <w:ind w:right="100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333333"/>
                <w:sz w:val="13"/>
              </w:rPr>
              <w:t>Hombres</w:t>
            </w:r>
          </w:p>
        </w:tc>
        <w:tc>
          <w:tcPr>
            <w:tcW w:w="672" w:type="dxa"/>
          </w:tcPr>
          <w:p>
            <w:pPr>
              <w:pStyle w:val="TableParagraph"/>
              <w:spacing w:line="147" w:lineRule="exact" w:before="98"/>
              <w:ind w:left="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333333"/>
                <w:sz w:val="13"/>
              </w:rPr>
              <w:t>Mujeres</w:t>
            </w:r>
          </w:p>
        </w:tc>
        <w:tc>
          <w:tcPr>
            <w:tcW w:w="714" w:type="dxa"/>
          </w:tcPr>
          <w:p>
            <w:pPr>
              <w:pStyle w:val="TableParagraph"/>
              <w:spacing w:line="147" w:lineRule="exact" w:before="98"/>
              <w:ind w:left="3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333333"/>
                <w:sz w:val="13"/>
              </w:rPr>
              <w:t>Hombres</w:t>
            </w:r>
          </w:p>
        </w:tc>
        <w:tc>
          <w:tcPr>
            <w:tcW w:w="630" w:type="dxa"/>
          </w:tcPr>
          <w:p>
            <w:pPr>
              <w:pStyle w:val="TableParagraph"/>
              <w:spacing w:line="147" w:lineRule="exact" w:before="98"/>
              <w:ind w:left="3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333333"/>
                <w:sz w:val="13"/>
              </w:rPr>
              <w:t>Mujeres</w:t>
            </w:r>
          </w:p>
        </w:tc>
      </w:tr>
      <w:tr>
        <w:trPr>
          <w:trHeight w:val="264" w:hRule="atLeast"/>
        </w:trPr>
        <w:tc>
          <w:tcPr>
            <w:tcW w:w="406" w:type="dxa"/>
            <w:shd w:val="clear" w:color="auto" w:fill="BEBEBE"/>
          </w:tcPr>
          <w:p>
            <w:pPr>
              <w:pStyle w:val="TableParagraph"/>
              <w:spacing w:line="176" w:lineRule="exact" w:before="69"/>
              <w:ind w:left="35"/>
              <w:rPr>
                <w:rFonts w:ascii="Verdana" w:hAnsi="Verdana"/>
                <w:sz w:val="15"/>
              </w:rPr>
            </w:pPr>
            <w:r>
              <w:rPr>
                <w:rFonts w:ascii="Verdana" w:hAnsi="Verdana"/>
                <w:w w:val="90"/>
                <w:sz w:val="15"/>
              </w:rPr>
              <w:t>Nº</w:t>
            </w:r>
          </w:p>
        </w:tc>
        <w:tc>
          <w:tcPr>
            <w:tcW w:w="1539" w:type="dxa"/>
            <w:shd w:val="clear" w:color="auto" w:fill="BEBEBE"/>
          </w:tcPr>
          <w:p>
            <w:pPr>
              <w:pStyle w:val="TableParagraph"/>
              <w:spacing w:line="176" w:lineRule="exact" w:before="69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90"/>
                <w:sz w:val="15"/>
              </w:rPr>
              <w:t>Total</w:t>
            </w:r>
            <w:r>
              <w:rPr>
                <w:rFonts w:ascii="Verdana"/>
                <w:spacing w:val="1"/>
                <w:w w:val="90"/>
                <w:sz w:val="15"/>
              </w:rPr>
              <w:t> </w:t>
            </w:r>
            <w:r>
              <w:rPr>
                <w:rFonts w:ascii="Verdana"/>
                <w:w w:val="90"/>
                <w:sz w:val="15"/>
              </w:rPr>
              <w:t>Nacional</w:t>
            </w:r>
          </w:p>
        </w:tc>
        <w:tc>
          <w:tcPr>
            <w:tcW w:w="714" w:type="dxa"/>
            <w:shd w:val="clear" w:color="auto" w:fill="C5C3C5"/>
          </w:tcPr>
          <w:p>
            <w:pPr>
              <w:pStyle w:val="TableParagraph"/>
              <w:spacing w:line="166" w:lineRule="exact" w:before="79"/>
              <w:ind w:right="29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83.30%</w:t>
            </w:r>
          </w:p>
        </w:tc>
        <w:tc>
          <w:tcPr>
            <w:tcW w:w="672" w:type="dxa"/>
            <w:shd w:val="clear" w:color="auto" w:fill="C5C3C5"/>
          </w:tcPr>
          <w:p>
            <w:pPr>
              <w:pStyle w:val="TableParagraph"/>
              <w:spacing w:line="166" w:lineRule="exact" w:before="79"/>
              <w:ind w:right="29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80.39%</w:t>
            </w:r>
          </w:p>
        </w:tc>
        <w:tc>
          <w:tcPr>
            <w:tcW w:w="714" w:type="dxa"/>
            <w:shd w:val="clear" w:color="auto" w:fill="C5C3C5"/>
          </w:tcPr>
          <w:p>
            <w:pPr>
              <w:pStyle w:val="TableParagraph"/>
              <w:spacing w:line="166" w:lineRule="exact" w:before="79"/>
              <w:ind w:right="29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84.63%</w:t>
            </w:r>
          </w:p>
        </w:tc>
        <w:tc>
          <w:tcPr>
            <w:tcW w:w="672" w:type="dxa"/>
            <w:shd w:val="clear" w:color="auto" w:fill="C5C3C5"/>
          </w:tcPr>
          <w:p>
            <w:pPr>
              <w:pStyle w:val="TableParagraph"/>
              <w:spacing w:line="166" w:lineRule="exact" w:before="79"/>
              <w:ind w:right="29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81.91%</w:t>
            </w:r>
          </w:p>
        </w:tc>
        <w:tc>
          <w:tcPr>
            <w:tcW w:w="714" w:type="dxa"/>
            <w:shd w:val="clear" w:color="auto" w:fill="C5C3C5"/>
          </w:tcPr>
          <w:p>
            <w:pPr>
              <w:pStyle w:val="TableParagraph"/>
              <w:spacing w:line="166" w:lineRule="exact" w:before="79"/>
              <w:ind w:right="29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83.33%</w:t>
            </w:r>
          </w:p>
        </w:tc>
        <w:tc>
          <w:tcPr>
            <w:tcW w:w="672" w:type="dxa"/>
            <w:shd w:val="clear" w:color="auto" w:fill="C5C3C5"/>
          </w:tcPr>
          <w:p>
            <w:pPr>
              <w:pStyle w:val="TableParagraph"/>
              <w:spacing w:line="166" w:lineRule="exact" w:before="79"/>
              <w:ind w:right="30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81.22%</w:t>
            </w:r>
          </w:p>
        </w:tc>
        <w:tc>
          <w:tcPr>
            <w:tcW w:w="714" w:type="dxa"/>
            <w:shd w:val="clear" w:color="auto" w:fill="C5C3C5"/>
          </w:tcPr>
          <w:p>
            <w:pPr>
              <w:pStyle w:val="TableParagraph"/>
              <w:spacing w:line="166" w:lineRule="exact" w:before="79"/>
              <w:ind w:right="30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82.52%</w:t>
            </w:r>
          </w:p>
        </w:tc>
        <w:tc>
          <w:tcPr>
            <w:tcW w:w="672" w:type="dxa"/>
            <w:shd w:val="clear" w:color="auto" w:fill="C5C3C5"/>
          </w:tcPr>
          <w:p>
            <w:pPr>
              <w:pStyle w:val="TableParagraph"/>
              <w:spacing w:line="166" w:lineRule="exact" w:before="79"/>
              <w:ind w:right="30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80.91%</w:t>
            </w:r>
          </w:p>
        </w:tc>
        <w:tc>
          <w:tcPr>
            <w:tcW w:w="714" w:type="dxa"/>
            <w:shd w:val="clear" w:color="auto" w:fill="C5C3C5"/>
          </w:tcPr>
          <w:p>
            <w:pPr>
              <w:pStyle w:val="TableParagraph"/>
              <w:spacing w:line="166" w:lineRule="exact" w:before="79"/>
              <w:ind w:right="30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81.79%</w:t>
            </w:r>
          </w:p>
        </w:tc>
        <w:tc>
          <w:tcPr>
            <w:tcW w:w="630" w:type="dxa"/>
            <w:shd w:val="clear" w:color="auto" w:fill="C5C3C5"/>
          </w:tcPr>
          <w:p>
            <w:pPr>
              <w:pStyle w:val="TableParagraph"/>
              <w:spacing w:line="166" w:lineRule="exact" w:before="79"/>
              <w:ind w:right="30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80.87%</w:t>
            </w:r>
          </w:p>
        </w:tc>
      </w:tr>
      <w:tr>
        <w:trPr>
          <w:trHeight w:val="264" w:hRule="atLeast"/>
        </w:trPr>
        <w:tc>
          <w:tcPr>
            <w:tcW w:w="406" w:type="dxa"/>
            <w:shd w:val="clear" w:color="auto" w:fill="BEBEBE"/>
          </w:tcPr>
          <w:p>
            <w:pPr>
              <w:pStyle w:val="TableParagraph"/>
              <w:spacing w:line="175" w:lineRule="exact" w:before="70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90"/>
                <w:sz w:val="15"/>
              </w:rPr>
              <w:t>01</w:t>
            </w:r>
          </w:p>
        </w:tc>
        <w:tc>
          <w:tcPr>
            <w:tcW w:w="1539" w:type="dxa"/>
            <w:shd w:val="clear" w:color="auto" w:fill="BEBEBE"/>
          </w:tcPr>
          <w:p>
            <w:pPr>
              <w:pStyle w:val="TableParagraph"/>
              <w:spacing w:line="175" w:lineRule="exact" w:before="70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spacing w:val="-1"/>
                <w:w w:val="85"/>
                <w:sz w:val="15"/>
              </w:rPr>
              <w:t>ALTA</w:t>
            </w:r>
            <w:r>
              <w:rPr>
                <w:rFonts w:ascii="Verdana"/>
                <w:spacing w:val="-5"/>
                <w:w w:val="85"/>
                <w:sz w:val="15"/>
              </w:rPr>
              <w:t> </w:t>
            </w:r>
            <w:r>
              <w:rPr>
                <w:rFonts w:ascii="Verdana"/>
                <w:w w:val="85"/>
                <w:sz w:val="15"/>
              </w:rPr>
              <w:t>VERAPAZ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75.97%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67.07%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78.81%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70.37%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79.59%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71.09%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79.61%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5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71.32%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5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79.98%</w:t>
            </w:r>
          </w:p>
        </w:tc>
        <w:tc>
          <w:tcPr>
            <w:tcW w:w="630" w:type="dxa"/>
            <w:shd w:val="clear" w:color="auto" w:fill="FFF1CC"/>
          </w:tcPr>
          <w:p>
            <w:pPr>
              <w:pStyle w:val="TableParagraph"/>
              <w:spacing w:line="175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73.14%</w:t>
            </w:r>
          </w:p>
        </w:tc>
      </w:tr>
      <w:tr>
        <w:trPr>
          <w:trHeight w:val="265" w:hRule="atLeast"/>
        </w:trPr>
        <w:tc>
          <w:tcPr>
            <w:tcW w:w="406" w:type="dxa"/>
            <w:shd w:val="clear" w:color="auto" w:fill="BEBEBE"/>
          </w:tcPr>
          <w:p>
            <w:pPr>
              <w:pStyle w:val="TableParagraph"/>
              <w:spacing w:line="176" w:lineRule="exact" w:before="70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90"/>
                <w:sz w:val="15"/>
              </w:rPr>
              <w:t>02</w:t>
            </w:r>
          </w:p>
        </w:tc>
        <w:tc>
          <w:tcPr>
            <w:tcW w:w="1539" w:type="dxa"/>
            <w:shd w:val="clear" w:color="auto" w:fill="BEBEBE"/>
          </w:tcPr>
          <w:p>
            <w:pPr>
              <w:pStyle w:val="TableParagraph"/>
              <w:spacing w:line="176" w:lineRule="exact" w:before="70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spacing w:val="-1"/>
                <w:w w:val="90"/>
                <w:sz w:val="15"/>
              </w:rPr>
              <w:t>BAJA</w:t>
            </w:r>
            <w:r>
              <w:rPr>
                <w:rFonts w:ascii="Verdana"/>
                <w:spacing w:val="-7"/>
                <w:w w:val="90"/>
                <w:sz w:val="15"/>
              </w:rPr>
              <w:t> </w:t>
            </w:r>
            <w:r>
              <w:rPr>
                <w:rFonts w:ascii="Verdana"/>
                <w:spacing w:val="-1"/>
                <w:w w:val="90"/>
                <w:sz w:val="15"/>
              </w:rPr>
              <w:t>VERAPAZ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76.08%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72.05%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77.34%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73.56%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76.44%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72.82%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74.90%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71.59%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77.54%</w:t>
            </w:r>
          </w:p>
        </w:tc>
        <w:tc>
          <w:tcPr>
            <w:tcW w:w="630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74.41%</w:t>
            </w:r>
          </w:p>
        </w:tc>
      </w:tr>
      <w:tr>
        <w:trPr>
          <w:trHeight w:val="264" w:hRule="atLeast"/>
        </w:trPr>
        <w:tc>
          <w:tcPr>
            <w:tcW w:w="406" w:type="dxa"/>
            <w:shd w:val="clear" w:color="auto" w:fill="BEBEBE"/>
          </w:tcPr>
          <w:p>
            <w:pPr>
              <w:pStyle w:val="TableParagraph"/>
              <w:spacing w:line="176" w:lineRule="exact" w:before="69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90"/>
                <w:sz w:val="15"/>
              </w:rPr>
              <w:t>03</w:t>
            </w:r>
          </w:p>
        </w:tc>
        <w:tc>
          <w:tcPr>
            <w:tcW w:w="1539" w:type="dxa"/>
            <w:shd w:val="clear" w:color="auto" w:fill="BEBEBE"/>
          </w:tcPr>
          <w:p>
            <w:pPr>
              <w:pStyle w:val="TableParagraph"/>
              <w:spacing w:line="176" w:lineRule="exact" w:before="69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96"/>
                <w:sz w:val="15"/>
              </w:rPr>
              <w:t>CH</w:t>
            </w:r>
            <w:r>
              <w:rPr>
                <w:rFonts w:ascii="Verdana"/>
                <w:spacing w:val="-1"/>
                <w:w w:val="50"/>
                <w:sz w:val="15"/>
              </w:rPr>
              <w:t>I</w:t>
            </w:r>
            <w:r>
              <w:rPr>
                <w:rFonts w:ascii="Verdana"/>
                <w:w w:val="102"/>
                <w:sz w:val="15"/>
              </w:rPr>
              <w:t>M</w:t>
            </w:r>
            <w:r>
              <w:rPr>
                <w:rFonts w:ascii="Verdana"/>
                <w:w w:val="101"/>
                <w:sz w:val="15"/>
              </w:rPr>
              <w:t>A</w:t>
            </w:r>
            <w:r>
              <w:rPr>
                <w:rFonts w:ascii="Verdana"/>
                <w:spacing w:val="-7"/>
                <w:w w:val="77"/>
                <w:sz w:val="15"/>
              </w:rPr>
              <w:t>L</w:t>
            </w:r>
            <w:r>
              <w:rPr>
                <w:rFonts w:ascii="Verdana"/>
                <w:w w:val="64"/>
                <w:sz w:val="15"/>
              </w:rPr>
              <w:t>T</w:t>
            </w:r>
            <w:r>
              <w:rPr>
                <w:rFonts w:ascii="Verdana"/>
                <w:spacing w:val="-1"/>
                <w:w w:val="79"/>
                <w:sz w:val="15"/>
              </w:rPr>
              <w:t>E</w:t>
            </w:r>
            <w:r>
              <w:rPr>
                <w:rFonts w:ascii="Verdana"/>
                <w:spacing w:val="1"/>
                <w:w w:val="92"/>
                <w:sz w:val="15"/>
              </w:rPr>
              <w:t>N</w:t>
            </w:r>
            <w:r>
              <w:rPr>
                <w:rFonts w:ascii="Verdana"/>
                <w:spacing w:val="-1"/>
                <w:w w:val="101"/>
                <w:sz w:val="15"/>
              </w:rPr>
              <w:t>A</w:t>
            </w:r>
            <w:r>
              <w:rPr>
                <w:rFonts w:ascii="Verdana"/>
                <w:w w:val="92"/>
                <w:sz w:val="15"/>
              </w:rPr>
              <w:t>N</w:t>
            </w:r>
            <w:r>
              <w:rPr>
                <w:rFonts w:ascii="Verdana"/>
                <w:spacing w:val="1"/>
                <w:w w:val="105"/>
                <w:sz w:val="15"/>
              </w:rPr>
              <w:t>G</w:t>
            </w:r>
            <w:r>
              <w:rPr>
                <w:rFonts w:ascii="Verdana"/>
                <w:w w:val="103"/>
                <w:sz w:val="15"/>
              </w:rPr>
              <w:t>O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6" w:lineRule="exact" w:before="69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72.81%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6" w:lineRule="exact" w:before="69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71.90%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6" w:lineRule="exact" w:before="69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74.81%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6" w:lineRule="exact" w:before="69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73.83%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6" w:lineRule="exact" w:before="69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74.25%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6" w:lineRule="exact" w:before="69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73.35%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6" w:lineRule="exact" w:before="69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74.48%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6" w:lineRule="exact" w:before="69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73.85%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6" w:lineRule="exact" w:before="69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75.77%</w:t>
            </w:r>
          </w:p>
        </w:tc>
        <w:tc>
          <w:tcPr>
            <w:tcW w:w="630" w:type="dxa"/>
            <w:shd w:val="clear" w:color="auto" w:fill="FFF1CC"/>
          </w:tcPr>
          <w:p>
            <w:pPr>
              <w:pStyle w:val="TableParagraph"/>
              <w:spacing w:line="176" w:lineRule="exact" w:before="69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75.78%</w:t>
            </w:r>
          </w:p>
        </w:tc>
      </w:tr>
      <w:tr>
        <w:trPr>
          <w:trHeight w:val="264" w:hRule="atLeast"/>
        </w:trPr>
        <w:tc>
          <w:tcPr>
            <w:tcW w:w="406" w:type="dxa"/>
            <w:shd w:val="clear" w:color="auto" w:fill="BEBEBE"/>
          </w:tcPr>
          <w:p>
            <w:pPr>
              <w:pStyle w:val="TableParagraph"/>
              <w:spacing w:line="175" w:lineRule="exact" w:before="70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90"/>
                <w:sz w:val="15"/>
              </w:rPr>
              <w:t>04</w:t>
            </w:r>
          </w:p>
        </w:tc>
        <w:tc>
          <w:tcPr>
            <w:tcW w:w="1539" w:type="dxa"/>
            <w:shd w:val="clear" w:color="auto" w:fill="BEBEBE"/>
          </w:tcPr>
          <w:p>
            <w:pPr>
              <w:pStyle w:val="TableParagraph"/>
              <w:spacing w:line="175" w:lineRule="exact" w:before="70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96"/>
                <w:sz w:val="15"/>
              </w:rPr>
              <w:t>CH</w:t>
            </w:r>
            <w:r>
              <w:rPr>
                <w:rFonts w:ascii="Verdana"/>
                <w:spacing w:val="-1"/>
                <w:w w:val="50"/>
                <w:sz w:val="15"/>
              </w:rPr>
              <w:t>I</w:t>
            </w:r>
            <w:r>
              <w:rPr>
                <w:rFonts w:ascii="Verdana"/>
                <w:w w:val="103"/>
                <w:sz w:val="15"/>
              </w:rPr>
              <w:t>Q</w:t>
            </w:r>
            <w:r>
              <w:rPr>
                <w:rFonts w:ascii="Verdana"/>
                <w:w w:val="83"/>
                <w:sz w:val="15"/>
              </w:rPr>
              <w:t>U</w:t>
            </w:r>
            <w:r>
              <w:rPr>
                <w:rFonts w:ascii="Verdana"/>
                <w:w w:val="50"/>
                <w:sz w:val="15"/>
              </w:rPr>
              <w:t>I</w:t>
            </w:r>
            <w:r>
              <w:rPr>
                <w:rFonts w:ascii="Verdana"/>
                <w:spacing w:val="-1"/>
                <w:w w:val="102"/>
                <w:sz w:val="15"/>
              </w:rPr>
              <w:t>M</w:t>
            </w:r>
            <w:r>
              <w:rPr>
                <w:rFonts w:ascii="Verdana"/>
                <w:w w:val="83"/>
                <w:sz w:val="15"/>
              </w:rPr>
              <w:t>U</w:t>
            </w:r>
            <w:r>
              <w:rPr>
                <w:rFonts w:ascii="Verdana"/>
                <w:w w:val="77"/>
                <w:sz w:val="15"/>
              </w:rPr>
              <w:t>L</w:t>
            </w:r>
            <w:r>
              <w:rPr>
                <w:rFonts w:ascii="Verdana"/>
                <w:w w:val="101"/>
                <w:sz w:val="15"/>
              </w:rPr>
              <w:t>A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76.62%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75.54%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78.28%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76.98%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76.29%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75.87%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74.84%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5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74.78%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5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75.35%</w:t>
            </w:r>
          </w:p>
        </w:tc>
        <w:tc>
          <w:tcPr>
            <w:tcW w:w="630" w:type="dxa"/>
            <w:shd w:val="clear" w:color="auto" w:fill="FFF1CC"/>
          </w:tcPr>
          <w:p>
            <w:pPr>
              <w:pStyle w:val="TableParagraph"/>
              <w:spacing w:line="175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75.58%</w:t>
            </w:r>
          </w:p>
        </w:tc>
      </w:tr>
      <w:tr>
        <w:trPr>
          <w:trHeight w:val="265" w:hRule="atLeast"/>
        </w:trPr>
        <w:tc>
          <w:tcPr>
            <w:tcW w:w="406" w:type="dxa"/>
            <w:shd w:val="clear" w:color="auto" w:fill="BEBEBE"/>
          </w:tcPr>
          <w:p>
            <w:pPr>
              <w:pStyle w:val="TableParagraph"/>
              <w:spacing w:line="176" w:lineRule="exact" w:before="70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90"/>
                <w:sz w:val="15"/>
              </w:rPr>
              <w:t>05</w:t>
            </w:r>
          </w:p>
        </w:tc>
        <w:tc>
          <w:tcPr>
            <w:tcW w:w="1539" w:type="dxa"/>
            <w:shd w:val="clear" w:color="auto" w:fill="BEBEBE"/>
          </w:tcPr>
          <w:p>
            <w:pPr>
              <w:pStyle w:val="TableParagraph"/>
              <w:spacing w:line="176" w:lineRule="exact" w:before="70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EL</w:t>
            </w:r>
            <w:r>
              <w:rPr>
                <w:rFonts w:ascii="Verdana"/>
                <w:spacing w:val="6"/>
                <w:w w:val="85"/>
                <w:sz w:val="15"/>
              </w:rPr>
              <w:t> </w:t>
            </w:r>
            <w:r>
              <w:rPr>
                <w:rFonts w:ascii="Verdana"/>
                <w:w w:val="85"/>
                <w:sz w:val="15"/>
              </w:rPr>
              <w:t>PROGRESO</w:t>
            </w:r>
          </w:p>
        </w:tc>
        <w:tc>
          <w:tcPr>
            <w:tcW w:w="714" w:type="dxa"/>
            <w:shd w:val="clear" w:color="auto" w:fill="FFFFFF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93.86%</w:t>
            </w:r>
          </w:p>
        </w:tc>
        <w:tc>
          <w:tcPr>
            <w:tcW w:w="672" w:type="dxa"/>
            <w:shd w:val="clear" w:color="auto" w:fill="FFFFFF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90.31%</w:t>
            </w:r>
          </w:p>
        </w:tc>
        <w:tc>
          <w:tcPr>
            <w:tcW w:w="714" w:type="dxa"/>
            <w:shd w:val="clear" w:color="auto" w:fill="FFFFFF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97.37%</w:t>
            </w:r>
          </w:p>
        </w:tc>
        <w:tc>
          <w:tcPr>
            <w:tcW w:w="672" w:type="dxa"/>
            <w:shd w:val="clear" w:color="auto" w:fill="FFFFFF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93.43%</w:t>
            </w:r>
          </w:p>
        </w:tc>
        <w:tc>
          <w:tcPr>
            <w:tcW w:w="714" w:type="dxa"/>
            <w:shd w:val="clear" w:color="auto" w:fill="FFFFFF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97.78%</w:t>
            </w:r>
          </w:p>
        </w:tc>
        <w:tc>
          <w:tcPr>
            <w:tcW w:w="672" w:type="dxa"/>
            <w:shd w:val="clear" w:color="auto" w:fill="FFFFFF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93.33%</w:t>
            </w:r>
          </w:p>
        </w:tc>
        <w:tc>
          <w:tcPr>
            <w:tcW w:w="714" w:type="dxa"/>
            <w:shd w:val="clear" w:color="auto" w:fill="FFFFFF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96.80%</w:t>
            </w:r>
          </w:p>
        </w:tc>
        <w:tc>
          <w:tcPr>
            <w:tcW w:w="672" w:type="dxa"/>
            <w:shd w:val="clear" w:color="auto" w:fill="FFFFFF"/>
          </w:tcPr>
          <w:p>
            <w:pPr>
              <w:pStyle w:val="TableParagraph"/>
              <w:spacing w:line="176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92.74%</w:t>
            </w:r>
          </w:p>
        </w:tc>
        <w:tc>
          <w:tcPr>
            <w:tcW w:w="714" w:type="dxa"/>
            <w:shd w:val="clear" w:color="auto" w:fill="FFFFFF"/>
          </w:tcPr>
          <w:p>
            <w:pPr>
              <w:pStyle w:val="TableParagraph"/>
              <w:spacing w:line="176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97.95%</w:t>
            </w:r>
          </w:p>
        </w:tc>
        <w:tc>
          <w:tcPr>
            <w:tcW w:w="630" w:type="dxa"/>
            <w:shd w:val="clear" w:color="auto" w:fill="FFFFFF"/>
          </w:tcPr>
          <w:p>
            <w:pPr>
              <w:pStyle w:val="TableParagraph"/>
              <w:spacing w:line="176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94.20%</w:t>
            </w:r>
          </w:p>
        </w:tc>
      </w:tr>
      <w:tr>
        <w:trPr>
          <w:trHeight w:val="264" w:hRule="atLeast"/>
        </w:trPr>
        <w:tc>
          <w:tcPr>
            <w:tcW w:w="406" w:type="dxa"/>
            <w:shd w:val="clear" w:color="auto" w:fill="BEBEBE"/>
          </w:tcPr>
          <w:p>
            <w:pPr>
              <w:pStyle w:val="TableParagraph"/>
              <w:spacing w:line="176" w:lineRule="exact" w:before="69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90"/>
                <w:sz w:val="15"/>
              </w:rPr>
              <w:t>06</w:t>
            </w:r>
          </w:p>
        </w:tc>
        <w:tc>
          <w:tcPr>
            <w:tcW w:w="1539" w:type="dxa"/>
            <w:shd w:val="clear" w:color="auto" w:fill="BEBEBE"/>
          </w:tcPr>
          <w:p>
            <w:pPr>
              <w:pStyle w:val="TableParagraph"/>
              <w:spacing w:line="176" w:lineRule="exact" w:before="69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spacing w:val="-1"/>
                <w:w w:val="79"/>
                <w:sz w:val="15"/>
              </w:rPr>
              <w:t>E</w:t>
            </w:r>
            <w:r>
              <w:rPr>
                <w:rFonts w:ascii="Verdana"/>
                <w:spacing w:val="-1"/>
                <w:w w:val="68"/>
                <w:sz w:val="15"/>
              </w:rPr>
              <w:t>S</w:t>
            </w:r>
            <w:r>
              <w:rPr>
                <w:rFonts w:ascii="Verdana"/>
                <w:w w:val="96"/>
                <w:sz w:val="15"/>
              </w:rPr>
              <w:t>C</w:t>
            </w:r>
            <w:r>
              <w:rPr>
                <w:rFonts w:ascii="Verdana"/>
                <w:spacing w:val="1"/>
                <w:w w:val="96"/>
                <w:sz w:val="15"/>
              </w:rPr>
              <w:t>U</w:t>
            </w:r>
            <w:r>
              <w:rPr>
                <w:rFonts w:ascii="Verdana"/>
                <w:spacing w:val="-1"/>
                <w:w w:val="50"/>
                <w:sz w:val="15"/>
              </w:rPr>
              <w:t>I</w:t>
            </w:r>
            <w:r>
              <w:rPr>
                <w:rFonts w:ascii="Verdana"/>
                <w:w w:val="92"/>
                <w:sz w:val="15"/>
              </w:rPr>
              <w:t>N</w:t>
            </w:r>
            <w:r>
              <w:rPr>
                <w:rFonts w:ascii="Verdana"/>
                <w:w w:val="64"/>
                <w:sz w:val="15"/>
              </w:rPr>
              <w:t>T</w:t>
            </w:r>
            <w:r>
              <w:rPr>
                <w:rFonts w:ascii="Verdana"/>
                <w:spacing w:val="-1"/>
                <w:w w:val="77"/>
                <w:sz w:val="15"/>
              </w:rPr>
              <w:t>L</w:t>
            </w:r>
            <w:r>
              <w:rPr>
                <w:rFonts w:ascii="Verdana"/>
                <w:w w:val="101"/>
                <w:sz w:val="15"/>
              </w:rPr>
              <w:t>A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6" w:lineRule="exact" w:before="69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90.82%</w:t>
            </w:r>
          </w:p>
        </w:tc>
        <w:tc>
          <w:tcPr>
            <w:tcW w:w="672" w:type="dxa"/>
            <w:shd w:val="clear" w:color="auto" w:fill="FBFCFC"/>
          </w:tcPr>
          <w:p>
            <w:pPr>
              <w:pStyle w:val="TableParagraph"/>
              <w:spacing w:line="176" w:lineRule="exact" w:before="69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86.30%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6" w:lineRule="exact" w:before="69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93.36%</w:t>
            </w:r>
          </w:p>
        </w:tc>
        <w:tc>
          <w:tcPr>
            <w:tcW w:w="672" w:type="dxa"/>
            <w:shd w:val="clear" w:color="auto" w:fill="FBFCFC"/>
          </w:tcPr>
          <w:p>
            <w:pPr>
              <w:pStyle w:val="TableParagraph"/>
              <w:spacing w:line="176" w:lineRule="exact" w:before="69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88.41%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6" w:lineRule="exact" w:before="69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92.96%</w:t>
            </w:r>
          </w:p>
        </w:tc>
        <w:tc>
          <w:tcPr>
            <w:tcW w:w="672" w:type="dxa"/>
            <w:shd w:val="clear" w:color="auto" w:fill="FBFCFC"/>
          </w:tcPr>
          <w:p>
            <w:pPr>
              <w:pStyle w:val="TableParagraph"/>
              <w:spacing w:line="176" w:lineRule="exact" w:before="69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88.31%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6" w:lineRule="exact" w:before="69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93.14%</w:t>
            </w:r>
          </w:p>
        </w:tc>
        <w:tc>
          <w:tcPr>
            <w:tcW w:w="672" w:type="dxa"/>
            <w:shd w:val="clear" w:color="auto" w:fill="FBFCFC"/>
          </w:tcPr>
          <w:p>
            <w:pPr>
              <w:pStyle w:val="TableParagraph"/>
              <w:spacing w:line="176" w:lineRule="exact" w:before="69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88.96%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6" w:lineRule="exact" w:before="69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92.93%</w:t>
            </w:r>
          </w:p>
        </w:tc>
        <w:tc>
          <w:tcPr>
            <w:tcW w:w="630" w:type="dxa"/>
            <w:shd w:val="clear" w:color="auto" w:fill="FBFCFC"/>
          </w:tcPr>
          <w:p>
            <w:pPr>
              <w:pStyle w:val="TableParagraph"/>
              <w:spacing w:line="176" w:lineRule="exact" w:before="69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89.69%</w:t>
            </w:r>
          </w:p>
        </w:tc>
      </w:tr>
      <w:tr>
        <w:trPr>
          <w:trHeight w:val="264" w:hRule="atLeast"/>
        </w:trPr>
        <w:tc>
          <w:tcPr>
            <w:tcW w:w="406" w:type="dxa"/>
            <w:shd w:val="clear" w:color="auto" w:fill="BEBEBE"/>
          </w:tcPr>
          <w:p>
            <w:pPr>
              <w:pStyle w:val="TableParagraph"/>
              <w:spacing w:line="175" w:lineRule="exact" w:before="70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90"/>
                <w:sz w:val="15"/>
              </w:rPr>
              <w:t>07</w:t>
            </w:r>
          </w:p>
        </w:tc>
        <w:tc>
          <w:tcPr>
            <w:tcW w:w="1539" w:type="dxa"/>
            <w:shd w:val="clear" w:color="auto" w:fill="BEBEBE"/>
          </w:tcPr>
          <w:p>
            <w:pPr>
              <w:pStyle w:val="TableParagraph"/>
              <w:spacing w:line="175" w:lineRule="exact" w:before="70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GUATEMALA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2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90"/>
                <w:sz w:val="15"/>
              </w:rPr>
              <w:t>108.28%</w:t>
            </w:r>
          </w:p>
        </w:tc>
        <w:tc>
          <w:tcPr>
            <w:tcW w:w="672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2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106.67%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27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90"/>
                <w:sz w:val="15"/>
              </w:rPr>
              <w:t>108.65%</w:t>
            </w:r>
          </w:p>
        </w:tc>
        <w:tc>
          <w:tcPr>
            <w:tcW w:w="672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27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107.06%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27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90"/>
                <w:sz w:val="15"/>
              </w:rPr>
              <w:t>107.58%</w:t>
            </w:r>
          </w:p>
        </w:tc>
        <w:tc>
          <w:tcPr>
            <w:tcW w:w="672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left="91"/>
              <w:rPr>
                <w:rFonts w:ascii="Verdana"/>
                <w:sz w:val="15"/>
              </w:rPr>
            </w:pPr>
            <w:r>
              <w:rPr>
                <w:rFonts w:ascii="Verdana"/>
                <w:spacing w:val="-1"/>
                <w:w w:val="80"/>
                <w:sz w:val="15"/>
              </w:rPr>
              <w:t>107.08%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27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90"/>
                <w:sz w:val="15"/>
              </w:rPr>
              <w:t>105.81%</w:t>
            </w:r>
          </w:p>
        </w:tc>
        <w:tc>
          <w:tcPr>
            <w:tcW w:w="672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27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105.84%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96.96%</w:t>
            </w:r>
          </w:p>
        </w:tc>
        <w:tc>
          <w:tcPr>
            <w:tcW w:w="630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98.45%</w:t>
            </w:r>
          </w:p>
        </w:tc>
      </w:tr>
      <w:tr>
        <w:trPr>
          <w:trHeight w:val="265" w:hRule="atLeast"/>
        </w:trPr>
        <w:tc>
          <w:tcPr>
            <w:tcW w:w="406" w:type="dxa"/>
            <w:shd w:val="clear" w:color="auto" w:fill="BEBEBE"/>
          </w:tcPr>
          <w:p>
            <w:pPr>
              <w:pStyle w:val="TableParagraph"/>
              <w:spacing w:line="176" w:lineRule="exact" w:before="70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90"/>
                <w:sz w:val="15"/>
              </w:rPr>
              <w:t>08</w:t>
            </w:r>
          </w:p>
        </w:tc>
        <w:tc>
          <w:tcPr>
            <w:tcW w:w="1539" w:type="dxa"/>
            <w:shd w:val="clear" w:color="auto" w:fill="BEBEBE"/>
          </w:tcPr>
          <w:p>
            <w:pPr>
              <w:pStyle w:val="TableParagraph"/>
              <w:spacing w:line="176" w:lineRule="exact" w:before="70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HUEHUETENANGO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63.46%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61.77%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64.88%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63.85%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62.04%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62.04%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61.30%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62.09%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62.85%</w:t>
            </w:r>
          </w:p>
        </w:tc>
        <w:tc>
          <w:tcPr>
            <w:tcW w:w="630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63.97%</w:t>
            </w:r>
          </w:p>
        </w:tc>
      </w:tr>
      <w:tr>
        <w:trPr>
          <w:trHeight w:val="264" w:hRule="atLeast"/>
        </w:trPr>
        <w:tc>
          <w:tcPr>
            <w:tcW w:w="406" w:type="dxa"/>
            <w:shd w:val="clear" w:color="auto" w:fill="BEBEBE"/>
          </w:tcPr>
          <w:p>
            <w:pPr>
              <w:pStyle w:val="TableParagraph"/>
              <w:spacing w:line="176" w:lineRule="exact" w:before="69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90"/>
                <w:sz w:val="15"/>
              </w:rPr>
              <w:t>09</w:t>
            </w:r>
          </w:p>
        </w:tc>
        <w:tc>
          <w:tcPr>
            <w:tcW w:w="1539" w:type="dxa"/>
            <w:shd w:val="clear" w:color="auto" w:fill="BEBEBE"/>
          </w:tcPr>
          <w:p>
            <w:pPr>
              <w:pStyle w:val="TableParagraph"/>
              <w:spacing w:line="176" w:lineRule="exact" w:before="69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spacing w:val="-1"/>
                <w:w w:val="50"/>
                <w:sz w:val="15"/>
              </w:rPr>
              <w:t>I</w:t>
            </w:r>
            <w:r>
              <w:rPr>
                <w:rFonts w:ascii="Verdana"/>
                <w:spacing w:val="-1"/>
                <w:w w:val="83"/>
                <w:sz w:val="15"/>
              </w:rPr>
              <w:t>Z</w:t>
            </w:r>
            <w:r>
              <w:rPr>
                <w:rFonts w:ascii="Verdana"/>
                <w:w w:val="83"/>
                <w:sz w:val="15"/>
              </w:rPr>
              <w:t>A</w:t>
            </w:r>
            <w:r>
              <w:rPr>
                <w:rFonts w:ascii="Verdana"/>
                <w:w w:val="78"/>
                <w:sz w:val="15"/>
              </w:rPr>
              <w:t>B</w:t>
            </w:r>
            <w:r>
              <w:rPr>
                <w:rFonts w:ascii="Verdana"/>
                <w:spacing w:val="1"/>
                <w:w w:val="101"/>
                <w:sz w:val="15"/>
              </w:rPr>
              <w:t>A</w:t>
            </w:r>
            <w:r>
              <w:rPr>
                <w:rFonts w:ascii="Verdana"/>
                <w:w w:val="77"/>
                <w:sz w:val="15"/>
              </w:rPr>
              <w:t>L</w:t>
            </w:r>
          </w:p>
        </w:tc>
        <w:tc>
          <w:tcPr>
            <w:tcW w:w="714" w:type="dxa"/>
            <w:shd w:val="clear" w:color="auto" w:fill="FFFFFF"/>
          </w:tcPr>
          <w:p>
            <w:pPr>
              <w:pStyle w:val="TableParagraph"/>
              <w:spacing w:line="176" w:lineRule="exact" w:before="69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83.84%</w:t>
            </w:r>
          </w:p>
        </w:tc>
        <w:tc>
          <w:tcPr>
            <w:tcW w:w="672" w:type="dxa"/>
            <w:shd w:val="clear" w:color="auto" w:fill="FFFFFF"/>
          </w:tcPr>
          <w:p>
            <w:pPr>
              <w:pStyle w:val="TableParagraph"/>
              <w:spacing w:line="176" w:lineRule="exact" w:before="69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81.67%</w:t>
            </w:r>
          </w:p>
        </w:tc>
        <w:tc>
          <w:tcPr>
            <w:tcW w:w="714" w:type="dxa"/>
            <w:shd w:val="clear" w:color="auto" w:fill="FFFFFF"/>
          </w:tcPr>
          <w:p>
            <w:pPr>
              <w:pStyle w:val="TableParagraph"/>
              <w:spacing w:line="176" w:lineRule="exact" w:before="69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84.69%</w:t>
            </w:r>
          </w:p>
        </w:tc>
        <w:tc>
          <w:tcPr>
            <w:tcW w:w="672" w:type="dxa"/>
            <w:shd w:val="clear" w:color="auto" w:fill="FFFFFF"/>
          </w:tcPr>
          <w:p>
            <w:pPr>
              <w:pStyle w:val="TableParagraph"/>
              <w:spacing w:line="176" w:lineRule="exact" w:before="69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82.78%</w:t>
            </w:r>
          </w:p>
        </w:tc>
        <w:tc>
          <w:tcPr>
            <w:tcW w:w="714" w:type="dxa"/>
            <w:shd w:val="clear" w:color="auto" w:fill="FFFFFF"/>
          </w:tcPr>
          <w:p>
            <w:pPr>
              <w:pStyle w:val="TableParagraph"/>
              <w:spacing w:line="176" w:lineRule="exact" w:before="69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85.86%</w:t>
            </w:r>
          </w:p>
        </w:tc>
        <w:tc>
          <w:tcPr>
            <w:tcW w:w="672" w:type="dxa"/>
            <w:shd w:val="clear" w:color="auto" w:fill="FFFFFF"/>
          </w:tcPr>
          <w:p>
            <w:pPr>
              <w:pStyle w:val="TableParagraph"/>
              <w:spacing w:line="176" w:lineRule="exact" w:before="69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84.25%</w:t>
            </w:r>
          </w:p>
        </w:tc>
        <w:tc>
          <w:tcPr>
            <w:tcW w:w="714" w:type="dxa"/>
            <w:shd w:val="clear" w:color="auto" w:fill="FFFFFF"/>
          </w:tcPr>
          <w:p>
            <w:pPr>
              <w:pStyle w:val="TableParagraph"/>
              <w:spacing w:line="176" w:lineRule="exact" w:before="69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85.67%</w:t>
            </w:r>
          </w:p>
        </w:tc>
        <w:tc>
          <w:tcPr>
            <w:tcW w:w="672" w:type="dxa"/>
            <w:shd w:val="clear" w:color="auto" w:fill="FFFFFF"/>
          </w:tcPr>
          <w:p>
            <w:pPr>
              <w:pStyle w:val="TableParagraph"/>
              <w:spacing w:line="176" w:lineRule="exact" w:before="69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84.53%</w:t>
            </w:r>
          </w:p>
        </w:tc>
        <w:tc>
          <w:tcPr>
            <w:tcW w:w="714" w:type="dxa"/>
            <w:shd w:val="clear" w:color="auto" w:fill="FFFFFF"/>
          </w:tcPr>
          <w:p>
            <w:pPr>
              <w:pStyle w:val="TableParagraph"/>
              <w:spacing w:line="176" w:lineRule="exact" w:before="69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87.13%</w:t>
            </w:r>
          </w:p>
        </w:tc>
        <w:tc>
          <w:tcPr>
            <w:tcW w:w="630" w:type="dxa"/>
            <w:shd w:val="clear" w:color="auto" w:fill="FFFFFF"/>
          </w:tcPr>
          <w:p>
            <w:pPr>
              <w:pStyle w:val="TableParagraph"/>
              <w:spacing w:line="176" w:lineRule="exact" w:before="69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86.10%</w:t>
            </w:r>
          </w:p>
        </w:tc>
      </w:tr>
      <w:tr>
        <w:trPr>
          <w:trHeight w:val="264" w:hRule="atLeast"/>
        </w:trPr>
        <w:tc>
          <w:tcPr>
            <w:tcW w:w="406" w:type="dxa"/>
            <w:shd w:val="clear" w:color="auto" w:fill="BEBEBE"/>
          </w:tcPr>
          <w:p>
            <w:pPr>
              <w:pStyle w:val="TableParagraph"/>
              <w:spacing w:line="174" w:lineRule="exact" w:before="70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90"/>
                <w:sz w:val="15"/>
              </w:rPr>
              <w:t>10</w:t>
            </w:r>
          </w:p>
        </w:tc>
        <w:tc>
          <w:tcPr>
            <w:tcW w:w="1539" w:type="dxa"/>
            <w:shd w:val="clear" w:color="auto" w:fill="BEBEBE"/>
          </w:tcPr>
          <w:p>
            <w:pPr>
              <w:pStyle w:val="TableParagraph"/>
              <w:spacing w:line="174" w:lineRule="exact" w:before="70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JALAPA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4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75.10%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4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72.57%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4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77.67%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4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75.25%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4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76.67%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4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74.46%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4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75.62%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4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74.65%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4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78.16%</w:t>
            </w:r>
          </w:p>
        </w:tc>
        <w:tc>
          <w:tcPr>
            <w:tcW w:w="630" w:type="dxa"/>
            <w:shd w:val="clear" w:color="auto" w:fill="FFF1CC"/>
          </w:tcPr>
          <w:p>
            <w:pPr>
              <w:pStyle w:val="TableParagraph"/>
              <w:spacing w:line="174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77.67%</w:t>
            </w:r>
          </w:p>
        </w:tc>
      </w:tr>
      <w:tr>
        <w:trPr>
          <w:trHeight w:val="266" w:hRule="atLeast"/>
        </w:trPr>
        <w:tc>
          <w:tcPr>
            <w:tcW w:w="406" w:type="dxa"/>
            <w:shd w:val="clear" w:color="auto" w:fill="BEBEBE"/>
          </w:tcPr>
          <w:p>
            <w:pPr>
              <w:pStyle w:val="TableParagraph"/>
              <w:spacing w:line="176" w:lineRule="exact" w:before="70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90"/>
                <w:sz w:val="15"/>
              </w:rPr>
              <w:t>11</w:t>
            </w:r>
          </w:p>
        </w:tc>
        <w:tc>
          <w:tcPr>
            <w:tcW w:w="1539" w:type="dxa"/>
            <w:shd w:val="clear" w:color="auto" w:fill="BEBEBE"/>
          </w:tcPr>
          <w:p>
            <w:pPr>
              <w:pStyle w:val="TableParagraph"/>
              <w:spacing w:line="176" w:lineRule="exact" w:before="70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JUTIAPA</w:t>
            </w:r>
          </w:p>
        </w:tc>
        <w:tc>
          <w:tcPr>
            <w:tcW w:w="714" w:type="dxa"/>
            <w:shd w:val="clear" w:color="auto" w:fill="FFFFFF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85.25%</w:t>
            </w:r>
          </w:p>
        </w:tc>
        <w:tc>
          <w:tcPr>
            <w:tcW w:w="672" w:type="dxa"/>
            <w:shd w:val="clear" w:color="auto" w:fill="FFFFFF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83.10%</w:t>
            </w:r>
          </w:p>
        </w:tc>
        <w:tc>
          <w:tcPr>
            <w:tcW w:w="714" w:type="dxa"/>
            <w:shd w:val="clear" w:color="auto" w:fill="FFFFFF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87.11%</w:t>
            </w:r>
          </w:p>
        </w:tc>
        <w:tc>
          <w:tcPr>
            <w:tcW w:w="672" w:type="dxa"/>
            <w:shd w:val="clear" w:color="auto" w:fill="FFFFFF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85.43%</w:t>
            </w:r>
          </w:p>
        </w:tc>
        <w:tc>
          <w:tcPr>
            <w:tcW w:w="714" w:type="dxa"/>
            <w:shd w:val="clear" w:color="auto" w:fill="FFFFFF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85.97%</w:t>
            </w:r>
          </w:p>
        </w:tc>
        <w:tc>
          <w:tcPr>
            <w:tcW w:w="672" w:type="dxa"/>
            <w:shd w:val="clear" w:color="auto" w:fill="FFFFFF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85.17%</w:t>
            </w:r>
          </w:p>
        </w:tc>
        <w:tc>
          <w:tcPr>
            <w:tcW w:w="714" w:type="dxa"/>
            <w:shd w:val="clear" w:color="auto" w:fill="FFFFFF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83.86%</w:t>
            </w:r>
          </w:p>
        </w:tc>
        <w:tc>
          <w:tcPr>
            <w:tcW w:w="672" w:type="dxa"/>
            <w:shd w:val="clear" w:color="auto" w:fill="FFFFFF"/>
          </w:tcPr>
          <w:p>
            <w:pPr>
              <w:pStyle w:val="TableParagraph"/>
              <w:spacing w:line="176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83.95%</w:t>
            </w:r>
          </w:p>
        </w:tc>
        <w:tc>
          <w:tcPr>
            <w:tcW w:w="714" w:type="dxa"/>
            <w:shd w:val="clear" w:color="auto" w:fill="FFFFFF"/>
          </w:tcPr>
          <w:p>
            <w:pPr>
              <w:pStyle w:val="TableParagraph"/>
              <w:spacing w:line="176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86.48%</w:t>
            </w:r>
          </w:p>
        </w:tc>
        <w:tc>
          <w:tcPr>
            <w:tcW w:w="630" w:type="dxa"/>
            <w:shd w:val="clear" w:color="auto" w:fill="FFFFFF"/>
          </w:tcPr>
          <w:p>
            <w:pPr>
              <w:pStyle w:val="TableParagraph"/>
              <w:spacing w:line="176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86.99%</w:t>
            </w:r>
          </w:p>
        </w:tc>
      </w:tr>
      <w:tr>
        <w:trPr>
          <w:trHeight w:val="264" w:hRule="atLeast"/>
        </w:trPr>
        <w:tc>
          <w:tcPr>
            <w:tcW w:w="406" w:type="dxa"/>
            <w:shd w:val="clear" w:color="auto" w:fill="BEBEBE"/>
          </w:tcPr>
          <w:p>
            <w:pPr>
              <w:pStyle w:val="TableParagraph"/>
              <w:spacing w:line="176" w:lineRule="exact" w:before="69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90"/>
                <w:sz w:val="15"/>
              </w:rPr>
              <w:t>12</w:t>
            </w:r>
          </w:p>
        </w:tc>
        <w:tc>
          <w:tcPr>
            <w:tcW w:w="1539" w:type="dxa"/>
            <w:shd w:val="clear" w:color="auto" w:fill="BEBEBE"/>
          </w:tcPr>
          <w:p>
            <w:pPr>
              <w:pStyle w:val="TableParagraph"/>
              <w:spacing w:line="176" w:lineRule="exact" w:before="69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90"/>
                <w:sz w:val="15"/>
              </w:rPr>
              <w:t>PETEN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6" w:lineRule="exact" w:before="69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84.86%</w:t>
            </w:r>
          </w:p>
        </w:tc>
        <w:tc>
          <w:tcPr>
            <w:tcW w:w="672" w:type="dxa"/>
            <w:shd w:val="clear" w:color="auto" w:fill="FBFCFC"/>
          </w:tcPr>
          <w:p>
            <w:pPr>
              <w:pStyle w:val="TableParagraph"/>
              <w:spacing w:line="176" w:lineRule="exact" w:before="69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83.44%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6" w:lineRule="exact" w:before="69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87.85%</w:t>
            </w:r>
          </w:p>
        </w:tc>
        <w:tc>
          <w:tcPr>
            <w:tcW w:w="672" w:type="dxa"/>
            <w:shd w:val="clear" w:color="auto" w:fill="FBFCFC"/>
          </w:tcPr>
          <w:p>
            <w:pPr>
              <w:pStyle w:val="TableParagraph"/>
              <w:spacing w:line="176" w:lineRule="exact" w:before="69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86.49%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6" w:lineRule="exact" w:before="69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86.36%</w:t>
            </w:r>
          </w:p>
        </w:tc>
        <w:tc>
          <w:tcPr>
            <w:tcW w:w="672" w:type="dxa"/>
            <w:shd w:val="clear" w:color="auto" w:fill="FBFCFC"/>
          </w:tcPr>
          <w:p>
            <w:pPr>
              <w:pStyle w:val="TableParagraph"/>
              <w:spacing w:line="176" w:lineRule="exact" w:before="69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85.82%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6" w:lineRule="exact" w:before="69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85.00%</w:t>
            </w:r>
          </w:p>
        </w:tc>
        <w:tc>
          <w:tcPr>
            <w:tcW w:w="672" w:type="dxa"/>
            <w:shd w:val="clear" w:color="auto" w:fill="FBFCFC"/>
          </w:tcPr>
          <w:p>
            <w:pPr>
              <w:pStyle w:val="TableParagraph"/>
              <w:spacing w:line="176" w:lineRule="exact" w:before="69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84.69%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6" w:lineRule="exact" w:before="69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86.28%</w:t>
            </w:r>
          </w:p>
        </w:tc>
        <w:tc>
          <w:tcPr>
            <w:tcW w:w="630" w:type="dxa"/>
            <w:shd w:val="clear" w:color="auto" w:fill="FBFCFC"/>
          </w:tcPr>
          <w:p>
            <w:pPr>
              <w:pStyle w:val="TableParagraph"/>
              <w:spacing w:line="176" w:lineRule="exact" w:before="69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86.38%</w:t>
            </w:r>
          </w:p>
        </w:tc>
      </w:tr>
      <w:tr>
        <w:trPr>
          <w:trHeight w:val="264" w:hRule="atLeast"/>
        </w:trPr>
        <w:tc>
          <w:tcPr>
            <w:tcW w:w="406" w:type="dxa"/>
            <w:shd w:val="clear" w:color="auto" w:fill="BEBEBE"/>
          </w:tcPr>
          <w:p>
            <w:pPr>
              <w:pStyle w:val="TableParagraph"/>
              <w:spacing w:line="175" w:lineRule="exact" w:before="70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90"/>
                <w:sz w:val="15"/>
              </w:rPr>
              <w:t>13</w:t>
            </w:r>
          </w:p>
        </w:tc>
        <w:tc>
          <w:tcPr>
            <w:tcW w:w="1539" w:type="dxa"/>
            <w:shd w:val="clear" w:color="auto" w:fill="BEBEBE"/>
          </w:tcPr>
          <w:p>
            <w:pPr>
              <w:pStyle w:val="TableParagraph"/>
              <w:spacing w:line="175" w:lineRule="exact" w:before="70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QUETZALTENANGO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88.89%</w:t>
            </w:r>
          </w:p>
        </w:tc>
        <w:tc>
          <w:tcPr>
            <w:tcW w:w="672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84.91%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89.56%</w:t>
            </w:r>
          </w:p>
        </w:tc>
        <w:tc>
          <w:tcPr>
            <w:tcW w:w="672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85.69%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87.70%</w:t>
            </w:r>
          </w:p>
        </w:tc>
        <w:tc>
          <w:tcPr>
            <w:tcW w:w="672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83.84%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87.20%</w:t>
            </w:r>
          </w:p>
        </w:tc>
        <w:tc>
          <w:tcPr>
            <w:tcW w:w="672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83.85%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85.65%</w:t>
            </w:r>
          </w:p>
        </w:tc>
        <w:tc>
          <w:tcPr>
            <w:tcW w:w="630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83.14%</w:t>
            </w:r>
          </w:p>
        </w:tc>
      </w:tr>
      <w:tr>
        <w:trPr>
          <w:trHeight w:val="266" w:hRule="atLeast"/>
        </w:trPr>
        <w:tc>
          <w:tcPr>
            <w:tcW w:w="406" w:type="dxa"/>
            <w:shd w:val="clear" w:color="auto" w:fill="BEBEBE"/>
          </w:tcPr>
          <w:p>
            <w:pPr>
              <w:pStyle w:val="TableParagraph"/>
              <w:spacing w:line="176" w:lineRule="exact" w:before="70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90"/>
                <w:sz w:val="15"/>
              </w:rPr>
              <w:t>14</w:t>
            </w:r>
          </w:p>
        </w:tc>
        <w:tc>
          <w:tcPr>
            <w:tcW w:w="1539" w:type="dxa"/>
            <w:shd w:val="clear" w:color="auto" w:fill="BEBEBE"/>
          </w:tcPr>
          <w:p>
            <w:pPr>
              <w:pStyle w:val="TableParagraph"/>
              <w:spacing w:line="176" w:lineRule="exact" w:before="70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103"/>
                <w:sz w:val="15"/>
              </w:rPr>
              <w:t>Q</w:t>
            </w:r>
            <w:r>
              <w:rPr>
                <w:rFonts w:ascii="Verdana"/>
                <w:w w:val="83"/>
                <w:sz w:val="15"/>
              </w:rPr>
              <w:t>U</w:t>
            </w:r>
            <w:r>
              <w:rPr>
                <w:rFonts w:ascii="Verdana"/>
                <w:spacing w:val="-1"/>
                <w:w w:val="50"/>
                <w:sz w:val="15"/>
              </w:rPr>
              <w:t>I</w:t>
            </w:r>
            <w:r>
              <w:rPr>
                <w:rFonts w:ascii="Verdana"/>
                <w:w w:val="96"/>
                <w:sz w:val="15"/>
              </w:rPr>
              <w:t>CH</w:t>
            </w:r>
            <w:r>
              <w:rPr>
                <w:rFonts w:ascii="Verdana"/>
                <w:w w:val="79"/>
                <w:sz w:val="15"/>
              </w:rPr>
              <w:t>E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71.14%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67.93%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72.31%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69.46%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69.25%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67.80%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68.12%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66.85%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69.72%</w:t>
            </w:r>
          </w:p>
        </w:tc>
        <w:tc>
          <w:tcPr>
            <w:tcW w:w="630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68.43%</w:t>
            </w:r>
          </w:p>
        </w:tc>
      </w:tr>
      <w:tr>
        <w:trPr>
          <w:trHeight w:val="264" w:hRule="atLeast"/>
        </w:trPr>
        <w:tc>
          <w:tcPr>
            <w:tcW w:w="406" w:type="dxa"/>
            <w:shd w:val="clear" w:color="auto" w:fill="BEBEBE"/>
          </w:tcPr>
          <w:p>
            <w:pPr>
              <w:pStyle w:val="TableParagraph"/>
              <w:spacing w:line="176" w:lineRule="exact" w:before="68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90"/>
                <w:sz w:val="15"/>
              </w:rPr>
              <w:t>15</w:t>
            </w:r>
          </w:p>
        </w:tc>
        <w:tc>
          <w:tcPr>
            <w:tcW w:w="1539" w:type="dxa"/>
            <w:shd w:val="clear" w:color="auto" w:fill="BEBEBE"/>
          </w:tcPr>
          <w:p>
            <w:pPr>
              <w:pStyle w:val="TableParagraph"/>
              <w:spacing w:line="176" w:lineRule="exact" w:before="68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90"/>
                <w:sz w:val="15"/>
              </w:rPr>
              <w:t>RETALHULEU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6" w:lineRule="exact" w:before="68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88.24%</w:t>
            </w:r>
          </w:p>
        </w:tc>
        <w:tc>
          <w:tcPr>
            <w:tcW w:w="672" w:type="dxa"/>
            <w:shd w:val="clear" w:color="auto" w:fill="FBFCFC"/>
          </w:tcPr>
          <w:p>
            <w:pPr>
              <w:pStyle w:val="TableParagraph"/>
              <w:spacing w:line="176" w:lineRule="exact" w:before="68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85.53%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6" w:lineRule="exact" w:before="68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90.10%</w:t>
            </w:r>
          </w:p>
        </w:tc>
        <w:tc>
          <w:tcPr>
            <w:tcW w:w="672" w:type="dxa"/>
            <w:shd w:val="clear" w:color="auto" w:fill="FBFCFC"/>
          </w:tcPr>
          <w:p>
            <w:pPr>
              <w:pStyle w:val="TableParagraph"/>
              <w:spacing w:line="176" w:lineRule="exact" w:before="68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87.78%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6" w:lineRule="exact" w:before="68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88.62%</w:t>
            </w:r>
          </w:p>
        </w:tc>
        <w:tc>
          <w:tcPr>
            <w:tcW w:w="672" w:type="dxa"/>
            <w:shd w:val="clear" w:color="auto" w:fill="FBFCFC"/>
          </w:tcPr>
          <w:p>
            <w:pPr>
              <w:pStyle w:val="TableParagraph"/>
              <w:spacing w:line="176" w:lineRule="exact" w:before="68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86.88%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6" w:lineRule="exact" w:before="68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88.07%</w:t>
            </w:r>
          </w:p>
        </w:tc>
        <w:tc>
          <w:tcPr>
            <w:tcW w:w="672" w:type="dxa"/>
            <w:shd w:val="clear" w:color="auto" w:fill="FBFCFC"/>
          </w:tcPr>
          <w:p>
            <w:pPr>
              <w:pStyle w:val="TableParagraph"/>
              <w:spacing w:line="176" w:lineRule="exact" w:before="68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87.43%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6" w:lineRule="exact" w:before="68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88.92%</w:t>
            </w:r>
          </w:p>
        </w:tc>
        <w:tc>
          <w:tcPr>
            <w:tcW w:w="630" w:type="dxa"/>
            <w:shd w:val="clear" w:color="auto" w:fill="FBFCFC"/>
          </w:tcPr>
          <w:p>
            <w:pPr>
              <w:pStyle w:val="TableParagraph"/>
              <w:spacing w:line="176" w:lineRule="exact" w:before="68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88.84%</w:t>
            </w:r>
          </w:p>
        </w:tc>
      </w:tr>
      <w:tr>
        <w:trPr>
          <w:trHeight w:val="264" w:hRule="atLeast"/>
        </w:trPr>
        <w:tc>
          <w:tcPr>
            <w:tcW w:w="406" w:type="dxa"/>
            <w:shd w:val="clear" w:color="auto" w:fill="BEBEBE"/>
          </w:tcPr>
          <w:p>
            <w:pPr>
              <w:pStyle w:val="TableParagraph"/>
              <w:spacing w:line="175" w:lineRule="exact" w:before="70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90"/>
                <w:sz w:val="15"/>
              </w:rPr>
              <w:t>16</w:t>
            </w:r>
          </w:p>
        </w:tc>
        <w:tc>
          <w:tcPr>
            <w:tcW w:w="1539" w:type="dxa"/>
            <w:shd w:val="clear" w:color="auto" w:fill="BEBEBE"/>
          </w:tcPr>
          <w:p>
            <w:pPr>
              <w:pStyle w:val="TableParagraph"/>
              <w:spacing w:line="175" w:lineRule="exact" w:before="70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SACATEPEQUEZ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89.14%</w:t>
            </w:r>
          </w:p>
        </w:tc>
        <w:tc>
          <w:tcPr>
            <w:tcW w:w="672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88.72%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90.98%</w:t>
            </w:r>
          </w:p>
        </w:tc>
        <w:tc>
          <w:tcPr>
            <w:tcW w:w="672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90.10%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91.35%</w:t>
            </w:r>
          </w:p>
        </w:tc>
        <w:tc>
          <w:tcPr>
            <w:tcW w:w="672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90.69%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91.23%</w:t>
            </w:r>
          </w:p>
        </w:tc>
        <w:tc>
          <w:tcPr>
            <w:tcW w:w="672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91.26%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87.44%</w:t>
            </w:r>
          </w:p>
        </w:tc>
        <w:tc>
          <w:tcPr>
            <w:tcW w:w="630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88.23%</w:t>
            </w:r>
          </w:p>
        </w:tc>
      </w:tr>
      <w:tr>
        <w:trPr>
          <w:trHeight w:val="266" w:hRule="atLeast"/>
        </w:trPr>
        <w:tc>
          <w:tcPr>
            <w:tcW w:w="406" w:type="dxa"/>
            <w:shd w:val="clear" w:color="auto" w:fill="BEBEBE"/>
          </w:tcPr>
          <w:p>
            <w:pPr>
              <w:pStyle w:val="TableParagraph"/>
              <w:spacing w:line="176" w:lineRule="exact" w:before="70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90"/>
                <w:sz w:val="15"/>
              </w:rPr>
              <w:t>17</w:t>
            </w:r>
          </w:p>
        </w:tc>
        <w:tc>
          <w:tcPr>
            <w:tcW w:w="1539" w:type="dxa"/>
            <w:shd w:val="clear" w:color="auto" w:fill="BEBEBE"/>
          </w:tcPr>
          <w:p>
            <w:pPr>
              <w:pStyle w:val="TableParagraph"/>
              <w:spacing w:line="176" w:lineRule="exact" w:before="70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90"/>
                <w:sz w:val="15"/>
              </w:rPr>
              <w:t>SAN</w:t>
            </w:r>
            <w:r>
              <w:rPr>
                <w:rFonts w:ascii="Verdana"/>
                <w:spacing w:val="1"/>
                <w:w w:val="90"/>
                <w:sz w:val="15"/>
              </w:rPr>
              <w:t> </w:t>
            </w:r>
            <w:r>
              <w:rPr>
                <w:rFonts w:ascii="Verdana"/>
                <w:w w:val="90"/>
                <w:sz w:val="15"/>
              </w:rPr>
              <w:t>MARCOS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75.78%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72.68%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76.34%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73.61%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74.40%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72.02%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73.60%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71.81%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75.30%</w:t>
            </w:r>
          </w:p>
        </w:tc>
        <w:tc>
          <w:tcPr>
            <w:tcW w:w="630" w:type="dxa"/>
            <w:shd w:val="clear" w:color="auto" w:fill="FFF1CC"/>
          </w:tcPr>
          <w:p>
            <w:pPr>
              <w:pStyle w:val="TableParagraph"/>
              <w:spacing w:line="176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73.86%</w:t>
            </w:r>
          </w:p>
        </w:tc>
      </w:tr>
      <w:tr>
        <w:trPr>
          <w:trHeight w:val="264" w:hRule="atLeast"/>
        </w:trPr>
        <w:tc>
          <w:tcPr>
            <w:tcW w:w="406" w:type="dxa"/>
            <w:shd w:val="clear" w:color="auto" w:fill="BEBEBE"/>
          </w:tcPr>
          <w:p>
            <w:pPr>
              <w:pStyle w:val="TableParagraph"/>
              <w:spacing w:line="176" w:lineRule="exact" w:before="68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90"/>
                <w:sz w:val="15"/>
              </w:rPr>
              <w:t>18</w:t>
            </w:r>
          </w:p>
        </w:tc>
        <w:tc>
          <w:tcPr>
            <w:tcW w:w="1539" w:type="dxa"/>
            <w:shd w:val="clear" w:color="auto" w:fill="BEBEBE"/>
          </w:tcPr>
          <w:p>
            <w:pPr>
              <w:pStyle w:val="TableParagraph"/>
              <w:spacing w:line="176" w:lineRule="exact" w:before="68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SANTA</w:t>
            </w:r>
            <w:r>
              <w:rPr>
                <w:rFonts w:ascii="Verdana"/>
                <w:spacing w:val="-2"/>
                <w:w w:val="85"/>
                <w:sz w:val="15"/>
              </w:rPr>
              <w:t> </w:t>
            </w:r>
            <w:r>
              <w:rPr>
                <w:rFonts w:ascii="Verdana"/>
                <w:w w:val="85"/>
                <w:sz w:val="15"/>
              </w:rPr>
              <w:t>ROSA</w:t>
            </w:r>
          </w:p>
        </w:tc>
        <w:tc>
          <w:tcPr>
            <w:tcW w:w="714" w:type="dxa"/>
            <w:shd w:val="clear" w:color="auto" w:fill="FFFFFF"/>
          </w:tcPr>
          <w:p>
            <w:pPr>
              <w:pStyle w:val="TableParagraph"/>
              <w:spacing w:line="176" w:lineRule="exact" w:before="68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88.82%</w:t>
            </w:r>
          </w:p>
        </w:tc>
        <w:tc>
          <w:tcPr>
            <w:tcW w:w="672" w:type="dxa"/>
            <w:shd w:val="clear" w:color="auto" w:fill="FFFFFF"/>
          </w:tcPr>
          <w:p>
            <w:pPr>
              <w:pStyle w:val="TableParagraph"/>
              <w:spacing w:line="176" w:lineRule="exact" w:before="68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86.95%</w:t>
            </w:r>
          </w:p>
        </w:tc>
        <w:tc>
          <w:tcPr>
            <w:tcW w:w="714" w:type="dxa"/>
            <w:shd w:val="clear" w:color="auto" w:fill="FFFFFF"/>
          </w:tcPr>
          <w:p>
            <w:pPr>
              <w:pStyle w:val="TableParagraph"/>
              <w:spacing w:line="176" w:lineRule="exact" w:before="68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89.82%</w:t>
            </w:r>
          </w:p>
        </w:tc>
        <w:tc>
          <w:tcPr>
            <w:tcW w:w="672" w:type="dxa"/>
            <w:shd w:val="clear" w:color="auto" w:fill="FFFFFF"/>
          </w:tcPr>
          <w:p>
            <w:pPr>
              <w:pStyle w:val="TableParagraph"/>
              <w:spacing w:line="176" w:lineRule="exact" w:before="68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88.39%</w:t>
            </w:r>
          </w:p>
        </w:tc>
        <w:tc>
          <w:tcPr>
            <w:tcW w:w="714" w:type="dxa"/>
            <w:shd w:val="clear" w:color="auto" w:fill="FFFFFF"/>
          </w:tcPr>
          <w:p>
            <w:pPr>
              <w:pStyle w:val="TableParagraph"/>
              <w:spacing w:line="176" w:lineRule="exact" w:before="68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89.05%</w:t>
            </w:r>
          </w:p>
        </w:tc>
        <w:tc>
          <w:tcPr>
            <w:tcW w:w="672" w:type="dxa"/>
            <w:shd w:val="clear" w:color="auto" w:fill="FFFFFF"/>
          </w:tcPr>
          <w:p>
            <w:pPr>
              <w:pStyle w:val="TableParagraph"/>
              <w:spacing w:line="176" w:lineRule="exact" w:before="68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88.64%</w:t>
            </w:r>
          </w:p>
        </w:tc>
        <w:tc>
          <w:tcPr>
            <w:tcW w:w="714" w:type="dxa"/>
            <w:shd w:val="clear" w:color="auto" w:fill="FFFFFF"/>
          </w:tcPr>
          <w:p>
            <w:pPr>
              <w:pStyle w:val="TableParagraph"/>
              <w:spacing w:line="176" w:lineRule="exact" w:before="68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88.35%</w:t>
            </w:r>
          </w:p>
        </w:tc>
        <w:tc>
          <w:tcPr>
            <w:tcW w:w="672" w:type="dxa"/>
            <w:shd w:val="clear" w:color="auto" w:fill="FFFFFF"/>
          </w:tcPr>
          <w:p>
            <w:pPr>
              <w:pStyle w:val="TableParagraph"/>
              <w:spacing w:line="176" w:lineRule="exact" w:before="68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88.97%</w:t>
            </w:r>
          </w:p>
        </w:tc>
        <w:tc>
          <w:tcPr>
            <w:tcW w:w="714" w:type="dxa"/>
            <w:shd w:val="clear" w:color="auto" w:fill="FFFFFF"/>
          </w:tcPr>
          <w:p>
            <w:pPr>
              <w:pStyle w:val="TableParagraph"/>
              <w:spacing w:line="176" w:lineRule="exact" w:before="68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89.61%</w:t>
            </w:r>
          </w:p>
        </w:tc>
        <w:tc>
          <w:tcPr>
            <w:tcW w:w="630" w:type="dxa"/>
            <w:shd w:val="clear" w:color="auto" w:fill="FFFFFF"/>
          </w:tcPr>
          <w:p>
            <w:pPr>
              <w:pStyle w:val="TableParagraph"/>
              <w:spacing w:line="176" w:lineRule="exact" w:before="68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90.66%</w:t>
            </w:r>
          </w:p>
        </w:tc>
      </w:tr>
      <w:tr>
        <w:trPr>
          <w:trHeight w:val="264" w:hRule="atLeast"/>
        </w:trPr>
        <w:tc>
          <w:tcPr>
            <w:tcW w:w="406" w:type="dxa"/>
            <w:shd w:val="clear" w:color="auto" w:fill="BEBEBE"/>
          </w:tcPr>
          <w:p>
            <w:pPr>
              <w:pStyle w:val="TableParagraph"/>
              <w:spacing w:line="175" w:lineRule="exact" w:before="70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90"/>
                <w:sz w:val="15"/>
              </w:rPr>
              <w:t>19</w:t>
            </w:r>
          </w:p>
        </w:tc>
        <w:tc>
          <w:tcPr>
            <w:tcW w:w="1539" w:type="dxa"/>
            <w:shd w:val="clear" w:color="auto" w:fill="BEBEBE"/>
          </w:tcPr>
          <w:p>
            <w:pPr>
              <w:pStyle w:val="TableParagraph"/>
              <w:spacing w:line="175" w:lineRule="exact" w:before="70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SOLOLA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79.31%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78.54%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79.96%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79.36%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79.19%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78.94%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78.93%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5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78.94%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5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80.17%</w:t>
            </w:r>
          </w:p>
        </w:tc>
        <w:tc>
          <w:tcPr>
            <w:tcW w:w="630" w:type="dxa"/>
            <w:shd w:val="clear" w:color="auto" w:fill="FFF1CC"/>
          </w:tcPr>
          <w:p>
            <w:pPr>
              <w:pStyle w:val="TableParagraph"/>
              <w:spacing w:line="175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79.96%</w:t>
            </w:r>
          </w:p>
        </w:tc>
      </w:tr>
      <w:tr>
        <w:trPr>
          <w:trHeight w:val="266" w:hRule="atLeast"/>
        </w:trPr>
        <w:tc>
          <w:tcPr>
            <w:tcW w:w="406" w:type="dxa"/>
            <w:shd w:val="clear" w:color="auto" w:fill="BEBEBE"/>
          </w:tcPr>
          <w:p>
            <w:pPr>
              <w:pStyle w:val="TableParagraph"/>
              <w:spacing w:line="176" w:lineRule="exact" w:before="70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90"/>
                <w:sz w:val="15"/>
              </w:rPr>
              <w:t>20</w:t>
            </w:r>
          </w:p>
        </w:tc>
        <w:tc>
          <w:tcPr>
            <w:tcW w:w="1539" w:type="dxa"/>
            <w:shd w:val="clear" w:color="auto" w:fill="BEBEBE"/>
          </w:tcPr>
          <w:p>
            <w:pPr>
              <w:pStyle w:val="TableParagraph"/>
              <w:spacing w:line="176" w:lineRule="exact" w:before="70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spacing w:val="-1"/>
                <w:w w:val="76"/>
                <w:sz w:val="15"/>
              </w:rPr>
              <w:t>S</w:t>
            </w:r>
            <w:r>
              <w:rPr>
                <w:rFonts w:ascii="Verdana"/>
                <w:w w:val="76"/>
                <w:sz w:val="15"/>
              </w:rPr>
              <w:t>U</w:t>
            </w:r>
            <w:r>
              <w:rPr>
                <w:rFonts w:ascii="Verdana"/>
                <w:w w:val="96"/>
                <w:sz w:val="15"/>
              </w:rPr>
              <w:t>CH</w:t>
            </w:r>
            <w:r>
              <w:rPr>
                <w:rFonts w:ascii="Verdana"/>
                <w:spacing w:val="-1"/>
                <w:w w:val="50"/>
                <w:sz w:val="15"/>
              </w:rPr>
              <w:t>I</w:t>
            </w:r>
            <w:r>
              <w:rPr>
                <w:rFonts w:ascii="Verdana"/>
                <w:w w:val="64"/>
                <w:sz w:val="15"/>
              </w:rPr>
              <w:t>T</w:t>
            </w:r>
            <w:r>
              <w:rPr>
                <w:rFonts w:ascii="Verdana"/>
                <w:spacing w:val="-1"/>
                <w:w w:val="79"/>
                <w:sz w:val="15"/>
              </w:rPr>
              <w:t>E</w:t>
            </w:r>
            <w:r>
              <w:rPr>
                <w:rFonts w:ascii="Verdana"/>
                <w:w w:val="91"/>
                <w:sz w:val="15"/>
              </w:rPr>
              <w:t>P</w:t>
            </w:r>
            <w:r>
              <w:rPr>
                <w:rFonts w:ascii="Verdana"/>
                <w:w w:val="79"/>
                <w:sz w:val="15"/>
              </w:rPr>
              <w:t>E</w:t>
            </w:r>
            <w:r>
              <w:rPr>
                <w:rFonts w:ascii="Verdana"/>
                <w:w w:val="103"/>
                <w:sz w:val="15"/>
              </w:rPr>
              <w:t>Q</w:t>
            </w:r>
            <w:r>
              <w:rPr>
                <w:rFonts w:ascii="Verdana"/>
                <w:w w:val="83"/>
                <w:sz w:val="15"/>
              </w:rPr>
              <w:t>U</w:t>
            </w:r>
            <w:r>
              <w:rPr>
                <w:rFonts w:ascii="Verdana"/>
                <w:w w:val="79"/>
                <w:sz w:val="15"/>
              </w:rPr>
              <w:t>E</w:t>
            </w:r>
            <w:r>
              <w:rPr>
                <w:rFonts w:ascii="Verdana"/>
                <w:w w:val="65"/>
                <w:sz w:val="15"/>
              </w:rPr>
              <w:t>Z</w:t>
            </w:r>
          </w:p>
        </w:tc>
        <w:tc>
          <w:tcPr>
            <w:tcW w:w="714" w:type="dxa"/>
            <w:shd w:val="clear" w:color="auto" w:fill="FFFFFF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80.78%</w:t>
            </w:r>
          </w:p>
        </w:tc>
        <w:tc>
          <w:tcPr>
            <w:tcW w:w="672" w:type="dxa"/>
            <w:shd w:val="clear" w:color="auto" w:fill="FFFFFF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74.36%</w:t>
            </w:r>
          </w:p>
        </w:tc>
        <w:tc>
          <w:tcPr>
            <w:tcW w:w="714" w:type="dxa"/>
            <w:shd w:val="clear" w:color="auto" w:fill="FFFFFF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82.11%</w:t>
            </w:r>
          </w:p>
        </w:tc>
        <w:tc>
          <w:tcPr>
            <w:tcW w:w="672" w:type="dxa"/>
            <w:shd w:val="clear" w:color="auto" w:fill="FFFFFF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76.18%</w:t>
            </w:r>
          </w:p>
        </w:tc>
        <w:tc>
          <w:tcPr>
            <w:tcW w:w="714" w:type="dxa"/>
            <w:shd w:val="clear" w:color="auto" w:fill="FFFFFF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80.21%</w:t>
            </w:r>
          </w:p>
        </w:tc>
        <w:tc>
          <w:tcPr>
            <w:tcW w:w="672" w:type="dxa"/>
            <w:shd w:val="clear" w:color="auto" w:fill="FFFFFF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75.19%</w:t>
            </w:r>
          </w:p>
        </w:tc>
        <w:tc>
          <w:tcPr>
            <w:tcW w:w="714" w:type="dxa"/>
            <w:shd w:val="clear" w:color="auto" w:fill="FFFFFF"/>
          </w:tcPr>
          <w:p>
            <w:pPr>
              <w:pStyle w:val="TableParagraph"/>
              <w:spacing w:line="176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80.75%</w:t>
            </w:r>
          </w:p>
        </w:tc>
        <w:tc>
          <w:tcPr>
            <w:tcW w:w="672" w:type="dxa"/>
            <w:shd w:val="clear" w:color="auto" w:fill="FFFFFF"/>
          </w:tcPr>
          <w:p>
            <w:pPr>
              <w:pStyle w:val="TableParagraph"/>
              <w:spacing w:line="176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76.16%</w:t>
            </w:r>
          </w:p>
        </w:tc>
        <w:tc>
          <w:tcPr>
            <w:tcW w:w="714" w:type="dxa"/>
            <w:shd w:val="clear" w:color="auto" w:fill="FFFFFF"/>
          </w:tcPr>
          <w:p>
            <w:pPr>
              <w:pStyle w:val="TableParagraph"/>
              <w:spacing w:line="176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81.58%</w:t>
            </w:r>
          </w:p>
        </w:tc>
        <w:tc>
          <w:tcPr>
            <w:tcW w:w="630" w:type="dxa"/>
            <w:shd w:val="clear" w:color="auto" w:fill="FFFFFF"/>
          </w:tcPr>
          <w:p>
            <w:pPr>
              <w:pStyle w:val="TableParagraph"/>
              <w:spacing w:line="176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78.47%</w:t>
            </w:r>
          </w:p>
        </w:tc>
      </w:tr>
      <w:tr>
        <w:trPr>
          <w:trHeight w:val="264" w:hRule="atLeast"/>
        </w:trPr>
        <w:tc>
          <w:tcPr>
            <w:tcW w:w="406" w:type="dxa"/>
            <w:shd w:val="clear" w:color="auto" w:fill="BEBEBE"/>
          </w:tcPr>
          <w:p>
            <w:pPr>
              <w:pStyle w:val="TableParagraph"/>
              <w:spacing w:line="176" w:lineRule="exact" w:before="68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90"/>
                <w:sz w:val="15"/>
              </w:rPr>
              <w:t>21</w:t>
            </w:r>
          </w:p>
        </w:tc>
        <w:tc>
          <w:tcPr>
            <w:tcW w:w="1539" w:type="dxa"/>
            <w:shd w:val="clear" w:color="auto" w:fill="BEBEBE"/>
          </w:tcPr>
          <w:p>
            <w:pPr>
              <w:pStyle w:val="TableParagraph"/>
              <w:spacing w:line="176" w:lineRule="exact" w:before="68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spacing w:val="-1"/>
                <w:w w:val="64"/>
                <w:sz w:val="15"/>
              </w:rPr>
              <w:t>T</w:t>
            </w:r>
            <w:r>
              <w:rPr>
                <w:rFonts w:ascii="Verdana"/>
                <w:w w:val="103"/>
                <w:sz w:val="15"/>
              </w:rPr>
              <w:t>O</w:t>
            </w:r>
            <w:r>
              <w:rPr>
                <w:rFonts w:ascii="Verdana"/>
                <w:spacing w:val="-1"/>
                <w:w w:val="64"/>
                <w:sz w:val="15"/>
              </w:rPr>
              <w:t>T</w:t>
            </w:r>
            <w:r>
              <w:rPr>
                <w:rFonts w:ascii="Verdana"/>
                <w:w w:val="103"/>
                <w:sz w:val="15"/>
              </w:rPr>
              <w:t>O</w:t>
            </w:r>
            <w:r>
              <w:rPr>
                <w:rFonts w:ascii="Verdana"/>
                <w:w w:val="92"/>
                <w:sz w:val="15"/>
              </w:rPr>
              <w:t>N</w:t>
            </w:r>
            <w:r>
              <w:rPr>
                <w:rFonts w:ascii="Verdana"/>
                <w:w w:val="50"/>
                <w:sz w:val="15"/>
              </w:rPr>
              <w:t>I</w:t>
            </w:r>
            <w:r>
              <w:rPr>
                <w:rFonts w:ascii="Verdana"/>
                <w:w w:val="105"/>
                <w:sz w:val="15"/>
              </w:rPr>
              <w:t>CA</w:t>
            </w:r>
            <w:r>
              <w:rPr>
                <w:rFonts w:ascii="Verdana"/>
                <w:spacing w:val="-10"/>
                <w:w w:val="91"/>
                <w:sz w:val="15"/>
              </w:rPr>
              <w:t>P</w:t>
            </w:r>
            <w:r>
              <w:rPr>
                <w:rFonts w:ascii="Verdana"/>
                <w:w w:val="101"/>
                <w:sz w:val="15"/>
              </w:rPr>
              <w:t>A</w:t>
            </w:r>
            <w:r>
              <w:rPr>
                <w:rFonts w:ascii="Verdana"/>
                <w:w w:val="92"/>
                <w:sz w:val="15"/>
              </w:rPr>
              <w:t>N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6" w:lineRule="exact" w:before="68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67.77%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6" w:lineRule="exact" w:before="68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67.32%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6" w:lineRule="exact" w:before="68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68.09%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6" w:lineRule="exact" w:before="68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67.98%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6" w:lineRule="exact" w:before="68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65.89%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6" w:lineRule="exact" w:before="68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66.31%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6" w:lineRule="exact" w:before="68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65.64%</w:t>
            </w:r>
          </w:p>
        </w:tc>
        <w:tc>
          <w:tcPr>
            <w:tcW w:w="672" w:type="dxa"/>
            <w:shd w:val="clear" w:color="auto" w:fill="FFF1CC"/>
          </w:tcPr>
          <w:p>
            <w:pPr>
              <w:pStyle w:val="TableParagraph"/>
              <w:spacing w:line="176" w:lineRule="exact" w:before="68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66.28%</w:t>
            </w:r>
          </w:p>
        </w:tc>
        <w:tc>
          <w:tcPr>
            <w:tcW w:w="714" w:type="dxa"/>
            <w:shd w:val="clear" w:color="auto" w:fill="FFF1CC"/>
          </w:tcPr>
          <w:p>
            <w:pPr>
              <w:pStyle w:val="TableParagraph"/>
              <w:spacing w:line="176" w:lineRule="exact" w:before="68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66.07%</w:t>
            </w:r>
          </w:p>
        </w:tc>
        <w:tc>
          <w:tcPr>
            <w:tcW w:w="630" w:type="dxa"/>
            <w:shd w:val="clear" w:color="auto" w:fill="FFF1CC"/>
          </w:tcPr>
          <w:p>
            <w:pPr>
              <w:pStyle w:val="TableParagraph"/>
              <w:spacing w:line="176" w:lineRule="exact" w:before="68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66.50%</w:t>
            </w:r>
          </w:p>
        </w:tc>
      </w:tr>
      <w:tr>
        <w:trPr>
          <w:trHeight w:val="264" w:hRule="atLeast"/>
        </w:trPr>
        <w:tc>
          <w:tcPr>
            <w:tcW w:w="406" w:type="dxa"/>
            <w:shd w:val="clear" w:color="auto" w:fill="BEBEBE"/>
          </w:tcPr>
          <w:p>
            <w:pPr>
              <w:pStyle w:val="TableParagraph"/>
              <w:spacing w:line="175" w:lineRule="exact" w:before="70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w w:val="90"/>
                <w:sz w:val="15"/>
              </w:rPr>
              <w:t>22</w:t>
            </w:r>
          </w:p>
        </w:tc>
        <w:tc>
          <w:tcPr>
            <w:tcW w:w="1539" w:type="dxa"/>
            <w:shd w:val="clear" w:color="auto" w:fill="BEBEBE"/>
          </w:tcPr>
          <w:p>
            <w:pPr>
              <w:pStyle w:val="TableParagraph"/>
              <w:spacing w:line="175" w:lineRule="exact" w:before="70"/>
              <w:ind w:left="35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ZACAPA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83.44%</w:t>
            </w:r>
          </w:p>
        </w:tc>
        <w:tc>
          <w:tcPr>
            <w:tcW w:w="672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81.07%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85.29%</w:t>
            </w:r>
          </w:p>
        </w:tc>
        <w:tc>
          <w:tcPr>
            <w:tcW w:w="672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82.27%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85.56%</w:t>
            </w:r>
          </w:p>
        </w:tc>
        <w:tc>
          <w:tcPr>
            <w:tcW w:w="672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82.07%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85.91%</w:t>
            </w:r>
          </w:p>
        </w:tc>
        <w:tc>
          <w:tcPr>
            <w:tcW w:w="672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82.80%</w:t>
            </w:r>
          </w:p>
        </w:tc>
        <w:tc>
          <w:tcPr>
            <w:tcW w:w="714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89.38%</w:t>
            </w:r>
          </w:p>
        </w:tc>
        <w:tc>
          <w:tcPr>
            <w:tcW w:w="630" w:type="dxa"/>
            <w:shd w:val="clear" w:color="auto" w:fill="FBFCFC"/>
          </w:tcPr>
          <w:p>
            <w:pPr>
              <w:pStyle w:val="TableParagraph"/>
              <w:spacing w:line="175" w:lineRule="exact" w:before="70"/>
              <w:ind w:right="36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85"/>
                <w:sz w:val="15"/>
              </w:rPr>
              <w:t>86.73%</w:t>
            </w:r>
          </w:p>
        </w:tc>
      </w:tr>
      <w:tr>
        <w:trPr>
          <w:trHeight w:val="457" w:hRule="atLeast"/>
        </w:trPr>
        <w:tc>
          <w:tcPr>
            <w:tcW w:w="8833" w:type="dxa"/>
            <w:gridSpan w:val="12"/>
          </w:tcPr>
          <w:p>
            <w:pPr>
              <w:pStyle w:val="TableParagraph"/>
              <w:spacing w:before="9"/>
              <w:rPr>
                <w:rFonts w:ascii="Verdana"/>
                <w:sz w:val="11"/>
              </w:rPr>
            </w:pPr>
          </w:p>
          <w:p>
            <w:pPr>
              <w:pStyle w:val="TableParagraph"/>
              <w:ind w:left="35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95"/>
                <w:sz w:val="13"/>
              </w:rPr>
              <w:t>Nota: Año</w:t>
            </w:r>
            <w:r>
              <w:rPr>
                <w:rFonts w:ascii="Arial" w:hAnsi="Arial"/>
                <w:b/>
                <w:spacing w:val="13"/>
                <w:w w:val="95"/>
                <w:sz w:val="13"/>
              </w:rPr>
              <w:t> </w:t>
            </w:r>
            <w:r>
              <w:rPr>
                <w:rFonts w:ascii="Arial" w:hAnsi="Arial"/>
                <w:b/>
                <w:w w:val="95"/>
                <w:sz w:val="13"/>
              </w:rPr>
              <w:t>2021,</w:t>
            </w:r>
            <w:r>
              <w:rPr>
                <w:rFonts w:ascii="Arial" w:hAnsi="Arial"/>
                <w:b/>
                <w:spacing w:val="10"/>
                <w:w w:val="95"/>
                <w:sz w:val="13"/>
              </w:rPr>
              <w:t> </w:t>
            </w:r>
            <w:r>
              <w:rPr>
                <w:rFonts w:ascii="Arial" w:hAnsi="Arial"/>
                <w:b/>
                <w:w w:val="95"/>
                <w:sz w:val="13"/>
              </w:rPr>
              <w:t>INFORMACIÓN</w:t>
            </w:r>
            <w:r>
              <w:rPr>
                <w:rFonts w:ascii="Arial" w:hAnsi="Arial"/>
                <w:b/>
                <w:spacing w:val="11"/>
                <w:w w:val="95"/>
                <w:sz w:val="13"/>
              </w:rPr>
              <w:t> </w:t>
            </w:r>
            <w:r>
              <w:rPr>
                <w:rFonts w:ascii="Arial" w:hAnsi="Arial"/>
                <w:b/>
                <w:w w:val="95"/>
                <w:sz w:val="13"/>
              </w:rPr>
              <w:t>PRELIMINAR</w:t>
            </w:r>
            <w:r>
              <w:rPr>
                <w:rFonts w:ascii="Arial" w:hAnsi="Arial"/>
                <w:b/>
                <w:spacing w:val="-13"/>
                <w:w w:val="95"/>
                <w:sz w:val="13"/>
              </w:rPr>
              <w:t> </w:t>
            </w:r>
            <w:r>
              <w:rPr>
                <w:rFonts w:ascii="Arial" w:hAnsi="Arial"/>
                <w:b/>
                <w:w w:val="95"/>
                <w:sz w:val="13"/>
              </w:rPr>
              <w:t>al</w:t>
            </w:r>
            <w:r>
              <w:rPr>
                <w:rFonts w:ascii="Arial" w:hAnsi="Arial"/>
                <w:b/>
                <w:spacing w:val="2"/>
                <w:w w:val="95"/>
                <w:sz w:val="13"/>
              </w:rPr>
              <w:t> </w:t>
            </w:r>
            <w:r>
              <w:rPr>
                <w:rFonts w:ascii="Arial" w:hAnsi="Arial"/>
                <w:b/>
                <w:w w:val="95"/>
                <w:sz w:val="13"/>
              </w:rPr>
              <w:t>01/</w:t>
            </w:r>
            <w:r>
              <w:rPr>
                <w:rFonts w:ascii="Arial" w:hAnsi="Arial"/>
                <w:b/>
                <w:spacing w:val="-8"/>
                <w:w w:val="95"/>
                <w:sz w:val="13"/>
              </w:rPr>
              <w:t> </w:t>
            </w:r>
            <w:r>
              <w:rPr>
                <w:rFonts w:ascii="Arial" w:hAnsi="Arial"/>
                <w:b/>
                <w:w w:val="95"/>
                <w:sz w:val="13"/>
              </w:rPr>
              <w:t>Jun./</w:t>
            </w:r>
            <w:r>
              <w:rPr>
                <w:rFonts w:ascii="Arial" w:hAnsi="Arial"/>
                <w:b/>
                <w:spacing w:val="-7"/>
                <w:w w:val="95"/>
                <w:sz w:val="13"/>
              </w:rPr>
              <w:t> </w:t>
            </w:r>
            <w:r>
              <w:rPr>
                <w:rFonts w:ascii="Arial" w:hAnsi="Arial"/>
                <w:b/>
                <w:w w:val="95"/>
                <w:sz w:val="13"/>
              </w:rPr>
              <w:t>2021</w:t>
            </w:r>
          </w:p>
        </w:tc>
      </w:tr>
    </w:tbl>
    <w:p>
      <w:pPr>
        <w:spacing w:before="0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2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2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pict>
          <v:rect style="position:absolute;margin-left:563.880005pt;margin-top:9.120091pt;width:25.44pt;height:1.4399pt;mso-position-horizontal-relative:page;mso-position-vertical-relative:paragraph;z-index:-1549158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116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5129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4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2"/>
        <w:jc w:val="both"/>
      </w:pPr>
      <w:r>
        <w:rPr/>
        <w:t>A</w:t>
      </w:r>
      <w:r>
        <w:rPr>
          <w:spacing w:val="-9"/>
        </w:rPr>
        <w:t> </w:t>
      </w:r>
      <w:r>
        <w:rPr/>
        <w:t>nivel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Cobertura,</w:t>
      </w:r>
      <w:r>
        <w:rPr>
          <w:spacing w:val="-11"/>
        </w:rPr>
        <w:t> </w:t>
      </w:r>
      <w:r>
        <w:rPr/>
        <w:t>es</w:t>
      </w:r>
      <w:r>
        <w:rPr>
          <w:spacing w:val="-10"/>
        </w:rPr>
        <w:t> </w:t>
      </w:r>
      <w:r>
        <w:rPr/>
        <w:t>posible</w:t>
      </w:r>
      <w:r>
        <w:rPr>
          <w:spacing w:val="-11"/>
        </w:rPr>
        <w:t> </w:t>
      </w:r>
      <w:r>
        <w:rPr/>
        <w:t>observar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serie</w:t>
      </w:r>
      <w:r>
        <w:rPr>
          <w:spacing w:val="-11"/>
        </w:rPr>
        <w:t> </w:t>
      </w:r>
      <w:r>
        <w:rPr/>
        <w:t>histórica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Tasa</w:t>
      </w:r>
      <w:r>
        <w:rPr>
          <w:spacing w:val="-8"/>
        </w:rPr>
        <w:t> </w:t>
      </w:r>
      <w:r>
        <w:rPr/>
        <w:t>Bruta</w:t>
      </w:r>
      <w:r>
        <w:rPr>
          <w:spacing w:val="-9"/>
        </w:rPr>
        <w:t> </w:t>
      </w:r>
      <w:r>
        <w:rPr/>
        <w:t>por</w:t>
      </w:r>
      <w:r>
        <w:rPr>
          <w:spacing w:val="-12"/>
        </w:rPr>
        <w:t> </w:t>
      </w:r>
      <w:r>
        <w:rPr/>
        <w:t>departamento</w:t>
      </w:r>
      <w:r>
        <w:rPr>
          <w:spacing w:val="-9"/>
        </w:rPr>
        <w:t> </w:t>
      </w:r>
      <w:r>
        <w:rPr/>
        <w:t>desagregado</w:t>
      </w:r>
      <w:r>
        <w:rPr>
          <w:spacing w:val="-47"/>
        </w:rPr>
        <w:t> </w:t>
      </w:r>
      <w:r>
        <w:rPr/>
        <w:t>por sexo, destacando los que presentaron un menor nivel al porcentaje promedio nacional, siendo estos:</w:t>
      </w:r>
      <w:r>
        <w:rPr>
          <w:spacing w:val="-47"/>
        </w:rPr>
        <w:t> </w:t>
      </w:r>
      <w:r>
        <w:rPr/>
        <w:t>Alta Verapaz, Baja Verapaz, Chimaltenango, Chiquimula, Huehuetenango, Jalapa, Quiché, San Marcos,</w:t>
      </w:r>
      <w:r>
        <w:rPr>
          <w:spacing w:val="1"/>
        </w:rPr>
        <w:t> </w:t>
      </w:r>
      <w:r>
        <w:rPr/>
        <w:t>Sololá, Suchitepéquez y Totonicapán. Además, se identifica una brecha mayor con respecto al acceso a la</w:t>
      </w:r>
      <w:r>
        <w:rPr>
          <w:spacing w:val="-47"/>
        </w:rPr>
        <w:t> </w:t>
      </w:r>
      <w:r>
        <w:rPr/>
        <w:t>educación entre hombres y mujeres. Huehuetenango es el departamento con la cota más baja con una</w:t>
      </w:r>
      <w:r>
        <w:rPr>
          <w:spacing w:val="1"/>
        </w:rPr>
        <w:t> </w:t>
      </w:r>
      <w:r>
        <w:rPr/>
        <w:t>diferencia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casi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puntos</w:t>
      </w:r>
      <w:r>
        <w:rPr>
          <w:spacing w:val="1"/>
        </w:rPr>
        <w:t> </w:t>
      </w:r>
      <w:r>
        <w:rPr/>
        <w:t>porcentuales,</w:t>
      </w:r>
      <w:r>
        <w:rPr>
          <w:spacing w:val="1"/>
        </w:rPr>
        <w:t> </w:t>
      </w:r>
      <w:r>
        <w:rPr/>
        <w:t>explicado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dinámica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deserción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-48"/>
        </w:rPr>
        <w:t> </w:t>
      </w:r>
      <w:r>
        <w:rPr/>
        <w:t>incorporación al empleo o migración temporal. Le sigue, Totonicapán, la cual muestra una reducción</w:t>
      </w:r>
      <w:r>
        <w:rPr>
          <w:spacing w:val="1"/>
        </w:rPr>
        <w:t> </w:t>
      </w:r>
      <w:r>
        <w:rPr/>
        <w:t>durante el período analizado. Y, en tercer lugar, se visualiza a Quiché, el cual además ha presentado una</w:t>
      </w:r>
      <w:r>
        <w:rPr>
          <w:spacing w:val="1"/>
        </w:rPr>
        <w:t> </w:t>
      </w:r>
      <w:r>
        <w:rPr/>
        <w:t>tendencia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cobertura bruta a la baja</w:t>
      </w:r>
    </w:p>
    <w:p>
      <w:pPr>
        <w:pStyle w:val="BodyText"/>
      </w:pPr>
    </w:p>
    <w:p>
      <w:pPr>
        <w:pStyle w:val="BodyText"/>
        <w:ind w:left="278" w:right="1068"/>
        <w:jc w:val="both"/>
      </w:pPr>
      <w:r>
        <w:rPr/>
        <w:t>En</w:t>
      </w:r>
      <w:r>
        <w:rPr>
          <w:spacing w:val="1"/>
        </w:rPr>
        <w:t> </w:t>
      </w:r>
      <w:r>
        <w:rPr/>
        <w:t>consecuencia,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relevante</w:t>
      </w:r>
      <w:r>
        <w:rPr>
          <w:spacing w:val="1"/>
        </w:rPr>
        <w:t> </w:t>
      </w:r>
      <w:r>
        <w:rPr/>
        <w:t>fortalecer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poblaciones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favorecidas,</w:t>
      </w:r>
      <w:r>
        <w:rPr>
          <w:spacing w:val="-8"/>
        </w:rPr>
        <w:t> </w:t>
      </w:r>
      <w:r>
        <w:rPr/>
        <w:t>ya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muchas</w:t>
      </w:r>
      <w:r>
        <w:rPr>
          <w:spacing w:val="-8"/>
        </w:rPr>
        <w:t> </w:t>
      </w:r>
      <w:r>
        <w:rPr/>
        <w:t>veces</w:t>
      </w:r>
      <w:r>
        <w:rPr>
          <w:spacing w:val="-10"/>
        </w:rPr>
        <w:t> </w:t>
      </w:r>
      <w:r>
        <w:rPr/>
        <w:t>el</w:t>
      </w:r>
      <w:r>
        <w:rPr>
          <w:spacing w:val="-5"/>
        </w:rPr>
        <w:t> </w:t>
      </w:r>
      <w:r>
        <w:rPr/>
        <w:t>acceso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Internet</w:t>
      </w:r>
      <w:r>
        <w:rPr>
          <w:spacing w:val="-10"/>
        </w:rPr>
        <w:t> </w:t>
      </w:r>
      <w:r>
        <w:rPr/>
        <w:t>móvil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produce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través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planes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prepago</w:t>
      </w:r>
      <w:r>
        <w:rPr>
          <w:spacing w:val="-4"/>
        </w:rPr>
        <w:t> </w:t>
      </w:r>
      <w:r>
        <w:rPr/>
        <w:t>que</w:t>
      </w:r>
      <w:r>
        <w:rPr>
          <w:spacing w:val="-48"/>
        </w:rPr>
        <w:t> </w:t>
      </w:r>
      <w:r>
        <w:rPr/>
        <w:t>proporcionan</w:t>
      </w:r>
      <w:r>
        <w:rPr>
          <w:spacing w:val="-9"/>
        </w:rPr>
        <w:t> </w:t>
      </w:r>
      <w:r>
        <w:rPr/>
        <w:t>muy</w:t>
      </w:r>
      <w:r>
        <w:rPr>
          <w:spacing w:val="-7"/>
        </w:rPr>
        <w:t> </w:t>
      </w:r>
      <w:r>
        <w:rPr/>
        <w:t>pocos</w:t>
      </w:r>
      <w:r>
        <w:rPr>
          <w:spacing w:val="-9"/>
        </w:rPr>
        <w:t> </w:t>
      </w:r>
      <w:r>
        <w:rPr/>
        <w:t>minutos</w:t>
      </w:r>
      <w:r>
        <w:rPr>
          <w:spacing w:val="-8"/>
        </w:rPr>
        <w:t> </w:t>
      </w:r>
      <w:r>
        <w:rPr/>
        <w:t>disponibles</w:t>
      </w:r>
      <w:r>
        <w:rPr>
          <w:spacing w:val="-7"/>
        </w:rPr>
        <w:t> </w:t>
      </w:r>
      <w:r>
        <w:rPr/>
        <w:t>para</w:t>
      </w:r>
      <w:r>
        <w:rPr>
          <w:spacing w:val="-9"/>
        </w:rPr>
        <w:t> </w:t>
      </w:r>
      <w:r>
        <w:rPr/>
        <w:t>poder</w:t>
      </w:r>
      <w:r>
        <w:rPr>
          <w:spacing w:val="-7"/>
        </w:rPr>
        <w:t> </w:t>
      </w:r>
      <w:r>
        <w:rPr/>
        <w:t>navegar</w:t>
      </w:r>
      <w:r>
        <w:rPr>
          <w:spacing w:val="-11"/>
        </w:rPr>
        <w:t> </w:t>
      </w:r>
      <w:r>
        <w:rPr/>
        <w:t>o</w:t>
      </w:r>
      <w:r>
        <w:rPr>
          <w:spacing w:val="-7"/>
        </w:rPr>
        <w:t> </w:t>
      </w:r>
      <w:r>
        <w:rPr/>
        <w:t>utilizar</w:t>
      </w:r>
      <w:r>
        <w:rPr>
          <w:spacing w:val="-7"/>
        </w:rPr>
        <w:t> </w:t>
      </w:r>
      <w:r>
        <w:rPr/>
        <w:t>las</w:t>
      </w:r>
      <w:r>
        <w:rPr>
          <w:spacing w:val="-8"/>
        </w:rPr>
        <w:t> </w:t>
      </w:r>
      <w:r>
        <w:rPr/>
        <w:t>plataformas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aprendizaje</w:t>
      </w:r>
      <w:r>
        <w:rPr>
          <w:spacing w:val="-47"/>
        </w:rPr>
        <w:t> </w:t>
      </w:r>
      <w:r>
        <w:rPr/>
        <w:t>y</w:t>
      </w:r>
      <w:r>
        <w:rPr>
          <w:spacing w:val="-1"/>
        </w:rPr>
        <w:t> </w:t>
      </w:r>
      <w:r>
        <w:rPr/>
        <w:t>otros canales que se</w:t>
      </w:r>
      <w:r>
        <w:rPr>
          <w:spacing w:val="1"/>
        </w:rPr>
        <w:t> </w:t>
      </w:r>
      <w:r>
        <w:rPr/>
        <w:t>están</w:t>
      </w:r>
      <w:r>
        <w:rPr>
          <w:spacing w:val="-1"/>
        </w:rPr>
        <w:t> </w:t>
      </w:r>
      <w:r>
        <w:rPr/>
        <w:t>empleando para</w:t>
      </w:r>
      <w:r>
        <w:rPr>
          <w:spacing w:val="-1"/>
        </w:rPr>
        <w:t> </w:t>
      </w:r>
      <w:r>
        <w:rPr/>
        <w:t>la continuidad</w:t>
      </w:r>
      <w:r>
        <w:rPr>
          <w:spacing w:val="-2"/>
        </w:rPr>
        <w:t> </w:t>
      </w:r>
      <w:r>
        <w:rPr/>
        <w:t>de los</w:t>
      </w:r>
      <w:r>
        <w:rPr>
          <w:spacing w:val="-2"/>
        </w:rPr>
        <w:t> </w:t>
      </w:r>
      <w:r>
        <w:rPr/>
        <w:t>estudios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4"/>
        <w:jc w:val="both"/>
      </w:pPr>
      <w:r>
        <w:rPr/>
        <w:pict>
          <v:group style="position:absolute;margin-left:71.277901pt;margin-top:27.100868pt;width:441.85pt;height:307.650pt;mso-position-horizontal-relative:page;mso-position-vertical-relative:paragraph;z-index:15968768" coordorigin="1426,542" coordsize="8837,6153">
            <v:rect style="position:absolute;left:1433;top:549;width:8822;height:6138" filled="true" fillcolor="#ffffff" stroked="false">
              <v:fill type="solid"/>
            </v:rect>
            <v:shape style="position:absolute;left:2262;top:2459;width:7790;height:2928" coordorigin="2263,2460" coordsize="7790,2928" path="m2263,5387l3187,5387m3470,5387l3895,5387m4178,5387l4603,5387m4886,5387l5310,5387m5593,5387l6018,5387m6301,5387l6725,5387m7009,5387l7434,5387m7716,5387l8141,5387m8424,5387l8848,5387m9131,5387l9556,5387m9840,5387l10052,5387m2263,4965l3187,4965m3470,4965l4603,4965m4886,4965l6018,4965m6301,4965l7434,4965m7716,4965l8848,4965m9131,4965l10052,4965m2263,4542l3187,4542m3470,4542l4603,4542m4886,4542l6018,4542m6301,4542l7434,4542m7716,4542l8848,4542m9131,4542l10052,4542m2263,4135l3187,4135m3470,4135l4603,4135m4886,4135l6018,4135m6301,4135l7434,4135m7716,4135l8848,4135m9131,4135l10052,4135m2263,3713l3187,3713m3470,3713l4603,3713m4886,3713l6018,3713m6301,3713l7434,3713m7716,3713l8848,3713m9131,3713l10052,3713m2263,3290l3187,3290m3470,3290l4603,3290m4886,3290l6018,3290m6301,3290l7434,3290m7716,3290l8848,3290m9131,3290l10052,3290m2263,2867l3187,2867m3470,2867l4603,2867m4886,2867l6018,2867m6301,2867l7434,2867m7716,2867l8848,2867m9131,2867l10052,2867m2263,2460l3187,2460m3470,2460l4603,2460m4886,2460l6018,2460m6301,2460l7434,2460m7716,2460l8848,2460m9131,2460l10052,2460e" filled="false" stroked="true" strokeweight=".756551pt" strokecolor="#888888">
              <v:path arrowok="t"/>
              <v:stroke dashstyle="solid"/>
            </v:shape>
            <v:shape style="position:absolute;left:2262;top:2036;width:7790;height:2" coordorigin="2263,2037" coordsize="7790,0" path="m2263,2037l2263,2037,10052,2037e" filled="false" stroked="true" strokeweight=".756539pt" strokecolor="#888888">
              <v:path arrowok="t"/>
              <v:stroke dashstyle="solid"/>
            </v:shape>
            <v:rect style="position:absolute;left:3186;top:2375;width:283;height:3430" filled="true" fillcolor="#2d75b6" stroked="false">
              <v:fill type="solid"/>
            </v:rect>
            <v:rect style="position:absolute;left:3894;top:5044;width:284;height:761" filled="true" fillcolor="#ffff00" stroked="false">
              <v:fill type="solid"/>
            </v:rect>
            <v:rect style="position:absolute;left:3894;top:5044;width:284;height:761" filled="false" stroked="true" strokeweight=".756162pt" strokecolor="#5b9bd4">
              <v:stroke dashstyle="solid"/>
            </v:rect>
            <v:rect style="position:absolute;left:4603;top:2314;width:283;height:3490" filled="true" fillcolor="#2d75b6" stroked="false">
              <v:fill type="solid"/>
            </v:rect>
            <v:rect style="position:absolute;left:5310;top:5104;width:283;height:700" filled="true" fillcolor="#ffff00" stroked="false">
              <v:fill type="solid"/>
            </v:rect>
            <v:rect style="position:absolute;left:5310;top:5104;width:283;height:700" filled="false" stroked="true" strokeweight=".75617pt" strokecolor="#5b9bd4">
              <v:stroke dashstyle="solid"/>
            </v:rect>
            <v:rect style="position:absolute;left:6017;top:2356;width:283;height:3449" filled="true" fillcolor="#2d75b6" stroked="false">
              <v:fill type="solid"/>
            </v:rect>
            <v:rect style="position:absolute;left:6725;top:5063;width:284;height:742" filled="true" fillcolor="#ffff00" stroked="false">
              <v:fill type="solid"/>
            </v:rect>
            <v:rect style="position:absolute;left:6725;top:5063;width:284;height:742" filled="false" stroked="true" strokeweight=".756165pt" strokecolor="#5b9bd4">
              <v:stroke dashstyle="solid"/>
            </v:rect>
            <v:rect style="position:absolute;left:7433;top:2379;width:283;height:3425" filled="true" fillcolor="#2d75b6" stroked="false">
              <v:fill type="solid"/>
            </v:rect>
            <v:rect style="position:absolute;left:8141;top:5038;width:283;height:766" filled="true" fillcolor="#ffff00" stroked="false">
              <v:fill type="solid"/>
            </v:rect>
            <v:rect style="position:absolute;left:8141;top:5038;width:283;height:766" filled="false" stroked="true" strokeweight=".756161pt" strokecolor="#5b9bd4">
              <v:stroke dashstyle="solid"/>
            </v:rect>
            <v:rect style="position:absolute;left:8848;top:2395;width:283;height:3409" filled="true" fillcolor="#2d75b6" stroked="false">
              <v:fill type="solid"/>
            </v:rect>
            <v:rect style="position:absolute;left:9555;top:5022;width:284;height:783" filled="true" fillcolor="#ffff00" stroked="false">
              <v:fill type="solid"/>
            </v:rect>
            <v:rect style="position:absolute;left:9555;top:5022;width:284;height:783" filled="false" stroked="true" strokeweight=".75616pt" strokecolor="#5b9bd4">
              <v:stroke dashstyle="solid"/>
            </v:rect>
            <v:shape style="position:absolute;left:2214;top:2033;width:7838;height:3772" coordorigin="2214,2033" coordsize="7838,3772" path="m2267,5804l2267,5804,2267,2033m2214,5804l2214,5804,2261,5804m2214,5387l2214,5387,2261,5387m2214,4965l2214,4965,2261,4965m2214,4542l2214,4542,2261,4542m2214,4135l2214,4135,2261,4135m2214,3713l2214,3713,2261,3713m2214,3290l2214,3290,2261,3290m2214,2867l2214,2867,2261,2867m2214,2460l2214,2460,2261,2460m2214,2037l2214,2037,2261,2037m2267,5804l2267,5804,10052,5804e" filled="false" stroked="true" strokeweight=".756325pt" strokecolor="#888888">
              <v:path arrowok="t"/>
              <v:stroke dashstyle="solid"/>
            </v:shape>
            <v:line style="position:absolute" from="2255,5834" to="2270,5834" stroked="true" strokeweight="2.347409pt" strokecolor="#888888">
              <v:stroke dashstyle="solid"/>
            </v:line>
            <v:shape style="position:absolute;left:2262;top:5810;width:2;height:487" coordorigin="2263,5810" coordsize="0,487" path="m2263,5810l2263,5810,2263,6296e" filled="false" stroked="true" strokeweight=".75611pt" strokecolor="#888888">
              <v:path arrowok="t"/>
              <v:stroke dashstyle="solid"/>
            </v:shape>
            <v:line style="position:absolute" from="2974,5834" to="2989,5834" stroked="true" strokeweight="2.347409pt" strokecolor="#888888">
              <v:stroke dashstyle="solid"/>
            </v:line>
            <v:shape style="position:absolute;left:2981;top:5810;width:2;height:487" coordorigin="2982,5810" coordsize="0,487" path="m2982,5810l2982,5810,2982,6296e" filled="false" stroked="true" strokeweight=".75611pt" strokecolor="#888888">
              <v:path arrowok="t"/>
              <v:stroke dashstyle="solid"/>
            </v:shape>
            <v:line style="position:absolute" from="3678,5834" to="3693,5834" stroked="true" strokeweight="2.347409pt" strokecolor="#888888">
              <v:stroke dashstyle="solid"/>
            </v:line>
            <v:shape style="position:absolute;left:3685;top:5810;width:2;height:487" coordorigin="3686,5810" coordsize="0,487" path="m3686,5810l3686,5810,3686,6296e" filled="false" stroked="true" strokeweight=".75611pt" strokecolor="#888888">
              <v:path arrowok="t"/>
              <v:stroke dashstyle="solid"/>
            </v:shape>
            <v:line style="position:absolute" from="4382,5834" to="4397,5834" stroked="true" strokeweight="2.347409pt" strokecolor="#888888">
              <v:stroke dashstyle="solid"/>
            </v:line>
            <v:shape style="position:absolute;left:4389;top:5810;width:2;height:487" coordorigin="4389,5810" coordsize="0,487" path="m4389,5810l4389,5810,4389,6296e" filled="false" stroked="true" strokeweight=".75611pt" strokecolor="#888888">
              <v:path arrowok="t"/>
              <v:stroke dashstyle="solid"/>
            </v:shape>
            <v:line style="position:absolute" from="5086,5834" to="5101,5834" stroked="true" strokeweight="2.347409pt" strokecolor="#888888">
              <v:stroke dashstyle="solid"/>
            </v:line>
            <v:shape style="position:absolute;left:5093;top:5810;width:2;height:487" coordorigin="5093,5810" coordsize="0,487" path="m5093,5810l5093,5810,5093,6296e" filled="false" stroked="true" strokeweight=".75611pt" strokecolor="#888888">
              <v:path arrowok="t"/>
              <v:stroke dashstyle="solid"/>
            </v:shape>
            <v:line style="position:absolute" from="5805,5834" to="5820,5834" stroked="true" strokeweight="2.347409pt" strokecolor="#888888">
              <v:stroke dashstyle="solid"/>
            </v:line>
            <v:shape style="position:absolute;left:5812;top:5810;width:2;height:487" coordorigin="5812,5810" coordsize="0,487" path="m5812,5810l5812,5810,5812,6296e" filled="false" stroked="true" strokeweight=".75611pt" strokecolor="#888888">
              <v:path arrowok="t"/>
              <v:stroke dashstyle="solid"/>
            </v:shape>
            <v:line style="position:absolute" from="6509,5834" to="6524,5834" stroked="true" strokeweight="2.347409pt" strokecolor="#888888">
              <v:stroke dashstyle="solid"/>
            </v:line>
            <v:shape style="position:absolute;left:6516;top:5810;width:2;height:487" coordorigin="6516,5810" coordsize="0,487" path="m6516,5810l6516,5810,6516,6296e" filled="false" stroked="true" strokeweight=".75611pt" strokecolor="#888888">
              <v:path arrowok="t"/>
              <v:stroke dashstyle="solid"/>
            </v:shape>
            <v:line style="position:absolute" from="7213,5834" to="7228,5834" stroked="true" strokeweight="2.347409pt" strokecolor="#888888">
              <v:stroke dashstyle="solid"/>
            </v:line>
            <v:shape style="position:absolute;left:7220;top:5810;width:2;height:487" coordorigin="7220,5810" coordsize="0,487" path="m7220,5810l7220,5810,7220,6296e" filled="false" stroked="true" strokeweight=".75611pt" strokecolor="#888888">
              <v:path arrowok="t"/>
              <v:stroke dashstyle="solid"/>
            </v:shape>
            <v:line style="position:absolute" from="7917,5834" to="7932,5834" stroked="true" strokeweight="2.347409pt" strokecolor="#888888">
              <v:stroke dashstyle="solid"/>
            </v:line>
            <v:shape style="position:absolute;left:7924;top:5810;width:2;height:487" coordorigin="7924,5810" coordsize="0,487" path="m7924,5810l7924,5810,7924,6296e" filled="false" stroked="true" strokeweight=".75611pt" strokecolor="#888888">
              <v:path arrowok="t"/>
              <v:stroke dashstyle="solid"/>
            </v:shape>
            <v:line style="position:absolute" from="8637,5834" to="8652,5834" stroked="true" strokeweight="2.347409pt" strokecolor="#888888">
              <v:stroke dashstyle="solid"/>
            </v:line>
            <v:shape style="position:absolute;left:8644;top:5810;width:2;height:487" coordorigin="8644,5810" coordsize="0,487" path="m8644,5810l8644,5810,8644,6296e" filled="false" stroked="true" strokeweight=".75611pt" strokecolor="#888888">
              <v:path arrowok="t"/>
              <v:stroke dashstyle="solid"/>
            </v:shape>
            <v:line style="position:absolute" from="9341,5834" to="9356,5834" stroked="true" strokeweight="2.347409pt" strokecolor="#888888">
              <v:stroke dashstyle="solid"/>
            </v:line>
            <v:shape style="position:absolute;left:9348;top:5810;width:2;height:487" coordorigin="9348,5810" coordsize="0,487" path="m9348,5810l9348,5810,9348,6296e" filled="false" stroked="true" strokeweight=".75611pt" strokecolor="#888888">
              <v:path arrowok="t"/>
              <v:stroke dashstyle="solid"/>
            </v:shape>
            <v:line style="position:absolute" from="10045,5834" to="10060,5834" stroked="true" strokeweight="2.347409pt" strokecolor="#888888">
              <v:stroke dashstyle="solid"/>
            </v:line>
            <v:shape style="position:absolute;left:1433;top:549;width:8822;height:6138" coordorigin="1433,550" coordsize="8822,6138" path="m10052,5810l10052,5810,10052,6296m2263,6296l2263,6296,2263,6609m2982,6296l2982,6296,2982,6609m4389,6296l4389,6296,4389,6609m5812,6296l5812,6296,5812,6609m7220,6296l7220,6296,7220,6609m8644,6296l8644,6296,8644,6609m10052,6296l10052,6296,10052,6609m1433,550l1433,550,10255,550,10255,6687,1433,6687,1433,550xe" filled="false" stroked="true" strokeweight=".756325pt" strokecolor="#888888">
              <v:path arrowok="t"/>
              <v:stroke dashstyle="solid"/>
            </v:shape>
            <v:shape style="position:absolute;left:3065;top:700;width:6064;height:1084" type="#_x0000_t202" filled="false" stroked="false">
              <v:textbox inset="0,0,0,0">
                <w:txbxContent>
                  <w:p>
                    <w:pPr>
                      <w:spacing w:before="1"/>
                      <w:ind w:left="40" w:right="23" w:firstLine="0"/>
                      <w:jc w:val="center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Indicador</w:t>
                    </w:r>
                    <w:r>
                      <w:rPr>
                        <w:rFonts w:ascii="Arial"/>
                        <w:b/>
                        <w:spacing w:val="21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de</w:t>
                    </w:r>
                    <w:r>
                      <w:rPr>
                        <w:rFonts w:ascii="Arial"/>
                        <w:b/>
                        <w:spacing w:val="74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Cobertura:</w:t>
                    </w:r>
                  </w:p>
                  <w:p>
                    <w:pPr>
                      <w:spacing w:before="12"/>
                      <w:ind w:left="40" w:right="54" w:firstLine="0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>Tota</w:t>
                    </w:r>
                    <w:r>
                      <w:rPr>
                        <w:rFonts w:ascii="Arial" w:hAnsi="Arial"/>
                        <w:b/>
                        <w:spacing w:val="-3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>l</w:t>
                    </w:r>
                    <w:r>
                      <w:rPr>
                        <w:rFonts w:ascii="Arial" w:hAnsi="Arial"/>
                        <w:b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>Nacional</w:t>
                    </w:r>
                    <w:r>
                      <w:rPr>
                        <w:rFonts w:ascii="Arial" w:hAnsi="Arial"/>
                        <w:b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spacing w:val="2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Ta</w:t>
                    </w:r>
                    <w:r>
                      <w:rPr>
                        <w:rFonts w:ascii="Arial" w:hAnsi="Arial"/>
                        <w:b/>
                        <w:spacing w:val="-3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sa</w:t>
                    </w:r>
                    <w:r>
                      <w:rPr>
                        <w:rFonts w:ascii="Arial" w:hAnsi="Arial"/>
                        <w:b/>
                        <w:spacing w:val="2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Bruta</w:t>
                    </w:r>
                    <w:r>
                      <w:rPr>
                        <w:rFonts w:ascii="Arial" w:hAnsi="Arial"/>
                        <w:b/>
                        <w:spacing w:val="2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y</w:t>
                    </w:r>
                    <w:r>
                      <w:rPr>
                        <w:rFonts w:ascii="Arial" w:hAnsi="Arial"/>
                        <w:b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Déficit</w:t>
                    </w:r>
                    <w:r>
                      <w:rPr>
                        <w:rFonts w:ascii="Arial" w:hAnsi="Arial"/>
                        <w:b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Bruto</w:t>
                    </w:r>
                  </w:p>
                  <w:p>
                    <w:pPr>
                      <w:spacing w:line="271" w:lineRule="auto" w:before="13"/>
                      <w:ind w:left="40" w:right="58" w:firstLine="0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Todos los sectores, todas las área s, por año, va riable</w:t>
                    </w:r>
                    <w:r>
                      <w:rPr>
                        <w:rFonts w:ascii="Arial" w:hAnsi="Arial"/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y</w:t>
                    </w:r>
                    <w:r>
                      <w:rPr>
                        <w:rFonts w:ascii="Arial" w:hAnsi="Arial"/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sexo, según</w:t>
                    </w:r>
                    <w:r>
                      <w:rPr>
                        <w:rFonts w:ascii="Arial" w:hAnsi="Arial"/>
                        <w:b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8"/>
                      </w:rPr>
                      <w:t>departamento</w:t>
                    </w:r>
                  </w:p>
                  <w:p>
                    <w:pPr>
                      <w:spacing w:line="175" w:lineRule="exact" w:before="0"/>
                      <w:ind w:left="40" w:right="24" w:firstLine="0"/>
                      <w:jc w:val="center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Años:</w:t>
                    </w:r>
                    <w:r>
                      <w:rPr>
                        <w:rFonts w:ascii="Arial" w:hAnsi="Arial"/>
                        <w:b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2017-2021</w:t>
                    </w:r>
                  </w:p>
                </w:txbxContent>
              </v:textbox>
              <w10:wrap type="none"/>
            </v:shape>
            <v:shape style="position:absolute;left:1902;top:1939;width:234;height:19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90"/>
                        <w:sz w:val="15"/>
                      </w:rPr>
                      <w:t>0.9</w:t>
                    </w:r>
                  </w:p>
                </w:txbxContent>
              </v:textbox>
              <w10:wrap type="none"/>
            </v:shape>
            <v:shape style="position:absolute;left:3075;top:2100;width:526;height:19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85"/>
                        <w:sz w:val="15"/>
                      </w:rPr>
                      <w:t>81.87%</w:t>
                    </w:r>
                  </w:p>
                </w:txbxContent>
              </v:textbox>
              <w10:wrap type="none"/>
            </v:shape>
            <v:shape style="position:absolute;left:4491;top:2040;width:526;height:19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85"/>
                        <w:sz w:val="15"/>
                      </w:rPr>
                      <w:t>83.29%</w:t>
                    </w:r>
                  </w:p>
                </w:txbxContent>
              </v:textbox>
              <w10:wrap type="none"/>
            </v:shape>
            <v:shape style="position:absolute;left:5906;top:2082;width:526;height:19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85"/>
                        <w:sz w:val="15"/>
                      </w:rPr>
                      <w:t>82.30%</w:t>
                    </w:r>
                  </w:p>
                </w:txbxContent>
              </v:textbox>
              <w10:wrap type="none"/>
            </v:shape>
            <v:shape style="position:absolute;left:7322;top:2105;width:526;height:19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85"/>
                        <w:sz w:val="15"/>
                      </w:rPr>
                      <w:t>81.73%</w:t>
                    </w:r>
                  </w:p>
                </w:txbxContent>
              </v:textbox>
              <w10:wrap type="none"/>
            </v:shape>
            <v:shape style="position:absolute;left:8737;top:2122;width:526;height:19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85"/>
                        <w:sz w:val="15"/>
                      </w:rPr>
                      <w:t>81.34%</w:t>
                    </w:r>
                  </w:p>
                </w:txbxContent>
              </v:textbox>
              <w10:wrap type="none"/>
            </v:shape>
            <v:shape style="position:absolute;left:1899;top:2358;width:237;height:2706" type="#_x0000_t202" filled="false" stroked="false">
              <v:textbox inset="0,0,0,0">
                <w:txbxContent>
                  <w:p>
                    <w:pPr>
                      <w:spacing w:before="6"/>
                      <w:ind w:left="2" w:right="0" w:firstLine="0"/>
                      <w:jc w:val="lef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90"/>
                        <w:sz w:val="15"/>
                      </w:rPr>
                      <w:t>0.8</w:t>
                    </w:r>
                  </w:p>
                  <w:p>
                    <w:pPr>
                      <w:spacing w:line="240" w:lineRule="auto" w:before="6"/>
                      <w:rPr>
                        <w:rFonts w:ascii="Verdana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90"/>
                        <w:sz w:val="15"/>
                      </w:rPr>
                      <w:t>0.7</w:t>
                    </w:r>
                  </w:p>
                  <w:p>
                    <w:pPr>
                      <w:spacing w:line="240" w:lineRule="auto" w:before="6"/>
                      <w:rPr>
                        <w:rFonts w:ascii="Verdana"/>
                        <w:sz w:val="19"/>
                      </w:rPr>
                    </w:pPr>
                  </w:p>
                  <w:p>
                    <w:pPr>
                      <w:spacing w:before="0"/>
                      <w:ind w:left="2" w:right="0" w:firstLine="0"/>
                      <w:jc w:val="lef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90"/>
                        <w:sz w:val="15"/>
                      </w:rPr>
                      <w:t>0.6</w:t>
                    </w:r>
                  </w:p>
                  <w:p>
                    <w:pPr>
                      <w:spacing w:line="240" w:lineRule="auto" w:before="5"/>
                      <w:rPr>
                        <w:rFonts w:ascii="Verdana"/>
                        <w:sz w:val="19"/>
                      </w:rPr>
                    </w:pPr>
                  </w:p>
                  <w:p>
                    <w:pPr>
                      <w:spacing w:before="0"/>
                      <w:ind w:left="2" w:right="0" w:firstLine="0"/>
                      <w:jc w:val="lef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90"/>
                        <w:sz w:val="15"/>
                      </w:rPr>
                      <w:t>0.5</w:t>
                    </w:r>
                  </w:p>
                  <w:p>
                    <w:pPr>
                      <w:spacing w:line="240" w:lineRule="auto" w:before="6"/>
                      <w:rPr>
                        <w:rFonts w:ascii="Verdana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90"/>
                        <w:sz w:val="15"/>
                      </w:rPr>
                      <w:t>0.4</w:t>
                    </w:r>
                  </w:p>
                  <w:p>
                    <w:pPr>
                      <w:spacing w:line="240" w:lineRule="auto" w:before="6"/>
                      <w:rPr>
                        <w:rFonts w:ascii="Verdana"/>
                        <w:sz w:val="19"/>
                      </w:rPr>
                    </w:pPr>
                  </w:p>
                  <w:p>
                    <w:pPr>
                      <w:spacing w:before="0"/>
                      <w:ind w:left="2" w:right="0" w:firstLine="0"/>
                      <w:jc w:val="lef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90"/>
                        <w:sz w:val="15"/>
                      </w:rPr>
                      <w:t>0.3</w:t>
                    </w:r>
                  </w:p>
                  <w:p>
                    <w:pPr>
                      <w:spacing w:line="240" w:lineRule="auto" w:before="5"/>
                      <w:rPr>
                        <w:rFonts w:ascii="Verdana"/>
                        <w:sz w:val="19"/>
                      </w:rPr>
                    </w:pPr>
                  </w:p>
                  <w:p>
                    <w:pPr>
                      <w:spacing w:before="0"/>
                      <w:ind w:left="2" w:right="0" w:firstLine="0"/>
                      <w:jc w:val="lef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90"/>
                        <w:sz w:val="15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3781;top:4770;width:526;height:19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85"/>
                        <w:sz w:val="15"/>
                      </w:rPr>
                      <w:t>18.13%</w:t>
                    </w:r>
                  </w:p>
                </w:txbxContent>
              </v:textbox>
              <w10:wrap type="none"/>
            </v:shape>
            <v:shape style="position:absolute;left:5196;top:4829;width:526;height:19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85"/>
                        <w:sz w:val="15"/>
                      </w:rPr>
                      <w:t>16.71%</w:t>
                    </w:r>
                  </w:p>
                </w:txbxContent>
              </v:textbox>
              <w10:wrap type="none"/>
            </v:shape>
            <v:shape style="position:absolute;left:6612;top:4788;width:526;height:19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85"/>
                        <w:sz w:val="15"/>
                      </w:rPr>
                      <w:t>17.70%</w:t>
                    </w:r>
                  </w:p>
                </w:txbxContent>
              </v:textbox>
              <w10:wrap type="none"/>
            </v:shape>
            <v:shape style="position:absolute;left:8027;top:4765;width:526;height:19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85"/>
                        <w:sz w:val="15"/>
                      </w:rPr>
                      <w:t>18.27%</w:t>
                    </w:r>
                  </w:p>
                </w:txbxContent>
              </v:textbox>
              <w10:wrap type="none"/>
            </v:shape>
            <v:shape style="position:absolute;left:9442;top:4748;width:526;height:19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85"/>
                        <w:sz w:val="15"/>
                      </w:rPr>
                      <w:t>18.66%</w:t>
                    </w:r>
                  </w:p>
                </w:txbxContent>
              </v:textbox>
              <w10:wrap type="none"/>
            </v:shape>
            <v:shape style="position:absolute;left:1902;top:5291;width:8079;height:1307" type="#_x0000_t202" filled="false" stroked="false">
              <v:textbox inset="0,0,0,0">
                <w:txbxContent>
                  <w:p>
                    <w:pPr>
                      <w:spacing w:before="6"/>
                      <w:ind w:left="0" w:right="7863" w:firstLine="0"/>
                      <w:jc w:val="righ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85"/>
                        <w:sz w:val="15"/>
                      </w:rPr>
                      <w:t>0.1</w:t>
                    </w:r>
                  </w:p>
                  <w:p>
                    <w:pPr>
                      <w:spacing w:line="240" w:lineRule="auto" w:before="6"/>
                      <w:rPr>
                        <w:rFonts w:ascii="Verdana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7860" w:firstLine="0"/>
                      <w:jc w:val="righ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90"/>
                        <w:sz w:val="15"/>
                      </w:rPr>
                      <w:t>0</w:t>
                    </w:r>
                  </w:p>
                  <w:p>
                    <w:pPr>
                      <w:tabs>
                        <w:tab w:pos="1856" w:val="left" w:leader="none"/>
                        <w:tab w:pos="2613" w:val="left" w:leader="none"/>
                        <w:tab w:pos="2660" w:val="left" w:leader="none"/>
                        <w:tab w:pos="3272" w:val="left" w:leader="none"/>
                        <w:tab w:pos="4029" w:val="left" w:leader="none"/>
                        <w:tab w:pos="4075" w:val="left" w:leader="none"/>
                        <w:tab w:pos="4687" w:val="left" w:leader="none"/>
                        <w:tab w:pos="5443" w:val="left" w:leader="none"/>
                        <w:tab w:pos="5490" w:val="left" w:leader="none"/>
                        <w:tab w:pos="6103" w:val="left" w:leader="none"/>
                        <w:tab w:pos="6858" w:val="left" w:leader="none"/>
                        <w:tab w:pos="6905" w:val="left" w:leader="none"/>
                        <w:tab w:pos="7517" w:val="left" w:leader="none"/>
                      </w:tabs>
                      <w:spacing w:line="247" w:lineRule="auto" w:before="16"/>
                      <w:ind w:left="1198" w:right="18" w:firstLine="45"/>
                      <w:jc w:val="lef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sz w:val="15"/>
                      </w:rPr>
                      <w:t>TASA</w:t>
                      <w:tab/>
                    </w:r>
                    <w:r>
                      <w:rPr>
                        <w:rFonts w:ascii="Verdana"/>
                        <w:w w:val="95"/>
                        <w:sz w:val="15"/>
                      </w:rPr>
                      <w:t>DEFICIT</w:t>
                      <w:tab/>
                      <w:tab/>
                    </w:r>
                    <w:r>
                      <w:rPr>
                        <w:rFonts w:ascii="Verdana"/>
                        <w:sz w:val="15"/>
                      </w:rPr>
                      <w:t>TASA</w:t>
                      <w:tab/>
                    </w:r>
                    <w:r>
                      <w:rPr>
                        <w:rFonts w:ascii="Verdana"/>
                        <w:w w:val="95"/>
                        <w:sz w:val="15"/>
                      </w:rPr>
                      <w:t>DEFICIT</w:t>
                      <w:tab/>
                      <w:tab/>
                    </w:r>
                    <w:r>
                      <w:rPr>
                        <w:rFonts w:ascii="Verdana"/>
                        <w:sz w:val="15"/>
                      </w:rPr>
                      <w:t>TASA</w:t>
                      <w:tab/>
                    </w:r>
                    <w:r>
                      <w:rPr>
                        <w:rFonts w:ascii="Verdana"/>
                        <w:w w:val="95"/>
                        <w:sz w:val="15"/>
                      </w:rPr>
                      <w:t>DEFICIT</w:t>
                      <w:tab/>
                      <w:tab/>
                    </w:r>
                    <w:r>
                      <w:rPr>
                        <w:rFonts w:ascii="Verdana"/>
                        <w:sz w:val="15"/>
                      </w:rPr>
                      <w:t>TASA</w:t>
                      <w:tab/>
                    </w:r>
                    <w:r>
                      <w:rPr>
                        <w:rFonts w:ascii="Verdana"/>
                        <w:w w:val="95"/>
                        <w:sz w:val="15"/>
                      </w:rPr>
                      <w:t>DEFICIT</w:t>
                      <w:tab/>
                      <w:tab/>
                    </w:r>
                    <w:r>
                      <w:rPr>
                        <w:rFonts w:ascii="Verdana"/>
                        <w:sz w:val="15"/>
                      </w:rPr>
                      <w:t>TASA</w:t>
                      <w:tab/>
                    </w:r>
                    <w:r>
                      <w:rPr>
                        <w:rFonts w:ascii="Verdana"/>
                        <w:spacing w:val="-3"/>
                        <w:w w:val="90"/>
                        <w:sz w:val="15"/>
                      </w:rPr>
                      <w:t>DEFICIT</w:t>
                    </w:r>
                    <w:r>
                      <w:rPr>
                        <w:rFonts w:ascii="Verdana"/>
                        <w:spacing w:val="-45"/>
                        <w:w w:val="90"/>
                        <w:sz w:val="15"/>
                      </w:rPr>
                      <w:t> </w:t>
                    </w:r>
                    <w:r>
                      <w:rPr>
                        <w:rFonts w:ascii="Verdana"/>
                        <w:sz w:val="15"/>
                      </w:rPr>
                      <w:t>BRUTA</w:t>
                      <w:tab/>
                      <w:t>BRUTO</w:t>
                      <w:tab/>
                      <w:t>BRUTA</w:t>
                      <w:tab/>
                      <w:t>BRUTO</w:t>
                      <w:tab/>
                      <w:t>BRUTA</w:t>
                      <w:tab/>
                      <w:t>BRUTO</w:t>
                      <w:tab/>
                      <w:t>BRUTA</w:t>
                      <w:tab/>
                      <w:t>BRUTO</w:t>
                      <w:tab/>
                      <w:t>BRUTA</w:t>
                      <w:tab/>
                    </w:r>
                    <w:r>
                      <w:rPr>
                        <w:rFonts w:ascii="Verdana"/>
                        <w:w w:val="95"/>
                        <w:sz w:val="15"/>
                      </w:rPr>
                      <w:t>BRUTO</w:t>
                    </w:r>
                  </w:p>
                  <w:p>
                    <w:pPr>
                      <w:tabs>
                        <w:tab w:pos="1606" w:val="left" w:leader="none"/>
                        <w:tab w:pos="3025" w:val="left" w:leader="none"/>
                        <w:tab w:pos="4441" w:val="left" w:leader="none"/>
                        <w:tab w:pos="5855" w:val="left" w:leader="none"/>
                        <w:tab w:pos="7236" w:val="left" w:leader="none"/>
                      </w:tabs>
                      <w:spacing w:before="122"/>
                      <w:ind w:left="150" w:right="0" w:firstLine="0"/>
                      <w:jc w:val="lef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sz w:val="15"/>
                      </w:rPr>
                      <w:t>Departamento</w:t>
                      <w:tab/>
                      <w:t>2017</w:t>
                      <w:tab/>
                      <w:t>2018</w:t>
                      <w:tab/>
                      <w:t>2019</w:t>
                      <w:tab/>
                      <w:t>2020</w:t>
                      <w:tab/>
                      <w:t>2021*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2.776588pt;margin-top:175.050201pt;width:10.75pt;height:42.55pt;mso-position-horizontal-relative:page;mso-position-vertical-relative:paragraph;z-index:15969280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w w:val="105"/>
                      <w:sz w:val="15"/>
                    </w:rPr>
                    <w:t>Porcentaje</w:t>
                  </w:r>
                </w:p>
              </w:txbxContent>
            </v:textbox>
            <w10:wrap type="none"/>
          </v:shape>
        </w:pict>
      </w:r>
      <w:r>
        <w:rPr/>
        <w:t>Gráfico Nº. Indicador de Cobertura: Total Nacional de la Tasa Bruta y Déficit Bruto de todos los sectores,</w:t>
      </w:r>
      <w:r>
        <w:rPr>
          <w:spacing w:val="1"/>
        </w:rPr>
        <w:t> </w:t>
      </w:r>
      <w:r>
        <w:rPr/>
        <w:t>áreas,</w:t>
      </w:r>
      <w:r>
        <w:rPr>
          <w:spacing w:val="-1"/>
        </w:rPr>
        <w:t> </w:t>
      </w:r>
      <w:r>
        <w:rPr/>
        <w:t>por año,</w:t>
      </w:r>
      <w:r>
        <w:rPr>
          <w:spacing w:val="-2"/>
        </w:rPr>
        <w:t> </w:t>
      </w:r>
      <w:r>
        <w:rPr/>
        <w:t>variable</w:t>
      </w:r>
      <w:r>
        <w:rPr>
          <w:spacing w:val="-2"/>
        </w:rPr>
        <w:t> </w:t>
      </w:r>
      <w:r>
        <w:rPr/>
        <w:t>y sexo</w:t>
      </w:r>
      <w:r>
        <w:rPr>
          <w:spacing w:val="-2"/>
        </w:rPr>
        <w:t> </w:t>
      </w:r>
      <w:r>
        <w:rPr/>
        <w:t>según</w:t>
      </w:r>
      <w:r>
        <w:rPr>
          <w:spacing w:val="-1"/>
        </w:rPr>
        <w:t> </w:t>
      </w:r>
      <w:r>
        <w:rPr/>
        <w:t>departamento,</w:t>
      </w:r>
      <w:r>
        <w:rPr>
          <w:spacing w:val="-2"/>
        </w:rPr>
        <w:t> </w:t>
      </w:r>
      <w:r>
        <w:rPr/>
        <w:t>2017-2021.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3"/>
          <w:sz w:val="14"/>
        </w:rPr>
        <w:t> </w:t>
      </w:r>
      <w:r>
        <w:rPr>
          <w:sz w:val="14"/>
        </w:rPr>
        <w:t>Elaboración</w:t>
      </w:r>
      <w:r>
        <w:rPr>
          <w:spacing w:val="-2"/>
          <w:sz w:val="14"/>
        </w:rPr>
        <w:t> </w:t>
      </w:r>
      <w:r>
        <w:rPr>
          <w:sz w:val="14"/>
        </w:rPr>
        <w:t>propia</w:t>
      </w:r>
      <w:r>
        <w:rPr>
          <w:spacing w:val="-2"/>
          <w:sz w:val="14"/>
        </w:rPr>
        <w:t> </w:t>
      </w:r>
      <w:r>
        <w:rPr>
          <w:sz w:val="14"/>
        </w:rPr>
        <w:t>a</w:t>
      </w:r>
      <w:r>
        <w:rPr>
          <w:spacing w:val="-3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2"/>
          <w:sz w:val="14"/>
        </w:rPr>
        <w:t> </w:t>
      </w:r>
      <w:r>
        <w:rPr>
          <w:sz w:val="14"/>
        </w:rPr>
        <w:t>datos</w:t>
      </w:r>
      <w:r>
        <w:rPr>
          <w:spacing w:val="-2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2"/>
          <w:sz w:val="14"/>
        </w:rPr>
        <w:t> </w:t>
      </w:r>
      <w:r>
        <w:rPr>
          <w:sz w:val="14"/>
        </w:rPr>
        <w:t>la</w:t>
      </w:r>
      <w:r>
        <w:rPr>
          <w:spacing w:val="-2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pict>
          <v:rect style="position:absolute;margin-left:563.880005pt;margin-top:9.597477pt;width:25.44pt;height:1.4399pt;mso-position-horizontal-relative:page;mso-position-vertical-relative:paragraph;z-index:-1549004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117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54368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4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1"/>
          <w:numId w:val="32"/>
        </w:numPr>
        <w:tabs>
          <w:tab w:pos="854" w:val="left" w:leader="none"/>
          <w:tab w:pos="855" w:val="left" w:leader="none"/>
        </w:tabs>
        <w:spacing w:line="240" w:lineRule="auto" w:before="52" w:after="0"/>
        <w:ind w:left="854" w:right="0" w:hanging="577"/>
        <w:jc w:val="left"/>
      </w:pPr>
      <w:bookmarkStart w:name="_bookmark134" w:id="201"/>
      <w:bookmarkEnd w:id="201"/>
      <w:r>
        <w:rPr>
          <w:b w:val="0"/>
        </w:rPr>
      </w:r>
      <w:bookmarkStart w:name="_bookmark134" w:id="202"/>
      <w:bookmarkEnd w:id="202"/>
      <w:r>
        <w:rPr>
          <w:color w:val="1F4E79"/>
        </w:rPr>
        <w:t>Ca</w:t>
      </w:r>
      <w:r>
        <w:rPr>
          <w:color w:val="1F4E79"/>
        </w:rPr>
        <w:t>mbio</w:t>
      </w:r>
      <w:r>
        <w:rPr>
          <w:color w:val="1F4E79"/>
          <w:spacing w:val="-2"/>
        </w:rPr>
        <w:t> </w:t>
      </w:r>
      <w:r>
        <w:rPr>
          <w:color w:val="1F4E79"/>
        </w:rPr>
        <w:t>Climático</w:t>
      </w:r>
      <w:r>
        <w:rPr>
          <w:color w:val="1F4E79"/>
          <w:spacing w:val="-2"/>
        </w:rPr>
        <w:t> </w:t>
      </w:r>
      <w:r>
        <w:rPr>
          <w:color w:val="1F4E79"/>
        </w:rPr>
        <w:t>y</w:t>
      </w:r>
      <w:r>
        <w:rPr>
          <w:color w:val="1F4E79"/>
          <w:spacing w:val="-4"/>
        </w:rPr>
        <w:t> </w:t>
      </w:r>
      <w:r>
        <w:rPr>
          <w:color w:val="1F4E79"/>
        </w:rPr>
        <w:t>su</w:t>
      </w:r>
      <w:r>
        <w:rPr>
          <w:color w:val="1F4E79"/>
          <w:spacing w:val="-4"/>
        </w:rPr>
        <w:t> </w:t>
      </w:r>
      <w:r>
        <w:rPr>
          <w:color w:val="1F4E79"/>
        </w:rPr>
        <w:t>impacto</w:t>
      </w:r>
      <w:r>
        <w:rPr>
          <w:color w:val="1F4E79"/>
          <w:spacing w:val="-2"/>
        </w:rPr>
        <w:t> </w:t>
      </w:r>
      <w:r>
        <w:rPr>
          <w:color w:val="1F4E79"/>
        </w:rPr>
        <w:t>en</w:t>
      </w:r>
      <w:r>
        <w:rPr>
          <w:color w:val="1F4E79"/>
          <w:spacing w:val="-4"/>
        </w:rPr>
        <w:t> </w:t>
      </w:r>
      <w:r>
        <w:rPr>
          <w:color w:val="1F4E79"/>
        </w:rPr>
        <w:t>la</w:t>
      </w:r>
      <w:r>
        <w:rPr>
          <w:color w:val="1F4E79"/>
          <w:spacing w:val="-3"/>
        </w:rPr>
        <w:t> </w:t>
      </w:r>
      <w:r>
        <w:rPr>
          <w:color w:val="1F4E79"/>
        </w:rPr>
        <w:t>educación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87"/>
        <w:ind w:left="278" w:right="1070"/>
        <w:jc w:val="both"/>
      </w:pPr>
      <w:r>
        <w:rPr/>
        <w:t>Según CEPAL (2021), se denomina cambio climático a la variación global de la Tierra debido a causas</w:t>
      </w:r>
      <w:r>
        <w:rPr>
          <w:spacing w:val="1"/>
        </w:rPr>
        <w:t> </w:t>
      </w:r>
      <w:r>
        <w:rPr/>
        <w:t>naturales, pero principalmente a la acción humana que se traduce en quema de combustibles fósiles,</w:t>
      </w:r>
      <w:r>
        <w:rPr>
          <w:spacing w:val="1"/>
        </w:rPr>
        <w:t> </w:t>
      </w:r>
      <w:r>
        <w:rPr/>
        <w:t>pérdida de bosques y otras actividades producidas en el ámbito industrial, agrícola y transporte entre</w:t>
      </w:r>
      <w:r>
        <w:rPr>
          <w:spacing w:val="1"/>
        </w:rPr>
        <w:t> </w:t>
      </w:r>
      <w:r>
        <w:rPr/>
        <w:t>otros, como consecuencia de una retención del calor del Sol en la atmósfera. Esta última característica es</w:t>
      </w:r>
      <w:r>
        <w:rPr>
          <w:spacing w:val="-47"/>
        </w:rPr>
        <w:t> </w:t>
      </w:r>
      <w:r>
        <w:rPr/>
        <w:t>conocida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“</w:t>
      </w:r>
      <w:r>
        <w:rPr>
          <w:i/>
        </w:rPr>
        <w:t>efecto invernadero</w:t>
      </w:r>
      <w:r>
        <w:rPr/>
        <w:t>”.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0"/>
        <w:jc w:val="both"/>
      </w:pPr>
      <w:r>
        <w:rPr/>
        <w:t>Durante los últimos años, se han generado esfuerzos mundiales para reducir este efecto y contextualizar</w:t>
      </w:r>
      <w:r>
        <w:rPr>
          <w:spacing w:val="1"/>
        </w:rPr>
        <w:t> </w:t>
      </w:r>
      <w:r>
        <w:rPr/>
        <w:t>los</w:t>
      </w:r>
      <w:r>
        <w:rPr>
          <w:spacing w:val="-6"/>
        </w:rPr>
        <w:t> </w:t>
      </w:r>
      <w:r>
        <w:rPr/>
        <w:t>debates</w:t>
      </w:r>
      <w:r>
        <w:rPr>
          <w:spacing w:val="-4"/>
        </w:rPr>
        <w:t> </w:t>
      </w:r>
      <w:r>
        <w:rPr/>
        <w:t>sobre</w:t>
      </w:r>
      <w:r>
        <w:rPr>
          <w:spacing w:val="-4"/>
        </w:rPr>
        <w:t> </w:t>
      </w:r>
      <w:r>
        <w:rPr/>
        <w:t>políticas</w:t>
      </w:r>
      <w:r>
        <w:rPr>
          <w:spacing w:val="-8"/>
        </w:rPr>
        <w:t> </w:t>
      </w:r>
      <w:r>
        <w:rPr/>
        <w:t>climáticas</w:t>
      </w:r>
      <w:r>
        <w:rPr>
          <w:spacing w:val="-4"/>
        </w:rPr>
        <w:t> </w:t>
      </w:r>
      <w:r>
        <w:rPr/>
        <w:t>con</w:t>
      </w:r>
      <w:r>
        <w:rPr>
          <w:spacing w:val="-5"/>
        </w:rPr>
        <w:t> </w:t>
      </w:r>
      <w:r>
        <w:rPr/>
        <w:t>impactos</w:t>
      </w:r>
      <w:r>
        <w:rPr>
          <w:spacing w:val="-7"/>
        </w:rPr>
        <w:t> </w:t>
      </w:r>
      <w:r>
        <w:rPr/>
        <w:t>reales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nivel</w:t>
      </w:r>
      <w:r>
        <w:rPr>
          <w:spacing w:val="-5"/>
        </w:rPr>
        <w:t> </w:t>
      </w:r>
      <w:r>
        <w:rPr/>
        <w:t>global.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raíz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esta</w:t>
      </w:r>
      <w:r>
        <w:rPr>
          <w:spacing w:val="-5"/>
        </w:rPr>
        <w:t> </w:t>
      </w:r>
      <w:r>
        <w:rPr/>
        <w:t>necesidad</w:t>
      </w:r>
      <w:r>
        <w:rPr>
          <w:spacing w:val="-6"/>
        </w:rPr>
        <w:t> </w:t>
      </w:r>
      <w:r>
        <w:rPr/>
        <w:t>surgió</w:t>
      </w:r>
      <w:r>
        <w:rPr>
          <w:spacing w:val="-4"/>
        </w:rPr>
        <w:t> </w:t>
      </w:r>
      <w:r>
        <w:rPr/>
        <w:t>un</w:t>
      </w:r>
      <w:r>
        <w:rPr>
          <w:spacing w:val="-47"/>
        </w:rPr>
        <w:t> </w:t>
      </w:r>
      <w:r>
        <w:rPr/>
        <w:t>indicador que se ha estado utilizando durante los últimos 20 años para favorecer el análisis y orientar la</w:t>
      </w:r>
      <w:r>
        <w:rPr>
          <w:spacing w:val="1"/>
        </w:rPr>
        <w:t> </w:t>
      </w:r>
      <w:r>
        <w:rPr/>
        <w:t>política</w:t>
      </w:r>
      <w:r>
        <w:rPr>
          <w:spacing w:val="-5"/>
        </w:rPr>
        <w:t> </w:t>
      </w:r>
      <w:r>
        <w:rPr/>
        <w:t>pública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materia</w:t>
      </w:r>
      <w:r>
        <w:rPr>
          <w:spacing w:val="-4"/>
        </w:rPr>
        <w:t> </w:t>
      </w:r>
      <w:r>
        <w:rPr/>
        <w:t>de cambio</w:t>
      </w:r>
      <w:r>
        <w:rPr>
          <w:spacing w:val="-4"/>
        </w:rPr>
        <w:t> </w:t>
      </w:r>
      <w:r>
        <w:rPr/>
        <w:t>climático.</w:t>
      </w:r>
      <w:r>
        <w:rPr>
          <w:spacing w:val="-4"/>
        </w:rPr>
        <w:t> </w:t>
      </w:r>
      <w:r>
        <w:rPr/>
        <w:t>Este</w:t>
      </w:r>
      <w:r>
        <w:rPr>
          <w:spacing w:val="-3"/>
        </w:rPr>
        <w:t> </w:t>
      </w:r>
      <w:r>
        <w:rPr/>
        <w:t>instrumento,</w:t>
      </w:r>
      <w:r>
        <w:rPr>
          <w:spacing w:val="-5"/>
        </w:rPr>
        <w:t> </w:t>
      </w:r>
      <w:r>
        <w:rPr/>
        <w:t>es</w:t>
      </w:r>
      <w:r>
        <w:rPr>
          <w:spacing w:val="-6"/>
        </w:rPr>
        <w:t> </w:t>
      </w:r>
      <w:r>
        <w:rPr/>
        <w:t>el</w:t>
      </w:r>
      <w:r>
        <w:rPr>
          <w:spacing w:val="-1"/>
        </w:rPr>
        <w:t> </w:t>
      </w:r>
      <w:r>
        <w:rPr/>
        <w:t>Índice</w:t>
      </w:r>
      <w:r>
        <w:rPr>
          <w:spacing w:val="-4"/>
        </w:rPr>
        <w:t> </w:t>
      </w:r>
      <w:r>
        <w:rPr/>
        <w:t>del</w:t>
      </w:r>
      <w:r>
        <w:rPr>
          <w:spacing w:val="-1"/>
        </w:rPr>
        <w:t> </w:t>
      </w:r>
      <w:r>
        <w:rPr/>
        <w:t>Riesgo</w:t>
      </w:r>
      <w:r>
        <w:rPr>
          <w:spacing w:val="-3"/>
        </w:rPr>
        <w:t> </w:t>
      </w:r>
      <w:r>
        <w:rPr/>
        <w:t>Climático</w:t>
      </w:r>
      <w:r>
        <w:rPr>
          <w:spacing w:val="-3"/>
        </w:rPr>
        <w:t> </w:t>
      </w:r>
      <w:r>
        <w:rPr/>
        <w:t>Global</w:t>
      </w:r>
      <w:r>
        <w:rPr>
          <w:spacing w:val="-47"/>
        </w:rPr>
        <w:t> </w:t>
      </w:r>
      <w:r>
        <w:rPr/>
        <w:t>IRC</w:t>
      </w:r>
      <w:r>
        <w:rPr>
          <w:spacing w:val="-1"/>
        </w:rPr>
        <w:t> </w:t>
      </w:r>
      <w:r>
        <w:rPr/>
        <w:t>de </w:t>
      </w:r>
      <w:r>
        <w:rPr>
          <w:i/>
        </w:rPr>
        <w:t>Germanwarch</w:t>
      </w:r>
      <w:r>
        <w:rPr>
          <w:i/>
          <w:spacing w:val="-1"/>
        </w:rPr>
        <w:t> </w:t>
      </w:r>
      <w:r>
        <w:rPr/>
        <w:t>(IRC,</w:t>
      </w:r>
      <w:r>
        <w:rPr>
          <w:spacing w:val="-2"/>
        </w:rPr>
        <w:t> </w:t>
      </w:r>
      <w:r>
        <w:rPr/>
        <w:t>por sus siglas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inglés).</w:t>
      </w:r>
    </w:p>
    <w:p>
      <w:pPr>
        <w:pStyle w:val="BodyText"/>
        <w:spacing w:before="10"/>
        <w:rPr>
          <w:sz w:val="19"/>
        </w:rPr>
      </w:pPr>
    </w:p>
    <w:p>
      <w:pPr>
        <w:pStyle w:val="Heading3"/>
        <w:numPr>
          <w:ilvl w:val="2"/>
          <w:numId w:val="32"/>
        </w:numPr>
        <w:tabs>
          <w:tab w:pos="998" w:val="left" w:leader="none"/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135" w:id="203"/>
      <w:bookmarkEnd w:id="203"/>
      <w:r>
        <w:rPr>
          <w:b w:val="0"/>
        </w:rPr>
      </w:r>
      <w:bookmarkStart w:name="_bookmark135" w:id="204"/>
      <w:bookmarkEnd w:id="204"/>
      <w:r>
        <w:rPr/>
        <w:t>Índ</w:t>
      </w:r>
      <w:r>
        <w:rPr/>
        <w:t>ice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Riesgo</w:t>
      </w:r>
      <w:r>
        <w:rPr>
          <w:spacing w:val="-2"/>
        </w:rPr>
        <w:t> </w:t>
      </w:r>
      <w:r>
        <w:rPr/>
        <w:t>Climático</w:t>
      </w:r>
      <w:r>
        <w:rPr>
          <w:spacing w:val="-3"/>
        </w:rPr>
        <w:t> </w:t>
      </w:r>
      <w:r>
        <w:rPr/>
        <w:t>Global</w:t>
      </w:r>
      <w:r>
        <w:rPr>
          <w:spacing w:val="-4"/>
        </w:rPr>
        <w:t> </w:t>
      </w:r>
      <w:r>
        <w:rPr/>
        <w:t>–IRC-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Germanwatch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278" w:right="1071"/>
        <w:jc w:val="both"/>
      </w:pP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IRC,</w:t>
      </w:r>
      <w:r>
        <w:rPr>
          <w:spacing w:val="-12"/>
        </w:rPr>
        <w:t> </w:t>
      </w:r>
      <w:r>
        <w:rPr>
          <w:spacing w:val="-1"/>
        </w:rPr>
        <w:t>es</w:t>
      </w:r>
      <w:r>
        <w:rPr>
          <w:spacing w:val="-10"/>
        </w:rPr>
        <w:t> </w:t>
      </w:r>
      <w:r>
        <w:rPr>
          <w:spacing w:val="-1"/>
        </w:rPr>
        <w:t>un</w:t>
      </w:r>
      <w:r>
        <w:rPr>
          <w:spacing w:val="-13"/>
        </w:rPr>
        <w:t> </w:t>
      </w:r>
      <w:r>
        <w:rPr>
          <w:spacing w:val="-1"/>
        </w:rPr>
        <w:t>análisis</w:t>
      </w:r>
      <w:r>
        <w:rPr>
          <w:spacing w:val="-12"/>
        </w:rPr>
        <w:t> </w:t>
      </w:r>
      <w:r>
        <w:rPr/>
        <w:t>basado</w:t>
      </w:r>
      <w:r>
        <w:rPr>
          <w:spacing w:val="-13"/>
        </w:rPr>
        <w:t> </w:t>
      </w:r>
      <w:r>
        <w:rPr/>
        <w:t>en</w:t>
      </w:r>
      <w:r>
        <w:rPr>
          <w:spacing w:val="-11"/>
        </w:rPr>
        <w:t> </w:t>
      </w:r>
      <w:r>
        <w:rPr/>
        <w:t>uno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conjuntos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1"/>
        </w:rPr>
        <w:t> </w:t>
      </w:r>
      <w:r>
        <w:rPr/>
        <w:t>datos</w:t>
      </w:r>
      <w:r>
        <w:rPr>
          <w:spacing w:val="-12"/>
        </w:rPr>
        <w:t> </w:t>
      </w:r>
      <w:r>
        <w:rPr/>
        <w:t>más</w:t>
      </w:r>
      <w:r>
        <w:rPr>
          <w:spacing w:val="-12"/>
        </w:rPr>
        <w:t> </w:t>
      </w:r>
      <w:r>
        <w:rPr/>
        <w:t>fiables</w:t>
      </w:r>
      <w:r>
        <w:rPr>
          <w:spacing w:val="-11"/>
        </w:rPr>
        <w:t> </w:t>
      </w:r>
      <w:r>
        <w:rPr/>
        <w:t>disponibles</w:t>
      </w:r>
      <w:r>
        <w:rPr>
          <w:spacing w:val="-12"/>
        </w:rPr>
        <w:t> </w:t>
      </w:r>
      <w:r>
        <w:rPr/>
        <w:t>sobre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impactos</w:t>
      </w:r>
      <w:r>
        <w:rPr>
          <w:spacing w:val="-48"/>
        </w:rPr>
        <w:t> </w:t>
      </w:r>
      <w:r>
        <w:rPr/>
        <w:t>de los eventos climáticos extremos y los datos socioeconómicos asociados a ellos. Lo realizan cada año</w:t>
      </w:r>
      <w:r>
        <w:rPr>
          <w:spacing w:val="1"/>
        </w:rPr>
        <w:t> </w:t>
      </w:r>
      <w:r>
        <w:rPr/>
        <w:t>con</w:t>
      </w:r>
      <w:r>
        <w:rPr>
          <w:spacing w:val="-2"/>
        </w:rPr>
        <w:t> </w:t>
      </w:r>
      <w:r>
        <w:rPr/>
        <w:t>datos</w:t>
      </w:r>
      <w:r>
        <w:rPr>
          <w:spacing w:val="-4"/>
        </w:rPr>
        <w:t> </w:t>
      </w:r>
      <w:r>
        <w:rPr/>
        <w:t>anuales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calculan</w:t>
      </w:r>
      <w:r>
        <w:rPr>
          <w:spacing w:val="-3"/>
        </w:rPr>
        <w:t> </w:t>
      </w:r>
      <w:r>
        <w:rPr/>
        <w:t>este</w:t>
      </w:r>
      <w:r>
        <w:rPr>
          <w:spacing w:val="1"/>
        </w:rPr>
        <w:t> </w:t>
      </w:r>
      <w:r>
        <w:rPr/>
        <w:t>nivel</w:t>
      </w:r>
      <w:r>
        <w:rPr>
          <w:spacing w:val="-1"/>
        </w:rPr>
        <w:t> </w:t>
      </w:r>
      <w:r>
        <w:rPr/>
        <w:t>de riesgo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partir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 base de</w:t>
      </w:r>
      <w:r>
        <w:rPr>
          <w:spacing w:val="-3"/>
        </w:rPr>
        <w:t> </w:t>
      </w:r>
      <w:r>
        <w:rPr/>
        <w:t>datos</w:t>
      </w:r>
      <w:r>
        <w:rPr>
          <w:spacing w:val="-3"/>
        </w:rPr>
        <w:t> </w:t>
      </w:r>
      <w:r>
        <w:rPr/>
        <w:t>NatCatSERVICE</w:t>
      </w:r>
      <w:r>
        <w:rPr>
          <w:spacing w:val="-6"/>
        </w:rPr>
        <w:t> </w:t>
      </w:r>
      <w:r>
        <w:rPr/>
        <w:t>y</w:t>
      </w:r>
      <w:r>
        <w:rPr>
          <w:spacing w:val="-1"/>
        </w:rPr>
        <w:t> </w:t>
      </w:r>
      <w:r>
        <w:rPr/>
        <w:t>los datos</w:t>
      </w:r>
      <w:r>
        <w:rPr>
          <w:spacing w:val="-48"/>
        </w:rPr>
        <w:t> </w:t>
      </w:r>
      <w:r>
        <w:rPr/>
        <w:t>socioeconómicos</w:t>
      </w:r>
      <w:r>
        <w:rPr>
          <w:spacing w:val="-1"/>
        </w:rPr>
        <w:t> </w:t>
      </w:r>
      <w:r>
        <w:rPr/>
        <w:t>del Fondo</w:t>
      </w:r>
      <w:r>
        <w:rPr>
          <w:spacing w:val="-1"/>
        </w:rPr>
        <w:t> </w:t>
      </w:r>
      <w:r>
        <w:rPr/>
        <w:t>Monetario</w:t>
      </w:r>
      <w:r>
        <w:rPr>
          <w:spacing w:val="-2"/>
        </w:rPr>
        <w:t> </w:t>
      </w:r>
      <w:r>
        <w:rPr/>
        <w:t>Internacional.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2"/>
        <w:jc w:val="both"/>
      </w:pPr>
      <w:r>
        <w:rPr/>
        <w:t>Éste (IRC), indica el nivel de exposición y la vulnerabilidad a los fenómenos climáticos extremos que los</w:t>
      </w:r>
      <w:r>
        <w:rPr>
          <w:spacing w:val="1"/>
        </w:rPr>
        <w:t> </w:t>
      </w:r>
      <w:r>
        <w:rPr/>
        <w:t>países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entender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advertencia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preparados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eventos</w:t>
      </w:r>
      <w:r>
        <w:rPr>
          <w:spacing w:val="1"/>
        </w:rPr>
        <w:t> </w:t>
      </w:r>
      <w:r>
        <w:rPr/>
        <w:t>climáticos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frecuentes o severos en el futuro. Los resultados destacan vulnerabilidad particular de los países más</w:t>
      </w:r>
      <w:r>
        <w:rPr>
          <w:spacing w:val="1"/>
        </w:rPr>
        <w:t> </w:t>
      </w:r>
      <w:r>
        <w:rPr/>
        <w:t>pobres a los riesgos climáticos, en relación con su capacidad económica y su población. Tal y como se</w:t>
      </w:r>
      <w:r>
        <w:rPr>
          <w:spacing w:val="1"/>
        </w:rPr>
        <w:t> </w:t>
      </w:r>
      <w:r>
        <w:rPr/>
        <w:t>observa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el siguiente</w:t>
      </w:r>
      <w:r>
        <w:rPr>
          <w:spacing w:val="1"/>
        </w:rPr>
        <w:t> </w:t>
      </w:r>
      <w:r>
        <w:rPr/>
        <w:t>gráfico.</w:t>
      </w:r>
    </w:p>
    <w:p>
      <w:pPr>
        <w:pStyle w:val="BodyText"/>
        <w:spacing w:before="1"/>
      </w:pPr>
    </w:p>
    <w:p>
      <w:pPr>
        <w:pStyle w:val="BodyText"/>
        <w:spacing w:before="1"/>
        <w:ind w:left="278"/>
        <w:jc w:val="both"/>
      </w:pPr>
      <w:r>
        <w:rPr/>
        <w:drawing>
          <wp:anchor distT="0" distB="0" distL="0" distR="0" allowOverlap="1" layoutInCell="1" locked="0" behindDoc="0" simplePos="0" relativeHeight="471">
            <wp:simplePos x="0" y="0"/>
            <wp:positionH relativeFrom="page">
              <wp:posOffset>2124075</wp:posOffset>
            </wp:positionH>
            <wp:positionV relativeFrom="paragraph">
              <wp:posOffset>226106</wp:posOffset>
            </wp:positionV>
            <wp:extent cx="3776128" cy="2183034"/>
            <wp:effectExtent l="0" t="0" r="0" b="0"/>
            <wp:wrapTopAndBottom/>
            <wp:docPr id="347" name="image121.jpeg" descr="Map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21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128" cy="2183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Gráfico Nº.</w:t>
      </w:r>
      <w:r>
        <w:rPr>
          <w:spacing w:val="46"/>
        </w:rPr>
        <w:t> </w:t>
      </w:r>
      <w:r>
        <w:rPr/>
        <w:t>Mapa</w:t>
      </w:r>
      <w:r>
        <w:rPr>
          <w:spacing w:val="-2"/>
        </w:rPr>
        <w:t> </w:t>
      </w:r>
      <w:r>
        <w:rPr/>
        <w:t>mundial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índice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Riesgo Climático Global para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años</w:t>
      </w:r>
      <w:r>
        <w:rPr>
          <w:spacing w:val="-2"/>
        </w:rPr>
        <w:t> </w:t>
      </w:r>
      <w:r>
        <w:rPr/>
        <w:t>2020-2019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  <w:r>
        <w:rPr/>
        <w:pict>
          <v:rect style="position:absolute;margin-left:563.880005pt;margin-top:15.015475pt;width:25.44pt;height:1.4399pt;mso-position-horizontal-relative:page;mso-position-vertical-relative:paragraph;z-index:-1548697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  <w:spacing w:line="240" w:lineRule="auto" w:after="12"/>
      </w:pPr>
      <w:r>
        <w:rPr/>
        <w:t>118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55904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4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2"/>
        <w:jc w:val="both"/>
      </w:pPr>
      <w:r>
        <w:rPr/>
        <w:t>En el mapa anterior, extraído del IRC (2021), se observan las condiciones mundiales de vulnerabilidad de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países frente</w:t>
      </w:r>
      <w:r>
        <w:rPr>
          <w:spacing w:val="1"/>
        </w:rPr>
        <w:t> </w:t>
      </w:r>
      <w:r>
        <w:rPr/>
        <w:t>al</w:t>
      </w:r>
      <w:r>
        <w:rPr>
          <w:spacing w:val="-3"/>
        </w:rPr>
        <w:t> </w:t>
      </w:r>
      <w:r>
        <w:rPr/>
        <w:t>cambio</w:t>
      </w:r>
      <w:r>
        <w:rPr>
          <w:spacing w:val="-2"/>
        </w:rPr>
        <w:t> </w:t>
      </w:r>
      <w:r>
        <w:rPr/>
        <w:t>climático.</w:t>
      </w:r>
    </w:p>
    <w:p>
      <w:pPr>
        <w:pStyle w:val="BodyText"/>
      </w:pPr>
    </w:p>
    <w:p>
      <w:pPr>
        <w:pStyle w:val="BodyText"/>
        <w:ind w:left="278"/>
        <w:jc w:val="both"/>
      </w:pPr>
      <w:r>
        <w:rPr/>
        <w:t>Los</w:t>
      </w:r>
      <w:r>
        <w:rPr>
          <w:spacing w:val="-5"/>
        </w:rPr>
        <w:t> </w:t>
      </w:r>
      <w:r>
        <w:rPr/>
        <w:t>principales</w:t>
      </w:r>
      <w:r>
        <w:rPr>
          <w:spacing w:val="-1"/>
        </w:rPr>
        <w:t> </w:t>
      </w:r>
      <w:r>
        <w:rPr/>
        <w:t>componentes que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indicador</w:t>
      </w:r>
      <w:r>
        <w:rPr>
          <w:spacing w:val="-3"/>
        </w:rPr>
        <w:t> </w:t>
      </w:r>
      <w:r>
        <w:rPr/>
        <w:t>analiza</w:t>
      </w:r>
      <w:r>
        <w:rPr>
          <w:spacing w:val="-3"/>
        </w:rPr>
        <w:t> </w:t>
      </w:r>
      <w:r>
        <w:rPr/>
        <w:t>para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estudio son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siguientes:</w:t>
      </w:r>
    </w:p>
    <w:p>
      <w:pPr>
        <w:pStyle w:val="ListParagraph"/>
        <w:numPr>
          <w:ilvl w:val="3"/>
          <w:numId w:val="32"/>
        </w:numPr>
        <w:tabs>
          <w:tab w:pos="999" w:val="left" w:leader="none"/>
        </w:tabs>
        <w:spacing w:line="267" w:lineRule="exact" w:before="1" w:after="0"/>
        <w:ind w:left="998" w:right="0" w:hanging="361"/>
        <w:jc w:val="both"/>
        <w:rPr>
          <w:sz w:val="22"/>
        </w:rPr>
      </w:pPr>
      <w:r>
        <w:rPr>
          <w:sz w:val="22"/>
        </w:rPr>
        <w:t>Número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muertes.</w:t>
      </w:r>
    </w:p>
    <w:p>
      <w:pPr>
        <w:pStyle w:val="ListParagraph"/>
        <w:numPr>
          <w:ilvl w:val="3"/>
          <w:numId w:val="32"/>
        </w:numPr>
        <w:tabs>
          <w:tab w:pos="999" w:val="left" w:leader="none"/>
        </w:tabs>
        <w:spacing w:line="267" w:lineRule="exact" w:before="0" w:after="0"/>
        <w:ind w:left="998" w:right="0" w:hanging="361"/>
        <w:jc w:val="both"/>
        <w:rPr>
          <w:sz w:val="22"/>
        </w:rPr>
      </w:pPr>
      <w:r>
        <w:rPr>
          <w:sz w:val="22"/>
        </w:rPr>
        <w:t>Número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muertes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cada</w:t>
      </w:r>
      <w:r>
        <w:rPr>
          <w:spacing w:val="-2"/>
          <w:sz w:val="22"/>
        </w:rPr>
        <w:t> </w:t>
      </w:r>
      <w:r>
        <w:rPr>
          <w:sz w:val="22"/>
        </w:rPr>
        <w:t>100,00</w:t>
      </w:r>
      <w:r>
        <w:rPr>
          <w:spacing w:val="-2"/>
          <w:sz w:val="22"/>
        </w:rPr>
        <w:t> </w:t>
      </w:r>
      <w:r>
        <w:rPr>
          <w:sz w:val="22"/>
        </w:rPr>
        <w:t>habitantes.</w:t>
      </w:r>
    </w:p>
    <w:p>
      <w:pPr>
        <w:pStyle w:val="ListParagraph"/>
        <w:numPr>
          <w:ilvl w:val="3"/>
          <w:numId w:val="32"/>
        </w:numPr>
        <w:tabs>
          <w:tab w:pos="999" w:val="left" w:leader="none"/>
        </w:tabs>
        <w:spacing w:line="240" w:lineRule="auto" w:before="0" w:after="0"/>
        <w:ind w:left="998" w:right="1070" w:hanging="360"/>
        <w:jc w:val="both"/>
        <w:rPr>
          <w:sz w:val="22"/>
        </w:rPr>
      </w:pPr>
      <w:r>
        <w:rPr>
          <w:b/>
          <w:sz w:val="22"/>
        </w:rPr>
        <w:t>Suma de pérdidas en dólares estadounidense en Paridad del Poder Adquisitivo (PPA</w:t>
      </w:r>
      <w:r>
        <w:rPr>
          <w:sz w:val="22"/>
        </w:rPr>
        <w:t>). Este</w:t>
      </w:r>
      <w:r>
        <w:rPr>
          <w:spacing w:val="1"/>
          <w:sz w:val="22"/>
        </w:rPr>
        <w:t> </w:t>
      </w:r>
      <w:r>
        <w:rPr>
          <w:sz w:val="22"/>
        </w:rPr>
        <w:t>indicador se identifica mediante la paridad del poder adquisitivo porque el uso de esta cifra</w:t>
      </w:r>
      <w:r>
        <w:rPr>
          <w:spacing w:val="1"/>
          <w:sz w:val="22"/>
        </w:rPr>
        <w:t> </w:t>
      </w:r>
      <w:r>
        <w:rPr>
          <w:sz w:val="22"/>
        </w:rPr>
        <w:t>expresa de manera más apropiada cómo las personas se ven realmente afectadas por la pérdida</w:t>
      </w:r>
      <w:r>
        <w:rPr>
          <w:spacing w:val="1"/>
          <w:sz w:val="22"/>
        </w:rPr>
        <w:t> </w:t>
      </w:r>
      <w:r>
        <w:rPr>
          <w:sz w:val="22"/>
        </w:rPr>
        <w:t>de US$1 en</w:t>
      </w:r>
      <w:r>
        <w:rPr>
          <w:spacing w:val="-1"/>
          <w:sz w:val="22"/>
        </w:rPr>
        <w:t> </w:t>
      </w:r>
      <w:r>
        <w:rPr>
          <w:sz w:val="22"/>
        </w:rPr>
        <w:t>lugar de</w:t>
      </w:r>
      <w:r>
        <w:rPr>
          <w:spacing w:val="1"/>
          <w:sz w:val="22"/>
        </w:rPr>
        <w:t> </w:t>
      </w:r>
      <w:r>
        <w:rPr>
          <w:sz w:val="22"/>
        </w:rPr>
        <w:t>usar</w:t>
      </w:r>
      <w:r>
        <w:rPr>
          <w:spacing w:val="-3"/>
          <w:sz w:val="22"/>
        </w:rPr>
        <w:t> </w:t>
      </w:r>
      <w:r>
        <w:rPr>
          <w:sz w:val="22"/>
        </w:rPr>
        <w:t>tipo de cambio</w:t>
      </w:r>
      <w:r>
        <w:rPr>
          <w:spacing w:val="1"/>
          <w:sz w:val="22"/>
        </w:rPr>
        <w:t> </w:t>
      </w:r>
      <w:r>
        <w:rPr>
          <w:sz w:val="22"/>
        </w:rPr>
        <w:t>nominales.</w:t>
      </w:r>
    </w:p>
    <w:p>
      <w:pPr>
        <w:pStyle w:val="ListParagraph"/>
        <w:numPr>
          <w:ilvl w:val="3"/>
          <w:numId w:val="32"/>
        </w:numPr>
        <w:tabs>
          <w:tab w:pos="999" w:val="left" w:leader="none"/>
        </w:tabs>
        <w:spacing w:line="240" w:lineRule="auto" w:before="2" w:after="0"/>
        <w:ind w:left="998" w:right="0" w:hanging="361"/>
        <w:jc w:val="both"/>
        <w:rPr>
          <w:sz w:val="22"/>
        </w:rPr>
      </w:pPr>
      <w:r>
        <w:rPr>
          <w:sz w:val="22"/>
        </w:rPr>
        <w:t>Pérdidas</w:t>
      </w:r>
      <w:r>
        <w:rPr>
          <w:spacing w:val="-1"/>
          <w:sz w:val="22"/>
        </w:rPr>
        <w:t> </w:t>
      </w:r>
      <w:r>
        <w:rPr>
          <w:sz w:val="22"/>
        </w:rPr>
        <w:t>por</w:t>
      </w:r>
      <w:r>
        <w:rPr>
          <w:spacing w:val="-1"/>
          <w:sz w:val="22"/>
        </w:rPr>
        <w:t> </w:t>
      </w:r>
      <w:r>
        <w:rPr>
          <w:sz w:val="22"/>
        </w:rPr>
        <w:t>unidad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Producto Interno</w:t>
      </w:r>
      <w:r>
        <w:rPr>
          <w:spacing w:val="-1"/>
          <w:sz w:val="22"/>
        </w:rPr>
        <w:t> </w:t>
      </w:r>
      <w:r>
        <w:rPr>
          <w:sz w:val="22"/>
        </w:rPr>
        <w:t>Bruto.</w:t>
      </w:r>
    </w:p>
    <w:p>
      <w:pPr>
        <w:pStyle w:val="BodyText"/>
      </w:pPr>
    </w:p>
    <w:p>
      <w:pPr>
        <w:pStyle w:val="BodyText"/>
        <w:spacing w:line="480" w:lineRule="auto"/>
        <w:ind w:left="278" w:right="2930"/>
      </w:pPr>
      <w:r>
        <w:rPr/>
        <w:pict>
          <v:shape style="position:absolute;margin-left:70.944pt;margin-top:40.353607pt;width:470.55pt;height:81.25pt;mso-position-horizontal-relative:page;mso-position-vertical-relative:paragraph;z-index:159733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65"/>
                    <w:gridCol w:w="985"/>
                    <w:gridCol w:w="1035"/>
                    <w:gridCol w:w="1633"/>
                    <w:gridCol w:w="2581"/>
                    <w:gridCol w:w="1599"/>
                  </w:tblGrid>
                  <w:tr>
                    <w:trPr>
                      <w:trHeight w:val="217" w:hRule="atLeast"/>
                    </w:trPr>
                    <w:tc>
                      <w:tcPr>
                        <w:tcW w:w="9398" w:type="dxa"/>
                        <w:gridSpan w:val="6"/>
                        <w:tcBorders>
                          <w:right w:val="single" w:sz="6" w:space="0" w:color="000000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spacing w:line="198" w:lineRule="exact"/>
                          <w:ind w:left="3086" w:right="308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F2023"/>
                            <w:sz w:val="18"/>
                          </w:rPr>
                          <w:t>Índice</w:t>
                        </w:r>
                        <w:r>
                          <w:rPr>
                            <w:b/>
                            <w:color w:val="1F2023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F2023"/>
                            <w:sz w:val="18"/>
                          </w:rPr>
                          <w:t>de</w:t>
                        </w:r>
                        <w:r>
                          <w:rPr>
                            <w:b/>
                            <w:color w:val="1F2023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F2023"/>
                            <w:sz w:val="18"/>
                          </w:rPr>
                          <w:t>Riesgo</w:t>
                        </w:r>
                        <w:r>
                          <w:rPr>
                            <w:b/>
                            <w:color w:val="1F2023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F2023"/>
                            <w:sz w:val="18"/>
                          </w:rPr>
                          <w:t>Climático</w:t>
                        </w:r>
                        <w:r>
                          <w:rPr>
                            <w:b/>
                            <w:color w:val="1F2023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F2023"/>
                            <w:sz w:val="18"/>
                          </w:rPr>
                          <w:t>para</w:t>
                        </w:r>
                        <w:r>
                          <w:rPr>
                            <w:b/>
                            <w:color w:val="1F2023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F2023"/>
                            <w:sz w:val="18"/>
                          </w:rPr>
                          <w:t>Guatemala</w:t>
                        </w:r>
                      </w:p>
                    </w:tc>
                  </w:tr>
                  <w:tr>
                    <w:trPr>
                      <w:trHeight w:val="1098" w:hRule="atLeast"/>
                    </w:trPr>
                    <w:tc>
                      <w:tcPr>
                        <w:tcW w:w="1565" w:type="dxa"/>
                      </w:tcPr>
                      <w:p>
                        <w:pPr>
                          <w:pStyle w:val="TableParagraph"/>
                          <w:spacing w:before="1"/>
                          <w:ind w:left="119" w:right="109" w:hanging="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F2023"/>
                            <w:sz w:val="18"/>
                          </w:rPr>
                          <w:t>Posición de</w:t>
                        </w:r>
                        <w:r>
                          <w:rPr>
                            <w:b/>
                            <w:color w:val="1F2023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F2023"/>
                            <w:sz w:val="18"/>
                          </w:rPr>
                          <w:t>Guatemala frente</w:t>
                        </w:r>
                        <w:r>
                          <w:rPr>
                            <w:b/>
                            <w:color w:val="1F2023"/>
                            <w:spacing w:val="-38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F2023"/>
                            <w:sz w:val="18"/>
                          </w:rPr>
                          <w:t>a</w:t>
                        </w:r>
                        <w:r>
                          <w:rPr>
                            <w:b/>
                            <w:color w:val="1F2023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F2023"/>
                            <w:sz w:val="18"/>
                          </w:rPr>
                          <w:t>180 países</w:t>
                        </w:r>
                      </w:p>
                    </w:tc>
                    <w:tc>
                      <w:tcPr>
                        <w:tcW w:w="985" w:type="dxa"/>
                      </w:tcPr>
                      <w:p>
                        <w:pPr>
                          <w:pStyle w:val="TableParagraph"/>
                          <w:spacing w:before="1"/>
                          <w:ind w:left="201" w:right="192" w:hanging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F2023"/>
                            <w:sz w:val="18"/>
                          </w:rPr>
                          <w:t>Punteo</w:t>
                        </w:r>
                        <w:r>
                          <w:rPr>
                            <w:color w:val="1F2023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F2023"/>
                            <w:sz w:val="18"/>
                          </w:rPr>
                          <w:t>del</w:t>
                        </w:r>
                        <w:r>
                          <w:rPr>
                            <w:color w:val="1F2023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F2023"/>
                            <w:spacing w:val="-1"/>
                            <w:sz w:val="18"/>
                          </w:rPr>
                          <w:t>Ranking</w:t>
                        </w:r>
                      </w:p>
                    </w:tc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spacing w:before="1"/>
                          <w:ind w:left="121" w:right="116" w:firstLine="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F2023"/>
                            <w:sz w:val="18"/>
                          </w:rPr>
                          <w:t>Número</w:t>
                        </w:r>
                        <w:r>
                          <w:rPr>
                            <w:color w:val="1F2023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F2023"/>
                            <w:sz w:val="18"/>
                          </w:rPr>
                          <w:t>de</w:t>
                        </w:r>
                        <w:r>
                          <w:rPr>
                            <w:color w:val="1F2023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F2023"/>
                            <w:sz w:val="18"/>
                          </w:rPr>
                          <w:t>Muertes</w:t>
                        </w:r>
                        <w:r>
                          <w:rPr>
                            <w:color w:val="1F2023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F2023"/>
                            <w:spacing w:val="-1"/>
                            <w:sz w:val="18"/>
                          </w:rPr>
                          <w:t>2019-2020</w:t>
                        </w:r>
                      </w:p>
                    </w:tc>
                    <w:tc>
                      <w:tcPr>
                        <w:tcW w:w="1633" w:type="dxa"/>
                      </w:tcPr>
                      <w:p>
                        <w:pPr>
                          <w:pStyle w:val="TableParagraph"/>
                          <w:spacing w:before="1"/>
                          <w:ind w:left="106" w:right="104" w:hanging="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F2023"/>
                            <w:sz w:val="18"/>
                          </w:rPr>
                          <w:t>Número de</w:t>
                        </w:r>
                        <w:r>
                          <w:rPr>
                            <w:color w:val="1F2023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F2023"/>
                            <w:sz w:val="18"/>
                          </w:rPr>
                          <w:t>muertes por cada</w:t>
                        </w:r>
                        <w:r>
                          <w:rPr>
                            <w:color w:val="1F2023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F2023"/>
                            <w:spacing w:val="-1"/>
                            <w:sz w:val="18"/>
                          </w:rPr>
                          <w:t>100,000</w:t>
                        </w:r>
                        <w:r>
                          <w:rPr>
                            <w:color w:val="1F2023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1F2023"/>
                            <w:sz w:val="18"/>
                          </w:rPr>
                          <w:t>habitantes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398" w:right="39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F2023"/>
                            <w:sz w:val="18"/>
                          </w:rPr>
                          <w:t>2019-2020</w:t>
                        </w:r>
                      </w:p>
                    </w:tc>
                    <w:tc>
                      <w:tcPr>
                        <w:tcW w:w="2581" w:type="dxa"/>
                      </w:tcPr>
                      <w:p>
                        <w:pPr>
                          <w:pStyle w:val="TableParagraph"/>
                          <w:spacing w:before="1"/>
                          <w:ind w:left="122" w:right="123" w:firstLine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F2023"/>
                            <w:sz w:val="18"/>
                          </w:rPr>
                          <w:t>Suma de pérdidas en dólares</w:t>
                        </w:r>
                        <w:r>
                          <w:rPr>
                            <w:color w:val="1F2023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F2023"/>
                            <w:sz w:val="18"/>
                          </w:rPr>
                          <w:t>estadounidenses</w:t>
                        </w:r>
                        <w:r>
                          <w:rPr>
                            <w:color w:val="1F2023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1F2023"/>
                            <w:sz w:val="18"/>
                          </w:rPr>
                          <w:t>en</w:t>
                        </w:r>
                        <w:r>
                          <w:rPr>
                            <w:color w:val="1F2023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1F2023"/>
                            <w:sz w:val="18"/>
                          </w:rPr>
                          <w:t>Paridad</w:t>
                        </w:r>
                        <w:r>
                          <w:rPr>
                            <w:color w:val="1F2023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1F2023"/>
                            <w:sz w:val="18"/>
                          </w:rPr>
                          <w:t>del</w:t>
                        </w:r>
                        <w:r>
                          <w:rPr>
                            <w:color w:val="1F2023"/>
                            <w:spacing w:val="-37"/>
                            <w:sz w:val="18"/>
                          </w:rPr>
                          <w:t> </w:t>
                        </w:r>
                        <w:r>
                          <w:rPr>
                            <w:color w:val="1F2023"/>
                            <w:sz w:val="18"/>
                          </w:rPr>
                          <w:t>Poder</w:t>
                        </w:r>
                        <w:r>
                          <w:rPr>
                            <w:color w:val="1F2023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1F2023"/>
                            <w:sz w:val="18"/>
                          </w:rPr>
                          <w:t>Adquisitivo</w:t>
                        </w:r>
                        <w:r>
                          <w:rPr>
                            <w:color w:val="1F2023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F2023"/>
                            <w:sz w:val="18"/>
                          </w:rPr>
                          <w:t>(PPA)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873" w:right="87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F2023"/>
                            <w:sz w:val="18"/>
                          </w:rPr>
                          <w:t>2019-2020</w:t>
                        </w:r>
                      </w:p>
                    </w:tc>
                    <w:tc>
                      <w:tcPr>
                        <w:tcW w:w="159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70" w:right="162" w:hanging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F2023"/>
                            <w:sz w:val="18"/>
                          </w:rPr>
                          <w:t>Pérdidas por</w:t>
                        </w:r>
                        <w:r>
                          <w:rPr>
                            <w:color w:val="1F2023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F2023"/>
                            <w:sz w:val="18"/>
                          </w:rPr>
                          <w:t>unidad de</w:t>
                        </w:r>
                        <w:r>
                          <w:rPr>
                            <w:color w:val="1F2023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F2023"/>
                            <w:spacing w:val="-1"/>
                            <w:sz w:val="18"/>
                          </w:rPr>
                          <w:t>Producto </w:t>
                        </w:r>
                        <w:r>
                          <w:rPr>
                            <w:color w:val="1F2023"/>
                            <w:sz w:val="18"/>
                          </w:rPr>
                          <w:t>Interno</w:t>
                        </w:r>
                        <w:r>
                          <w:rPr>
                            <w:color w:val="1F2023"/>
                            <w:spacing w:val="-38"/>
                            <w:sz w:val="18"/>
                          </w:rPr>
                          <w:t> </w:t>
                        </w:r>
                        <w:r>
                          <w:rPr>
                            <w:color w:val="1F2023"/>
                            <w:sz w:val="18"/>
                          </w:rPr>
                          <w:t>Bruto</w:t>
                        </w:r>
                        <w:r>
                          <w:rPr>
                            <w:color w:val="1F2023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1F2023"/>
                            <w:sz w:val="18"/>
                          </w:rPr>
                          <w:t>(PIB)</w:t>
                        </w:r>
                      </w:p>
                      <w:p>
                        <w:pPr>
                          <w:pStyle w:val="TableParagraph"/>
                          <w:spacing w:line="199" w:lineRule="exact"/>
                          <w:ind w:left="382" w:right="3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F2023"/>
                            <w:sz w:val="18"/>
                          </w:rPr>
                          <w:t>2019-2020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565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650" w:right="641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1F2023"/>
                            <w:sz w:val="22"/>
                          </w:rPr>
                          <w:t>62</w:t>
                        </w:r>
                      </w:p>
                    </w:tc>
                    <w:tc>
                      <w:tcPr>
                        <w:tcW w:w="985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239"/>
                          <w:rPr>
                            <w:sz w:val="22"/>
                          </w:rPr>
                        </w:pPr>
                        <w:r>
                          <w:rPr>
                            <w:color w:val="1F2023"/>
                            <w:sz w:val="22"/>
                          </w:rPr>
                          <w:t>65.67</w:t>
                        </w:r>
                      </w:p>
                    </w:tc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25" w:right="2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1F2023"/>
                            <w:sz w:val="22"/>
                          </w:rPr>
                          <w:t>60</w:t>
                        </w:r>
                      </w:p>
                    </w:tc>
                    <w:tc>
                      <w:tcPr>
                        <w:tcW w:w="1633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398" w:right="39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1F2023"/>
                            <w:sz w:val="22"/>
                          </w:rPr>
                          <w:t>66</w:t>
                        </w:r>
                      </w:p>
                    </w:tc>
                    <w:tc>
                      <w:tcPr>
                        <w:tcW w:w="2581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873" w:right="8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1F2023"/>
                            <w:sz w:val="22"/>
                          </w:rPr>
                          <w:t>66</w:t>
                        </w:r>
                      </w:p>
                    </w:tc>
                    <w:tc>
                      <w:tcPr>
                        <w:tcW w:w="159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8" w:lineRule="exact"/>
                          <w:ind w:left="382" w:right="37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1F2023"/>
                            <w:sz w:val="22"/>
                          </w:rPr>
                          <w:t>68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De acuerdo con IRC (2021), Guatemala se ubica en el puesto 62 del ranking mundial.</w:t>
      </w:r>
      <w:r>
        <w:rPr>
          <w:spacing w:val="-47"/>
        </w:rPr>
        <w:t> </w:t>
      </w:r>
      <w:r>
        <w:rPr/>
        <w:t>Tabla</w:t>
      </w:r>
      <w:r>
        <w:rPr>
          <w:spacing w:val="-1"/>
        </w:rPr>
        <w:t> </w:t>
      </w:r>
      <w:r>
        <w:rPr/>
        <w:t>Nº. Índice de</w:t>
      </w:r>
      <w:r>
        <w:rPr>
          <w:spacing w:val="-2"/>
        </w:rPr>
        <w:t> </w:t>
      </w:r>
      <w:r>
        <w:rPr/>
        <w:t>Riesgo</w:t>
      </w:r>
      <w:r>
        <w:rPr>
          <w:spacing w:val="-1"/>
        </w:rPr>
        <w:t> </w:t>
      </w:r>
      <w:r>
        <w:rPr/>
        <w:t>Climático para</w:t>
      </w:r>
      <w:r>
        <w:rPr>
          <w:spacing w:val="-4"/>
        </w:rPr>
        <w:t> </w:t>
      </w:r>
      <w:r>
        <w:rPr/>
        <w:t>Guatemala</w:t>
      </w:r>
      <w:r>
        <w:rPr>
          <w:spacing w:val="-5"/>
        </w:rPr>
        <w:t> </w:t>
      </w:r>
      <w:r>
        <w:rPr/>
        <w:t>2021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spacing w:before="0"/>
        <w:ind w:left="278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1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IRC,</w:t>
      </w:r>
      <w:r>
        <w:rPr>
          <w:spacing w:val="-1"/>
          <w:sz w:val="16"/>
        </w:rPr>
        <w:t> </w:t>
      </w:r>
      <w:r>
        <w:rPr>
          <w:sz w:val="16"/>
        </w:rPr>
        <w:t>2021.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56"/>
        <w:ind w:left="278" w:right="1073"/>
        <w:jc w:val="both"/>
      </w:pPr>
      <w:r>
        <w:rPr>
          <w:shd w:fill="FFFFFF" w:color="auto" w:val="clear"/>
        </w:rPr>
        <w:t>En</w:t>
      </w:r>
      <w:r>
        <w:rPr>
          <w:spacing w:val="-6"/>
          <w:shd w:fill="FFFFFF" w:color="auto" w:val="clear"/>
        </w:rPr>
        <w:t> </w:t>
      </w:r>
      <w:r>
        <w:rPr>
          <w:shd w:fill="FFFFFF" w:color="auto" w:val="clear"/>
        </w:rPr>
        <w:t>la</w:t>
      </w:r>
      <w:r>
        <w:rPr>
          <w:spacing w:val="-8"/>
          <w:shd w:fill="FFFFFF" w:color="auto" w:val="clear"/>
        </w:rPr>
        <w:t> </w:t>
      </w:r>
      <w:r>
        <w:rPr>
          <w:shd w:fill="FFFFFF" w:color="auto" w:val="clear"/>
        </w:rPr>
        <w:t>tabla</w:t>
      </w:r>
      <w:r>
        <w:rPr>
          <w:spacing w:val="-6"/>
          <w:shd w:fill="FFFFFF" w:color="auto" w:val="clear"/>
        </w:rPr>
        <w:t> </w:t>
      </w:r>
      <w:r>
        <w:rPr>
          <w:shd w:fill="FFFFFF" w:color="auto" w:val="clear"/>
        </w:rPr>
        <w:t>anterior,</w:t>
      </w:r>
      <w:r>
        <w:rPr>
          <w:spacing w:val="-8"/>
          <w:shd w:fill="FFFFFF" w:color="auto" w:val="clear"/>
        </w:rPr>
        <w:t> </w:t>
      </w:r>
      <w:r>
        <w:rPr>
          <w:shd w:fill="FFFFFF" w:color="auto" w:val="clear"/>
        </w:rPr>
        <w:t>se</w:t>
      </w:r>
      <w:r>
        <w:rPr>
          <w:spacing w:val="-8"/>
          <w:shd w:fill="FFFFFF" w:color="auto" w:val="clear"/>
        </w:rPr>
        <w:t> </w:t>
      </w:r>
      <w:r>
        <w:rPr>
          <w:shd w:fill="FFFFFF" w:color="auto" w:val="clear"/>
        </w:rPr>
        <w:t>observa</w:t>
      </w:r>
      <w:r>
        <w:rPr>
          <w:spacing w:val="-6"/>
          <w:shd w:fill="FFFFFF" w:color="auto" w:val="clear"/>
        </w:rPr>
        <w:t> </w:t>
      </w:r>
      <w:r>
        <w:rPr>
          <w:shd w:fill="FFFFFF" w:color="auto" w:val="clear"/>
        </w:rPr>
        <w:t>las</w:t>
      </w:r>
      <w:r>
        <w:rPr>
          <w:spacing w:val="-6"/>
          <w:shd w:fill="FFFFFF" w:color="auto" w:val="clear"/>
        </w:rPr>
        <w:t> </w:t>
      </w:r>
      <w:r>
        <w:rPr>
          <w:shd w:fill="FFFFFF" w:color="auto" w:val="clear"/>
        </w:rPr>
        <w:t>cifras</w:t>
      </w:r>
      <w:r>
        <w:rPr>
          <w:spacing w:val="-8"/>
          <w:shd w:fill="FFFFFF" w:color="auto" w:val="clear"/>
        </w:rPr>
        <w:t> </w:t>
      </w:r>
      <w:r>
        <w:rPr>
          <w:shd w:fill="FFFFFF" w:color="auto" w:val="clear"/>
        </w:rPr>
        <w:t>extraídas</w:t>
      </w:r>
      <w:r>
        <w:rPr>
          <w:spacing w:val="-8"/>
          <w:shd w:fill="FFFFFF" w:color="auto" w:val="clear"/>
        </w:rPr>
        <w:t> </w:t>
      </w:r>
      <w:r>
        <w:rPr>
          <w:shd w:fill="FFFFFF" w:color="auto" w:val="clear"/>
        </w:rPr>
        <w:t>del</w:t>
      </w:r>
      <w:r>
        <w:rPr>
          <w:spacing w:val="-8"/>
          <w:shd w:fill="FFFFFF" w:color="auto" w:val="clear"/>
        </w:rPr>
        <w:t> </w:t>
      </w:r>
      <w:r>
        <w:rPr>
          <w:shd w:fill="FFFFFF" w:color="auto" w:val="clear"/>
        </w:rPr>
        <w:t>IRC,2021,</w:t>
      </w:r>
      <w:r>
        <w:rPr>
          <w:spacing w:val="-5"/>
          <w:shd w:fill="FFFFFF" w:color="auto" w:val="clear"/>
        </w:rPr>
        <w:t> </w:t>
      </w:r>
      <w:r>
        <w:rPr>
          <w:shd w:fill="FFFFFF" w:color="auto" w:val="clear"/>
        </w:rPr>
        <w:t>para</w:t>
      </w:r>
      <w:r>
        <w:rPr>
          <w:spacing w:val="-9"/>
          <w:shd w:fill="FFFFFF" w:color="auto" w:val="clear"/>
        </w:rPr>
        <w:t> </w:t>
      </w:r>
      <w:r>
        <w:rPr>
          <w:shd w:fill="FFFFFF" w:color="auto" w:val="clear"/>
        </w:rPr>
        <w:t>Guatemala.</w:t>
      </w:r>
      <w:r>
        <w:rPr>
          <w:spacing w:val="-9"/>
          <w:shd w:fill="FFFFFF" w:color="auto" w:val="clear"/>
        </w:rPr>
        <w:t> </w:t>
      </w:r>
      <w:r>
        <w:rPr>
          <w:shd w:fill="FFFFFF" w:color="auto" w:val="clear"/>
        </w:rPr>
        <w:t>Las</w:t>
      </w:r>
      <w:r>
        <w:rPr>
          <w:spacing w:val="-6"/>
          <w:shd w:fill="FFFFFF" w:color="auto" w:val="clear"/>
        </w:rPr>
        <w:t> </w:t>
      </w:r>
      <w:r>
        <w:rPr>
          <w:shd w:fill="FFFFFF" w:color="auto" w:val="clear"/>
        </w:rPr>
        <w:t>cantidades</w:t>
      </w:r>
      <w:r>
        <w:rPr>
          <w:spacing w:val="-8"/>
          <w:shd w:fill="FFFFFF" w:color="auto" w:val="clear"/>
        </w:rPr>
        <w:t> </w:t>
      </w:r>
      <w:r>
        <w:rPr>
          <w:shd w:fill="FFFFFF" w:color="auto" w:val="clear"/>
        </w:rPr>
        <w:t>más</w:t>
      </w:r>
      <w:r>
        <w:rPr>
          <w:spacing w:val="-8"/>
          <w:shd w:fill="FFFFFF" w:color="auto" w:val="clear"/>
        </w:rPr>
        <w:t> </w:t>
      </w:r>
      <w:r>
        <w:rPr>
          <w:shd w:fill="FFFFFF" w:color="auto" w:val="clear"/>
        </w:rPr>
        <w:t>bajas</w:t>
      </w:r>
      <w:r>
        <w:rPr>
          <w:spacing w:val="-47"/>
        </w:rPr>
        <w:t> </w:t>
      </w:r>
      <w:r>
        <w:rPr>
          <w:shd w:fill="FFFFFF" w:color="auto" w:val="clear"/>
        </w:rPr>
        <w:t>denotan mayor vulnerabilidad y exposición, mientras que los datos más alejados significan que los países</w:t>
      </w:r>
      <w:r>
        <w:rPr>
          <w:spacing w:val="-47"/>
        </w:rPr>
        <w:t> </w:t>
      </w:r>
      <w:r>
        <w:rPr/>
        <w:t>poseen</w:t>
      </w:r>
      <w:r>
        <w:rPr>
          <w:spacing w:val="-5"/>
        </w:rPr>
        <w:t> </w:t>
      </w:r>
      <w:r>
        <w:rPr/>
        <w:t>menor</w:t>
      </w:r>
      <w:r>
        <w:rPr>
          <w:spacing w:val="-2"/>
        </w:rPr>
        <w:t> </w:t>
      </w:r>
      <w:r>
        <w:rPr/>
        <w:t>vulnerabilidad.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56"/>
        <w:ind w:left="278" w:right="1070"/>
        <w:jc w:val="both"/>
      </w:pPr>
      <w:r>
        <w:rPr>
          <w:shd w:fill="FFFFFF" w:color="auto" w:val="clear"/>
        </w:rPr>
        <w:t>Esta información permite interpretar que frente a 180 países nuestro país ocupa la posición 62. Otros</w:t>
      </w:r>
      <w:r>
        <w:rPr>
          <w:spacing w:val="1"/>
        </w:rPr>
        <w:t> </w:t>
      </w:r>
      <w:r>
        <w:rPr>
          <w:shd w:fill="FFFFFF" w:color="auto" w:val="clear"/>
        </w:rPr>
        <w:t>datos asociados al mismo es el punteo del ranking en el cual se obtuvo una nota de 65.57, este dato es el</w:t>
      </w:r>
      <w:r>
        <w:rPr>
          <w:spacing w:val="-47"/>
        </w:rPr>
        <w:t> </w:t>
      </w:r>
      <w:r>
        <w:rPr>
          <w:shd w:fill="FFFFFF" w:color="auto" w:val="clear"/>
        </w:rPr>
        <w:t>promedio de los componentes del indicador. Si Guatemala posee una población proyectada total a 2021</w:t>
      </w:r>
      <w:r>
        <w:rPr>
          <w:spacing w:val="1"/>
        </w:rPr>
        <w:t> </w:t>
      </w:r>
      <w:r>
        <w:rPr/>
        <w:t>de 16,858,333 de habitantes, esto significa que por cada 100mil habitantes, un total de 11,133 mueren</w:t>
      </w:r>
      <w:r>
        <w:rPr>
          <w:spacing w:val="1"/>
        </w:rPr>
        <w:t> </w:t>
      </w:r>
      <w:r>
        <w:rPr/>
        <w:t>por causa del cambio climático. En consecuencia, hay un efecto de pérdidas por Producto Interno Bruto</w:t>
      </w:r>
      <w:r>
        <w:rPr>
          <w:spacing w:val="1"/>
        </w:rPr>
        <w:t> </w:t>
      </w:r>
      <w:r>
        <w:rPr/>
        <w:t>de 68 relacionado</w:t>
      </w:r>
      <w:r>
        <w:rPr>
          <w:spacing w:val="1"/>
        </w:rPr>
        <w:t> </w:t>
      </w:r>
      <w:r>
        <w:rPr/>
        <w:t>a la</w:t>
      </w:r>
      <w:r>
        <w:rPr>
          <w:spacing w:val="-4"/>
        </w:rPr>
        <w:t> </w:t>
      </w:r>
      <w:r>
        <w:rPr/>
        <w:t>suma de pérdidas por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Paridad</w:t>
      </w:r>
      <w:r>
        <w:rPr>
          <w:spacing w:val="-1"/>
        </w:rPr>
        <w:t> </w:t>
      </w:r>
      <w:r>
        <w:rPr/>
        <w:t>del Poder</w:t>
      </w:r>
      <w:r>
        <w:rPr>
          <w:spacing w:val="-1"/>
        </w:rPr>
        <w:t> </w:t>
      </w:r>
      <w:r>
        <w:rPr/>
        <w:t>Adquisitivo.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before="56"/>
        <w:ind w:left="278" w:right="1072"/>
        <w:jc w:val="both"/>
      </w:pPr>
      <w:r>
        <w:rPr>
          <w:shd w:fill="FFFFFF" w:color="auto" w:val="clear"/>
        </w:rPr>
        <w:t>De acuerdo con IRC, entre 2019 y 2020 a nivel mundial fallecieron 475,000 personas como consecuencia</w:t>
      </w:r>
      <w:r>
        <w:rPr>
          <w:spacing w:val="1"/>
        </w:rPr>
        <w:t> </w:t>
      </w:r>
      <w:r>
        <w:rPr>
          <w:shd w:fill="FFFFFF" w:color="auto" w:val="clear"/>
        </w:rPr>
        <w:t>directa de más de 11,000 fenómenos meteorológicos extremos (sobre todo ciclones y huracanes) y las</w:t>
      </w:r>
      <w:r>
        <w:rPr>
          <w:spacing w:val="1"/>
        </w:rPr>
        <w:t> </w:t>
      </w:r>
      <w:r>
        <w:rPr>
          <w:shd w:fill="FFFFFF" w:color="auto" w:val="clear"/>
        </w:rPr>
        <w:t>pérdidas económicas alcanzaron los 2.56 billones de dólares estadounidenses (calculados en Paridad de</w:t>
      </w:r>
      <w:r>
        <w:rPr>
          <w:spacing w:val="1"/>
        </w:rPr>
        <w:t> </w:t>
      </w:r>
      <w:r>
        <w:rPr/>
        <w:t>Poder</w:t>
      </w:r>
      <w:r>
        <w:rPr>
          <w:spacing w:val="-1"/>
        </w:rPr>
        <w:t> </w:t>
      </w:r>
      <w:r>
        <w:rPr/>
        <w:t>Adquisitivo)</w:t>
      </w:r>
      <w:r>
        <w:rPr>
          <w:color w:val="666666"/>
        </w:rPr>
        <w:t>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56"/>
        <w:ind w:left="278" w:right="1074"/>
        <w:jc w:val="both"/>
      </w:pPr>
      <w:r>
        <w:rPr>
          <w:shd w:fill="FFFFFF" w:color="auto" w:val="clear"/>
        </w:rPr>
        <w:t>Por otra parte, el IRC (2021) señala respecto a la pandemia COVID-19, que tanto los riesgos como las</w:t>
      </w:r>
      <w:r>
        <w:rPr>
          <w:spacing w:val="1"/>
        </w:rPr>
        <w:t> </w:t>
      </w:r>
      <w:r>
        <w:rPr>
          <w:shd w:fill="FFFFFF" w:color="auto" w:val="clear"/>
        </w:rPr>
        <w:t>vulnerabilidades son sistémicos y están interconectados. Por consiguiente, es importante fortalecer la</w:t>
      </w:r>
      <w:r>
        <w:rPr>
          <w:spacing w:val="1"/>
        </w:rPr>
        <w:t> </w:t>
      </w:r>
      <w:r>
        <w:rPr>
          <w:shd w:fill="FFFFFF" w:color="auto" w:val="clear"/>
        </w:rPr>
        <w:t>capacidad</w:t>
      </w:r>
      <w:r>
        <w:rPr>
          <w:spacing w:val="-1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2"/>
          <w:shd w:fill="FFFFFF" w:color="auto" w:val="clear"/>
        </w:rPr>
        <w:t> </w:t>
      </w:r>
      <w:r>
        <w:rPr>
          <w:shd w:fill="FFFFFF" w:color="auto" w:val="clear"/>
        </w:rPr>
        <w:t>resistencia</w:t>
      </w:r>
      <w:r>
        <w:rPr>
          <w:spacing w:val="1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2"/>
          <w:shd w:fill="FFFFFF" w:color="auto" w:val="clear"/>
        </w:rPr>
        <w:t> </w:t>
      </w:r>
      <w:r>
        <w:rPr>
          <w:shd w:fill="FFFFFF" w:color="auto" w:val="clear"/>
        </w:rPr>
        <w:t>los</w:t>
      </w:r>
      <w:r>
        <w:rPr>
          <w:spacing w:val="-1"/>
          <w:shd w:fill="FFFFFF" w:color="auto" w:val="clear"/>
        </w:rPr>
        <w:t> </w:t>
      </w:r>
      <w:r>
        <w:rPr>
          <w:shd w:fill="FFFFFF" w:color="auto" w:val="clear"/>
        </w:rPr>
        <w:t>más</w:t>
      </w:r>
      <w:r>
        <w:rPr>
          <w:spacing w:val="-1"/>
          <w:shd w:fill="FFFFFF" w:color="auto" w:val="clear"/>
        </w:rPr>
        <w:t> </w:t>
      </w:r>
      <w:r>
        <w:rPr>
          <w:shd w:fill="FFFFFF" w:color="auto" w:val="clear"/>
        </w:rPr>
        <w:t>vulnerables</w:t>
      </w:r>
      <w:r>
        <w:rPr>
          <w:spacing w:val="1"/>
          <w:shd w:fill="FFFFFF" w:color="auto" w:val="clear"/>
        </w:rPr>
        <w:t> </w:t>
      </w:r>
      <w:r>
        <w:rPr>
          <w:shd w:fill="FFFFFF" w:color="auto" w:val="clear"/>
        </w:rPr>
        <w:t>frente</w:t>
      </w:r>
      <w:r>
        <w:rPr>
          <w:spacing w:val="2"/>
          <w:shd w:fill="FFFFFF" w:color="auto" w:val="clear"/>
        </w:rPr>
        <w:t> </w:t>
      </w:r>
      <w:r>
        <w:rPr>
          <w:shd w:fill="FFFFFF" w:color="auto" w:val="clear"/>
        </w:rPr>
        <w:t>a</w:t>
      </w:r>
      <w:r>
        <w:rPr>
          <w:spacing w:val="1"/>
          <w:shd w:fill="FFFFFF" w:color="auto" w:val="clear"/>
        </w:rPr>
        <w:t> </w:t>
      </w:r>
      <w:r>
        <w:rPr>
          <w:shd w:fill="FFFFFF" w:color="auto" w:val="clear"/>
        </w:rPr>
        <w:t>los</w:t>
      </w:r>
      <w:r>
        <w:rPr>
          <w:spacing w:val="-1"/>
          <w:shd w:fill="FFFFFF" w:color="auto" w:val="clear"/>
        </w:rPr>
        <w:t> </w:t>
      </w:r>
      <w:r>
        <w:rPr>
          <w:shd w:fill="FFFFFF" w:color="auto" w:val="clear"/>
        </w:rPr>
        <w:t>distintos</w:t>
      </w:r>
      <w:r>
        <w:rPr>
          <w:spacing w:val="1"/>
          <w:shd w:fill="FFFFFF" w:color="auto" w:val="clear"/>
        </w:rPr>
        <w:t> </w:t>
      </w:r>
      <w:r>
        <w:rPr>
          <w:shd w:fill="FFFFFF" w:color="auto" w:val="clear"/>
        </w:rPr>
        <w:t>tipos</w:t>
      </w:r>
      <w:r>
        <w:rPr>
          <w:spacing w:val="1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2"/>
          <w:shd w:fill="FFFFFF" w:color="auto" w:val="clear"/>
        </w:rPr>
        <w:t> </w:t>
      </w:r>
      <w:r>
        <w:rPr>
          <w:shd w:fill="FFFFFF" w:color="auto" w:val="clear"/>
        </w:rPr>
        <w:t>riesgo:</w:t>
      </w:r>
      <w:r>
        <w:rPr>
          <w:spacing w:val="2"/>
          <w:shd w:fill="FFFFFF" w:color="auto" w:val="clear"/>
        </w:rPr>
        <w:t> </w:t>
      </w:r>
      <w:r>
        <w:rPr>
          <w:shd w:fill="FFFFFF" w:color="auto" w:val="clear"/>
        </w:rPr>
        <w:t>climático,</w:t>
      </w:r>
      <w:r>
        <w:rPr>
          <w:spacing w:val="2"/>
          <w:shd w:fill="FFFFFF" w:color="auto" w:val="clear"/>
        </w:rPr>
        <w:t> </w:t>
      </w:r>
      <w:r>
        <w:rPr>
          <w:shd w:fill="FFFFFF" w:color="auto" w:val="clear"/>
        </w:rPr>
        <w:t>geofísico,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  <w:r>
        <w:rPr/>
        <w:pict>
          <v:rect style="position:absolute;margin-left:563.880005pt;margin-top:16.515751pt;width:25.44pt;height:1.4399pt;mso-position-horizontal-relative:page;mso-position-vertical-relative:paragraph;z-index:-1548544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119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57952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5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0"/>
        <w:jc w:val="both"/>
      </w:pPr>
      <w:r>
        <w:rPr/>
        <w:t>económico o relacionado con la salud. Además, indica que la ocurrencia de un único evento extremo no</w:t>
      </w:r>
      <w:r>
        <w:rPr>
          <w:spacing w:val="1"/>
        </w:rPr>
        <w:t> </w:t>
      </w:r>
      <w:r>
        <w:rPr/>
        <w:t>puede</w:t>
      </w:r>
      <w:r>
        <w:rPr>
          <w:spacing w:val="-2"/>
        </w:rPr>
        <w:t> </w:t>
      </w:r>
      <w:r>
        <w:rPr/>
        <w:t>atribuirse</w:t>
      </w:r>
      <w:r>
        <w:rPr>
          <w:spacing w:val="-5"/>
        </w:rPr>
        <w:t> </w:t>
      </w:r>
      <w:r>
        <w:rPr/>
        <w:t>fácilmente a</w:t>
      </w:r>
      <w:r>
        <w:rPr>
          <w:spacing w:val="-5"/>
        </w:rPr>
        <w:t> </w:t>
      </w:r>
      <w:r>
        <w:rPr/>
        <w:t>un</w:t>
      </w:r>
      <w:r>
        <w:rPr>
          <w:spacing w:val="-2"/>
        </w:rPr>
        <w:t> </w:t>
      </w:r>
      <w:r>
        <w:rPr/>
        <w:t>cambio</w:t>
      </w:r>
      <w:r>
        <w:rPr>
          <w:spacing w:val="-4"/>
        </w:rPr>
        <w:t> </w:t>
      </w:r>
      <w:r>
        <w:rPr/>
        <w:t>climático</w:t>
      </w:r>
      <w:r>
        <w:rPr>
          <w:spacing w:val="-2"/>
        </w:rPr>
        <w:t> </w:t>
      </w:r>
      <w:r>
        <w:rPr/>
        <w:t>antropogénico.</w:t>
      </w:r>
      <w:r>
        <w:rPr>
          <w:spacing w:val="-3"/>
        </w:rPr>
        <w:t> </w:t>
      </w:r>
      <w:r>
        <w:rPr/>
        <w:t>Sin</w:t>
      </w:r>
      <w:r>
        <w:rPr>
          <w:spacing w:val="-6"/>
        </w:rPr>
        <w:t> </w:t>
      </w:r>
      <w:r>
        <w:rPr/>
        <w:t>embargo,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cambio</w:t>
      </w:r>
      <w:r>
        <w:rPr>
          <w:spacing w:val="-3"/>
        </w:rPr>
        <w:t> </w:t>
      </w:r>
      <w:r>
        <w:rPr/>
        <w:t>climático</w:t>
      </w:r>
      <w:r>
        <w:rPr>
          <w:spacing w:val="1"/>
        </w:rPr>
        <w:t> </w:t>
      </w:r>
      <w:r>
        <w:rPr/>
        <w:t>es</w:t>
      </w:r>
      <w:r>
        <w:rPr>
          <w:spacing w:val="-1"/>
        </w:rPr>
        <w:t> </w:t>
      </w:r>
      <w:r>
        <w:rPr/>
        <w:t>un</w:t>
      </w:r>
      <w:r>
        <w:rPr>
          <w:spacing w:val="-47"/>
        </w:rPr>
        <w:t> </w:t>
      </w:r>
      <w:r>
        <w:rPr/>
        <w:t>factor de influencia cada vez más importante en la probabilidad de ocurrencia de estos eventos y de su</w:t>
      </w:r>
      <w:r>
        <w:rPr>
          <w:spacing w:val="1"/>
        </w:rPr>
        <w:t> </w:t>
      </w:r>
      <w:r>
        <w:rPr/>
        <w:t>intensidad.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2"/>
        <w:jc w:val="both"/>
      </w:pPr>
      <w:r>
        <w:rPr/>
        <w:t>Los países en desarrollo se ven particularmente afectados por el cambio climático porque son menos</w:t>
      </w:r>
      <w:r>
        <w:rPr>
          <w:spacing w:val="1"/>
        </w:rPr>
        <w:t> </w:t>
      </w:r>
      <w:r>
        <w:rPr/>
        <w:t>vulnerables a sus efectos perjudiciales, en contraposición a los países con menores ingresos que tienen</w:t>
      </w:r>
      <w:r>
        <w:rPr>
          <w:spacing w:val="1"/>
        </w:rPr>
        <w:t> </w:t>
      </w:r>
      <w:r>
        <w:rPr/>
        <w:t>una</w:t>
      </w:r>
      <w:r>
        <w:rPr>
          <w:spacing w:val="-1"/>
        </w:rPr>
        <w:t> </w:t>
      </w:r>
      <w:r>
        <w:rPr/>
        <w:t>menor capacidad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hacerle frente.</w:t>
      </w:r>
    </w:p>
    <w:p>
      <w:pPr>
        <w:pStyle w:val="BodyText"/>
        <w:spacing w:before="9"/>
        <w:rPr>
          <w:sz w:val="19"/>
        </w:rPr>
      </w:pPr>
    </w:p>
    <w:p>
      <w:pPr>
        <w:pStyle w:val="Heading3"/>
        <w:numPr>
          <w:ilvl w:val="2"/>
          <w:numId w:val="32"/>
        </w:numPr>
        <w:tabs>
          <w:tab w:pos="998" w:val="left" w:leader="none"/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136" w:id="205"/>
      <w:bookmarkEnd w:id="205"/>
      <w:r>
        <w:rPr>
          <w:b w:val="0"/>
        </w:rPr>
      </w:r>
      <w:bookmarkStart w:name="_bookmark136" w:id="206"/>
      <w:bookmarkEnd w:id="206"/>
      <w:r>
        <w:rPr/>
        <w:t>Índ</w:t>
      </w:r>
      <w:r>
        <w:rPr/>
        <w:t>ice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Riesgo</w:t>
      </w:r>
      <w:r>
        <w:rPr>
          <w:spacing w:val="-3"/>
        </w:rPr>
        <w:t> </w:t>
      </w:r>
      <w:r>
        <w:rPr/>
        <w:t>Climático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Infancia</w:t>
      </w:r>
      <w:r>
        <w:rPr>
          <w:spacing w:val="-4"/>
        </w:rPr>
        <w:t> </w:t>
      </w:r>
      <w:r>
        <w:rPr/>
        <w:t>(IRCI)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278" w:right="1071"/>
        <w:jc w:val="both"/>
      </w:pPr>
      <w:r>
        <w:rPr/>
        <w:t>De acuerdo con la UNICEF (2010), el cambio climático impacta por lo menos en 7 áreas siendo estas: 1.</w:t>
      </w:r>
      <w:r>
        <w:rPr>
          <w:spacing w:val="1"/>
        </w:rPr>
        <w:t> </w:t>
      </w:r>
      <w:r>
        <w:rPr/>
        <w:t>Salud.</w:t>
      </w:r>
      <w:r>
        <w:rPr>
          <w:spacing w:val="1"/>
        </w:rPr>
        <w:t> </w:t>
      </w:r>
      <w:r>
        <w:rPr/>
        <w:t>2. Desnutrición.</w:t>
      </w:r>
      <w:r>
        <w:rPr>
          <w:spacing w:val="1"/>
        </w:rPr>
        <w:t> </w:t>
      </w:r>
      <w:r>
        <w:rPr/>
        <w:t>3.</w:t>
      </w:r>
      <w:r>
        <w:rPr>
          <w:spacing w:val="1"/>
        </w:rPr>
        <w:t> </w:t>
      </w:r>
      <w:r>
        <w:rPr/>
        <w:t>Aumento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riesgo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escasez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agua.</w:t>
      </w:r>
      <w:r>
        <w:rPr>
          <w:spacing w:val="1"/>
        </w:rPr>
        <w:t> </w:t>
      </w:r>
      <w:r>
        <w:rPr/>
        <w:t>4.</w:t>
      </w:r>
      <w:r>
        <w:rPr>
          <w:spacing w:val="1"/>
        </w:rPr>
        <w:t> </w:t>
      </w:r>
      <w:r>
        <w:rPr/>
        <w:t>Interrupción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asistencia</w:t>
      </w:r>
      <w:r>
        <w:rPr>
          <w:spacing w:val="1"/>
        </w:rPr>
        <w:t> </w:t>
      </w:r>
      <w:r>
        <w:rPr/>
        <w:t>escolar.</w:t>
      </w:r>
    </w:p>
    <w:p>
      <w:pPr>
        <w:pStyle w:val="ListParagraph"/>
        <w:numPr>
          <w:ilvl w:val="0"/>
          <w:numId w:val="33"/>
        </w:numPr>
        <w:tabs>
          <w:tab w:pos="497" w:val="left" w:leader="none"/>
        </w:tabs>
        <w:spacing w:line="240" w:lineRule="auto" w:before="1" w:after="0"/>
        <w:ind w:left="496" w:right="0" w:hanging="219"/>
        <w:jc w:val="left"/>
        <w:rPr>
          <w:sz w:val="22"/>
        </w:rPr>
      </w:pPr>
      <w:r>
        <w:rPr>
          <w:sz w:val="22"/>
        </w:rPr>
        <w:t>Migración.</w:t>
      </w:r>
      <w:r>
        <w:rPr>
          <w:spacing w:val="-4"/>
          <w:sz w:val="22"/>
        </w:rPr>
        <w:t> </w:t>
      </w:r>
      <w:r>
        <w:rPr>
          <w:sz w:val="22"/>
        </w:rPr>
        <w:t>6.</w:t>
      </w:r>
      <w:r>
        <w:rPr>
          <w:spacing w:val="-2"/>
          <w:sz w:val="22"/>
        </w:rPr>
        <w:t> </w:t>
      </w:r>
      <w:r>
        <w:rPr>
          <w:sz w:val="22"/>
        </w:rPr>
        <w:t>Vivienda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medios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vida.</w:t>
      </w:r>
      <w:r>
        <w:rPr>
          <w:spacing w:val="-3"/>
          <w:sz w:val="22"/>
        </w:rPr>
        <w:t> </w:t>
      </w:r>
      <w:r>
        <w:rPr>
          <w:sz w:val="22"/>
        </w:rPr>
        <w:t>7.</w:t>
      </w:r>
      <w:r>
        <w:rPr>
          <w:spacing w:val="-2"/>
          <w:sz w:val="22"/>
        </w:rPr>
        <w:t> </w:t>
      </w:r>
      <w:r>
        <w:rPr>
          <w:sz w:val="22"/>
        </w:rPr>
        <w:t>seguridad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violencia.</w:t>
      </w:r>
    </w:p>
    <w:p>
      <w:pPr>
        <w:pStyle w:val="BodyText"/>
      </w:pPr>
    </w:p>
    <w:p>
      <w:pPr>
        <w:pStyle w:val="BodyText"/>
        <w:ind w:left="278" w:right="1071"/>
        <w:jc w:val="both"/>
      </w:pPr>
      <w:r>
        <w:rPr/>
        <w:t>Con el propósito de ahondar y profundizar en los efectos que puede tener el cambio climático a nivel</w:t>
      </w:r>
      <w:r>
        <w:rPr>
          <w:spacing w:val="1"/>
        </w:rPr>
        <w:t> </w:t>
      </w:r>
      <w:r>
        <w:rPr/>
        <w:t>específico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educación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Fondo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8"/>
        </w:rPr>
        <w:t> </w:t>
      </w:r>
      <w:r>
        <w:rPr/>
        <w:t>Naciones</w:t>
      </w:r>
      <w:r>
        <w:rPr>
          <w:spacing w:val="-5"/>
        </w:rPr>
        <w:t> </w:t>
      </w:r>
      <w:r>
        <w:rPr/>
        <w:t>Unidas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Infancia</w:t>
      </w:r>
      <w:r>
        <w:rPr>
          <w:spacing w:val="-6"/>
        </w:rPr>
        <w:t> </w:t>
      </w:r>
      <w:r>
        <w:rPr/>
        <w:t>(UNICEF,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sus</w:t>
      </w:r>
      <w:r>
        <w:rPr>
          <w:spacing w:val="-7"/>
        </w:rPr>
        <w:t> </w:t>
      </w:r>
      <w:r>
        <w:rPr/>
        <w:t>siglas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inglés),</w:t>
      </w:r>
      <w:r>
        <w:rPr>
          <w:spacing w:val="-47"/>
        </w:rPr>
        <w:t> </w:t>
      </w:r>
      <w:r>
        <w:rPr/>
        <w:t>presentó en el 2021 un indicador más específico para conocer el impacto de esta temática desde la</w:t>
      </w:r>
      <w:r>
        <w:rPr>
          <w:spacing w:val="1"/>
        </w:rPr>
        <w:t> </w:t>
      </w:r>
      <w:r>
        <w:rPr/>
        <w:t>perspectiva</w:t>
      </w:r>
      <w:r>
        <w:rPr>
          <w:spacing w:val="-1"/>
        </w:rPr>
        <w:t> </w:t>
      </w:r>
      <w:r>
        <w:rPr/>
        <w:t>educativa</w:t>
      </w:r>
      <w:r>
        <w:rPr>
          <w:spacing w:val="-3"/>
        </w:rPr>
        <w:t> </w:t>
      </w:r>
      <w:r>
        <w:rPr/>
        <w:t>de niños y</w:t>
      </w:r>
      <w:r>
        <w:rPr>
          <w:spacing w:val="-1"/>
        </w:rPr>
        <w:t> </w:t>
      </w:r>
      <w:r>
        <w:rPr/>
        <w:t>adolescentes.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0"/>
        <w:jc w:val="both"/>
      </w:pPr>
      <w:r>
        <w:rPr/>
        <w:t>Según con la UNICEF (2021) La crisis climática constituye el principal desafío de esta generación en lo que</w:t>
      </w:r>
      <w:r>
        <w:rPr>
          <w:spacing w:val="-47"/>
        </w:rPr>
        <w:t> </w:t>
      </w:r>
      <w:r>
        <w:rPr>
          <w:spacing w:val="-1"/>
        </w:rPr>
        <w:t>respecta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derechos</w:t>
      </w:r>
      <w:r>
        <w:rPr>
          <w:spacing w:val="-9"/>
        </w:rPr>
        <w:t> </w:t>
      </w:r>
      <w:r>
        <w:rPr/>
        <w:t>humanos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del</w:t>
      </w:r>
      <w:r>
        <w:rPr>
          <w:spacing w:val="-9"/>
        </w:rPr>
        <w:t> </w:t>
      </w:r>
      <w:r>
        <w:rPr/>
        <w:t>niño,</w:t>
      </w:r>
      <w:r>
        <w:rPr>
          <w:spacing w:val="-12"/>
        </w:rPr>
        <w:t> </w:t>
      </w:r>
      <w:r>
        <w:rPr/>
        <w:t>y</w:t>
      </w:r>
      <w:r>
        <w:rPr>
          <w:spacing w:val="-9"/>
        </w:rPr>
        <w:t> </w:t>
      </w:r>
      <w:r>
        <w:rPr/>
        <w:t>sus</w:t>
      </w:r>
      <w:r>
        <w:rPr>
          <w:spacing w:val="-12"/>
        </w:rPr>
        <w:t> </w:t>
      </w:r>
      <w:r>
        <w:rPr/>
        <w:t>consecuencias</w:t>
      </w:r>
      <w:r>
        <w:rPr>
          <w:spacing w:val="-12"/>
        </w:rPr>
        <w:t> </w:t>
      </w:r>
      <w:r>
        <w:rPr/>
        <w:t>ya</w:t>
      </w:r>
      <w:r>
        <w:rPr>
          <w:spacing w:val="-12"/>
        </w:rPr>
        <w:t> </w:t>
      </w:r>
      <w:r>
        <w:rPr/>
        <w:t>están</w:t>
      </w:r>
      <w:r>
        <w:rPr>
          <w:spacing w:val="-13"/>
        </w:rPr>
        <w:t> </w:t>
      </w:r>
      <w:r>
        <w:rPr/>
        <w:t>siendo</w:t>
      </w:r>
      <w:r>
        <w:rPr>
          <w:spacing w:val="-13"/>
        </w:rPr>
        <w:t> </w:t>
      </w:r>
      <w:r>
        <w:rPr/>
        <w:t>terribles</w:t>
      </w:r>
      <w:r>
        <w:rPr>
          <w:spacing w:val="-9"/>
        </w:rPr>
        <w:t> </w:t>
      </w:r>
      <w:r>
        <w:rPr/>
        <w:t>para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bienestar</w:t>
      </w:r>
      <w:r>
        <w:rPr>
          <w:spacing w:val="-47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infancia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todo</w:t>
      </w:r>
      <w:r>
        <w:rPr>
          <w:spacing w:val="-4"/>
        </w:rPr>
        <w:t> </w:t>
      </w:r>
      <w:r>
        <w:rPr/>
        <w:t>el</w:t>
      </w:r>
      <w:r>
        <w:rPr>
          <w:spacing w:val="-7"/>
        </w:rPr>
        <w:t> </w:t>
      </w:r>
      <w:r>
        <w:rPr/>
        <w:t>mundo.</w:t>
      </w:r>
      <w:r>
        <w:rPr>
          <w:spacing w:val="-6"/>
        </w:rPr>
        <w:t> </w:t>
      </w:r>
      <w:r>
        <w:rPr/>
        <w:t>Por</w:t>
      </w:r>
      <w:r>
        <w:rPr>
          <w:spacing w:val="-8"/>
        </w:rPr>
        <w:t> </w:t>
      </w:r>
      <w:r>
        <w:rPr/>
        <w:t>tanto,</w:t>
      </w:r>
      <w:r>
        <w:rPr>
          <w:spacing w:val="-4"/>
        </w:rPr>
        <w:t> </w:t>
      </w:r>
      <w:r>
        <w:rPr/>
        <w:t>conocer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dónde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qué</w:t>
      </w:r>
      <w:r>
        <w:rPr>
          <w:spacing w:val="-4"/>
        </w:rPr>
        <w:t> </w:t>
      </w:r>
      <w:r>
        <w:rPr/>
        <w:t>forma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niños</w:t>
      </w:r>
      <w:r>
        <w:rPr>
          <w:spacing w:val="-5"/>
        </w:rPr>
        <w:t> </w:t>
      </w:r>
      <w:r>
        <w:rPr/>
        <w:t>son</w:t>
      </w:r>
      <w:r>
        <w:rPr>
          <w:spacing w:val="-6"/>
        </w:rPr>
        <w:t> </w:t>
      </w:r>
      <w:r>
        <w:rPr/>
        <w:t>particularmente</w:t>
      </w:r>
      <w:r>
        <w:rPr>
          <w:spacing w:val="-47"/>
        </w:rPr>
        <w:t> </w:t>
      </w:r>
      <w:r>
        <w:rPr/>
        <w:t>vulnerables a</w:t>
      </w:r>
      <w:r>
        <w:rPr>
          <w:spacing w:val="-2"/>
        </w:rPr>
        <w:t> </w:t>
      </w:r>
      <w:r>
        <w:rPr/>
        <w:t>esta crisis</w:t>
      </w:r>
      <w:r>
        <w:rPr>
          <w:spacing w:val="-3"/>
        </w:rPr>
        <w:t> </w:t>
      </w:r>
      <w:r>
        <w:rPr/>
        <w:t>es</w:t>
      </w:r>
      <w:r>
        <w:rPr>
          <w:spacing w:val="-2"/>
        </w:rPr>
        <w:t> </w:t>
      </w:r>
      <w:r>
        <w:rPr/>
        <w:t>fundamental para</w:t>
      </w:r>
      <w:r>
        <w:rPr>
          <w:spacing w:val="-3"/>
        </w:rPr>
        <w:t> </w:t>
      </w:r>
      <w:r>
        <w:rPr/>
        <w:t>preparar</w:t>
      </w:r>
      <w:r>
        <w:rPr>
          <w:spacing w:val="-4"/>
        </w:rPr>
        <w:t> </w:t>
      </w:r>
      <w:r>
        <w:rPr/>
        <w:t>una respuesta.</w:t>
      </w:r>
    </w:p>
    <w:p>
      <w:pPr>
        <w:pStyle w:val="BodyText"/>
        <w:spacing w:before="2"/>
      </w:pPr>
    </w:p>
    <w:p>
      <w:pPr>
        <w:pStyle w:val="BodyText"/>
        <w:ind w:left="278" w:right="1068"/>
        <w:jc w:val="both"/>
        <w:rPr>
          <w:sz w:val="20"/>
        </w:rPr>
      </w:pPr>
      <w:r>
        <w:rPr/>
        <w:t>En</w:t>
      </w:r>
      <w:r>
        <w:rPr>
          <w:spacing w:val="-4"/>
        </w:rPr>
        <w:t> </w:t>
      </w:r>
      <w:r>
        <w:rPr/>
        <w:t>este</w:t>
      </w:r>
      <w:r>
        <w:rPr>
          <w:spacing w:val="-3"/>
        </w:rPr>
        <w:t> </w:t>
      </w:r>
      <w:r>
        <w:rPr/>
        <w:t>contexto,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diseñó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Índice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Riesgo</w:t>
      </w:r>
      <w:r>
        <w:rPr>
          <w:spacing w:val="-2"/>
        </w:rPr>
        <w:t> </w:t>
      </w:r>
      <w:r>
        <w:rPr/>
        <w:t>Climático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Infancia</w:t>
      </w:r>
      <w:r>
        <w:rPr>
          <w:spacing w:val="-3"/>
        </w:rPr>
        <w:t> </w:t>
      </w:r>
      <w:r>
        <w:rPr/>
        <w:t>(IRCI),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cual</w:t>
      </w:r>
      <w:r>
        <w:rPr>
          <w:spacing w:val="-4"/>
        </w:rPr>
        <w:t> </w:t>
      </w:r>
      <w:r>
        <w:rPr/>
        <w:t>es</w:t>
      </w:r>
      <w:r>
        <w:rPr>
          <w:spacing w:val="-2"/>
        </w:rPr>
        <w:t> </w:t>
      </w:r>
      <w:r>
        <w:rPr/>
        <w:t>una</w:t>
      </w:r>
      <w:r>
        <w:rPr>
          <w:spacing w:val="-3"/>
        </w:rPr>
        <w:t> </w:t>
      </w:r>
      <w:r>
        <w:rPr/>
        <w:t>primera</w:t>
      </w:r>
      <w:r>
        <w:rPr>
          <w:spacing w:val="-6"/>
        </w:rPr>
        <w:t> </w:t>
      </w:r>
      <w:r>
        <w:rPr/>
        <w:t>visión</w:t>
      </w:r>
      <w:r>
        <w:rPr>
          <w:spacing w:val="-47"/>
        </w:rPr>
        <w:t> </w:t>
      </w:r>
      <w:r>
        <w:rPr/>
        <w:t>general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11"/>
        </w:rPr>
        <w:t> </w:t>
      </w:r>
      <w:r>
        <w:rPr/>
        <w:t>exposición</w:t>
      </w:r>
      <w:r>
        <w:rPr>
          <w:spacing w:val="-11"/>
        </w:rPr>
        <w:t> </w:t>
      </w:r>
      <w:r>
        <w:rPr/>
        <w:t>y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vulnerabilidad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10"/>
        </w:rPr>
        <w:t> </w:t>
      </w:r>
      <w:r>
        <w:rPr/>
        <w:t>niños</w:t>
      </w:r>
      <w:r>
        <w:rPr>
          <w:spacing w:val="-8"/>
        </w:rPr>
        <w:t> </w:t>
      </w:r>
      <w:r>
        <w:rPr/>
        <w:t>ante</w:t>
      </w:r>
      <w:r>
        <w:rPr>
          <w:spacing w:val="-7"/>
        </w:rPr>
        <w:t> </w:t>
      </w:r>
      <w:r>
        <w:rPr/>
        <w:t>los</w:t>
      </w:r>
      <w:r>
        <w:rPr>
          <w:spacing w:val="-10"/>
        </w:rPr>
        <w:t> </w:t>
      </w:r>
      <w:r>
        <w:rPr/>
        <w:t>efectos</w:t>
      </w:r>
      <w:r>
        <w:rPr>
          <w:spacing w:val="-8"/>
        </w:rPr>
        <w:t> </w:t>
      </w:r>
      <w:r>
        <w:rPr/>
        <w:t>del</w:t>
      </w:r>
      <w:r>
        <w:rPr>
          <w:spacing w:val="-10"/>
        </w:rPr>
        <w:t> </w:t>
      </w:r>
      <w:r>
        <w:rPr/>
        <w:t>cambio</w:t>
      </w:r>
      <w:r>
        <w:rPr>
          <w:spacing w:val="-8"/>
        </w:rPr>
        <w:t> </w:t>
      </w:r>
      <w:r>
        <w:rPr/>
        <w:t>climático.</w:t>
      </w:r>
      <w:r>
        <w:rPr>
          <w:spacing w:val="-9"/>
        </w:rPr>
        <w:t> </w:t>
      </w:r>
      <w:r>
        <w:rPr/>
        <w:t>Su</w:t>
      </w:r>
      <w:r>
        <w:rPr>
          <w:spacing w:val="-9"/>
        </w:rPr>
        <w:t> </w:t>
      </w:r>
      <w:r>
        <w:rPr/>
        <w:t>propósito</w:t>
      </w:r>
      <w:r>
        <w:rPr>
          <w:spacing w:val="-47"/>
        </w:rPr>
        <w:t> </w:t>
      </w:r>
      <w:r>
        <w:rPr/>
        <w:t>es contribuir a priorizar las medidas dirigidas a quienes corren un mayor riesgo y, en última instancia,</w:t>
      </w:r>
      <w:r>
        <w:rPr>
          <w:spacing w:val="1"/>
        </w:rPr>
        <w:t> </w:t>
      </w:r>
      <w:r>
        <w:rPr/>
        <w:t>garantizar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-3"/>
        </w:rPr>
        <w:t> </w:t>
      </w:r>
      <w:r>
        <w:rPr/>
        <w:t>niños hereden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planeta habitable</w:t>
      </w:r>
      <w:r>
        <w:rPr>
          <w:sz w:val="20"/>
        </w:rPr>
        <w:t>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278" w:right="1077"/>
        <w:jc w:val="both"/>
      </w:pPr>
      <w:r>
        <w:rPr/>
        <w:t>Este indicador posee dos dimensiones fundamentales con siendo estos: a. La exposición a los riesgos,</w:t>
      </w:r>
      <w:r>
        <w:rPr>
          <w:spacing w:val="1"/>
        </w:rPr>
        <w:t> </w:t>
      </w:r>
      <w:r>
        <w:rPr/>
        <w:t>perturbaciones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tensiones</w:t>
      </w:r>
      <w:r>
        <w:rPr>
          <w:spacing w:val="-3"/>
        </w:rPr>
        <w:t> </w:t>
      </w:r>
      <w:r>
        <w:rPr/>
        <w:t>climáticos y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medio</w:t>
      </w:r>
      <w:r>
        <w:rPr>
          <w:spacing w:val="1"/>
        </w:rPr>
        <w:t> </w:t>
      </w:r>
      <w:r>
        <w:rPr/>
        <w:t>ambiente.</w:t>
      </w:r>
      <w:r>
        <w:rPr>
          <w:spacing w:val="-1"/>
        </w:rPr>
        <w:t> </w:t>
      </w:r>
      <w:r>
        <w:rPr/>
        <w:t>B.</w:t>
      </w:r>
      <w:r>
        <w:rPr>
          <w:spacing w:val="-1"/>
        </w:rPr>
        <w:t> </w:t>
      </w:r>
      <w:r>
        <w:rPr/>
        <w:t>Vulnerabilidad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Infancia.</w:t>
      </w:r>
    </w:p>
    <w:p>
      <w:pPr>
        <w:pStyle w:val="BodyText"/>
        <w:spacing w:before="1"/>
      </w:pPr>
    </w:p>
    <w:p>
      <w:pPr>
        <w:pStyle w:val="BodyText"/>
        <w:ind w:left="278" w:right="1071"/>
        <w:jc w:val="both"/>
      </w:pPr>
      <w:r>
        <w:rPr>
          <w:spacing w:val="-1"/>
        </w:rPr>
        <w:t>El</w:t>
      </w:r>
      <w:r>
        <w:rPr>
          <w:spacing w:val="-10"/>
        </w:rPr>
        <w:t> </w:t>
      </w:r>
      <w:r>
        <w:rPr>
          <w:spacing w:val="-1"/>
        </w:rPr>
        <w:t>primero,</w:t>
      </w:r>
      <w:r>
        <w:rPr>
          <w:spacing w:val="-12"/>
        </w:rPr>
        <w:t> </w:t>
      </w:r>
      <w:r>
        <w:rPr>
          <w:spacing w:val="-1"/>
        </w:rPr>
        <w:t>posee</w:t>
      </w:r>
      <w:r>
        <w:rPr>
          <w:spacing w:val="-11"/>
        </w:rPr>
        <w:t> </w:t>
      </w:r>
      <w:r>
        <w:rPr>
          <w:spacing w:val="-1"/>
        </w:rPr>
        <w:t>subáreas</w:t>
      </w:r>
      <w:r>
        <w:rPr>
          <w:spacing w:val="-13"/>
        </w:rPr>
        <w:t> </w:t>
      </w:r>
      <w:r>
        <w:rPr>
          <w:spacing w:val="-1"/>
        </w:rPr>
        <w:t>como:</w:t>
      </w:r>
      <w:r>
        <w:rPr>
          <w:spacing w:val="-9"/>
        </w:rPr>
        <w:t> </w:t>
      </w:r>
      <w:r>
        <w:rPr/>
        <w:t>Escasez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agua,</w:t>
      </w:r>
      <w:r>
        <w:rPr>
          <w:spacing w:val="-11"/>
        </w:rPr>
        <w:t> </w:t>
      </w:r>
      <w:r>
        <w:rPr/>
        <w:t>inundaciones</w:t>
      </w:r>
      <w:r>
        <w:rPr>
          <w:spacing w:val="-9"/>
        </w:rPr>
        <w:t> </w:t>
      </w:r>
      <w:r>
        <w:rPr/>
        <w:t>fluviales,</w:t>
      </w:r>
      <w:r>
        <w:rPr>
          <w:spacing w:val="-11"/>
        </w:rPr>
        <w:t> </w:t>
      </w:r>
      <w:r>
        <w:rPr/>
        <w:t>Inundaciones</w:t>
      </w:r>
      <w:r>
        <w:rPr>
          <w:spacing w:val="-11"/>
        </w:rPr>
        <w:t> </w:t>
      </w:r>
      <w:r>
        <w:rPr/>
        <w:t>costeras,</w:t>
      </w:r>
      <w:r>
        <w:rPr>
          <w:spacing w:val="-8"/>
        </w:rPr>
        <w:t> </w:t>
      </w:r>
      <w:r>
        <w:rPr/>
        <w:t>Ciclones</w:t>
      </w:r>
      <w:r>
        <w:rPr>
          <w:spacing w:val="-48"/>
        </w:rPr>
        <w:t> </w:t>
      </w:r>
      <w:r>
        <w:rPr>
          <w:spacing w:val="-1"/>
        </w:rPr>
        <w:t>tropicales,</w:t>
      </w:r>
      <w:r>
        <w:rPr>
          <w:spacing w:val="-10"/>
        </w:rPr>
        <w:t> </w:t>
      </w:r>
      <w:r>
        <w:rPr/>
        <w:t>Enfermedades</w:t>
      </w:r>
      <w:r>
        <w:rPr>
          <w:spacing w:val="-11"/>
        </w:rPr>
        <w:t> </w:t>
      </w:r>
      <w:r>
        <w:rPr/>
        <w:t>transmitidas</w:t>
      </w:r>
      <w:r>
        <w:rPr>
          <w:spacing w:val="-9"/>
        </w:rPr>
        <w:t> </w:t>
      </w:r>
      <w:r>
        <w:rPr/>
        <w:t>por</w:t>
      </w:r>
      <w:r>
        <w:rPr>
          <w:spacing w:val="-12"/>
        </w:rPr>
        <w:t> </w:t>
      </w:r>
      <w:r>
        <w:rPr/>
        <w:t>vectores,</w:t>
      </w:r>
      <w:r>
        <w:rPr>
          <w:spacing w:val="-9"/>
        </w:rPr>
        <w:t> </w:t>
      </w:r>
      <w:r>
        <w:rPr/>
        <w:t>Olas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calor,</w:t>
      </w:r>
      <w:r>
        <w:rPr>
          <w:spacing w:val="-9"/>
        </w:rPr>
        <w:t> </w:t>
      </w:r>
      <w:r>
        <w:rPr/>
        <w:t>Contaminación</w:t>
      </w:r>
      <w:r>
        <w:rPr>
          <w:spacing w:val="-11"/>
        </w:rPr>
        <w:t> </w:t>
      </w:r>
      <w:r>
        <w:rPr/>
        <w:t>del</w:t>
      </w:r>
      <w:r>
        <w:rPr>
          <w:spacing w:val="-9"/>
        </w:rPr>
        <w:t> </w:t>
      </w:r>
      <w:r>
        <w:rPr/>
        <w:t>aire,</w:t>
      </w:r>
      <w:r>
        <w:rPr>
          <w:spacing w:val="-9"/>
        </w:rPr>
        <w:t> </w:t>
      </w:r>
      <w:r>
        <w:rPr/>
        <w:t>Contaminación</w:t>
      </w:r>
      <w:r>
        <w:rPr>
          <w:spacing w:val="-47"/>
        </w:rPr>
        <w:t> </w:t>
      </w:r>
      <w:r>
        <w:rPr/>
        <w:t>del suelo y agua. Mientras que el segundo, integra lo evalúa los siguientes aspectos: Salud y Nutrición</w:t>
      </w:r>
      <w:r>
        <w:rPr>
          <w:spacing w:val="1"/>
        </w:rPr>
        <w:t> </w:t>
      </w:r>
      <w:r>
        <w:rPr/>
        <w:t>Infantil, Educación, Agua, saneamiento e higiene (WASH), Pobreza, activos de comunicación y protección</w:t>
      </w:r>
      <w:r>
        <w:rPr>
          <w:spacing w:val="-47"/>
        </w:rPr>
        <w:t> </w:t>
      </w:r>
      <w:r>
        <w:rPr/>
        <w:t>social.</w:t>
      </w:r>
      <w:r>
        <w:rPr>
          <w:spacing w:val="-4"/>
        </w:rPr>
        <w:t> </w:t>
      </w:r>
      <w:r>
        <w:rPr/>
        <w:t>La siguiente</w:t>
      </w:r>
      <w:r>
        <w:rPr>
          <w:spacing w:val="1"/>
        </w:rPr>
        <w:t> </w:t>
      </w:r>
      <w:r>
        <w:rPr/>
        <w:t>gráfica,</w:t>
      </w:r>
      <w:r>
        <w:rPr>
          <w:spacing w:val="-5"/>
        </w:rPr>
        <w:t> </w:t>
      </w:r>
      <w:r>
        <w:rPr/>
        <w:t>esquematiza las</w:t>
      </w:r>
      <w:r>
        <w:rPr>
          <w:spacing w:val="-1"/>
        </w:rPr>
        <w:t> </w:t>
      </w:r>
      <w:r>
        <w:rPr/>
        <w:t>principales</w:t>
      </w:r>
      <w:r>
        <w:rPr>
          <w:spacing w:val="-3"/>
        </w:rPr>
        <w:t> </w:t>
      </w:r>
      <w:r>
        <w:rPr/>
        <w:t>dimensiones</w:t>
      </w:r>
      <w:r>
        <w:rPr>
          <w:spacing w:val="1"/>
        </w:rPr>
        <w:t> </w:t>
      </w:r>
      <w:r>
        <w:rPr/>
        <w:t>del IRCI.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pict>
          <v:rect style="position:absolute;margin-left:563.880005pt;margin-top:10.388884pt;width:25.44pt;height:1.4399pt;mso-position-horizontal-relative:page;mso-position-vertical-relative:paragraph;z-index:-1548339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120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59488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5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pStyle w:val="BodyText"/>
        <w:spacing w:before="56"/>
        <w:ind w:left="278"/>
        <w:jc w:val="both"/>
      </w:pPr>
      <w:r>
        <w:rPr/>
        <w:t>Gráfica</w:t>
      </w:r>
      <w:r>
        <w:rPr>
          <w:spacing w:val="-2"/>
        </w:rPr>
        <w:t> </w:t>
      </w:r>
      <w:r>
        <w:rPr/>
        <w:t>Nº.</w:t>
      </w:r>
      <w:r>
        <w:rPr>
          <w:spacing w:val="-2"/>
        </w:rPr>
        <w:t> </w:t>
      </w:r>
      <w:r>
        <w:rPr/>
        <w:t>Componentes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Índice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Riesgo</w:t>
      </w:r>
      <w:r>
        <w:rPr>
          <w:spacing w:val="-1"/>
        </w:rPr>
        <w:t> </w:t>
      </w:r>
      <w:r>
        <w:rPr/>
        <w:t>Climático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5"/>
        </w:rPr>
        <w:t> </w:t>
      </w:r>
      <w:r>
        <w:rPr/>
        <w:t>Infancia</w:t>
      </w:r>
      <w:r>
        <w:rPr>
          <w:spacing w:val="-1"/>
        </w:rPr>
        <w:t> </w:t>
      </w:r>
      <w:r>
        <w:rPr/>
        <w:t>(IRCI)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</w:pPr>
    </w:p>
    <w:p>
      <w:pPr>
        <w:spacing w:before="0"/>
        <w:ind w:left="278" w:right="0" w:firstLine="0"/>
        <w:jc w:val="both"/>
        <w:rPr>
          <w:sz w:val="16"/>
        </w:rPr>
      </w:pPr>
      <w:r>
        <w:rPr>
          <w:sz w:val="16"/>
        </w:rPr>
        <w:t>Fuente.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UNICEF,</w:t>
      </w:r>
      <w:r>
        <w:rPr>
          <w:spacing w:val="-2"/>
          <w:sz w:val="16"/>
        </w:rPr>
        <w:t> </w:t>
      </w:r>
      <w:r>
        <w:rPr>
          <w:sz w:val="16"/>
        </w:rPr>
        <w:t>2021.del</w:t>
      </w:r>
      <w:r>
        <w:rPr>
          <w:spacing w:val="-2"/>
          <w:sz w:val="16"/>
        </w:rPr>
        <w:t> </w:t>
      </w:r>
      <w:r>
        <w:rPr>
          <w:sz w:val="16"/>
        </w:rPr>
        <w:t>Índice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Riesgo</w:t>
      </w:r>
      <w:r>
        <w:rPr>
          <w:spacing w:val="-2"/>
          <w:sz w:val="16"/>
        </w:rPr>
        <w:t> </w:t>
      </w:r>
      <w:r>
        <w:rPr>
          <w:sz w:val="16"/>
        </w:rPr>
        <w:t>Climático</w:t>
      </w:r>
      <w:r>
        <w:rPr>
          <w:spacing w:val="-3"/>
          <w:sz w:val="16"/>
        </w:rPr>
        <w:t> </w:t>
      </w:r>
      <w:r>
        <w:rPr>
          <w:sz w:val="16"/>
        </w:rPr>
        <w:t>de la</w:t>
      </w:r>
      <w:r>
        <w:rPr>
          <w:spacing w:val="-3"/>
          <w:sz w:val="16"/>
        </w:rPr>
        <w:t> </w:t>
      </w:r>
      <w:r>
        <w:rPr>
          <w:sz w:val="16"/>
        </w:rPr>
        <w:t>Infancia</w:t>
      </w:r>
      <w:r>
        <w:rPr>
          <w:spacing w:val="-2"/>
          <w:sz w:val="16"/>
        </w:rPr>
        <w:t> </w:t>
      </w:r>
      <w:r>
        <w:rPr>
          <w:sz w:val="16"/>
        </w:rPr>
        <w:t>(IRCI)</w:t>
      </w:r>
    </w:p>
    <w:p>
      <w:pPr>
        <w:pStyle w:val="BodyText"/>
      </w:pPr>
    </w:p>
    <w:p>
      <w:pPr>
        <w:pStyle w:val="BodyText"/>
        <w:ind w:left="278" w:right="1072"/>
        <w:jc w:val="both"/>
      </w:pPr>
      <w:r>
        <w:rPr>
          <w:spacing w:val="-1"/>
        </w:rPr>
        <w:t>En</w:t>
      </w:r>
      <w:r>
        <w:rPr>
          <w:spacing w:val="-10"/>
        </w:rPr>
        <w:t> </w:t>
      </w:r>
      <w:r>
        <w:rPr>
          <w:spacing w:val="-1"/>
        </w:rPr>
        <w:t>este</w:t>
      </w:r>
      <w:r>
        <w:rPr>
          <w:spacing w:val="-8"/>
        </w:rPr>
        <w:t> </w:t>
      </w:r>
      <w:r>
        <w:rPr>
          <w:spacing w:val="-1"/>
        </w:rPr>
        <w:t>gráfico</w:t>
      </w:r>
      <w:r>
        <w:rPr>
          <w:spacing w:val="-8"/>
        </w:rPr>
        <w:t> </w:t>
      </w:r>
      <w:r>
        <w:rPr>
          <w:spacing w:val="-1"/>
        </w:rPr>
        <w:t>se</w:t>
      </w:r>
      <w:r>
        <w:rPr>
          <w:spacing w:val="-10"/>
        </w:rPr>
        <w:t> </w:t>
      </w:r>
      <w:r>
        <w:rPr>
          <w:spacing w:val="-1"/>
        </w:rPr>
        <w:t>observan</w:t>
      </w:r>
      <w:r>
        <w:rPr>
          <w:spacing w:val="-13"/>
        </w:rPr>
        <w:t> </w:t>
      </w:r>
      <w:r>
        <w:rPr>
          <w:spacing w:val="-1"/>
        </w:rPr>
        <w:t>los</w:t>
      </w:r>
      <w:r>
        <w:rPr>
          <w:spacing w:val="-8"/>
        </w:rPr>
        <w:t> </w:t>
      </w:r>
      <w:r>
        <w:rPr>
          <w:spacing w:val="-1"/>
        </w:rPr>
        <w:t>componentes</w:t>
      </w:r>
      <w:r>
        <w:rPr>
          <w:spacing w:val="-9"/>
        </w:rPr>
        <w:t> </w:t>
      </w:r>
      <w:r>
        <w:rPr/>
        <w:t>del</w:t>
      </w:r>
      <w:r>
        <w:rPr>
          <w:spacing w:val="-8"/>
        </w:rPr>
        <w:t> </w:t>
      </w:r>
      <w:r>
        <w:rPr/>
        <w:t>IRCI,</w:t>
      </w:r>
      <w:r>
        <w:rPr>
          <w:spacing w:val="-12"/>
        </w:rPr>
        <w:t> </w:t>
      </w:r>
      <w:r>
        <w:rPr/>
        <w:t>2021</w:t>
      </w:r>
      <w:r>
        <w:rPr>
          <w:spacing w:val="-8"/>
        </w:rPr>
        <w:t> </w:t>
      </w:r>
      <w:r>
        <w:rPr/>
        <w:t>observando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uno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principales</w:t>
      </w:r>
      <w:r>
        <w:rPr>
          <w:spacing w:val="-8"/>
        </w:rPr>
        <w:t> </w:t>
      </w:r>
      <w:r>
        <w:rPr/>
        <w:t>factores</w:t>
      </w:r>
      <w:r>
        <w:rPr>
          <w:spacing w:val="-47"/>
        </w:rPr>
        <w:t> </w:t>
      </w:r>
      <w:r>
        <w:rPr/>
        <w:t>lo</w:t>
      </w:r>
      <w:r>
        <w:rPr>
          <w:spacing w:val="-1"/>
        </w:rPr>
        <w:t> </w:t>
      </w:r>
      <w:r>
        <w:rPr/>
        <w:t>representa</w:t>
      </w:r>
      <w:r>
        <w:rPr>
          <w:spacing w:val="-3"/>
        </w:rPr>
        <w:t> </w:t>
      </w:r>
      <w:r>
        <w:rPr/>
        <w:t>la educación.</w:t>
      </w:r>
      <w:r>
        <w:rPr>
          <w:spacing w:val="-3"/>
        </w:rPr>
        <w:t> </w:t>
      </w:r>
      <w:r>
        <w:rPr/>
        <w:t>Por tanto,</w:t>
      </w:r>
      <w:r>
        <w:rPr>
          <w:spacing w:val="-3"/>
        </w:rPr>
        <w:t> </w:t>
      </w:r>
      <w:r>
        <w:rPr/>
        <w:t>el enfoque</w:t>
      </w:r>
      <w:r>
        <w:rPr>
          <w:spacing w:val="-2"/>
        </w:rPr>
        <w:t> </w:t>
      </w:r>
      <w:r>
        <w:rPr/>
        <w:t>estará dirigido</w:t>
      </w:r>
      <w:r>
        <w:rPr>
          <w:spacing w:val="1"/>
        </w:rPr>
        <w:t> </w:t>
      </w:r>
      <w:r>
        <w:rPr/>
        <w:t>hacia</w:t>
      </w:r>
      <w:r>
        <w:rPr>
          <w:spacing w:val="-4"/>
        </w:rPr>
        <w:t> </w:t>
      </w:r>
      <w:r>
        <w:rPr/>
        <w:t>esta</w:t>
      </w:r>
      <w:r>
        <w:rPr>
          <w:spacing w:val="-2"/>
        </w:rPr>
        <w:t> </w:t>
      </w:r>
      <w:r>
        <w:rPr/>
        <w:t>temática.</w:t>
      </w:r>
    </w:p>
    <w:p>
      <w:pPr>
        <w:pStyle w:val="BodyText"/>
        <w:spacing w:before="1"/>
      </w:pPr>
    </w:p>
    <w:p>
      <w:pPr>
        <w:pStyle w:val="BodyText"/>
        <w:spacing w:line="268" w:lineRule="exact"/>
        <w:ind w:left="278"/>
      </w:pPr>
      <w:r>
        <w:rPr/>
        <w:t>Además,</w:t>
      </w:r>
      <w:r>
        <w:rPr>
          <w:spacing w:val="-5"/>
        </w:rPr>
        <w:t> </w:t>
      </w:r>
      <w:r>
        <w:rPr/>
        <w:t>este se</w:t>
      </w:r>
      <w:r>
        <w:rPr>
          <w:spacing w:val="-3"/>
        </w:rPr>
        <w:t> </w:t>
      </w:r>
      <w:r>
        <w:rPr/>
        <w:t>mide</w:t>
      </w:r>
      <w:r>
        <w:rPr>
          <w:spacing w:val="-3"/>
        </w:rPr>
        <w:t> </w:t>
      </w:r>
      <w:r>
        <w:rPr/>
        <w:t>mediante</w:t>
      </w:r>
      <w:r>
        <w:rPr>
          <w:spacing w:val="-2"/>
        </w:rPr>
        <w:t> </w:t>
      </w:r>
      <w:r>
        <w:rPr/>
        <w:t>tres componentes,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saber:</w:t>
      </w:r>
    </w:p>
    <w:p>
      <w:pPr>
        <w:pStyle w:val="ListParagraph"/>
        <w:numPr>
          <w:ilvl w:val="1"/>
          <w:numId w:val="33"/>
        </w:numPr>
        <w:tabs>
          <w:tab w:pos="999" w:val="left" w:leader="none"/>
        </w:tabs>
        <w:spacing w:line="268" w:lineRule="exact" w:before="0" w:after="0"/>
        <w:ind w:left="998" w:right="0" w:hanging="361"/>
        <w:jc w:val="left"/>
        <w:rPr>
          <w:sz w:val="22"/>
        </w:rPr>
      </w:pPr>
      <w:r>
        <w:rPr>
          <w:sz w:val="22"/>
        </w:rPr>
        <w:t>Las</w:t>
      </w:r>
      <w:r>
        <w:rPr>
          <w:spacing w:val="-1"/>
          <w:sz w:val="22"/>
        </w:rPr>
        <w:t> </w:t>
      </w:r>
      <w:r>
        <w:rPr>
          <w:sz w:val="22"/>
        </w:rPr>
        <w:t>perturbaciones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Clima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Medio</w:t>
      </w:r>
      <w:r>
        <w:rPr>
          <w:spacing w:val="-3"/>
          <w:sz w:val="22"/>
        </w:rPr>
        <w:t> </w:t>
      </w:r>
      <w:r>
        <w:rPr>
          <w:sz w:val="22"/>
        </w:rPr>
        <w:t>ambiente,</w:t>
      </w:r>
    </w:p>
    <w:p>
      <w:pPr>
        <w:pStyle w:val="ListParagraph"/>
        <w:numPr>
          <w:ilvl w:val="1"/>
          <w:numId w:val="33"/>
        </w:numPr>
        <w:tabs>
          <w:tab w:pos="999" w:val="left" w:leader="none"/>
        </w:tabs>
        <w:spacing w:line="240" w:lineRule="auto" w:before="0" w:after="0"/>
        <w:ind w:left="998" w:right="0" w:hanging="361"/>
        <w:jc w:val="left"/>
        <w:rPr>
          <w:sz w:val="22"/>
        </w:rPr>
      </w:pP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vulnerabilidad</w:t>
      </w:r>
      <w:r>
        <w:rPr>
          <w:spacing w:val="-2"/>
          <w:sz w:val="22"/>
        </w:rPr>
        <w:t> </w:t>
      </w:r>
      <w:r>
        <w:rPr>
          <w:sz w:val="22"/>
        </w:rPr>
        <w:t>Infantil</w:t>
      </w:r>
    </w:p>
    <w:p>
      <w:pPr>
        <w:pStyle w:val="ListParagraph"/>
        <w:numPr>
          <w:ilvl w:val="1"/>
          <w:numId w:val="33"/>
        </w:numPr>
        <w:tabs>
          <w:tab w:pos="999" w:val="left" w:leader="none"/>
        </w:tabs>
        <w:spacing w:line="240" w:lineRule="auto" w:before="1" w:after="0"/>
        <w:ind w:left="998" w:right="0" w:hanging="361"/>
        <w:jc w:val="left"/>
        <w:rPr>
          <w:sz w:val="22"/>
        </w:rPr>
      </w:pPr>
      <w:r>
        <w:rPr>
          <w:sz w:val="22"/>
        </w:rPr>
        <w:t>Índice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riesgos</w:t>
      </w:r>
      <w:r>
        <w:rPr>
          <w:spacing w:val="-3"/>
          <w:sz w:val="22"/>
        </w:rPr>
        <w:t> </w:t>
      </w:r>
      <w:r>
        <w:rPr>
          <w:sz w:val="22"/>
        </w:rPr>
        <w:t>climático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medioambiental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Infancia.</w:t>
      </w:r>
    </w:p>
    <w:p>
      <w:pPr>
        <w:pStyle w:val="BodyText"/>
      </w:pPr>
    </w:p>
    <w:p>
      <w:pPr>
        <w:pStyle w:val="BodyText"/>
        <w:ind w:left="278" w:right="1074"/>
        <w:jc w:val="both"/>
      </w:pPr>
      <w:r>
        <w:rPr/>
        <w:t>La máxima cifra que puede tener cada dimensional es de 10 puntos, por lo cual mientras más cercano a</w:t>
      </w:r>
      <w:r>
        <w:rPr>
          <w:spacing w:val="1"/>
        </w:rPr>
        <w:t> </w:t>
      </w:r>
      <w:r>
        <w:rPr/>
        <w:t>este número se encuentre significa que posee un mayor grado de vulnerabilidad, contrario a los que</w:t>
      </w:r>
      <w:r>
        <w:rPr>
          <w:spacing w:val="1"/>
        </w:rPr>
        <w:t> </w:t>
      </w:r>
      <w:r>
        <w:rPr/>
        <w:t>poseen</w:t>
      </w:r>
      <w:r>
        <w:rPr>
          <w:spacing w:val="-4"/>
        </w:rPr>
        <w:t> </w:t>
      </w:r>
      <w:r>
        <w:rPr/>
        <w:t>un</w:t>
      </w:r>
      <w:r>
        <w:rPr>
          <w:spacing w:val="-1"/>
        </w:rPr>
        <w:t> </w:t>
      </w:r>
      <w:r>
        <w:rPr/>
        <w:t>dato</w:t>
      </w:r>
      <w:r>
        <w:rPr>
          <w:spacing w:val="-2"/>
        </w:rPr>
        <w:t> </w:t>
      </w:r>
      <w:r>
        <w:rPr/>
        <w:t>más cercano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pict>
          <v:rect style="position:absolute;margin-left:563.880005pt;margin-top:18.213648pt;width:25.44pt;height:1.4399pt;mso-position-horizontal-relative:page;mso-position-vertical-relative:paragraph;z-index:-1548185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121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61024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5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3"/>
        <w:jc w:val="both"/>
      </w:pPr>
      <w:r>
        <w:rPr/>
        <w:t>Por ejemplo: Un país que posea datos cercanos a 10 quiere decir que su población infantil posee un algo</w:t>
      </w:r>
      <w:r>
        <w:rPr>
          <w:spacing w:val="1"/>
        </w:rPr>
        <w:t> </w:t>
      </w:r>
      <w:r>
        <w:rPr/>
        <w:t>grado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vulnerabilidad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crisis</w:t>
      </w:r>
      <w:r>
        <w:rPr>
          <w:spacing w:val="1"/>
        </w:rPr>
        <w:t> </w:t>
      </w:r>
      <w:r>
        <w:rPr/>
        <w:t>climáticas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poco</w:t>
      </w:r>
      <w:r>
        <w:rPr>
          <w:spacing w:val="-47"/>
        </w:rPr>
        <w:t> </w:t>
      </w:r>
      <w:r>
        <w:rPr/>
        <w:t>alentadora. Y por ello, poseen las primeras posiciones del ranking.</w:t>
      </w:r>
      <w:r>
        <w:rPr>
          <w:spacing w:val="1"/>
        </w:rPr>
        <w:t> </w:t>
      </w:r>
      <w:r>
        <w:rPr/>
        <w:t>Mientras que los países que poseen</w:t>
      </w:r>
      <w:r>
        <w:rPr>
          <w:spacing w:val="1"/>
        </w:rPr>
        <w:t> </w:t>
      </w:r>
      <w:r>
        <w:rPr/>
        <w:t>cifras más cercanas al 1, los niños tienen mejores condiciones frente al cambio climático por ello su</w:t>
      </w:r>
      <w:r>
        <w:rPr>
          <w:spacing w:val="1"/>
        </w:rPr>
        <w:t> </w:t>
      </w:r>
      <w:r>
        <w:rPr/>
        <w:t>posición dentro del ranking es más alejada al número 1. Es preciso, considerar que son 200 países los que</w:t>
      </w:r>
      <w:r>
        <w:rPr>
          <w:spacing w:val="-48"/>
        </w:rPr>
        <w:t> </w:t>
      </w:r>
      <w:r>
        <w:rPr/>
        <w:t>entran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medición.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5"/>
        <w:jc w:val="both"/>
      </w:pPr>
      <w:r>
        <w:rPr/>
        <w:t>A nivel específico de acuerdo a las cifras del IRCI (2021) para Guatemala se presentaron los siguientes</w:t>
      </w:r>
      <w:r>
        <w:rPr>
          <w:spacing w:val="1"/>
        </w:rPr>
        <w:t> </w:t>
      </w:r>
      <w:r>
        <w:rPr/>
        <w:t>niveles:</w:t>
      </w:r>
    </w:p>
    <w:p>
      <w:pPr>
        <w:pStyle w:val="BodyText"/>
        <w:spacing w:before="1"/>
      </w:pPr>
    </w:p>
    <w:p>
      <w:pPr>
        <w:pStyle w:val="BodyText"/>
        <w:spacing w:before="1"/>
        <w:ind w:left="278"/>
        <w:jc w:val="both"/>
      </w:pPr>
      <w:r>
        <w:rPr/>
        <w:t>Tabla</w:t>
      </w:r>
      <w:r>
        <w:rPr>
          <w:spacing w:val="-2"/>
        </w:rPr>
        <w:t> </w:t>
      </w:r>
      <w:r>
        <w:rPr/>
        <w:t>Nº.</w:t>
      </w:r>
      <w:r>
        <w:rPr>
          <w:spacing w:val="-2"/>
        </w:rPr>
        <w:t> </w:t>
      </w:r>
      <w:r>
        <w:rPr/>
        <w:t>Índice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Riesgo</w:t>
      </w:r>
      <w:r>
        <w:rPr>
          <w:spacing w:val="-2"/>
        </w:rPr>
        <w:t> </w:t>
      </w:r>
      <w:r>
        <w:rPr/>
        <w:t>Climático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Infancia</w:t>
      </w:r>
      <w:r>
        <w:rPr>
          <w:spacing w:val="-4"/>
        </w:rPr>
        <w:t> </w:t>
      </w:r>
      <w:r>
        <w:rPr/>
        <w:t>(IRCI)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Guatemala</w:t>
      </w:r>
    </w:p>
    <w:tbl>
      <w:tblPr>
        <w:tblW w:w="0" w:type="auto"/>
        <w:jc w:val="left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2921"/>
        <w:gridCol w:w="1790"/>
        <w:gridCol w:w="3662"/>
      </w:tblGrid>
      <w:tr>
        <w:trPr>
          <w:trHeight w:val="244" w:hRule="atLeast"/>
        </w:trPr>
        <w:tc>
          <w:tcPr>
            <w:tcW w:w="9393" w:type="dxa"/>
            <w:gridSpan w:val="4"/>
            <w:tcBorders>
              <w:bottom w:val="nil"/>
              <w:right w:val="single" w:sz="6" w:space="0" w:color="000000"/>
            </w:tcBorders>
            <w:shd w:val="clear" w:color="auto" w:fill="4F81BC"/>
          </w:tcPr>
          <w:p>
            <w:pPr>
              <w:pStyle w:val="TableParagraph"/>
              <w:spacing w:line="223" w:lineRule="exact" w:before="1"/>
              <w:ind w:left="2275" w:right="225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Índice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Riesgo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Climático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Infancia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(IRCI):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Guatemala</w:t>
            </w:r>
          </w:p>
        </w:tc>
      </w:tr>
      <w:tr>
        <w:trPr>
          <w:trHeight w:val="488" w:hRule="atLeast"/>
        </w:trPr>
        <w:tc>
          <w:tcPr>
            <w:tcW w:w="102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240" w:lineRule="atLeast"/>
              <w:ind w:left="347" w:right="191" w:hanging="125"/>
              <w:rPr>
                <w:b/>
                <w:sz w:val="20"/>
              </w:rPr>
            </w:pPr>
            <w:r>
              <w:rPr>
                <w:b/>
                <w:sz w:val="20"/>
              </w:rPr>
              <w:t>Puesto</w:t>
            </w:r>
            <w:r>
              <w:rPr>
                <w:b/>
                <w:w w:val="99"/>
                <w:sz w:val="20"/>
              </w:rPr>
              <w:t> </w:t>
            </w:r>
            <w:r>
              <w:rPr>
                <w:b/>
                <w:sz w:val="20"/>
              </w:rPr>
              <w:t>IRCI</w:t>
            </w:r>
          </w:p>
        </w:tc>
        <w:tc>
          <w:tcPr>
            <w:tcW w:w="2921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240" w:lineRule="atLeast"/>
              <w:ind w:left="777" w:right="354" w:hanging="396"/>
              <w:rPr>
                <w:sz w:val="20"/>
              </w:rPr>
            </w:pPr>
            <w:r>
              <w:rPr>
                <w:sz w:val="20"/>
              </w:rPr>
              <w:t>Perturbaciones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Clima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Medio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Ambiente</w:t>
            </w:r>
          </w:p>
        </w:tc>
        <w:tc>
          <w:tcPr>
            <w:tcW w:w="179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240" w:lineRule="atLeast"/>
              <w:ind w:left="612" w:right="283" w:hanging="305"/>
              <w:rPr>
                <w:sz w:val="20"/>
              </w:rPr>
            </w:pPr>
            <w:r>
              <w:rPr>
                <w:spacing w:val="-1"/>
                <w:sz w:val="20"/>
              </w:rPr>
              <w:t>Vulnerabilidad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Infantil</w:t>
            </w:r>
          </w:p>
        </w:tc>
        <w:tc>
          <w:tcPr>
            <w:tcW w:w="3662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tLeast"/>
              <w:ind w:left="605" w:right="570" w:firstLine="134"/>
              <w:rPr>
                <w:sz w:val="20"/>
              </w:rPr>
            </w:pPr>
            <w:r>
              <w:rPr>
                <w:sz w:val="20"/>
              </w:rPr>
              <w:t>Índice de riesgo climático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medioambiental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Infancia</w:t>
            </w:r>
          </w:p>
        </w:tc>
      </w:tr>
      <w:tr>
        <w:trPr>
          <w:trHeight w:val="244" w:hRule="atLeast"/>
        </w:trPr>
        <w:tc>
          <w:tcPr>
            <w:tcW w:w="1020" w:type="dxa"/>
            <w:tcBorders>
              <w:top w:val="single" w:sz="8" w:space="0" w:color="4F81BC"/>
            </w:tcBorders>
          </w:tcPr>
          <w:p>
            <w:pPr>
              <w:pStyle w:val="TableParagraph"/>
              <w:spacing w:line="223" w:lineRule="exact" w:before="1"/>
              <w:ind w:left="391" w:right="3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2921" w:type="dxa"/>
            <w:tcBorders>
              <w:top w:val="single" w:sz="8" w:space="0" w:color="4F81BC"/>
            </w:tcBorders>
          </w:tcPr>
          <w:p>
            <w:pPr>
              <w:pStyle w:val="TableParagraph"/>
              <w:spacing w:line="223" w:lineRule="exact" w:before="1"/>
              <w:ind w:left="1316" w:right="1301"/>
              <w:jc w:val="center"/>
              <w:rPr>
                <w:sz w:val="20"/>
              </w:rPr>
            </w:pPr>
            <w:r>
              <w:rPr>
                <w:sz w:val="20"/>
              </w:rPr>
              <w:t>6.6</w:t>
            </w:r>
          </w:p>
        </w:tc>
        <w:tc>
          <w:tcPr>
            <w:tcW w:w="1790" w:type="dxa"/>
            <w:tcBorders>
              <w:top w:val="single" w:sz="8" w:space="0" w:color="4F81BC"/>
            </w:tcBorders>
          </w:tcPr>
          <w:p>
            <w:pPr>
              <w:pStyle w:val="TableParagraph"/>
              <w:spacing w:line="223" w:lineRule="exact" w:before="1"/>
              <w:ind w:left="752" w:right="734"/>
              <w:jc w:val="center"/>
              <w:rPr>
                <w:sz w:val="20"/>
              </w:rPr>
            </w:pPr>
            <w:r>
              <w:rPr>
                <w:sz w:val="20"/>
              </w:rPr>
              <w:t>5.1</w:t>
            </w:r>
          </w:p>
        </w:tc>
        <w:tc>
          <w:tcPr>
            <w:tcW w:w="3662" w:type="dxa"/>
            <w:tcBorders>
              <w:top w:val="single" w:sz="8" w:space="0" w:color="4F81BC"/>
              <w:right w:val="single" w:sz="6" w:space="0" w:color="000000"/>
            </w:tcBorders>
          </w:tcPr>
          <w:p>
            <w:pPr>
              <w:pStyle w:val="TableParagraph"/>
              <w:spacing w:line="223" w:lineRule="exact" w:before="1"/>
              <w:ind w:left="1689" w:right="1666"/>
              <w:jc w:val="center"/>
              <w:rPr>
                <w:sz w:val="20"/>
              </w:rPr>
            </w:pPr>
            <w:r>
              <w:rPr>
                <w:sz w:val="20"/>
              </w:rPr>
              <w:t>5.9</w:t>
            </w:r>
          </w:p>
        </w:tc>
      </w:tr>
    </w:tbl>
    <w:p>
      <w:pPr>
        <w:spacing w:before="0"/>
        <w:ind w:left="278" w:right="0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UNICEF</w:t>
      </w:r>
      <w:r>
        <w:rPr>
          <w:spacing w:val="-1"/>
          <w:sz w:val="16"/>
        </w:rPr>
        <w:t> </w:t>
      </w:r>
      <w:r>
        <w:rPr>
          <w:sz w:val="16"/>
        </w:rPr>
        <w:t>(2021)</w:t>
      </w:r>
      <w:r>
        <w:rPr>
          <w:spacing w:val="-1"/>
          <w:sz w:val="16"/>
        </w:rPr>
        <w:t> </w:t>
      </w:r>
      <w:r>
        <w:rPr>
          <w:sz w:val="16"/>
        </w:rPr>
        <w:t>índice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Riesgo</w:t>
      </w:r>
      <w:r>
        <w:rPr>
          <w:spacing w:val="-3"/>
          <w:sz w:val="16"/>
        </w:rPr>
        <w:t> </w:t>
      </w:r>
      <w:r>
        <w:rPr>
          <w:sz w:val="16"/>
        </w:rPr>
        <w:t>Climático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Infancia.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278" w:right="1069"/>
        <w:jc w:val="both"/>
      </w:pPr>
      <w:r>
        <w:rPr/>
        <w:t>De</w:t>
      </w:r>
      <w:r>
        <w:rPr>
          <w:spacing w:val="-10"/>
        </w:rPr>
        <w:t> </w:t>
      </w:r>
      <w:r>
        <w:rPr/>
        <w:t>un</w:t>
      </w:r>
      <w:r>
        <w:rPr>
          <w:spacing w:val="-9"/>
        </w:rPr>
        <w:t> </w:t>
      </w:r>
      <w:r>
        <w:rPr/>
        <w:t>total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200</w:t>
      </w:r>
      <w:r>
        <w:rPr>
          <w:spacing w:val="-7"/>
        </w:rPr>
        <w:t> </w:t>
      </w:r>
      <w:r>
        <w:rPr/>
        <w:t>países,</w:t>
      </w:r>
      <w:r>
        <w:rPr>
          <w:spacing w:val="-9"/>
        </w:rPr>
        <w:t> </w:t>
      </w:r>
      <w:r>
        <w:rPr/>
        <w:t>Guatemala</w:t>
      </w:r>
      <w:r>
        <w:rPr>
          <w:spacing w:val="-11"/>
        </w:rPr>
        <w:t> </w:t>
      </w:r>
      <w:r>
        <w:rPr/>
        <w:t>ocupa</w:t>
      </w:r>
      <w:r>
        <w:rPr>
          <w:spacing w:val="-11"/>
        </w:rPr>
        <w:t> </w:t>
      </w:r>
      <w:r>
        <w:rPr/>
        <w:t>la</w:t>
      </w:r>
      <w:r>
        <w:rPr>
          <w:spacing w:val="-7"/>
        </w:rPr>
        <w:t> </w:t>
      </w:r>
      <w:r>
        <w:rPr/>
        <w:t>posición</w:t>
      </w:r>
      <w:r>
        <w:rPr>
          <w:spacing w:val="-11"/>
        </w:rPr>
        <w:t> </w:t>
      </w:r>
      <w:r>
        <w:rPr/>
        <w:t>Nº.54</w:t>
      </w:r>
      <w:r>
        <w:rPr>
          <w:spacing w:val="-9"/>
        </w:rPr>
        <w:t> </w:t>
      </w:r>
      <w:r>
        <w:rPr/>
        <w:t>lo</w:t>
      </w:r>
      <w:r>
        <w:rPr>
          <w:spacing w:val="-8"/>
        </w:rPr>
        <w:t> </w:t>
      </w:r>
      <w:r>
        <w:rPr/>
        <w:t>cual</w:t>
      </w:r>
      <w:r>
        <w:rPr>
          <w:spacing w:val="-11"/>
        </w:rPr>
        <w:t> </w:t>
      </w:r>
      <w:r>
        <w:rPr/>
        <w:t>indica</w:t>
      </w:r>
      <w:r>
        <w:rPr>
          <w:spacing w:val="-10"/>
        </w:rPr>
        <w:t> </w:t>
      </w:r>
      <w:r>
        <w:rPr/>
        <w:t>un</w:t>
      </w:r>
      <w:r>
        <w:rPr>
          <w:spacing w:val="-8"/>
        </w:rPr>
        <w:t> </w:t>
      </w:r>
      <w:r>
        <w:rPr/>
        <w:t>alto</w:t>
      </w:r>
      <w:r>
        <w:rPr>
          <w:spacing w:val="-12"/>
        </w:rPr>
        <w:t> </w:t>
      </w:r>
      <w:r>
        <w:rPr/>
        <w:t>grado</w:t>
      </w:r>
      <w:r>
        <w:rPr>
          <w:spacing w:val="-7"/>
        </w:rPr>
        <w:t> </w:t>
      </w:r>
      <w:r>
        <w:rPr/>
        <w:t>de</w:t>
      </w:r>
      <w:r>
        <w:rPr>
          <w:spacing w:val="-11"/>
        </w:rPr>
        <w:t> </w:t>
      </w:r>
      <w:r>
        <w:rPr/>
        <w:t>vulnerabilidad</w:t>
      </w:r>
      <w:r>
        <w:rPr>
          <w:spacing w:val="-48"/>
        </w:rPr>
        <w:t> </w:t>
      </w:r>
      <w:r>
        <w:rPr/>
        <w:t>de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niños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adolescentes</w:t>
      </w:r>
      <w:r>
        <w:rPr>
          <w:spacing w:val="-10"/>
        </w:rPr>
        <w:t> </w:t>
      </w:r>
      <w:r>
        <w:rPr/>
        <w:t>ante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perturbaciones</w:t>
      </w:r>
      <w:r>
        <w:rPr>
          <w:spacing w:val="-10"/>
        </w:rPr>
        <w:t> </w:t>
      </w:r>
      <w:r>
        <w:rPr/>
        <w:t>del</w:t>
      </w:r>
      <w:r>
        <w:rPr>
          <w:spacing w:val="-9"/>
        </w:rPr>
        <w:t> </w:t>
      </w:r>
      <w:r>
        <w:rPr/>
        <w:t>clima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Medio</w:t>
      </w:r>
      <w:r>
        <w:rPr>
          <w:spacing w:val="-9"/>
        </w:rPr>
        <w:t> </w:t>
      </w:r>
      <w:r>
        <w:rPr/>
        <w:t>Ambiente</w:t>
      </w:r>
      <w:r>
        <w:rPr>
          <w:spacing w:val="-10"/>
        </w:rPr>
        <w:t> </w:t>
      </w:r>
      <w:r>
        <w:rPr/>
        <w:t>debido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que</w:t>
      </w:r>
      <w:r>
        <w:rPr>
          <w:spacing w:val="-9"/>
        </w:rPr>
        <w:t> </w:t>
      </w:r>
      <w:r>
        <w:rPr/>
        <w:t>estamos</w:t>
      </w:r>
      <w:r>
        <w:rPr>
          <w:spacing w:val="-48"/>
        </w:rPr>
        <w:t> </w:t>
      </w:r>
      <w:r>
        <w:rPr/>
        <w:t>por debajo de la media mundial. Es decir, nos encontramos dentro del 27% de los países con peores</w:t>
      </w:r>
      <w:r>
        <w:rPr>
          <w:spacing w:val="1"/>
        </w:rPr>
        <w:t> </w:t>
      </w:r>
      <w:r>
        <w:rPr/>
        <w:t>condiciones para los niños</w:t>
      </w:r>
      <w:r>
        <w:rPr>
          <w:spacing w:val="-2"/>
        </w:rPr>
        <w:t> </w:t>
      </w:r>
      <w:r>
        <w:rPr/>
        <w:t>en materia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cambio</w:t>
      </w:r>
      <w:r>
        <w:rPr>
          <w:spacing w:val="-2"/>
        </w:rPr>
        <w:t> </w:t>
      </w:r>
      <w:r>
        <w:rPr/>
        <w:t>climático.</w:t>
      </w:r>
    </w:p>
    <w:p>
      <w:pPr>
        <w:pStyle w:val="BodyText"/>
        <w:spacing w:before="1"/>
      </w:pPr>
    </w:p>
    <w:p>
      <w:pPr>
        <w:pStyle w:val="BodyText"/>
        <w:ind w:left="278" w:right="1069"/>
        <w:jc w:val="both"/>
      </w:pPr>
      <w:r>
        <w:rPr/>
        <w:t>El</w:t>
      </w:r>
      <w:r>
        <w:rPr>
          <w:spacing w:val="1"/>
        </w:rPr>
        <w:t> </w:t>
      </w:r>
      <w:r>
        <w:rPr/>
        <w:t>cambio</w:t>
      </w:r>
      <w:r>
        <w:rPr>
          <w:spacing w:val="1"/>
        </w:rPr>
        <w:t> </w:t>
      </w:r>
      <w:r>
        <w:rPr/>
        <w:t>climático</w:t>
      </w:r>
      <w:r>
        <w:rPr>
          <w:spacing w:val="1"/>
        </w:rPr>
        <w:t> </w:t>
      </w:r>
      <w:r>
        <w:rPr/>
        <w:t>provoca</w:t>
      </w:r>
      <w:r>
        <w:rPr>
          <w:spacing w:val="1"/>
        </w:rPr>
        <w:t> </w:t>
      </w:r>
      <w:r>
        <w:rPr/>
        <w:t>daños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pérdidas 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escolar, reduciendo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días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educación.</w:t>
      </w:r>
      <w:r>
        <w:rPr>
          <w:spacing w:val="-9"/>
        </w:rPr>
        <w:t> </w:t>
      </w:r>
      <w:r>
        <w:rPr/>
        <w:t>Además,</w:t>
      </w:r>
      <w:r>
        <w:rPr>
          <w:spacing w:val="-8"/>
        </w:rPr>
        <w:t> </w:t>
      </w:r>
      <w:r>
        <w:rPr/>
        <w:t>las</w:t>
      </w:r>
      <w:r>
        <w:rPr>
          <w:spacing w:val="-11"/>
        </w:rPr>
        <w:t> </w:t>
      </w:r>
      <w:r>
        <w:rPr/>
        <w:t>familias</w:t>
      </w:r>
      <w:r>
        <w:rPr>
          <w:spacing w:val="-8"/>
        </w:rPr>
        <w:t> </w:t>
      </w:r>
      <w:r>
        <w:rPr/>
        <w:t>pobres</w:t>
      </w:r>
      <w:r>
        <w:rPr>
          <w:spacing w:val="-10"/>
        </w:rPr>
        <w:t> </w:t>
      </w:r>
      <w:r>
        <w:rPr/>
        <w:t>suelen</w:t>
      </w:r>
      <w:r>
        <w:rPr>
          <w:spacing w:val="-10"/>
        </w:rPr>
        <w:t> </w:t>
      </w:r>
      <w:r>
        <w:rPr/>
        <w:t>retirar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sus</w:t>
      </w:r>
      <w:r>
        <w:rPr>
          <w:spacing w:val="-11"/>
        </w:rPr>
        <w:t> </w:t>
      </w:r>
      <w:r>
        <w:rPr/>
        <w:t>hijos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11"/>
        </w:rPr>
        <w:t> </w:t>
      </w:r>
      <w:r>
        <w:rPr/>
        <w:t>escuela</w:t>
      </w:r>
      <w:r>
        <w:rPr>
          <w:spacing w:val="-11"/>
        </w:rPr>
        <w:t> </w:t>
      </w:r>
      <w:r>
        <w:rPr/>
        <w:t>tras</w:t>
      </w:r>
      <w:r>
        <w:rPr>
          <w:spacing w:val="-8"/>
        </w:rPr>
        <w:t> </w:t>
      </w:r>
      <w:r>
        <w:rPr/>
        <w:t>sufrir</w:t>
      </w:r>
      <w:r>
        <w:rPr>
          <w:spacing w:val="-9"/>
        </w:rPr>
        <w:t> </w:t>
      </w:r>
      <w:r>
        <w:rPr/>
        <w:t>daños</w:t>
      </w:r>
      <w:r>
        <w:rPr>
          <w:spacing w:val="-7"/>
        </w:rPr>
        <w:t> </w:t>
      </w:r>
      <w:r>
        <w:rPr/>
        <w:t>por</w:t>
      </w:r>
      <w:r>
        <w:rPr>
          <w:spacing w:val="-8"/>
        </w:rPr>
        <w:t> </w:t>
      </w:r>
      <w:r>
        <w:rPr/>
        <w:t>eventos</w:t>
      </w:r>
      <w:r>
        <w:rPr>
          <w:spacing w:val="-47"/>
        </w:rPr>
        <w:t> </w:t>
      </w:r>
      <w:r>
        <w:rPr/>
        <w:t>climáticos</w:t>
      </w:r>
      <w:r>
        <w:rPr>
          <w:spacing w:val="-10"/>
        </w:rPr>
        <w:t> </w:t>
      </w:r>
      <w:r>
        <w:rPr/>
        <w:t>como</w:t>
      </w:r>
      <w:r>
        <w:rPr>
          <w:spacing w:val="-8"/>
        </w:rPr>
        <w:t> </w:t>
      </w:r>
      <w:r>
        <w:rPr/>
        <w:t>estrategia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supervivencia,</w:t>
      </w:r>
      <w:r>
        <w:rPr>
          <w:spacing w:val="-11"/>
        </w:rPr>
        <w:t> </w:t>
      </w:r>
      <w:r>
        <w:rPr/>
        <w:t>por</w:t>
      </w:r>
      <w:r>
        <w:rPr>
          <w:spacing w:val="-9"/>
        </w:rPr>
        <w:t> </w:t>
      </w:r>
      <w:r>
        <w:rPr/>
        <w:t>ejemplo,</w:t>
      </w:r>
      <w:r>
        <w:rPr>
          <w:spacing w:val="-6"/>
        </w:rPr>
        <w:t> </w:t>
      </w:r>
      <w:r>
        <w:rPr/>
        <w:t>para</w:t>
      </w:r>
      <w:r>
        <w:rPr>
          <w:spacing w:val="-10"/>
        </w:rPr>
        <w:t> </w:t>
      </w:r>
      <w:r>
        <w:rPr/>
        <w:t>que</w:t>
      </w:r>
      <w:r>
        <w:rPr>
          <w:spacing w:val="-8"/>
        </w:rPr>
        <w:t> </w:t>
      </w:r>
      <w:r>
        <w:rPr/>
        <w:t>complementar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ingresos</w:t>
      </w:r>
      <w:r>
        <w:rPr>
          <w:spacing w:val="-9"/>
        </w:rPr>
        <w:t> </w:t>
      </w:r>
      <w:r>
        <w:rPr/>
        <w:t>familiares.</w:t>
      </w:r>
      <w:r>
        <w:rPr>
          <w:spacing w:val="-47"/>
        </w:rPr>
        <w:t> </w:t>
      </w:r>
      <w:r>
        <w:rPr/>
        <w:t>Y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siempre</w:t>
      </w:r>
      <w:r>
        <w:rPr>
          <w:spacing w:val="-5"/>
        </w:rPr>
        <w:t> </w:t>
      </w:r>
      <w:r>
        <w:rPr/>
        <w:t>retornan</w:t>
      </w:r>
      <w:r>
        <w:rPr>
          <w:spacing w:val="-7"/>
        </w:rPr>
        <w:t> </w:t>
      </w:r>
      <w:r>
        <w:rPr/>
        <w:t>al</w:t>
      </w:r>
      <w:r>
        <w:rPr>
          <w:spacing w:val="-8"/>
        </w:rPr>
        <w:t> </w:t>
      </w:r>
      <w:r>
        <w:rPr/>
        <w:t>aula.</w:t>
      </w:r>
      <w:r>
        <w:rPr>
          <w:spacing w:val="-7"/>
        </w:rPr>
        <w:t> </w:t>
      </w:r>
      <w:r>
        <w:rPr/>
        <w:t>Adicionalmente,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cambio</w:t>
      </w:r>
      <w:r>
        <w:rPr>
          <w:spacing w:val="-5"/>
        </w:rPr>
        <w:t> </w:t>
      </w:r>
      <w:r>
        <w:rPr/>
        <w:t>climático</w:t>
      </w:r>
      <w:r>
        <w:rPr>
          <w:spacing w:val="-5"/>
        </w:rPr>
        <w:t> </w:t>
      </w:r>
      <w:r>
        <w:rPr/>
        <w:t>también</w:t>
      </w:r>
      <w:r>
        <w:rPr>
          <w:spacing w:val="-6"/>
        </w:rPr>
        <w:t> </w:t>
      </w:r>
      <w:r>
        <w:rPr/>
        <w:t>dificulta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movilización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47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hacia los servicios</w:t>
      </w:r>
      <w:r>
        <w:rPr>
          <w:spacing w:val="-3"/>
        </w:rPr>
        <w:t> </w:t>
      </w:r>
      <w:r>
        <w:rPr/>
        <w:t>de educación, salud</w:t>
      </w:r>
      <w:r>
        <w:rPr>
          <w:spacing w:val="-3"/>
        </w:rPr>
        <w:t> </w:t>
      </w:r>
      <w:r>
        <w:rPr/>
        <w:t>y justicia.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78" w:right="1073"/>
        <w:jc w:val="both"/>
        <w:rPr>
          <w:sz w:val="29"/>
        </w:rPr>
      </w:pPr>
      <w:r>
        <w:rPr>
          <w:spacing w:val="-1"/>
        </w:rPr>
        <w:t>Aunque</w:t>
      </w:r>
      <w:r>
        <w:rPr>
          <w:spacing w:val="-10"/>
        </w:rPr>
        <w:t> </w:t>
      </w:r>
      <w:r>
        <w:rPr>
          <w:spacing w:val="-1"/>
        </w:rPr>
        <w:t>el</w:t>
      </w:r>
      <w:r>
        <w:rPr>
          <w:spacing w:val="-9"/>
        </w:rPr>
        <w:t> </w:t>
      </w:r>
      <w:r>
        <w:rPr>
          <w:spacing w:val="-1"/>
        </w:rPr>
        <w:t>cambio</w:t>
      </w:r>
      <w:r>
        <w:rPr>
          <w:spacing w:val="-9"/>
        </w:rPr>
        <w:t> </w:t>
      </w:r>
      <w:r>
        <w:rPr>
          <w:spacing w:val="-1"/>
        </w:rPr>
        <w:t>climático</w:t>
      </w:r>
      <w:r>
        <w:rPr>
          <w:spacing w:val="-10"/>
        </w:rPr>
        <w:t> </w:t>
      </w:r>
      <w:r>
        <w:rPr>
          <w:spacing w:val="-1"/>
        </w:rPr>
        <w:t>es</w:t>
      </w:r>
      <w:r>
        <w:rPr>
          <w:spacing w:val="-11"/>
        </w:rPr>
        <w:t> </w:t>
      </w:r>
      <w:r>
        <w:rPr>
          <w:spacing w:val="-1"/>
        </w:rPr>
        <w:t>una</w:t>
      </w:r>
      <w:r>
        <w:rPr>
          <w:spacing w:val="-11"/>
        </w:rPr>
        <w:t> </w:t>
      </w:r>
      <w:r>
        <w:rPr/>
        <w:t>amenaza</w:t>
      </w:r>
      <w:r>
        <w:rPr>
          <w:spacing w:val="-10"/>
        </w:rPr>
        <w:t> </w:t>
      </w:r>
      <w:r>
        <w:rPr/>
        <w:t>latente</w:t>
      </w:r>
      <w:r>
        <w:rPr>
          <w:spacing w:val="-9"/>
        </w:rPr>
        <w:t> </w:t>
      </w:r>
      <w:r>
        <w:rPr/>
        <w:t>para</w:t>
      </w:r>
      <w:r>
        <w:rPr>
          <w:spacing w:val="-11"/>
        </w:rPr>
        <w:t> </w:t>
      </w:r>
      <w:r>
        <w:rPr/>
        <w:t>todos</w:t>
      </w:r>
      <w:r>
        <w:rPr>
          <w:spacing w:val="-12"/>
        </w:rPr>
        <w:t> </w:t>
      </w:r>
      <w:r>
        <w:rPr/>
        <w:t>los</w:t>
      </w:r>
      <w:r>
        <w:rPr>
          <w:spacing w:val="-9"/>
        </w:rPr>
        <w:t> </w:t>
      </w:r>
      <w:r>
        <w:rPr/>
        <w:t>países</w:t>
      </w:r>
      <w:r>
        <w:rPr>
          <w:spacing w:val="-11"/>
        </w:rPr>
        <w:t> </w:t>
      </w:r>
      <w:r>
        <w:rPr/>
        <w:t>el</w:t>
      </w:r>
      <w:r>
        <w:rPr>
          <w:spacing w:val="-9"/>
        </w:rPr>
        <w:t> </w:t>
      </w:r>
      <w:r>
        <w:rPr/>
        <w:t>impacto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12"/>
        </w:rPr>
        <w:t> </w:t>
      </w:r>
      <w:r>
        <w:rPr/>
        <w:t>efectos</w:t>
      </w:r>
      <w:r>
        <w:rPr>
          <w:spacing w:val="-9"/>
        </w:rPr>
        <w:t> </w:t>
      </w:r>
      <w:r>
        <w:rPr/>
        <w:t>sociales</w:t>
      </w:r>
      <w:r>
        <w:rPr>
          <w:spacing w:val="-48"/>
        </w:rPr>
        <w:t> </w:t>
      </w:r>
      <w:r>
        <w:rPr/>
        <w:t>depende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 adaptación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 países 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regiones</w:t>
      </w:r>
      <w:r>
        <w:rPr>
          <w:spacing w:val="1"/>
        </w:rPr>
        <w:t> </w:t>
      </w:r>
      <w:r>
        <w:rPr/>
        <w:t>al mismo, así</w:t>
      </w:r>
      <w:r>
        <w:rPr>
          <w:spacing w:val="1"/>
        </w:rPr>
        <w:t> </w:t>
      </w:r>
      <w:r>
        <w:rPr/>
        <w:t>como del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humano,</w:t>
      </w:r>
      <w:r>
        <w:rPr>
          <w:spacing w:val="1"/>
        </w:rPr>
        <w:t> </w:t>
      </w:r>
      <w:r>
        <w:rPr/>
        <w:t>sostenibilidad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equidad</w:t>
      </w:r>
      <w:r>
        <w:rPr>
          <w:sz w:val="29"/>
        </w:rPr>
        <w:t>.</w:t>
      </w:r>
    </w:p>
    <w:p>
      <w:pPr>
        <w:pStyle w:val="BodyText"/>
        <w:spacing w:before="5"/>
        <w:rPr>
          <w:sz w:val="15"/>
        </w:rPr>
      </w:pPr>
    </w:p>
    <w:p>
      <w:pPr>
        <w:pStyle w:val="Heading3"/>
        <w:numPr>
          <w:ilvl w:val="2"/>
          <w:numId w:val="32"/>
        </w:numPr>
        <w:tabs>
          <w:tab w:pos="998" w:val="left" w:leader="none"/>
          <w:tab w:pos="999" w:val="left" w:leader="none"/>
        </w:tabs>
        <w:spacing w:line="240" w:lineRule="auto" w:before="51" w:after="0"/>
        <w:ind w:left="998" w:right="0" w:hanging="721"/>
        <w:jc w:val="left"/>
      </w:pPr>
      <w:bookmarkStart w:name="_bookmark137" w:id="207"/>
      <w:bookmarkEnd w:id="207"/>
      <w:r>
        <w:rPr>
          <w:b w:val="0"/>
        </w:rPr>
      </w:r>
      <w:bookmarkStart w:name="_bookmark137" w:id="208"/>
      <w:bookmarkEnd w:id="208"/>
      <w:r>
        <w:rPr>
          <w:shd w:fill="FFFFFF" w:color="auto" w:val="clear"/>
        </w:rPr>
        <w:t>E</w:t>
      </w:r>
      <w:r>
        <w:rPr>
          <w:shd w:fill="FFFFFF" w:color="auto" w:val="clear"/>
        </w:rPr>
        <w:t>fectos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del</w:t>
      </w:r>
      <w:r>
        <w:rPr>
          <w:spacing w:val="-2"/>
          <w:shd w:fill="FFFFFF" w:color="auto" w:val="clear"/>
        </w:rPr>
        <w:t> </w:t>
      </w:r>
      <w:r>
        <w:rPr>
          <w:shd w:fill="FFFFFF" w:color="auto" w:val="clear"/>
        </w:rPr>
        <w:t>Cambio</w:t>
      </w:r>
      <w:r>
        <w:rPr>
          <w:spacing w:val="-2"/>
          <w:shd w:fill="FFFFFF" w:color="auto" w:val="clear"/>
        </w:rPr>
        <w:t> </w:t>
      </w:r>
      <w:r>
        <w:rPr>
          <w:shd w:fill="FFFFFF" w:color="auto" w:val="clear"/>
        </w:rPr>
        <w:t>Climático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en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Guatemala:</w:t>
      </w:r>
      <w:r>
        <w:rPr>
          <w:spacing w:val="-2"/>
          <w:shd w:fill="FFFFFF" w:color="auto" w:val="clear"/>
        </w:rPr>
        <w:t> </w:t>
      </w:r>
      <w:r>
        <w:rPr>
          <w:shd w:fill="FFFFFF" w:color="auto" w:val="clear"/>
        </w:rPr>
        <w:t>Huracanes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Eta-Iota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278" w:right="1070"/>
        <w:jc w:val="both"/>
      </w:pPr>
      <w:r>
        <w:rPr/>
        <w:t>La trayectoria de los huracanes Eta y Iota no tocó el territorio de Guatemala, sin embargo, en la zona de</w:t>
      </w:r>
      <w:r>
        <w:rPr>
          <w:spacing w:val="1"/>
        </w:rPr>
        <w:t> </w:t>
      </w:r>
      <w:r>
        <w:rPr/>
        <w:t>influencia de ambos ocurrieron intensas tormentas que tuvieron diversos efectos en la población. Las</w:t>
      </w:r>
      <w:r>
        <w:rPr>
          <w:spacing w:val="1"/>
        </w:rPr>
        <w:t> </w:t>
      </w:r>
      <w:r>
        <w:rPr/>
        <w:t>depresiones tropicales de Eta y Iota impactaron la mayor parte del territorio guatemalteco entre el 3 y el</w:t>
      </w:r>
      <w:r>
        <w:rPr>
          <w:spacing w:val="1"/>
        </w:rPr>
        <w:t> </w:t>
      </w:r>
      <w:r>
        <w:rPr/>
        <w:t>17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noviembre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2020,</w:t>
      </w:r>
      <w:r>
        <w:rPr>
          <w:spacing w:val="-10"/>
        </w:rPr>
        <w:t> </w:t>
      </w:r>
      <w:r>
        <w:rPr/>
        <w:t>con</w:t>
      </w:r>
      <w:r>
        <w:rPr>
          <w:spacing w:val="-6"/>
        </w:rPr>
        <w:t> </w:t>
      </w:r>
      <w:r>
        <w:rPr/>
        <w:t>intensas</w:t>
      </w:r>
      <w:r>
        <w:rPr>
          <w:spacing w:val="-6"/>
        </w:rPr>
        <w:t> </w:t>
      </w:r>
      <w:r>
        <w:rPr/>
        <w:t>lluvias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ocasionaron</w:t>
      </w:r>
      <w:r>
        <w:rPr>
          <w:spacing w:val="-9"/>
        </w:rPr>
        <w:t> </w:t>
      </w:r>
      <w:r>
        <w:rPr/>
        <w:t>inundaciones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decenas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deslizamientos</w:t>
      </w:r>
      <w:r>
        <w:rPr>
          <w:spacing w:val="-47"/>
        </w:rPr>
        <w:t> </w:t>
      </w:r>
      <w:r>
        <w:rPr/>
        <w:t>y flujos de lodo catastróficos (Oficina de Coordinación de Asuntos Humanitarios de las Naciones Unidas</w:t>
      </w:r>
      <w:r>
        <w:rPr>
          <w:spacing w:val="1"/>
        </w:rPr>
        <w:t> </w:t>
      </w:r>
      <w:r>
        <w:rPr/>
        <w:t>(OCHA),</w:t>
      </w:r>
      <w:r>
        <w:rPr>
          <w:spacing w:val="-3"/>
        </w:rPr>
        <w:t> </w:t>
      </w:r>
      <w:r>
        <w:rPr/>
        <w:t>16 de</w:t>
      </w:r>
      <w:r>
        <w:rPr>
          <w:spacing w:val="1"/>
        </w:rPr>
        <w:t> </w:t>
      </w:r>
      <w:r>
        <w:rPr/>
        <w:t>diciembre</w:t>
      </w:r>
      <w:r>
        <w:rPr>
          <w:spacing w:val="-2"/>
        </w:rPr>
        <w:t> </w:t>
      </w:r>
      <w:r>
        <w:rPr/>
        <w:t>de 2020).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42" w:lineRule="auto"/>
        <w:ind w:left="278" w:right="1072"/>
        <w:jc w:val="both"/>
      </w:pPr>
      <w:r>
        <w:rPr/>
        <w:t>De acuerdo con los análisis realizados por el Instituto de las Naciones Unidas para Formación Profesional</w:t>
      </w:r>
      <w:r>
        <w:rPr>
          <w:spacing w:val="1"/>
        </w:rPr>
        <w:t> </w:t>
      </w:r>
      <w:r>
        <w:rPr/>
        <w:t>e Investigaciones (UNITAR), en los departamentos de Izabal, Petén, Alta Verapaz y Quiché se inundó un</w:t>
      </w:r>
      <w:r>
        <w:rPr>
          <w:spacing w:val="1"/>
        </w:rPr>
        <w:t> </w:t>
      </w:r>
      <w:r>
        <w:rPr/>
        <w:t>área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aproximadamente</w:t>
      </w:r>
      <w:r>
        <w:rPr>
          <w:spacing w:val="15"/>
        </w:rPr>
        <w:t> </w:t>
      </w:r>
      <w:r>
        <w:rPr/>
        <w:t>530</w:t>
      </w:r>
      <w:r>
        <w:rPr>
          <w:spacing w:val="16"/>
        </w:rPr>
        <w:t> </w:t>
      </w:r>
      <w:r>
        <w:rPr/>
        <w:t>km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17"/>
          <w:vertAlign w:val="baseline"/>
        </w:rPr>
        <w:t> </w:t>
      </w:r>
      <w:r>
        <w:rPr>
          <w:vertAlign w:val="baseline"/>
        </w:rPr>
        <w:t>donde</w:t>
      </w:r>
      <w:r>
        <w:rPr>
          <w:spacing w:val="19"/>
          <w:vertAlign w:val="baseline"/>
        </w:rPr>
        <w:t> </w:t>
      </w:r>
      <w:r>
        <w:rPr>
          <w:vertAlign w:val="baseline"/>
        </w:rPr>
        <w:t>estaban</w:t>
      </w:r>
      <w:r>
        <w:rPr>
          <w:spacing w:val="14"/>
          <w:vertAlign w:val="baseline"/>
        </w:rPr>
        <w:t> </w:t>
      </w:r>
      <w:r>
        <w:rPr>
          <w:vertAlign w:val="baseline"/>
        </w:rPr>
        <w:t>directamente</w:t>
      </w:r>
      <w:r>
        <w:rPr>
          <w:spacing w:val="18"/>
          <w:vertAlign w:val="baseline"/>
        </w:rPr>
        <w:t> </w:t>
      </w:r>
      <w:r>
        <w:rPr>
          <w:vertAlign w:val="baseline"/>
        </w:rPr>
        <w:t>expuestas</w:t>
      </w:r>
      <w:r>
        <w:rPr>
          <w:spacing w:val="16"/>
          <w:vertAlign w:val="baseline"/>
        </w:rPr>
        <w:t> </w:t>
      </w:r>
      <w:r>
        <w:rPr>
          <w:vertAlign w:val="baseline"/>
        </w:rPr>
        <w:t>unas</w:t>
      </w:r>
      <w:r>
        <w:rPr>
          <w:spacing w:val="17"/>
          <w:vertAlign w:val="baseline"/>
        </w:rPr>
        <w:t> </w:t>
      </w:r>
      <w:r>
        <w:rPr>
          <w:vertAlign w:val="baseline"/>
        </w:rPr>
        <w:t>33.000</w:t>
      </w:r>
      <w:r>
        <w:rPr>
          <w:spacing w:val="19"/>
          <w:vertAlign w:val="baseline"/>
        </w:rPr>
        <w:t> </w:t>
      </w:r>
      <w:r>
        <w:rPr>
          <w:vertAlign w:val="baseline"/>
        </w:rPr>
        <w:t>personas.</w:t>
      </w:r>
      <w:r>
        <w:rPr>
          <w:spacing w:val="14"/>
          <w:vertAlign w:val="baseline"/>
        </w:rPr>
        <w:t> </w:t>
      </w:r>
      <w:r>
        <w:rPr>
          <w:vertAlign w:val="baseline"/>
        </w:rPr>
        <w:t>Las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  <w:r>
        <w:rPr/>
        <w:pict>
          <v:rect style="position:absolute;margin-left:563.880005pt;margin-top:17.75983pt;width:25.44pt;height:1.4399pt;mso-position-horizontal-relative:page;mso-position-vertical-relative:paragraph;z-index:-1548032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122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62560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5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3"/>
        <w:jc w:val="both"/>
      </w:pPr>
      <w:r>
        <w:rPr/>
        <w:t>inundaciones fueron generadas por los ríos Motagua, Salinas, La Pasión, Usumacinta, Chixoy, Polochic y</w:t>
      </w:r>
      <w:r>
        <w:rPr>
          <w:spacing w:val="1"/>
        </w:rPr>
        <w:t> </w:t>
      </w:r>
      <w:r>
        <w:rPr/>
        <w:t>Cahabón.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mencionar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inundación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imágenes</w:t>
      </w:r>
      <w:r>
        <w:rPr>
          <w:spacing w:val="1"/>
        </w:rPr>
        <w:t> </w:t>
      </w:r>
      <w:r>
        <w:rPr/>
        <w:t>radar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subestimar la presencia de aguas estancadas en zonas construidas o con vegetación densa, debido a la</w:t>
      </w:r>
      <w:r>
        <w:rPr>
          <w:spacing w:val="1"/>
        </w:rPr>
        <w:t> </w:t>
      </w:r>
      <w:r>
        <w:rPr/>
        <w:t>dispersión de la señal de radar. A continuación, se detallan los resultados preliminares de los análisis</w:t>
      </w:r>
      <w:r>
        <w:rPr>
          <w:spacing w:val="1"/>
        </w:rPr>
        <w:t> </w:t>
      </w:r>
      <w:r>
        <w:rPr/>
        <w:t>satelitales realizados por UNITAR.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1"/>
        <w:ind w:left="278" w:right="1069"/>
        <w:jc w:val="both"/>
      </w:pPr>
      <w:r>
        <w:rPr/>
        <w:t>Las</w:t>
      </w:r>
      <w:r>
        <w:rPr>
          <w:spacing w:val="1"/>
        </w:rPr>
        <w:t> </w:t>
      </w:r>
      <w:r>
        <w:rPr/>
        <w:t>depresiones</w:t>
      </w:r>
      <w:r>
        <w:rPr>
          <w:spacing w:val="1"/>
        </w:rPr>
        <w:t> </w:t>
      </w:r>
      <w:r>
        <w:rPr/>
        <w:t>tropicales</w:t>
      </w:r>
      <w:r>
        <w:rPr>
          <w:spacing w:val="1"/>
        </w:rPr>
        <w:t> </w:t>
      </w:r>
      <w:r>
        <w:rPr/>
        <w:t>provocaron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fenómenos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impacto:</w:t>
      </w:r>
      <w:r>
        <w:rPr>
          <w:spacing w:val="1"/>
        </w:rPr>
        <w:t> </w:t>
      </w:r>
      <w:r>
        <w:rPr/>
        <w:t>inundaciones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desbordamiento de ríos y deslizamientos/flujos de lodo. En el departamento de Izabal, las inundaciones</w:t>
      </w:r>
      <w:r>
        <w:rPr>
          <w:spacing w:val="1"/>
        </w:rPr>
        <w:t> </w:t>
      </w:r>
      <w:r>
        <w:rPr/>
        <w:t>provocadas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Eta,</w:t>
      </w:r>
      <w:r>
        <w:rPr>
          <w:spacing w:val="-6"/>
        </w:rPr>
        <w:t> </w:t>
      </w:r>
      <w:r>
        <w:rPr/>
        <w:t>por</w:t>
      </w:r>
      <w:r>
        <w:rPr>
          <w:spacing w:val="-7"/>
        </w:rPr>
        <w:t> </w:t>
      </w:r>
      <w:r>
        <w:rPr/>
        <w:t>desbordamiento</w:t>
      </w:r>
      <w:r>
        <w:rPr>
          <w:spacing w:val="-4"/>
        </w:rPr>
        <w:t> </w:t>
      </w:r>
      <w:r>
        <w:rPr/>
        <w:t>del</w:t>
      </w:r>
      <w:r>
        <w:rPr>
          <w:spacing w:val="-6"/>
        </w:rPr>
        <w:t> </w:t>
      </w:r>
      <w:r>
        <w:rPr/>
        <w:t>río</w:t>
      </w:r>
      <w:r>
        <w:rPr>
          <w:spacing w:val="-8"/>
        </w:rPr>
        <w:t> </w:t>
      </w:r>
      <w:r>
        <w:rPr/>
        <w:t>Motagua,</w:t>
      </w:r>
      <w:r>
        <w:rPr>
          <w:spacing w:val="-6"/>
        </w:rPr>
        <w:t> </w:t>
      </w:r>
      <w:r>
        <w:rPr/>
        <w:t>afectaron</w:t>
      </w:r>
      <w:r>
        <w:rPr>
          <w:spacing w:val="-7"/>
        </w:rPr>
        <w:t> </w:t>
      </w:r>
      <w:r>
        <w:rPr/>
        <w:t>principalmente</w:t>
      </w:r>
      <w:r>
        <w:rPr>
          <w:spacing w:val="-5"/>
        </w:rPr>
        <w:t> </w:t>
      </w:r>
      <w:r>
        <w:rPr/>
        <w:t>los</w:t>
      </w:r>
      <w:r>
        <w:rPr>
          <w:spacing w:val="-9"/>
        </w:rPr>
        <w:t> </w:t>
      </w:r>
      <w:r>
        <w:rPr/>
        <w:t>municipios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47"/>
        </w:rPr>
        <w:t> </w:t>
      </w:r>
      <w:r>
        <w:rPr>
          <w:spacing w:val="-1"/>
        </w:rPr>
        <w:t>Amates,</w:t>
      </w:r>
      <w:r>
        <w:rPr>
          <w:spacing w:val="-12"/>
        </w:rPr>
        <w:t> </w:t>
      </w:r>
      <w:r>
        <w:rPr>
          <w:spacing w:val="-1"/>
        </w:rPr>
        <w:t>Morales</w:t>
      </w:r>
      <w:r>
        <w:rPr>
          <w:spacing w:val="-14"/>
        </w:rPr>
        <w:t> </w:t>
      </w:r>
      <w:r>
        <w:rPr/>
        <w:t>y</w:t>
      </w:r>
      <w:r>
        <w:rPr>
          <w:spacing w:val="-11"/>
        </w:rPr>
        <w:t> </w:t>
      </w:r>
      <w:r>
        <w:rPr/>
        <w:t>Puerto</w:t>
      </w:r>
      <w:r>
        <w:rPr>
          <w:spacing w:val="-11"/>
        </w:rPr>
        <w:t> </w:t>
      </w:r>
      <w:r>
        <w:rPr/>
        <w:t>Barrios.</w:t>
      </w:r>
      <w:r>
        <w:rPr>
          <w:spacing w:val="-12"/>
        </w:rPr>
        <w:t> </w:t>
      </w:r>
      <w:r>
        <w:rPr/>
        <w:t>Unos</w:t>
      </w:r>
      <w:r>
        <w:rPr>
          <w:spacing w:val="-12"/>
        </w:rPr>
        <w:t> </w:t>
      </w:r>
      <w:r>
        <w:rPr/>
        <w:t>150</w:t>
      </w:r>
      <w:r>
        <w:rPr>
          <w:spacing w:val="-11"/>
        </w:rPr>
        <w:t> </w:t>
      </w:r>
      <w:r>
        <w:rPr/>
        <w:t>km</w:t>
      </w:r>
      <w:r>
        <w:rPr>
          <w:vertAlign w:val="superscript"/>
        </w:rPr>
        <w:t>2</w:t>
      </w:r>
      <w:r>
        <w:rPr>
          <w:spacing w:val="-10"/>
          <w:vertAlign w:val="baseline"/>
        </w:rPr>
        <w:t> </w:t>
      </w:r>
      <w:r>
        <w:rPr>
          <w:vertAlign w:val="baseline"/>
        </w:rPr>
        <w:t>fueron</w:t>
      </w:r>
      <w:r>
        <w:rPr>
          <w:spacing w:val="-10"/>
          <w:vertAlign w:val="baseline"/>
        </w:rPr>
        <w:t> </w:t>
      </w:r>
      <w:r>
        <w:rPr>
          <w:vertAlign w:val="baseline"/>
        </w:rPr>
        <w:t>inundados</w:t>
      </w:r>
      <w:r>
        <w:rPr>
          <w:spacing w:val="-12"/>
          <w:vertAlign w:val="baseline"/>
        </w:rPr>
        <w:t> </w:t>
      </w:r>
      <w:r>
        <w:rPr>
          <w:vertAlign w:val="baseline"/>
        </w:rPr>
        <w:t>en</w:t>
      </w:r>
      <w:r>
        <w:rPr>
          <w:spacing w:val="-9"/>
          <w:vertAlign w:val="baseline"/>
        </w:rPr>
        <w:t> </w:t>
      </w:r>
      <w:r>
        <w:rPr>
          <w:vertAlign w:val="baseline"/>
        </w:rPr>
        <w:t>estos</w:t>
      </w:r>
      <w:r>
        <w:rPr>
          <w:spacing w:val="-12"/>
          <w:vertAlign w:val="baseline"/>
        </w:rPr>
        <w:t> </w:t>
      </w:r>
      <w:r>
        <w:rPr>
          <w:vertAlign w:val="baseline"/>
        </w:rPr>
        <w:t>tres</w:t>
      </w:r>
      <w:r>
        <w:rPr>
          <w:spacing w:val="-14"/>
          <w:vertAlign w:val="baseline"/>
        </w:rPr>
        <w:t> </w:t>
      </w:r>
      <w:r>
        <w:rPr>
          <w:vertAlign w:val="baseline"/>
        </w:rPr>
        <w:t>municipios</w:t>
      </w:r>
      <w:r>
        <w:rPr>
          <w:spacing w:val="-12"/>
          <w:vertAlign w:val="baseline"/>
        </w:rPr>
        <w:t> </w:t>
      </w:r>
      <w:r>
        <w:rPr>
          <w:vertAlign w:val="baseline"/>
        </w:rPr>
        <w:t>con</w:t>
      </w:r>
      <w:r>
        <w:rPr>
          <w:spacing w:val="-13"/>
          <w:vertAlign w:val="baseline"/>
        </w:rPr>
        <w:t> </w:t>
      </w:r>
      <w:r>
        <w:rPr>
          <w:vertAlign w:val="baseline"/>
        </w:rPr>
        <w:t>exposición</w:t>
      </w:r>
      <w:r>
        <w:rPr>
          <w:spacing w:val="-47"/>
          <w:vertAlign w:val="baseline"/>
        </w:rPr>
        <w:t> </w:t>
      </w:r>
      <w:r>
        <w:rPr>
          <w:vertAlign w:val="baseline"/>
        </w:rPr>
        <w:t>directa de unas 8.600 personas (UNITAR, 2020). El agua desbordada, que en algunos lugares alcanzó los</w:t>
      </w:r>
      <w:r>
        <w:rPr>
          <w:spacing w:val="1"/>
          <w:vertAlign w:val="baseline"/>
        </w:rPr>
        <w:t> </w:t>
      </w:r>
      <w:r>
        <w:rPr>
          <w:vertAlign w:val="baseline"/>
        </w:rPr>
        <w:t>2,5 metros de altura, destruyó viviendas y sus contenidos (muebles, aparatos eléctricos, ropa, utensilios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cocina, entre otros),</w:t>
      </w:r>
      <w:r>
        <w:rPr>
          <w:spacing w:val="1"/>
          <w:vertAlign w:val="baseline"/>
        </w:rPr>
        <w:t> </w:t>
      </w:r>
      <w:r>
        <w:rPr>
          <w:vertAlign w:val="baseline"/>
        </w:rPr>
        <w:t>anegó</w:t>
      </w:r>
      <w:r>
        <w:rPr>
          <w:spacing w:val="1"/>
          <w:vertAlign w:val="baseline"/>
        </w:rPr>
        <w:t> </w:t>
      </w:r>
      <w:r>
        <w:rPr>
          <w:vertAlign w:val="baseline"/>
        </w:rPr>
        <w:t>calles</w:t>
      </w:r>
      <w:r>
        <w:rPr>
          <w:spacing w:val="1"/>
          <w:vertAlign w:val="baseline"/>
        </w:rPr>
        <w:t> </w:t>
      </w:r>
      <w:r>
        <w:rPr>
          <w:vertAlign w:val="baseline"/>
        </w:rPr>
        <w:t>y espacios</w:t>
      </w:r>
      <w:r>
        <w:rPr>
          <w:spacing w:val="1"/>
          <w:vertAlign w:val="baseline"/>
        </w:rPr>
        <w:t> </w:t>
      </w:r>
      <w:r>
        <w:rPr>
          <w:vertAlign w:val="baseline"/>
        </w:rPr>
        <w:t>comunitarios</w:t>
      </w:r>
      <w:r>
        <w:rPr>
          <w:spacing w:val="1"/>
          <w:vertAlign w:val="baseline"/>
        </w:rPr>
        <w:t> </w:t>
      </w:r>
      <w:r>
        <w:rPr>
          <w:vertAlign w:val="baseline"/>
        </w:rPr>
        <w:t>con</w:t>
      </w:r>
      <w:r>
        <w:rPr>
          <w:spacing w:val="1"/>
          <w:vertAlign w:val="baseline"/>
        </w:rPr>
        <w:t> </w:t>
      </w:r>
      <w:r>
        <w:rPr>
          <w:vertAlign w:val="baseline"/>
        </w:rPr>
        <w:t>lodo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piedras,</w:t>
      </w:r>
      <w:r>
        <w:rPr>
          <w:spacing w:val="1"/>
          <w:vertAlign w:val="baseline"/>
        </w:rPr>
        <w:t> </w:t>
      </w:r>
      <w:r>
        <w:rPr>
          <w:vertAlign w:val="baseline"/>
        </w:rPr>
        <w:t>contaminó</w:t>
      </w:r>
      <w:r>
        <w:rPr>
          <w:spacing w:val="1"/>
          <w:vertAlign w:val="baseline"/>
        </w:rPr>
        <w:t> </w:t>
      </w:r>
      <w:r>
        <w:rPr>
          <w:vertAlign w:val="baseline"/>
        </w:rPr>
        <w:t>pozos</w:t>
      </w:r>
      <w:r>
        <w:rPr>
          <w:spacing w:val="1"/>
          <w:vertAlign w:val="baseline"/>
        </w:rPr>
        <w:t> </w:t>
      </w:r>
      <w:r>
        <w:rPr>
          <w:vertAlign w:val="baseline"/>
        </w:rPr>
        <w:t>artesanales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destruyó</w:t>
      </w:r>
      <w:r>
        <w:rPr>
          <w:spacing w:val="1"/>
          <w:vertAlign w:val="baseline"/>
        </w:rPr>
        <w:t> </w:t>
      </w:r>
      <w:r>
        <w:rPr>
          <w:vertAlign w:val="baseline"/>
        </w:rPr>
        <w:t>sistemas</w:t>
      </w:r>
      <w:r>
        <w:rPr>
          <w:spacing w:val="1"/>
          <w:vertAlign w:val="baseline"/>
        </w:rPr>
        <w:t> </w:t>
      </w:r>
      <w:r>
        <w:rPr>
          <w:vertAlign w:val="baseline"/>
        </w:rPr>
        <w:t>comunitarios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agua,</w:t>
      </w:r>
      <w:r>
        <w:rPr>
          <w:spacing w:val="1"/>
          <w:vertAlign w:val="baseline"/>
        </w:rPr>
        <w:t> </w:t>
      </w:r>
      <w:r>
        <w:rPr>
          <w:vertAlign w:val="baseline"/>
        </w:rPr>
        <w:t>provocando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considerable</w:t>
      </w:r>
      <w:r>
        <w:rPr>
          <w:spacing w:val="1"/>
          <w:vertAlign w:val="baseline"/>
        </w:rPr>
        <w:t> </w:t>
      </w:r>
      <w:r>
        <w:rPr>
          <w:vertAlign w:val="baseline"/>
        </w:rPr>
        <w:t>daño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infraestructura vial comunitaria y municipal. Aún se completan las evaluaciones de pérdidas de cultivos,</w:t>
      </w:r>
      <w:r>
        <w:rPr>
          <w:spacing w:val="1"/>
          <w:vertAlign w:val="baseline"/>
        </w:rPr>
        <w:t> </w:t>
      </w:r>
      <w:r>
        <w:rPr>
          <w:vertAlign w:val="baseline"/>
        </w:rPr>
        <w:t>animales</w:t>
      </w:r>
      <w:r>
        <w:rPr>
          <w:spacing w:val="-3"/>
          <w:vertAlign w:val="baseline"/>
        </w:rPr>
        <w:t> </w:t>
      </w:r>
      <w:r>
        <w:rPr>
          <w:vertAlign w:val="baseline"/>
        </w:rPr>
        <w:t>de crianza</w:t>
      </w:r>
      <w:r>
        <w:rPr>
          <w:spacing w:val="-2"/>
          <w:vertAlign w:val="baseline"/>
        </w:rPr>
        <w:t> </w:t>
      </w:r>
      <w:r>
        <w:rPr>
          <w:vertAlign w:val="baseline"/>
        </w:rPr>
        <w:t>y</w:t>
      </w:r>
      <w:r>
        <w:rPr>
          <w:spacing w:val="-2"/>
          <w:vertAlign w:val="baseline"/>
        </w:rPr>
        <w:t> </w:t>
      </w:r>
      <w:r>
        <w:rPr>
          <w:vertAlign w:val="baseline"/>
        </w:rPr>
        <w:t>medios de</w:t>
      </w:r>
      <w:r>
        <w:rPr>
          <w:spacing w:val="-3"/>
          <w:vertAlign w:val="baseline"/>
        </w:rPr>
        <w:t> </w:t>
      </w:r>
      <w:r>
        <w:rPr>
          <w:vertAlign w:val="baseline"/>
        </w:rPr>
        <w:t>vida.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278" w:right="1072"/>
        <w:jc w:val="both"/>
      </w:pPr>
      <w:r>
        <w:rPr/>
        <w:t>Estos</w:t>
      </w:r>
      <w:r>
        <w:rPr>
          <w:spacing w:val="-3"/>
        </w:rPr>
        <w:t> </w:t>
      </w:r>
      <w:r>
        <w:rPr/>
        <w:t>impactos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dieron</w:t>
      </w:r>
      <w:r>
        <w:rPr>
          <w:spacing w:val="-4"/>
        </w:rPr>
        <w:t> </w:t>
      </w:r>
      <w:r>
        <w:rPr/>
        <w:t>tanto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barrios</w:t>
      </w:r>
      <w:r>
        <w:rPr>
          <w:spacing w:val="-3"/>
        </w:rPr>
        <w:t> </w:t>
      </w:r>
      <w:r>
        <w:rPr/>
        <w:t>urbanos</w:t>
      </w:r>
      <w:r>
        <w:rPr>
          <w:spacing w:val="-5"/>
        </w:rPr>
        <w:t> </w:t>
      </w:r>
      <w:r>
        <w:rPr/>
        <w:t>como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comunidades</w:t>
      </w:r>
      <w:r>
        <w:rPr>
          <w:spacing w:val="-2"/>
        </w:rPr>
        <w:t> </w:t>
      </w:r>
      <w:r>
        <w:rPr/>
        <w:t>rurales.</w:t>
      </w:r>
      <w:r>
        <w:rPr>
          <w:spacing w:val="-3"/>
        </w:rPr>
        <w:t> </w:t>
      </w:r>
      <w:r>
        <w:rPr/>
        <w:t>Al</w:t>
      </w:r>
      <w:r>
        <w:rPr>
          <w:spacing w:val="-4"/>
        </w:rPr>
        <w:t> </w:t>
      </w:r>
      <w:r>
        <w:rPr/>
        <w:t>14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noviembre,</w:t>
      </w:r>
      <w:r>
        <w:rPr>
          <w:spacing w:val="-48"/>
        </w:rPr>
        <w:t> </w:t>
      </w:r>
      <w:r>
        <w:rPr/>
        <w:t>el</w:t>
      </w:r>
      <w:r>
        <w:rPr>
          <w:spacing w:val="5"/>
        </w:rPr>
        <w:t> </w:t>
      </w:r>
      <w:r>
        <w:rPr/>
        <w:t>COE</w:t>
      </w:r>
      <w:r>
        <w:rPr>
          <w:spacing w:val="4"/>
        </w:rPr>
        <w:t> </w:t>
      </w:r>
      <w:r>
        <w:rPr/>
        <w:t>Departamental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Izabal</w:t>
      </w:r>
      <w:r>
        <w:rPr>
          <w:spacing w:val="6"/>
        </w:rPr>
        <w:t> </w:t>
      </w:r>
      <w:r>
        <w:rPr/>
        <w:t>reportaba</w:t>
      </w:r>
      <w:r>
        <w:rPr>
          <w:spacing w:val="6"/>
        </w:rPr>
        <w:t> </w:t>
      </w:r>
      <w:r>
        <w:rPr/>
        <w:t>casi</w:t>
      </w:r>
      <w:r>
        <w:rPr>
          <w:spacing w:val="6"/>
        </w:rPr>
        <w:t> </w:t>
      </w:r>
      <w:r>
        <w:rPr/>
        <w:t>90.000</w:t>
      </w:r>
      <w:r>
        <w:rPr>
          <w:spacing w:val="6"/>
        </w:rPr>
        <w:t> </w:t>
      </w:r>
      <w:r>
        <w:rPr/>
        <w:t>personas</w:t>
      </w:r>
      <w:r>
        <w:rPr>
          <w:spacing w:val="6"/>
        </w:rPr>
        <w:t> </w:t>
      </w:r>
      <w:r>
        <w:rPr/>
        <w:t>afectadas;</w:t>
      </w:r>
      <w:r>
        <w:rPr>
          <w:spacing w:val="7"/>
        </w:rPr>
        <w:t> </w:t>
      </w:r>
      <w:r>
        <w:rPr/>
        <w:t>10.444</w:t>
      </w:r>
      <w:r>
        <w:rPr>
          <w:spacing w:val="6"/>
        </w:rPr>
        <w:t> </w:t>
      </w:r>
      <w:r>
        <w:rPr/>
        <w:t>personas</w:t>
      </w:r>
      <w:r>
        <w:rPr>
          <w:spacing w:val="4"/>
        </w:rPr>
        <w:t> </w:t>
      </w:r>
      <w:r>
        <w:rPr/>
        <w:t>evacuadas</w:t>
      </w:r>
      <w:r>
        <w:rPr>
          <w:spacing w:val="6"/>
        </w:rPr>
        <w:t> </w:t>
      </w:r>
      <w:r>
        <w:rPr/>
        <w:t>y</w:t>
      </w:r>
    </w:p>
    <w:p>
      <w:pPr>
        <w:pStyle w:val="BodyText"/>
        <w:ind w:left="278"/>
      </w:pPr>
      <w:r>
        <w:rPr/>
        <w:t>4.500</w:t>
      </w:r>
      <w:r>
        <w:rPr>
          <w:spacing w:val="-1"/>
        </w:rPr>
        <w:t> </w:t>
      </w:r>
      <w:r>
        <w:rPr/>
        <w:t>personas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64</w:t>
      </w:r>
      <w:r>
        <w:rPr>
          <w:spacing w:val="-3"/>
        </w:rPr>
        <w:t> </w:t>
      </w:r>
      <w:r>
        <w:rPr/>
        <w:t>albergues, ocho</w:t>
      </w:r>
      <w:r>
        <w:rPr>
          <w:spacing w:val="-1"/>
        </w:rPr>
        <w:t> </w:t>
      </w:r>
      <w:r>
        <w:rPr/>
        <w:t>fallecidas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11.000</w:t>
      </w:r>
      <w:r>
        <w:rPr>
          <w:spacing w:val="-3"/>
        </w:rPr>
        <w:t> </w:t>
      </w:r>
      <w:r>
        <w:rPr/>
        <w:t>viviendas</w:t>
      </w:r>
      <w:r>
        <w:rPr>
          <w:spacing w:val="-1"/>
        </w:rPr>
        <w:t> </w:t>
      </w:r>
      <w:r>
        <w:rPr/>
        <w:t>dañadas.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278" w:right="1072"/>
        <w:jc w:val="both"/>
      </w:pPr>
      <w:r>
        <w:rPr/>
        <w:t>Por</w:t>
      </w:r>
      <w:r>
        <w:rPr>
          <w:spacing w:val="1"/>
        </w:rPr>
        <w:t> </w:t>
      </w:r>
      <w:r>
        <w:rPr/>
        <w:t>otra</w:t>
      </w:r>
      <w:r>
        <w:rPr>
          <w:spacing w:val="1"/>
        </w:rPr>
        <w:t> </w:t>
      </w:r>
      <w:r>
        <w:rPr/>
        <w:t>parte,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desbordamiento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ríos</w:t>
      </w:r>
      <w:r>
        <w:rPr>
          <w:spacing w:val="1"/>
        </w:rPr>
        <w:t> </w:t>
      </w:r>
      <w:r>
        <w:rPr/>
        <w:t>Motagua,</w:t>
      </w:r>
      <w:r>
        <w:rPr>
          <w:spacing w:val="1"/>
        </w:rPr>
        <w:t> </w:t>
      </w:r>
      <w:r>
        <w:rPr/>
        <w:t>Cahaboncito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afluentes</w:t>
      </w:r>
      <w:r>
        <w:rPr>
          <w:spacing w:val="1"/>
        </w:rPr>
        <w:t> </w:t>
      </w:r>
      <w:r>
        <w:rPr/>
        <w:t>principales,</w:t>
      </w:r>
      <w:r>
        <w:rPr>
          <w:spacing w:val="1"/>
        </w:rPr>
        <w:t> </w:t>
      </w:r>
      <w:r>
        <w:rPr/>
        <w:t>provocaron inundaciones de las comunidades de El Estor (casco urbano y lado sur del lago), Livingston,</w:t>
      </w:r>
      <w:r>
        <w:rPr>
          <w:spacing w:val="1"/>
        </w:rPr>
        <w:t> </w:t>
      </w:r>
      <w:r>
        <w:rPr/>
        <w:t>Morales</w:t>
      </w:r>
      <w:r>
        <w:rPr>
          <w:spacing w:val="1"/>
        </w:rPr>
        <w:t> </w:t>
      </w:r>
      <w:r>
        <w:rPr/>
        <w:t>(121</w:t>
      </w:r>
      <w:r>
        <w:rPr>
          <w:spacing w:val="1"/>
        </w:rPr>
        <w:t> </w:t>
      </w:r>
      <w:r>
        <w:rPr/>
        <w:t>comunidades</w:t>
      </w:r>
      <w:r>
        <w:rPr>
          <w:spacing w:val="1"/>
        </w:rPr>
        <w:t> </w:t>
      </w:r>
      <w:r>
        <w:rPr/>
        <w:t>incomunicadas)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Amates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inaccesibilidad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vías.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departamento de Alta Verapaz, las inundaciones fueron principalmente de dos tipos. Algunas fueron</w:t>
      </w:r>
      <w:r>
        <w:rPr>
          <w:spacing w:val="1"/>
        </w:rPr>
        <w:t> </w:t>
      </w:r>
      <w:r>
        <w:rPr/>
        <w:t>generadas por los grandes ríos y sus tributarios (por ejemplo, el río Cahabón afectó barrios urbanos de</w:t>
      </w:r>
      <w:r>
        <w:rPr>
          <w:spacing w:val="1"/>
        </w:rPr>
        <w:t> </w:t>
      </w:r>
      <w:r>
        <w:rPr/>
        <w:t>Cobán, San Pedro Carchá y San Juan Chamelco; el río Polochic afectó comunidades rurales de Santa</w:t>
      </w:r>
      <w:r>
        <w:rPr>
          <w:spacing w:val="1"/>
        </w:rPr>
        <w:t> </w:t>
      </w:r>
      <w:r>
        <w:rPr/>
        <w:t>Catarina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Tinta,</w:t>
      </w:r>
      <w:r>
        <w:rPr>
          <w:spacing w:val="-3"/>
        </w:rPr>
        <w:t> </w:t>
      </w:r>
      <w:r>
        <w:rPr/>
        <w:t>Telemán</w:t>
      </w:r>
      <w:r>
        <w:rPr>
          <w:spacing w:val="-6"/>
        </w:rPr>
        <w:t> </w:t>
      </w:r>
      <w:r>
        <w:rPr/>
        <w:t>y</w:t>
      </w:r>
      <w:r>
        <w:rPr>
          <w:spacing w:val="-1"/>
        </w:rPr>
        <w:t> </w:t>
      </w:r>
      <w:r>
        <w:rPr/>
        <w:t>Panzós).</w:t>
      </w:r>
      <w:r>
        <w:rPr>
          <w:spacing w:val="-2"/>
        </w:rPr>
        <w:t> </w:t>
      </w:r>
      <w:r>
        <w:rPr/>
        <w:t>Otras,</w:t>
      </w:r>
      <w:r>
        <w:rPr>
          <w:spacing w:val="-3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entre</w:t>
      </w:r>
      <w:r>
        <w:rPr>
          <w:spacing w:val="-1"/>
        </w:rPr>
        <w:t> </w:t>
      </w:r>
      <w:r>
        <w:rPr/>
        <w:t>Cobán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Chisec y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San</w:t>
      </w:r>
      <w:r>
        <w:rPr>
          <w:spacing w:val="-4"/>
        </w:rPr>
        <w:t> </w:t>
      </w:r>
      <w:r>
        <w:rPr/>
        <w:t>Pedro.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1"/>
        <w:ind w:left="278" w:right="1074"/>
        <w:jc w:val="both"/>
      </w:pPr>
      <w:r>
        <w:rPr/>
        <w:t>En contraste la CONRED, (2020) identificó como los departamentos más afectados con el paso de los</w:t>
      </w:r>
      <w:r>
        <w:rPr>
          <w:spacing w:val="1"/>
        </w:rPr>
        <w:t> </w:t>
      </w:r>
      <w:r>
        <w:rPr/>
        <w:t>huracanes Eta/Iota, a: Alta Verapaz, Baja Verapaz, Chiquimula, El Progreso, Quetzaltenango, Quiché,</w:t>
      </w:r>
      <w:r>
        <w:rPr>
          <w:spacing w:val="1"/>
        </w:rPr>
        <w:t> </w:t>
      </w:r>
      <w:r>
        <w:rPr/>
        <w:t>Zacapa,</w:t>
      </w:r>
      <w:r>
        <w:rPr>
          <w:spacing w:val="1"/>
        </w:rPr>
        <w:t> </w:t>
      </w:r>
      <w:r>
        <w:rPr/>
        <w:t>Huehuetenango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Guatemala.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mayoría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posee</w:t>
      </w:r>
      <w:r>
        <w:rPr>
          <w:spacing w:val="-47"/>
        </w:rPr>
        <w:t> </w:t>
      </w:r>
      <w:r>
        <w:rPr/>
        <w:t>problemas</w:t>
      </w:r>
      <w:r>
        <w:rPr>
          <w:spacing w:val="-1"/>
        </w:rPr>
        <w:t> </w:t>
      </w:r>
      <w:r>
        <w:rPr/>
        <w:t>asociados a la</w:t>
      </w:r>
      <w:r>
        <w:rPr>
          <w:spacing w:val="-3"/>
        </w:rPr>
        <w:t> </w:t>
      </w:r>
      <w:r>
        <w:rPr/>
        <w:t>Salud nutricional, por tanto,</w:t>
      </w:r>
      <w:r>
        <w:rPr>
          <w:spacing w:val="-2"/>
        </w:rPr>
        <w:t> </w:t>
      </w:r>
      <w:r>
        <w:rPr/>
        <w:t>integran</w:t>
      </w:r>
      <w:r>
        <w:rPr>
          <w:spacing w:val="-1"/>
        </w:rPr>
        <w:t> </w:t>
      </w:r>
      <w:r>
        <w:rPr/>
        <w:t>poblaciones</w:t>
      </w:r>
      <w:r>
        <w:rPr>
          <w:spacing w:val="-1"/>
        </w:rPr>
        <w:t> </w:t>
      </w:r>
      <w:r>
        <w:rPr/>
        <w:t>con</w:t>
      </w:r>
      <w:r>
        <w:rPr>
          <w:spacing w:val="-3"/>
        </w:rPr>
        <w:t> </w:t>
      </w:r>
      <w:r>
        <w:rPr/>
        <w:t>mayor</w:t>
      </w:r>
      <w:r>
        <w:rPr>
          <w:spacing w:val="-2"/>
        </w:rPr>
        <w:t> </w:t>
      </w:r>
      <w:r>
        <w:rPr/>
        <w:t>vulnerabilidad.</w:t>
      </w:r>
    </w:p>
    <w:p>
      <w:pPr>
        <w:pStyle w:val="BodyText"/>
        <w:spacing w:before="1"/>
      </w:pPr>
    </w:p>
    <w:p>
      <w:pPr>
        <w:pStyle w:val="BodyText"/>
        <w:ind w:left="278" w:right="1071"/>
        <w:jc w:val="both"/>
      </w:pPr>
      <w:r>
        <w:rPr/>
        <w:t>De acuerdo con CEPREDENAC 2020, al 14 de noviembre 2020 se reportaron: 17,321 personas en 132</w:t>
      </w:r>
      <w:r>
        <w:rPr>
          <w:spacing w:val="1"/>
        </w:rPr>
        <w:t> </w:t>
      </w:r>
      <w:r>
        <w:rPr/>
        <w:t>albergues</w:t>
      </w:r>
      <w:r>
        <w:rPr>
          <w:spacing w:val="-3"/>
        </w:rPr>
        <w:t> </w:t>
      </w:r>
      <w:r>
        <w:rPr/>
        <w:t>ubicados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departamentos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Alta</w:t>
      </w:r>
      <w:r>
        <w:rPr>
          <w:spacing w:val="-3"/>
        </w:rPr>
        <w:t> </w:t>
      </w:r>
      <w:r>
        <w:rPr/>
        <w:t>Verapaz,</w:t>
      </w:r>
      <w:r>
        <w:rPr>
          <w:spacing w:val="-3"/>
        </w:rPr>
        <w:t> </w:t>
      </w:r>
      <w:r>
        <w:rPr/>
        <w:t>Huehuetenango,</w:t>
      </w:r>
      <w:r>
        <w:rPr>
          <w:spacing w:val="-3"/>
        </w:rPr>
        <w:t> </w:t>
      </w:r>
      <w:r>
        <w:rPr/>
        <w:t>Quiché,</w:t>
      </w:r>
      <w:r>
        <w:rPr>
          <w:spacing w:val="-4"/>
        </w:rPr>
        <w:t> </w:t>
      </w:r>
      <w:r>
        <w:rPr/>
        <w:t>Jalapa,</w:t>
      </w:r>
      <w:r>
        <w:rPr>
          <w:spacing w:val="-3"/>
        </w:rPr>
        <w:t> </w:t>
      </w:r>
      <w:r>
        <w:rPr/>
        <w:t>Petén,</w:t>
      </w:r>
      <w:r>
        <w:rPr>
          <w:spacing w:val="-3"/>
        </w:rPr>
        <w:t> </w:t>
      </w:r>
      <w:r>
        <w:rPr/>
        <w:t>Izabal,</w:t>
      </w:r>
      <w:r>
        <w:rPr>
          <w:spacing w:val="-47"/>
        </w:rPr>
        <w:t> </w:t>
      </w:r>
      <w:r>
        <w:rPr/>
        <w:t>Zacapa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Chiquimula.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1"/>
        <w:jc w:val="both"/>
      </w:pPr>
      <w:r>
        <w:rPr/>
        <w:t>Según la CONRED (2020), al 02 de diciembre de 2020 el consolidado de incidentes por los fenómenos</w:t>
      </w:r>
      <w:r>
        <w:rPr>
          <w:spacing w:val="1"/>
        </w:rPr>
        <w:t> </w:t>
      </w:r>
      <w:r>
        <w:rPr/>
        <w:t>tropicales IOTA-ETA, generó las siguientes implicaciones 2,414,190 personas afectadas, de las cuales</w:t>
      </w:r>
      <w:r>
        <w:rPr>
          <w:spacing w:val="1"/>
        </w:rPr>
        <w:t> </w:t>
      </w:r>
      <w:r>
        <w:rPr/>
        <w:t>1,779,700 fueron damnificadas (por daños a viviendas 396,670 y daños a cultivos 1,383,130), y 32,105</w:t>
      </w:r>
      <w:r>
        <w:rPr>
          <w:spacing w:val="1"/>
        </w:rPr>
        <w:t> </w:t>
      </w:r>
      <w:r>
        <w:rPr/>
        <w:t>personas en riesgo. De ello, 308,834 personas fueron evacuadas, 30,602 personas en albergues oficiales.</w:t>
      </w:r>
      <w:r>
        <w:rPr>
          <w:spacing w:val="1"/>
        </w:rPr>
        <w:t> </w:t>
      </w:r>
      <w:r>
        <w:rPr/>
        <w:t>278,232</w:t>
      </w:r>
      <w:r>
        <w:rPr>
          <w:spacing w:val="-3"/>
        </w:rPr>
        <w:t> </w:t>
      </w:r>
      <w:r>
        <w:rPr/>
        <w:t>personas en</w:t>
      </w:r>
      <w:r>
        <w:rPr>
          <w:spacing w:val="-5"/>
        </w:rPr>
        <w:t> </w:t>
      </w:r>
      <w:r>
        <w:rPr/>
        <w:t>albergues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oficiales,</w:t>
      </w:r>
      <w:r>
        <w:rPr>
          <w:spacing w:val="-2"/>
        </w:rPr>
        <w:t> </w:t>
      </w:r>
      <w:r>
        <w:rPr/>
        <w:t>30 personas</w:t>
      </w:r>
      <w:r>
        <w:rPr>
          <w:spacing w:val="-1"/>
        </w:rPr>
        <w:t> </w:t>
      </w:r>
      <w:r>
        <w:rPr/>
        <w:t>heridas y</w:t>
      </w:r>
      <w:r>
        <w:rPr>
          <w:spacing w:val="-2"/>
        </w:rPr>
        <w:t> </w:t>
      </w:r>
      <w:r>
        <w:rPr/>
        <w:t>2,935</w:t>
      </w:r>
      <w:r>
        <w:rPr>
          <w:spacing w:val="-1"/>
        </w:rPr>
        <w:t> </w:t>
      </w:r>
      <w:r>
        <w:rPr/>
        <w:t>incidentes.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  <w:r>
        <w:rPr/>
        <w:pict>
          <v:rect style="position:absolute;margin-left:563.880005pt;margin-top:19.173454pt;width:25.44pt;height:1.4399pt;mso-position-horizontal-relative:page;mso-position-vertical-relative:paragraph;z-index:-1547878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123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6409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5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1"/>
        <w:jc w:val="both"/>
      </w:pPr>
      <w:r>
        <w:rPr/>
        <w:t>Adicionalmente ONU/Mujeres (2020), señala que las depresiones tropicales causaron inundaciones y</w:t>
      </w:r>
      <w:r>
        <w:rPr>
          <w:spacing w:val="1"/>
        </w:rPr>
        <w:t> </w:t>
      </w:r>
      <w:r>
        <w:rPr/>
        <w:t>deslizamientos de gran impacto. Por ejemplo: la aldea Quejá en San Cristóbal Verapaz, fue soterrada</w:t>
      </w:r>
      <w:r>
        <w:rPr>
          <w:spacing w:val="1"/>
        </w:rPr>
        <w:t> </w:t>
      </w:r>
      <w:r>
        <w:rPr/>
        <w:t>completamente,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Cunén,</w:t>
      </w:r>
      <w:r>
        <w:rPr>
          <w:spacing w:val="1"/>
        </w:rPr>
        <w:t> </w:t>
      </w:r>
      <w:r>
        <w:rPr/>
        <w:t>Quiché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/>
        <w:t>Pedro</w:t>
      </w:r>
      <w:r>
        <w:rPr>
          <w:spacing w:val="1"/>
        </w:rPr>
        <w:t> </w:t>
      </w:r>
      <w:r>
        <w:rPr/>
        <w:t>Soloma,</w:t>
      </w:r>
      <w:r>
        <w:rPr>
          <w:spacing w:val="1"/>
        </w:rPr>
        <w:t> </w:t>
      </w:r>
      <w:r>
        <w:rPr/>
        <w:t>Huehuetenango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deslizamientos</w:t>
      </w:r>
      <w:r>
        <w:rPr>
          <w:spacing w:val="-3"/>
        </w:rPr>
        <w:t> </w:t>
      </w:r>
      <w:r>
        <w:rPr/>
        <w:t>causaron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destrucción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varias</w:t>
      </w:r>
      <w:r>
        <w:rPr>
          <w:spacing w:val="-6"/>
        </w:rPr>
        <w:t> </w:t>
      </w:r>
      <w:r>
        <w:rPr/>
        <w:t>viviendas.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este</w:t>
      </w:r>
      <w:r>
        <w:rPr>
          <w:spacing w:val="-2"/>
        </w:rPr>
        <w:t> </w:t>
      </w:r>
      <w:r>
        <w:rPr/>
        <w:t>marco,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habilitaron</w:t>
      </w:r>
      <w:r>
        <w:rPr>
          <w:spacing w:val="-3"/>
        </w:rPr>
        <w:t> </w:t>
      </w:r>
      <w:r>
        <w:rPr/>
        <w:t>albergues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48"/>
        </w:rPr>
        <w:t> </w:t>
      </w:r>
      <w:r>
        <w:rPr>
          <w:spacing w:val="-1"/>
        </w:rPr>
        <w:t>departamentos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Huehuetenango,</w:t>
      </w:r>
      <w:r>
        <w:rPr>
          <w:spacing w:val="-11"/>
        </w:rPr>
        <w:t> </w:t>
      </w:r>
      <w:r>
        <w:rPr/>
        <w:t>Quiché,</w:t>
      </w:r>
      <w:r>
        <w:rPr>
          <w:spacing w:val="-12"/>
        </w:rPr>
        <w:t> </w:t>
      </w:r>
      <w:r>
        <w:rPr/>
        <w:t>Alta</w:t>
      </w:r>
      <w:r>
        <w:rPr>
          <w:spacing w:val="-11"/>
        </w:rPr>
        <w:t> </w:t>
      </w:r>
      <w:r>
        <w:rPr/>
        <w:t>Verapaz,</w:t>
      </w:r>
      <w:r>
        <w:rPr>
          <w:spacing w:val="-11"/>
        </w:rPr>
        <w:t> </w:t>
      </w:r>
      <w:r>
        <w:rPr/>
        <w:t>Petén,</w:t>
      </w:r>
      <w:r>
        <w:rPr>
          <w:spacing w:val="-12"/>
        </w:rPr>
        <w:t> </w:t>
      </w:r>
      <w:r>
        <w:rPr/>
        <w:t>Izabal,</w:t>
      </w:r>
      <w:r>
        <w:rPr>
          <w:spacing w:val="-11"/>
        </w:rPr>
        <w:t> </w:t>
      </w:r>
      <w:r>
        <w:rPr/>
        <w:t>Zacapa,</w:t>
      </w:r>
      <w:r>
        <w:rPr>
          <w:spacing w:val="-12"/>
        </w:rPr>
        <w:t> </w:t>
      </w:r>
      <w:r>
        <w:rPr/>
        <w:t>Chiquimula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Jalapa.</w:t>
      </w:r>
      <w:r>
        <w:rPr>
          <w:spacing w:val="-11"/>
        </w:rPr>
        <w:t> </w:t>
      </w:r>
      <w:r>
        <w:rPr/>
        <w:t>Estos</w:t>
      </w:r>
      <w:r>
        <w:rPr>
          <w:spacing w:val="-48"/>
        </w:rPr>
        <w:t> </w:t>
      </w:r>
      <w:r>
        <w:rPr/>
        <w:t>departamentos son diversos tanto en su composición según pueblo de pertenencia como en el área</w:t>
      </w:r>
      <w:r>
        <w:rPr>
          <w:spacing w:val="1"/>
        </w:rPr>
        <w:t> </w:t>
      </w:r>
      <w:r>
        <w:rPr/>
        <w:t>geográfica</w:t>
      </w:r>
      <w:r>
        <w:rPr>
          <w:spacing w:val="-3"/>
        </w:rPr>
        <w:t> </w:t>
      </w:r>
      <w:r>
        <w:rPr/>
        <w:t>en la que</w:t>
      </w:r>
      <w:r>
        <w:rPr>
          <w:spacing w:val="-2"/>
        </w:rPr>
        <w:t> </w:t>
      </w:r>
      <w:r>
        <w:rPr/>
        <w:t>se</w:t>
      </w:r>
      <w:r>
        <w:rPr>
          <w:spacing w:val="1"/>
        </w:rPr>
        <w:t> </w:t>
      </w:r>
      <w:r>
        <w:rPr/>
        <w:t>ubican.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78" w:right="1072"/>
        <w:jc w:val="both"/>
      </w:pPr>
      <w:r>
        <w:rPr/>
        <w:t>A pesar de que los eventos de Eta y Iota han afectado a todo el país, los informes de situación de la</w:t>
      </w:r>
      <w:r>
        <w:rPr>
          <w:spacing w:val="1"/>
        </w:rPr>
        <w:t> </w:t>
      </w:r>
      <w:r>
        <w:rPr/>
        <w:t>Coordinadora Nacional para la Reducción de Desastres (CONRED) indican que el departamento de Alta</w:t>
      </w:r>
      <w:r>
        <w:rPr>
          <w:spacing w:val="1"/>
        </w:rPr>
        <w:t> </w:t>
      </w:r>
      <w:r>
        <w:rPr/>
        <w:t>Verapaz fue el más afectado, seguido por los departamentos de Izabal, Quiché, Huehuetenango, Petén,</w:t>
      </w:r>
      <w:r>
        <w:rPr>
          <w:spacing w:val="1"/>
        </w:rPr>
        <w:t> </w:t>
      </w:r>
      <w:r>
        <w:rPr/>
        <w:t>Zacapa y Chiquimula. En función de lo anterior se ha realizado una evaluación demográfica para analizar</w:t>
      </w:r>
      <w:r>
        <w:rPr>
          <w:spacing w:val="1"/>
        </w:rPr>
        <w:t> </w:t>
      </w:r>
      <w:r>
        <w:rPr/>
        <w:t>de acuerdo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estos</w:t>
      </w:r>
      <w:r>
        <w:rPr>
          <w:spacing w:val="-3"/>
        </w:rPr>
        <w:t> </w:t>
      </w:r>
      <w:r>
        <w:rPr/>
        <w:t>datos, y</w:t>
      </w:r>
      <w:r>
        <w:rPr>
          <w:spacing w:val="1"/>
        </w:rPr>
        <w:t> </w:t>
      </w:r>
      <w:r>
        <w:rPr/>
        <w:t>contrastar los resultados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78"/>
        <w:jc w:val="both"/>
      </w:pPr>
      <w:r>
        <w:rPr/>
        <w:t>Tabla</w:t>
      </w:r>
      <w:r>
        <w:rPr>
          <w:spacing w:val="-2"/>
        </w:rPr>
        <w:t> </w:t>
      </w:r>
      <w:r>
        <w:rPr/>
        <w:t>Nº.</w:t>
      </w:r>
      <w:r>
        <w:rPr>
          <w:spacing w:val="-1"/>
        </w:rPr>
        <w:t> </w:t>
      </w:r>
      <w:r>
        <w:rPr/>
        <w:t>Características</w:t>
      </w:r>
      <w:r>
        <w:rPr>
          <w:spacing w:val="-1"/>
        </w:rPr>
        <w:t> </w:t>
      </w:r>
      <w:r>
        <w:rPr/>
        <w:t>sociodemográficas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5"/>
        </w:rPr>
        <w:t> </w:t>
      </w:r>
      <w:r>
        <w:rPr/>
        <w:t>departamentos</w:t>
      </w:r>
      <w:r>
        <w:rPr>
          <w:spacing w:val="-1"/>
        </w:rPr>
        <w:t> </w:t>
      </w:r>
      <w:r>
        <w:rPr/>
        <w:t>afectados</w:t>
      </w:r>
      <w:r>
        <w:rPr>
          <w:spacing w:val="-1"/>
        </w:rPr>
        <w:t> </w:t>
      </w:r>
      <w:r>
        <w:rPr/>
        <w:t>por</w:t>
      </w:r>
      <w:r>
        <w:rPr>
          <w:spacing w:val="-6"/>
        </w:rPr>
        <w:t> </w:t>
      </w:r>
      <w:r>
        <w:rPr/>
        <w:t>Eta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Iota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28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5"/>
        <w:gridCol w:w="2867"/>
        <w:gridCol w:w="685"/>
        <w:gridCol w:w="942"/>
        <w:gridCol w:w="666"/>
        <w:gridCol w:w="674"/>
        <w:gridCol w:w="1883"/>
      </w:tblGrid>
      <w:tr>
        <w:trPr>
          <w:trHeight w:val="726" w:hRule="atLeast"/>
        </w:trPr>
        <w:tc>
          <w:tcPr>
            <w:tcW w:w="1685" w:type="dxa"/>
            <w:tcBorders>
              <w:right w:val="nil"/>
            </w:tcBorders>
            <w:shd w:val="clear" w:color="auto" w:fill="5B9B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67" w:type="dxa"/>
            <w:tcBorders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"/>
              <w:ind w:left="1171" w:right="319" w:hanging="83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Proyecciones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Población</w:t>
            </w:r>
            <w:r>
              <w:rPr>
                <w:b/>
                <w:color w:val="FFFFFF"/>
                <w:spacing w:val="-4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(2020)</w:t>
            </w:r>
          </w:p>
        </w:tc>
        <w:tc>
          <w:tcPr>
            <w:tcW w:w="685" w:type="dxa"/>
            <w:tcBorders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Maya</w:t>
            </w:r>
          </w:p>
        </w:tc>
        <w:tc>
          <w:tcPr>
            <w:tcW w:w="942" w:type="dxa"/>
            <w:tcBorders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Garífuna</w:t>
            </w:r>
          </w:p>
        </w:tc>
        <w:tc>
          <w:tcPr>
            <w:tcW w:w="666" w:type="dxa"/>
            <w:tcBorders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Xinca</w:t>
            </w:r>
          </w:p>
        </w:tc>
        <w:tc>
          <w:tcPr>
            <w:tcW w:w="674" w:type="dxa"/>
            <w:tcBorders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"/>
              <w:ind w:right="10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Otras</w:t>
            </w:r>
          </w:p>
        </w:tc>
        <w:tc>
          <w:tcPr>
            <w:tcW w:w="1883" w:type="dxa"/>
            <w:tcBorders>
              <w:left w:val="nil"/>
              <w:right w:val="single" w:sz="6" w:space="0" w:color="FFFFFF"/>
            </w:tcBorders>
            <w:shd w:val="clear" w:color="auto" w:fill="5B9BD4"/>
          </w:tcPr>
          <w:p>
            <w:pPr>
              <w:pStyle w:val="TableParagraph"/>
              <w:spacing w:before="1"/>
              <w:ind w:left="594" w:right="424" w:hanging="161"/>
              <w:rPr>
                <w:b/>
                <w:sz w:val="20"/>
              </w:rPr>
            </w:pPr>
            <w:r>
              <w:rPr>
                <w:b/>
                <w:color w:val="FFFFFF"/>
                <w:spacing w:val="-1"/>
                <w:sz w:val="20"/>
              </w:rPr>
              <w:t>% población</w:t>
            </w:r>
            <w:r>
              <w:rPr>
                <w:b/>
                <w:color w:val="FFFFFF"/>
                <w:spacing w:val="-4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alfabeta</w:t>
            </w:r>
          </w:p>
        </w:tc>
      </w:tr>
      <w:tr>
        <w:trPr>
          <w:trHeight w:val="508" w:hRule="atLeast"/>
        </w:trPr>
        <w:tc>
          <w:tcPr>
            <w:tcW w:w="1685" w:type="dxa"/>
            <w:shd w:val="clear" w:color="auto" w:fill="5B9BD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país</w:t>
            </w:r>
          </w:p>
        </w:tc>
        <w:tc>
          <w:tcPr>
            <w:tcW w:w="2867" w:type="dxa"/>
            <w:tcBorders>
              <w:right w:val="single" w:sz="6" w:space="0" w:color="FFFFFF"/>
            </w:tcBorders>
            <w:shd w:val="clear" w:color="auto" w:fill="BCD5ED"/>
          </w:tcPr>
          <w:p>
            <w:pPr>
              <w:pStyle w:val="TableParagraph"/>
              <w:spacing w:before="1"/>
              <w:ind w:left="910" w:right="901"/>
              <w:jc w:val="center"/>
              <w:rPr>
                <w:sz w:val="22"/>
              </w:rPr>
            </w:pPr>
            <w:r>
              <w:rPr>
                <w:sz w:val="22"/>
              </w:rPr>
              <w:t>16,858,333</w:t>
            </w:r>
          </w:p>
        </w:tc>
        <w:tc>
          <w:tcPr>
            <w:tcW w:w="685" w:type="dxa"/>
            <w:tcBorders>
              <w:left w:val="single" w:sz="6" w:space="0" w:color="FFFFFF"/>
            </w:tcBorders>
            <w:shd w:val="clear" w:color="auto" w:fill="BCD5ED"/>
          </w:tcPr>
          <w:p>
            <w:pPr>
              <w:pStyle w:val="TableParagraph"/>
              <w:spacing w:before="1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41.7</w:t>
            </w:r>
          </w:p>
        </w:tc>
        <w:tc>
          <w:tcPr>
            <w:tcW w:w="942" w:type="dxa"/>
            <w:shd w:val="clear" w:color="auto" w:fill="BCD5ED"/>
          </w:tcPr>
          <w:p>
            <w:pPr>
              <w:pStyle w:val="TableParagraph"/>
              <w:spacing w:before="1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666" w:type="dxa"/>
            <w:shd w:val="clear" w:color="auto" w:fill="BCD5ED"/>
          </w:tcPr>
          <w:p>
            <w:pPr>
              <w:pStyle w:val="TableParagraph"/>
              <w:spacing w:before="1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1.8</w:t>
            </w:r>
          </w:p>
        </w:tc>
        <w:tc>
          <w:tcPr>
            <w:tcW w:w="674" w:type="dxa"/>
            <w:shd w:val="clear" w:color="auto" w:fill="BCD5ED"/>
          </w:tcPr>
          <w:p>
            <w:pPr>
              <w:pStyle w:val="TableParagraph"/>
              <w:spacing w:before="1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56.4</w:t>
            </w:r>
          </w:p>
        </w:tc>
        <w:tc>
          <w:tcPr>
            <w:tcW w:w="1883" w:type="dxa"/>
            <w:tcBorders>
              <w:right w:val="single" w:sz="6" w:space="0" w:color="FFFFFF"/>
            </w:tcBorders>
            <w:shd w:val="clear" w:color="auto" w:fill="BCD5ED"/>
          </w:tcPr>
          <w:p>
            <w:pPr>
              <w:pStyle w:val="TableParagraph"/>
              <w:spacing w:before="1"/>
              <w:ind w:left="719" w:right="720"/>
              <w:jc w:val="center"/>
              <w:rPr>
                <w:sz w:val="22"/>
              </w:rPr>
            </w:pPr>
            <w:r>
              <w:rPr>
                <w:sz w:val="22"/>
              </w:rPr>
              <w:t>80.8</w:t>
            </w:r>
          </w:p>
        </w:tc>
      </w:tr>
      <w:tr>
        <w:trPr>
          <w:trHeight w:val="510" w:hRule="atLeast"/>
        </w:trPr>
        <w:tc>
          <w:tcPr>
            <w:tcW w:w="1685" w:type="dxa"/>
            <w:shd w:val="clear" w:color="auto" w:fill="5B9BD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Huehuetenango</w:t>
            </w:r>
          </w:p>
        </w:tc>
        <w:tc>
          <w:tcPr>
            <w:tcW w:w="2867" w:type="dxa"/>
            <w:tcBorders>
              <w:right w:val="single" w:sz="6" w:space="0" w:color="FFFFFF"/>
            </w:tcBorders>
            <w:shd w:val="clear" w:color="auto" w:fill="DEEAF6"/>
          </w:tcPr>
          <w:p>
            <w:pPr>
              <w:pStyle w:val="TableParagraph"/>
              <w:spacing w:before="1"/>
              <w:ind w:left="910" w:right="901"/>
              <w:jc w:val="center"/>
              <w:rPr>
                <w:sz w:val="22"/>
              </w:rPr>
            </w:pPr>
            <w:r>
              <w:rPr>
                <w:sz w:val="22"/>
              </w:rPr>
              <w:t>1,371,676</w:t>
            </w:r>
          </w:p>
        </w:tc>
        <w:tc>
          <w:tcPr>
            <w:tcW w:w="685" w:type="dxa"/>
            <w:tcBorders>
              <w:left w:val="single" w:sz="6" w:space="0" w:color="FFFFFF"/>
            </w:tcBorders>
            <w:shd w:val="clear" w:color="auto" w:fill="DEEAF6"/>
          </w:tcPr>
          <w:p>
            <w:pPr>
              <w:pStyle w:val="TableParagraph"/>
              <w:spacing w:before="1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65.0</w:t>
            </w:r>
          </w:p>
        </w:tc>
        <w:tc>
          <w:tcPr>
            <w:tcW w:w="942" w:type="dxa"/>
            <w:shd w:val="clear" w:color="auto" w:fill="DEEAF6"/>
          </w:tcPr>
          <w:p>
            <w:pPr>
              <w:pStyle w:val="TableParagraph"/>
              <w:spacing w:before="1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666" w:type="dxa"/>
            <w:shd w:val="clear" w:color="auto" w:fill="DEEAF6"/>
          </w:tcPr>
          <w:p>
            <w:pPr>
              <w:pStyle w:val="TableParagraph"/>
              <w:spacing w:before="1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674" w:type="dxa"/>
            <w:shd w:val="clear" w:color="auto" w:fill="DEEAF6"/>
          </w:tcPr>
          <w:p>
            <w:pPr>
              <w:pStyle w:val="TableParagraph"/>
              <w:spacing w:before="1"/>
              <w:ind w:right="99"/>
              <w:jc w:val="right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883" w:type="dxa"/>
            <w:tcBorders>
              <w:right w:val="single" w:sz="6" w:space="0" w:color="FFFFFF"/>
            </w:tcBorders>
            <w:shd w:val="clear" w:color="auto" w:fill="DEEAF6"/>
          </w:tcPr>
          <w:p>
            <w:pPr>
              <w:pStyle w:val="TableParagraph"/>
              <w:spacing w:before="1"/>
              <w:ind w:left="719" w:right="720"/>
              <w:jc w:val="center"/>
              <w:rPr>
                <w:sz w:val="22"/>
              </w:rPr>
            </w:pPr>
            <w:r>
              <w:rPr>
                <w:sz w:val="22"/>
              </w:rPr>
              <w:t>70.6</w:t>
            </w:r>
          </w:p>
        </w:tc>
      </w:tr>
      <w:tr>
        <w:trPr>
          <w:trHeight w:val="508" w:hRule="atLeast"/>
        </w:trPr>
        <w:tc>
          <w:tcPr>
            <w:tcW w:w="1685" w:type="dxa"/>
            <w:shd w:val="clear" w:color="auto" w:fill="5B9BD4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Quiché</w:t>
            </w:r>
          </w:p>
        </w:tc>
        <w:tc>
          <w:tcPr>
            <w:tcW w:w="2867" w:type="dxa"/>
            <w:tcBorders>
              <w:right w:val="single" w:sz="6" w:space="0" w:color="FFFFFF"/>
            </w:tcBorders>
            <w:shd w:val="clear" w:color="auto" w:fill="BCD5ED"/>
          </w:tcPr>
          <w:p>
            <w:pPr>
              <w:pStyle w:val="TableParagraph"/>
              <w:spacing w:line="268" w:lineRule="exact"/>
              <w:ind w:left="910" w:right="901"/>
              <w:jc w:val="center"/>
              <w:rPr>
                <w:sz w:val="22"/>
              </w:rPr>
            </w:pPr>
            <w:r>
              <w:rPr>
                <w:sz w:val="22"/>
              </w:rPr>
              <w:t>1,062,897</w:t>
            </w:r>
          </w:p>
        </w:tc>
        <w:tc>
          <w:tcPr>
            <w:tcW w:w="685" w:type="dxa"/>
            <w:tcBorders>
              <w:left w:val="single" w:sz="6" w:space="0" w:color="FFFFFF"/>
            </w:tcBorders>
            <w:shd w:val="clear" w:color="auto" w:fill="BCD5ED"/>
          </w:tcPr>
          <w:p>
            <w:pPr>
              <w:pStyle w:val="TableParagraph"/>
              <w:spacing w:line="268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89.2</w:t>
            </w:r>
          </w:p>
        </w:tc>
        <w:tc>
          <w:tcPr>
            <w:tcW w:w="942" w:type="dxa"/>
            <w:shd w:val="clear" w:color="auto" w:fill="BCD5ED"/>
          </w:tcPr>
          <w:p>
            <w:pPr>
              <w:pStyle w:val="TableParagraph"/>
              <w:spacing w:line="268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666" w:type="dxa"/>
            <w:shd w:val="clear" w:color="auto" w:fill="BCD5ED"/>
          </w:tcPr>
          <w:p>
            <w:pPr>
              <w:pStyle w:val="TableParagraph"/>
              <w:spacing w:line="268" w:lineRule="exact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674" w:type="dxa"/>
            <w:shd w:val="clear" w:color="auto" w:fill="BCD5ED"/>
          </w:tcPr>
          <w:p>
            <w:pPr>
              <w:pStyle w:val="TableParagraph"/>
              <w:spacing w:line="268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10.8</w:t>
            </w:r>
          </w:p>
        </w:tc>
        <w:tc>
          <w:tcPr>
            <w:tcW w:w="1883" w:type="dxa"/>
            <w:tcBorders>
              <w:right w:val="single" w:sz="6" w:space="0" w:color="FFFFFF"/>
            </w:tcBorders>
            <w:shd w:val="clear" w:color="auto" w:fill="BCD5ED"/>
          </w:tcPr>
          <w:p>
            <w:pPr>
              <w:pStyle w:val="TableParagraph"/>
              <w:spacing w:line="268" w:lineRule="exact"/>
              <w:ind w:left="719" w:right="720"/>
              <w:jc w:val="center"/>
              <w:rPr>
                <w:sz w:val="22"/>
              </w:rPr>
            </w:pPr>
            <w:r>
              <w:rPr>
                <w:sz w:val="22"/>
              </w:rPr>
              <w:t>64.5</w:t>
            </w:r>
          </w:p>
        </w:tc>
      </w:tr>
      <w:tr>
        <w:trPr>
          <w:trHeight w:val="508" w:hRule="atLeast"/>
        </w:trPr>
        <w:tc>
          <w:tcPr>
            <w:tcW w:w="1685" w:type="dxa"/>
            <w:shd w:val="clear" w:color="auto" w:fill="5B9BD4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Alta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Verapaz</w:t>
            </w:r>
          </w:p>
        </w:tc>
        <w:tc>
          <w:tcPr>
            <w:tcW w:w="2867" w:type="dxa"/>
            <w:tcBorders>
              <w:right w:val="single" w:sz="6" w:space="0" w:color="FFFFFF"/>
            </w:tcBorders>
            <w:shd w:val="clear" w:color="auto" w:fill="DEEAF6"/>
          </w:tcPr>
          <w:p>
            <w:pPr>
              <w:pStyle w:val="TableParagraph"/>
              <w:spacing w:line="268" w:lineRule="exact"/>
              <w:ind w:left="910" w:right="898"/>
              <w:jc w:val="center"/>
              <w:rPr>
                <w:sz w:val="22"/>
              </w:rPr>
            </w:pPr>
            <w:r>
              <w:rPr>
                <w:sz w:val="22"/>
              </w:rPr>
              <w:t>613,476</w:t>
            </w:r>
          </w:p>
        </w:tc>
        <w:tc>
          <w:tcPr>
            <w:tcW w:w="685" w:type="dxa"/>
            <w:tcBorders>
              <w:left w:val="single" w:sz="6" w:space="0" w:color="FFFFFF"/>
            </w:tcBorders>
            <w:shd w:val="clear" w:color="auto" w:fill="DEEAF6"/>
          </w:tcPr>
          <w:p>
            <w:pPr>
              <w:pStyle w:val="TableParagraph"/>
              <w:spacing w:line="268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92.9</w:t>
            </w:r>
          </w:p>
        </w:tc>
        <w:tc>
          <w:tcPr>
            <w:tcW w:w="942" w:type="dxa"/>
            <w:shd w:val="clear" w:color="auto" w:fill="DEEAF6"/>
          </w:tcPr>
          <w:p>
            <w:pPr>
              <w:pStyle w:val="TableParagraph"/>
              <w:spacing w:line="268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666" w:type="dxa"/>
            <w:shd w:val="clear" w:color="auto" w:fill="DEEAF6"/>
          </w:tcPr>
          <w:p>
            <w:pPr>
              <w:pStyle w:val="TableParagraph"/>
              <w:spacing w:line="268" w:lineRule="exact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674" w:type="dxa"/>
            <w:shd w:val="clear" w:color="auto" w:fill="DEEAF6"/>
          </w:tcPr>
          <w:p>
            <w:pPr>
              <w:pStyle w:val="TableParagraph"/>
              <w:spacing w:line="268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7.0</w:t>
            </w:r>
          </w:p>
        </w:tc>
        <w:tc>
          <w:tcPr>
            <w:tcW w:w="1883" w:type="dxa"/>
            <w:tcBorders>
              <w:right w:val="single" w:sz="6" w:space="0" w:color="FFFFFF"/>
            </w:tcBorders>
            <w:shd w:val="clear" w:color="auto" w:fill="DEEAF6"/>
          </w:tcPr>
          <w:p>
            <w:pPr>
              <w:pStyle w:val="TableParagraph"/>
              <w:spacing w:line="268" w:lineRule="exact"/>
              <w:ind w:left="719" w:right="720"/>
              <w:jc w:val="center"/>
              <w:rPr>
                <w:sz w:val="22"/>
              </w:rPr>
            </w:pPr>
            <w:r>
              <w:rPr>
                <w:sz w:val="22"/>
              </w:rPr>
              <w:t>66.2</w:t>
            </w:r>
          </w:p>
        </w:tc>
      </w:tr>
      <w:tr>
        <w:trPr>
          <w:trHeight w:val="508" w:hRule="atLeast"/>
        </w:trPr>
        <w:tc>
          <w:tcPr>
            <w:tcW w:w="1685" w:type="dxa"/>
            <w:shd w:val="clear" w:color="auto" w:fill="5B9BD4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Izabal</w:t>
            </w:r>
          </w:p>
        </w:tc>
        <w:tc>
          <w:tcPr>
            <w:tcW w:w="2867" w:type="dxa"/>
            <w:tcBorders>
              <w:right w:val="single" w:sz="6" w:space="0" w:color="FFFFFF"/>
            </w:tcBorders>
            <w:shd w:val="clear" w:color="auto" w:fill="BCD5ED"/>
          </w:tcPr>
          <w:p>
            <w:pPr>
              <w:pStyle w:val="TableParagraph"/>
              <w:spacing w:line="268" w:lineRule="exact"/>
              <w:ind w:left="910" w:right="898"/>
              <w:jc w:val="center"/>
              <w:rPr>
                <w:sz w:val="22"/>
              </w:rPr>
            </w:pPr>
            <w:r>
              <w:rPr>
                <w:sz w:val="22"/>
              </w:rPr>
              <w:t>440,495</w:t>
            </w:r>
          </w:p>
        </w:tc>
        <w:tc>
          <w:tcPr>
            <w:tcW w:w="685" w:type="dxa"/>
            <w:tcBorders>
              <w:left w:val="single" w:sz="6" w:space="0" w:color="FFFFFF"/>
            </w:tcBorders>
            <w:shd w:val="clear" w:color="auto" w:fill="BCD5ED"/>
          </w:tcPr>
          <w:p>
            <w:pPr>
              <w:pStyle w:val="TableParagraph"/>
              <w:spacing w:line="268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30.2</w:t>
            </w:r>
          </w:p>
        </w:tc>
        <w:tc>
          <w:tcPr>
            <w:tcW w:w="942" w:type="dxa"/>
            <w:shd w:val="clear" w:color="auto" w:fill="BCD5ED"/>
          </w:tcPr>
          <w:p>
            <w:pPr>
              <w:pStyle w:val="TableParagraph"/>
              <w:spacing w:line="268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0.7</w:t>
            </w:r>
          </w:p>
        </w:tc>
        <w:tc>
          <w:tcPr>
            <w:tcW w:w="666" w:type="dxa"/>
            <w:shd w:val="clear" w:color="auto" w:fill="BCD5ED"/>
          </w:tcPr>
          <w:p>
            <w:pPr>
              <w:pStyle w:val="TableParagraph"/>
              <w:spacing w:line="268" w:lineRule="exact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674" w:type="dxa"/>
            <w:shd w:val="clear" w:color="auto" w:fill="BCD5ED"/>
          </w:tcPr>
          <w:p>
            <w:pPr>
              <w:pStyle w:val="TableParagraph"/>
              <w:spacing w:line="268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69.7</w:t>
            </w:r>
          </w:p>
        </w:tc>
        <w:tc>
          <w:tcPr>
            <w:tcW w:w="1883" w:type="dxa"/>
            <w:tcBorders>
              <w:right w:val="single" w:sz="6" w:space="0" w:color="FFFFFF"/>
            </w:tcBorders>
            <w:shd w:val="clear" w:color="auto" w:fill="BCD5ED"/>
          </w:tcPr>
          <w:p>
            <w:pPr>
              <w:pStyle w:val="TableParagraph"/>
              <w:spacing w:line="268" w:lineRule="exact"/>
              <w:ind w:left="719" w:right="720"/>
              <w:jc w:val="center"/>
              <w:rPr>
                <w:sz w:val="22"/>
              </w:rPr>
            </w:pPr>
            <w:r>
              <w:rPr>
                <w:sz w:val="22"/>
              </w:rPr>
              <w:t>78.1</w:t>
            </w:r>
          </w:p>
        </w:tc>
      </w:tr>
      <w:tr>
        <w:trPr>
          <w:trHeight w:val="508" w:hRule="atLeast"/>
        </w:trPr>
        <w:tc>
          <w:tcPr>
            <w:tcW w:w="1685" w:type="dxa"/>
            <w:shd w:val="clear" w:color="auto" w:fill="5B9BD4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Zacapa</w:t>
            </w:r>
          </w:p>
        </w:tc>
        <w:tc>
          <w:tcPr>
            <w:tcW w:w="2867" w:type="dxa"/>
            <w:tcBorders>
              <w:right w:val="single" w:sz="6" w:space="0" w:color="FFFFFF"/>
            </w:tcBorders>
            <w:shd w:val="clear" w:color="auto" w:fill="DEEAF6"/>
          </w:tcPr>
          <w:p>
            <w:pPr>
              <w:pStyle w:val="TableParagraph"/>
              <w:spacing w:line="268" w:lineRule="exact"/>
              <w:ind w:left="910" w:right="898"/>
              <w:jc w:val="center"/>
              <w:rPr>
                <w:sz w:val="22"/>
              </w:rPr>
            </w:pPr>
            <w:r>
              <w:rPr>
                <w:sz w:val="22"/>
              </w:rPr>
              <w:t>267,718</w:t>
            </w:r>
          </w:p>
        </w:tc>
        <w:tc>
          <w:tcPr>
            <w:tcW w:w="685" w:type="dxa"/>
            <w:tcBorders>
              <w:left w:val="single" w:sz="6" w:space="0" w:color="FFFFFF"/>
            </w:tcBorders>
            <w:shd w:val="clear" w:color="auto" w:fill="DEEAF6"/>
          </w:tcPr>
          <w:p>
            <w:pPr>
              <w:pStyle w:val="TableParagraph"/>
              <w:spacing w:line="268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28.2</w:t>
            </w:r>
          </w:p>
        </w:tc>
        <w:tc>
          <w:tcPr>
            <w:tcW w:w="942" w:type="dxa"/>
            <w:shd w:val="clear" w:color="auto" w:fill="DEEAF6"/>
          </w:tcPr>
          <w:p>
            <w:pPr>
              <w:pStyle w:val="TableParagraph"/>
              <w:spacing w:line="268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666" w:type="dxa"/>
            <w:shd w:val="clear" w:color="auto" w:fill="DEEAF6"/>
          </w:tcPr>
          <w:p>
            <w:pPr>
              <w:pStyle w:val="TableParagraph"/>
              <w:spacing w:line="268" w:lineRule="exact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674" w:type="dxa"/>
            <w:shd w:val="clear" w:color="auto" w:fill="DEEAF6"/>
          </w:tcPr>
          <w:p>
            <w:pPr>
              <w:pStyle w:val="TableParagraph"/>
              <w:spacing w:line="268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71.0</w:t>
            </w:r>
          </w:p>
        </w:tc>
        <w:tc>
          <w:tcPr>
            <w:tcW w:w="1883" w:type="dxa"/>
            <w:tcBorders>
              <w:right w:val="single" w:sz="6" w:space="0" w:color="FFFFFF"/>
            </w:tcBorders>
            <w:shd w:val="clear" w:color="auto" w:fill="DEEAF6"/>
          </w:tcPr>
          <w:p>
            <w:pPr>
              <w:pStyle w:val="TableParagraph"/>
              <w:spacing w:line="268" w:lineRule="exact"/>
              <w:ind w:left="719" w:right="720"/>
              <w:jc w:val="center"/>
              <w:rPr>
                <w:sz w:val="22"/>
              </w:rPr>
            </w:pPr>
            <w:r>
              <w:rPr>
                <w:sz w:val="22"/>
              </w:rPr>
              <w:t>81.4</w:t>
            </w:r>
          </w:p>
        </w:tc>
      </w:tr>
      <w:tr>
        <w:trPr>
          <w:trHeight w:val="508" w:hRule="atLeast"/>
        </w:trPr>
        <w:tc>
          <w:tcPr>
            <w:tcW w:w="1685" w:type="dxa"/>
            <w:shd w:val="clear" w:color="auto" w:fill="5B9BD4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Chiquimula</w:t>
            </w:r>
          </w:p>
        </w:tc>
        <w:tc>
          <w:tcPr>
            <w:tcW w:w="2867" w:type="dxa"/>
            <w:tcBorders>
              <w:right w:val="single" w:sz="6" w:space="0" w:color="FFFFFF"/>
            </w:tcBorders>
            <w:shd w:val="clear" w:color="auto" w:fill="BCD5ED"/>
          </w:tcPr>
          <w:p>
            <w:pPr>
              <w:pStyle w:val="TableParagraph"/>
              <w:spacing w:line="268" w:lineRule="exact"/>
              <w:ind w:left="910" w:right="898"/>
              <w:jc w:val="center"/>
              <w:rPr>
                <w:sz w:val="22"/>
              </w:rPr>
            </w:pPr>
            <w:r>
              <w:rPr>
                <w:sz w:val="22"/>
              </w:rPr>
              <w:t>441,579</w:t>
            </w:r>
          </w:p>
        </w:tc>
        <w:tc>
          <w:tcPr>
            <w:tcW w:w="685" w:type="dxa"/>
            <w:tcBorders>
              <w:left w:val="single" w:sz="6" w:space="0" w:color="FFFFFF"/>
            </w:tcBorders>
            <w:shd w:val="clear" w:color="auto" w:fill="BCD5ED"/>
          </w:tcPr>
          <w:p>
            <w:pPr>
              <w:pStyle w:val="TableParagraph"/>
              <w:spacing w:line="268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26.8</w:t>
            </w:r>
          </w:p>
        </w:tc>
        <w:tc>
          <w:tcPr>
            <w:tcW w:w="942" w:type="dxa"/>
            <w:shd w:val="clear" w:color="auto" w:fill="BCD5ED"/>
          </w:tcPr>
          <w:p>
            <w:pPr>
              <w:pStyle w:val="TableParagraph"/>
              <w:spacing w:line="268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666" w:type="dxa"/>
            <w:shd w:val="clear" w:color="auto" w:fill="BCD5ED"/>
          </w:tcPr>
          <w:p>
            <w:pPr>
              <w:pStyle w:val="TableParagraph"/>
              <w:spacing w:line="268" w:lineRule="exact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674" w:type="dxa"/>
            <w:shd w:val="clear" w:color="auto" w:fill="BCD5ED"/>
          </w:tcPr>
          <w:p>
            <w:pPr>
              <w:pStyle w:val="TableParagraph"/>
              <w:spacing w:line="268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97.9</w:t>
            </w:r>
          </w:p>
        </w:tc>
        <w:tc>
          <w:tcPr>
            <w:tcW w:w="1883" w:type="dxa"/>
            <w:tcBorders>
              <w:right w:val="single" w:sz="6" w:space="0" w:color="FFFFFF"/>
            </w:tcBorders>
            <w:shd w:val="clear" w:color="auto" w:fill="BCD5ED"/>
          </w:tcPr>
          <w:p>
            <w:pPr>
              <w:pStyle w:val="TableParagraph"/>
              <w:spacing w:line="268" w:lineRule="exact"/>
              <w:ind w:left="719" w:right="720"/>
              <w:jc w:val="center"/>
              <w:rPr>
                <w:sz w:val="22"/>
              </w:rPr>
            </w:pPr>
            <w:r>
              <w:rPr>
                <w:sz w:val="22"/>
              </w:rPr>
              <w:t>73.1</w:t>
            </w:r>
          </w:p>
        </w:tc>
      </w:tr>
      <w:tr>
        <w:trPr>
          <w:trHeight w:val="508" w:hRule="atLeast"/>
        </w:trPr>
        <w:tc>
          <w:tcPr>
            <w:tcW w:w="1685" w:type="dxa"/>
            <w:shd w:val="clear" w:color="auto" w:fill="5B9BD4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Jalapa</w:t>
            </w:r>
          </w:p>
        </w:tc>
        <w:tc>
          <w:tcPr>
            <w:tcW w:w="2867" w:type="dxa"/>
            <w:tcBorders>
              <w:right w:val="single" w:sz="6" w:space="0" w:color="FFFFFF"/>
            </w:tcBorders>
            <w:shd w:val="clear" w:color="auto" w:fill="DEEAF6"/>
          </w:tcPr>
          <w:p>
            <w:pPr>
              <w:pStyle w:val="TableParagraph"/>
              <w:spacing w:line="268" w:lineRule="exact"/>
              <w:ind w:left="910" w:right="898"/>
              <w:jc w:val="center"/>
              <w:rPr>
                <w:sz w:val="22"/>
              </w:rPr>
            </w:pPr>
            <w:r>
              <w:rPr>
                <w:sz w:val="22"/>
              </w:rPr>
              <w:t>394,234</w:t>
            </w:r>
          </w:p>
        </w:tc>
        <w:tc>
          <w:tcPr>
            <w:tcW w:w="685" w:type="dxa"/>
            <w:tcBorders>
              <w:left w:val="single" w:sz="6" w:space="0" w:color="FFFFFF"/>
            </w:tcBorders>
            <w:shd w:val="clear" w:color="auto" w:fill="DEEAF6"/>
          </w:tcPr>
          <w:p>
            <w:pPr>
              <w:pStyle w:val="TableParagraph"/>
              <w:spacing w:line="268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7.3</w:t>
            </w:r>
          </w:p>
        </w:tc>
        <w:tc>
          <w:tcPr>
            <w:tcW w:w="942" w:type="dxa"/>
            <w:shd w:val="clear" w:color="auto" w:fill="DEEAF6"/>
          </w:tcPr>
          <w:p>
            <w:pPr>
              <w:pStyle w:val="TableParagraph"/>
              <w:spacing w:line="268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666" w:type="dxa"/>
            <w:shd w:val="clear" w:color="auto" w:fill="DEEAF6"/>
          </w:tcPr>
          <w:p>
            <w:pPr>
              <w:pStyle w:val="TableParagraph"/>
              <w:spacing w:line="268" w:lineRule="exact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31.6</w:t>
            </w:r>
          </w:p>
        </w:tc>
        <w:tc>
          <w:tcPr>
            <w:tcW w:w="674" w:type="dxa"/>
            <w:shd w:val="clear" w:color="auto" w:fill="DEEAF6"/>
          </w:tcPr>
          <w:p>
            <w:pPr>
              <w:pStyle w:val="TableParagraph"/>
              <w:spacing w:line="268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73.0</w:t>
            </w:r>
          </w:p>
        </w:tc>
        <w:tc>
          <w:tcPr>
            <w:tcW w:w="1883" w:type="dxa"/>
            <w:tcBorders>
              <w:right w:val="single" w:sz="6" w:space="0" w:color="FFFFFF"/>
            </w:tcBorders>
            <w:shd w:val="clear" w:color="auto" w:fill="DEEAF6"/>
          </w:tcPr>
          <w:p>
            <w:pPr>
              <w:pStyle w:val="TableParagraph"/>
              <w:spacing w:line="268" w:lineRule="exact"/>
              <w:ind w:left="719" w:right="720"/>
              <w:jc w:val="center"/>
              <w:rPr>
                <w:sz w:val="22"/>
              </w:rPr>
            </w:pPr>
            <w:r>
              <w:rPr>
                <w:sz w:val="22"/>
              </w:rPr>
              <w:t>78.4</w:t>
            </w:r>
          </w:p>
        </w:tc>
      </w:tr>
    </w:tbl>
    <w:p>
      <w:pPr>
        <w:spacing w:before="0"/>
        <w:ind w:left="278" w:right="0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propia,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INE</w:t>
      </w:r>
      <w:r>
        <w:rPr>
          <w:spacing w:val="-1"/>
          <w:sz w:val="16"/>
        </w:rPr>
        <w:t> </w:t>
      </w:r>
      <w:r>
        <w:rPr>
          <w:sz w:val="16"/>
        </w:rPr>
        <w:t>2020</w:t>
      </w:r>
      <w:r>
        <w:rPr>
          <w:spacing w:val="-1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vivienda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78"/>
        <w:jc w:val="both"/>
      </w:pPr>
      <w:r>
        <w:rPr/>
        <w:t>Entre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principales</w:t>
      </w:r>
      <w:r>
        <w:rPr>
          <w:spacing w:val="-2"/>
        </w:rPr>
        <w:t> </w:t>
      </w:r>
      <w:r>
        <w:rPr/>
        <w:t>características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departamentos</w:t>
      </w:r>
      <w:r>
        <w:rPr>
          <w:spacing w:val="-3"/>
        </w:rPr>
        <w:t> </w:t>
      </w:r>
      <w:r>
        <w:rPr/>
        <w:t>afectados</w:t>
      </w:r>
      <w:r>
        <w:rPr>
          <w:spacing w:val="-2"/>
        </w:rPr>
        <w:t> </w:t>
      </w:r>
      <w:r>
        <w:rPr/>
        <w:t>destacan: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4"/>
        </w:numPr>
        <w:tabs>
          <w:tab w:pos="999" w:val="left" w:leader="none"/>
        </w:tabs>
        <w:spacing w:line="235" w:lineRule="auto" w:before="0" w:after="0"/>
        <w:ind w:left="998" w:right="1073" w:hanging="360"/>
        <w:jc w:val="both"/>
        <w:rPr>
          <w:sz w:val="22"/>
        </w:rPr>
      </w:pPr>
      <w:r>
        <w:rPr>
          <w:spacing w:val="-1"/>
          <w:sz w:val="22"/>
        </w:rPr>
        <w:t>La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población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estos</w:t>
      </w:r>
      <w:r>
        <w:rPr>
          <w:spacing w:val="-12"/>
          <w:sz w:val="22"/>
        </w:rPr>
        <w:t> </w:t>
      </w:r>
      <w:r>
        <w:rPr>
          <w:sz w:val="22"/>
        </w:rPr>
        <w:t>departamentos</w:t>
      </w:r>
      <w:r>
        <w:rPr>
          <w:spacing w:val="-14"/>
          <w:sz w:val="22"/>
        </w:rPr>
        <w:t> </w:t>
      </w:r>
      <w:r>
        <w:rPr>
          <w:sz w:val="22"/>
        </w:rPr>
        <w:t>corresponde</w:t>
      </w:r>
      <w:r>
        <w:rPr>
          <w:spacing w:val="-11"/>
          <w:sz w:val="22"/>
        </w:rPr>
        <w:t> </w:t>
      </w:r>
      <w:r>
        <w:rPr>
          <w:sz w:val="22"/>
        </w:rPr>
        <w:t>al</w:t>
      </w:r>
      <w:r>
        <w:rPr>
          <w:spacing w:val="-15"/>
          <w:sz w:val="22"/>
        </w:rPr>
        <w:t> </w:t>
      </w:r>
      <w:r>
        <w:rPr>
          <w:sz w:val="22"/>
        </w:rPr>
        <w:t>35.1%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12"/>
          <w:sz w:val="22"/>
        </w:rPr>
        <w:t> </w:t>
      </w:r>
      <w:r>
        <w:rPr>
          <w:sz w:val="22"/>
        </w:rPr>
        <w:t>población</w:t>
      </w:r>
      <w:r>
        <w:rPr>
          <w:spacing w:val="-13"/>
          <w:sz w:val="22"/>
        </w:rPr>
        <w:t> </w:t>
      </w:r>
      <w:r>
        <w:rPr>
          <w:sz w:val="22"/>
        </w:rPr>
        <w:t>guatemalteca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2018,</w:t>
      </w:r>
      <w:r>
        <w:rPr>
          <w:spacing w:val="-47"/>
          <w:sz w:val="22"/>
        </w:rPr>
        <w:t> </w:t>
      </w:r>
      <w:r>
        <w:rPr>
          <w:sz w:val="22"/>
        </w:rPr>
        <w:t>Alta</w:t>
      </w:r>
      <w:r>
        <w:rPr>
          <w:spacing w:val="-1"/>
          <w:sz w:val="22"/>
        </w:rPr>
        <w:t> </w:t>
      </w:r>
      <w:r>
        <w:rPr>
          <w:sz w:val="22"/>
        </w:rPr>
        <w:t>Verapaz</w:t>
      </w:r>
      <w:r>
        <w:rPr>
          <w:spacing w:val="-3"/>
          <w:sz w:val="22"/>
        </w:rPr>
        <w:t> </w:t>
      </w:r>
      <w:r>
        <w:rPr>
          <w:sz w:val="22"/>
        </w:rPr>
        <w:t>y Quiché</w:t>
      </w:r>
      <w:r>
        <w:rPr>
          <w:spacing w:val="-2"/>
          <w:sz w:val="22"/>
        </w:rPr>
        <w:t> </w:t>
      </w:r>
      <w:r>
        <w:rPr>
          <w:sz w:val="22"/>
        </w:rPr>
        <w:t>tienen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promedio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-3"/>
          <w:sz w:val="22"/>
        </w:rPr>
        <w:t> </w:t>
      </w:r>
      <w:r>
        <w:rPr>
          <w:sz w:val="22"/>
        </w:rPr>
        <w:t>68%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su población</w:t>
      </w:r>
      <w:r>
        <w:rPr>
          <w:spacing w:val="-4"/>
          <w:sz w:val="22"/>
        </w:rPr>
        <w:t> </w:t>
      </w:r>
      <w:r>
        <w:rPr>
          <w:sz w:val="22"/>
        </w:rPr>
        <w:t>viviendo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zonas</w:t>
      </w:r>
      <w:r>
        <w:rPr>
          <w:spacing w:val="4"/>
          <w:sz w:val="22"/>
        </w:rPr>
        <w:t> </w:t>
      </w:r>
      <w:r>
        <w:rPr>
          <w:sz w:val="22"/>
        </w:rPr>
        <w:t>rurales.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34"/>
        </w:numPr>
        <w:tabs>
          <w:tab w:pos="999" w:val="left" w:leader="none"/>
        </w:tabs>
        <w:spacing w:line="237" w:lineRule="auto" w:before="0" w:after="0"/>
        <w:ind w:left="998" w:right="1077" w:hanging="360"/>
        <w:jc w:val="both"/>
        <w:rPr>
          <w:sz w:val="22"/>
        </w:rPr>
      </w:pPr>
      <w:r>
        <w:rPr>
          <w:sz w:val="22"/>
        </w:rPr>
        <w:t>El 38% de la población de Alta Verapaz, Quiché y Huehuetenango es, en promedio, menor de 14</w:t>
      </w:r>
      <w:r>
        <w:rPr>
          <w:spacing w:val="1"/>
          <w:sz w:val="22"/>
        </w:rPr>
        <w:t> </w:t>
      </w:r>
      <w:r>
        <w:rPr>
          <w:sz w:val="22"/>
        </w:rPr>
        <w:t>años. Además, Huehuetenango y Quiché tienen el mayor porcentaje de mujeres (52%) de este</w:t>
      </w:r>
      <w:r>
        <w:rPr>
          <w:spacing w:val="1"/>
          <w:sz w:val="22"/>
        </w:rPr>
        <w:t> </w:t>
      </w:r>
      <w:r>
        <w:rPr>
          <w:sz w:val="22"/>
        </w:rPr>
        <w:t>grupo.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1"/>
        </w:rPr>
      </w:pPr>
      <w:r>
        <w:rPr/>
        <w:pict>
          <v:rect style="position:absolute;margin-left:563.880005pt;margin-top:9.264283pt;width:25.44pt;height:1.4399pt;mso-position-horizontal-relative:page;mso-position-vertical-relative:paragraph;z-index:-1547724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124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65632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6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5"/>
        </w:rPr>
      </w:pPr>
    </w:p>
    <w:p>
      <w:pPr>
        <w:pStyle w:val="ListParagraph"/>
        <w:numPr>
          <w:ilvl w:val="0"/>
          <w:numId w:val="34"/>
        </w:numPr>
        <w:tabs>
          <w:tab w:pos="999" w:val="left" w:leader="none"/>
        </w:tabs>
        <w:spacing w:line="237" w:lineRule="auto" w:before="77" w:after="0"/>
        <w:ind w:left="998" w:right="1071" w:hanging="360"/>
        <w:jc w:val="both"/>
        <w:rPr>
          <w:sz w:val="22"/>
        </w:rPr>
      </w:pPr>
      <w:r>
        <w:rPr>
          <w:sz w:val="22"/>
        </w:rPr>
        <w:t>Alta</w:t>
      </w:r>
      <w:r>
        <w:rPr>
          <w:spacing w:val="1"/>
          <w:sz w:val="22"/>
        </w:rPr>
        <w:t> </w:t>
      </w:r>
      <w:r>
        <w:rPr>
          <w:sz w:val="22"/>
        </w:rPr>
        <w:t>Verapaz</w:t>
      </w:r>
      <w:r>
        <w:rPr>
          <w:spacing w:val="1"/>
          <w:sz w:val="22"/>
        </w:rPr>
        <w:t> </w:t>
      </w:r>
      <w:r>
        <w:rPr>
          <w:sz w:val="22"/>
        </w:rPr>
        <w:t>(92.9%),</w:t>
      </w:r>
      <w:r>
        <w:rPr>
          <w:spacing w:val="1"/>
          <w:sz w:val="22"/>
        </w:rPr>
        <w:t> </w:t>
      </w:r>
      <w:r>
        <w:rPr>
          <w:sz w:val="22"/>
        </w:rPr>
        <w:t>Quiché</w:t>
      </w:r>
      <w:r>
        <w:rPr>
          <w:spacing w:val="1"/>
          <w:sz w:val="22"/>
        </w:rPr>
        <w:t> </w:t>
      </w:r>
      <w:r>
        <w:rPr>
          <w:sz w:val="22"/>
        </w:rPr>
        <w:t>(89.2%)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Huehuetenango</w:t>
      </w:r>
      <w:r>
        <w:rPr>
          <w:spacing w:val="1"/>
          <w:sz w:val="22"/>
        </w:rPr>
        <w:t> </w:t>
      </w:r>
      <w:r>
        <w:rPr>
          <w:sz w:val="22"/>
        </w:rPr>
        <w:t>(65%),</w:t>
      </w:r>
      <w:r>
        <w:rPr>
          <w:spacing w:val="1"/>
          <w:sz w:val="22"/>
        </w:rPr>
        <w:t> </w:t>
      </w:r>
      <w:r>
        <w:rPr>
          <w:sz w:val="22"/>
        </w:rPr>
        <w:t>tiene</w:t>
      </w:r>
      <w:r>
        <w:rPr>
          <w:spacing w:val="1"/>
          <w:sz w:val="22"/>
        </w:rPr>
        <w:t> </w:t>
      </w:r>
      <w:r>
        <w:rPr>
          <w:sz w:val="22"/>
        </w:rPr>
        <w:t>altos</w:t>
      </w:r>
      <w:r>
        <w:rPr>
          <w:spacing w:val="1"/>
          <w:sz w:val="22"/>
        </w:rPr>
        <w:t> </w:t>
      </w:r>
      <w:r>
        <w:rPr>
          <w:sz w:val="22"/>
        </w:rPr>
        <w:t>porcentajes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población</w:t>
      </w:r>
      <w:r>
        <w:rPr>
          <w:spacing w:val="-6"/>
          <w:sz w:val="22"/>
        </w:rPr>
        <w:t> </w:t>
      </w:r>
      <w:r>
        <w:rPr>
          <w:sz w:val="22"/>
        </w:rPr>
        <w:t>maya.</w:t>
      </w:r>
      <w:r>
        <w:rPr>
          <w:spacing w:val="-5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otra</w:t>
      </w:r>
      <w:r>
        <w:rPr>
          <w:spacing w:val="-2"/>
          <w:sz w:val="22"/>
        </w:rPr>
        <w:t> </w:t>
      </w:r>
      <w:r>
        <w:rPr>
          <w:sz w:val="22"/>
        </w:rPr>
        <w:t>parte,</w:t>
      </w:r>
      <w:r>
        <w:rPr>
          <w:spacing w:val="-2"/>
          <w:sz w:val="22"/>
        </w:rPr>
        <w:t> </w:t>
      </w:r>
      <w:r>
        <w:rPr>
          <w:sz w:val="22"/>
        </w:rPr>
        <w:t>dentro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departamentos</w:t>
      </w:r>
      <w:r>
        <w:rPr>
          <w:spacing w:val="-5"/>
          <w:sz w:val="22"/>
        </w:rPr>
        <w:t> </w:t>
      </w:r>
      <w:r>
        <w:rPr>
          <w:sz w:val="22"/>
        </w:rPr>
        <w:t>más</w:t>
      </w:r>
      <w:r>
        <w:rPr>
          <w:spacing w:val="-2"/>
          <w:sz w:val="22"/>
        </w:rPr>
        <w:t> </w:t>
      </w:r>
      <w:r>
        <w:rPr>
          <w:sz w:val="22"/>
        </w:rPr>
        <w:t>afectados</w:t>
      </w:r>
      <w:r>
        <w:rPr>
          <w:spacing w:val="-3"/>
          <w:sz w:val="22"/>
        </w:rPr>
        <w:t> </w:t>
      </w:r>
      <w:r>
        <w:rPr>
          <w:sz w:val="22"/>
        </w:rPr>
        <w:t>están</w:t>
      </w:r>
      <w:r>
        <w:rPr>
          <w:spacing w:val="-3"/>
          <w:sz w:val="22"/>
        </w:rPr>
        <w:t> </w:t>
      </w:r>
      <w:r>
        <w:rPr>
          <w:sz w:val="22"/>
        </w:rPr>
        <w:t>dos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48"/>
          <w:sz w:val="22"/>
        </w:rPr>
        <w:t> </w:t>
      </w:r>
      <w:r>
        <w:rPr>
          <w:sz w:val="22"/>
        </w:rPr>
        <w:t>concentran mayor porcentaje de población Xinka: Jutiapa (19.3%) y Jalapa (31.6%); por su parte,</w:t>
      </w:r>
      <w:r>
        <w:rPr>
          <w:spacing w:val="1"/>
          <w:sz w:val="22"/>
        </w:rPr>
        <w:t> </w:t>
      </w:r>
      <w:r>
        <w:rPr>
          <w:sz w:val="22"/>
        </w:rPr>
        <w:t>Izabal</w:t>
      </w:r>
      <w:r>
        <w:rPr>
          <w:spacing w:val="-1"/>
          <w:sz w:val="22"/>
        </w:rPr>
        <w:t> </w:t>
      </w:r>
      <w:r>
        <w:rPr>
          <w:sz w:val="22"/>
        </w:rPr>
        <w:t>también</w:t>
      </w:r>
      <w:r>
        <w:rPr>
          <w:spacing w:val="-3"/>
          <w:sz w:val="22"/>
        </w:rPr>
        <w:t> </w:t>
      </w:r>
      <w:r>
        <w:rPr>
          <w:sz w:val="22"/>
        </w:rPr>
        <w:t>concentra a</w:t>
      </w:r>
      <w:r>
        <w:rPr>
          <w:spacing w:val="-3"/>
          <w:sz w:val="22"/>
        </w:rPr>
        <w:t> </w:t>
      </w:r>
      <w:r>
        <w:rPr>
          <w:sz w:val="22"/>
        </w:rPr>
        <w:t>un</w:t>
      </w:r>
      <w:r>
        <w:rPr>
          <w:spacing w:val="-1"/>
          <w:sz w:val="22"/>
        </w:rPr>
        <w:t> </w:t>
      </w:r>
      <w:r>
        <w:rPr>
          <w:sz w:val="22"/>
        </w:rPr>
        <w:t>importante</w:t>
      </w:r>
      <w:r>
        <w:rPr>
          <w:spacing w:val="-2"/>
          <w:sz w:val="22"/>
        </w:rPr>
        <w:t> </w:t>
      </w:r>
      <w:r>
        <w:rPr>
          <w:sz w:val="22"/>
        </w:rPr>
        <w:t>porcentaje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población</w:t>
      </w:r>
      <w:r>
        <w:rPr>
          <w:spacing w:val="-1"/>
          <w:sz w:val="22"/>
        </w:rPr>
        <w:t> </w:t>
      </w:r>
      <w:r>
        <w:rPr>
          <w:sz w:val="22"/>
        </w:rPr>
        <w:t>garífuna (0.7%).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34"/>
        </w:numPr>
        <w:tabs>
          <w:tab w:pos="999" w:val="left" w:leader="none"/>
        </w:tabs>
        <w:spacing w:line="235" w:lineRule="auto" w:before="0" w:after="0"/>
        <w:ind w:left="998" w:right="1076" w:hanging="360"/>
        <w:jc w:val="both"/>
        <w:rPr>
          <w:sz w:val="22"/>
        </w:rPr>
      </w:pP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porcentaje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población</w:t>
      </w:r>
      <w:r>
        <w:rPr>
          <w:spacing w:val="1"/>
          <w:sz w:val="22"/>
        </w:rPr>
        <w:t> </w:t>
      </w:r>
      <w:r>
        <w:rPr>
          <w:sz w:val="22"/>
        </w:rPr>
        <w:t>alfabeta</w:t>
      </w:r>
      <w:r>
        <w:rPr>
          <w:spacing w:val="1"/>
          <w:sz w:val="22"/>
        </w:rPr>
        <w:t> </w:t>
      </w:r>
      <w:r>
        <w:rPr>
          <w:sz w:val="22"/>
        </w:rPr>
        <w:t>es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indicador</w:t>
      </w:r>
      <w:r>
        <w:rPr>
          <w:spacing w:val="1"/>
          <w:sz w:val="22"/>
        </w:rPr>
        <w:t> </w:t>
      </w:r>
      <w:r>
        <w:rPr>
          <w:sz w:val="22"/>
        </w:rPr>
        <w:t>indirecto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acceso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servicios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47"/>
          <w:sz w:val="22"/>
        </w:rPr>
        <w:t> </w:t>
      </w:r>
      <w:r>
        <w:rPr>
          <w:sz w:val="22"/>
        </w:rPr>
        <w:t>educación en algunas zonas del país, por ejemplo, Quiché y Alta Verapaz tienen los menores</w:t>
      </w:r>
      <w:r>
        <w:rPr>
          <w:spacing w:val="1"/>
          <w:sz w:val="22"/>
        </w:rPr>
        <w:t> </w:t>
      </w:r>
      <w:r>
        <w:rPr>
          <w:sz w:val="22"/>
        </w:rPr>
        <w:t>niveles</w:t>
      </w:r>
      <w:r>
        <w:rPr>
          <w:spacing w:val="-3"/>
          <w:sz w:val="22"/>
        </w:rPr>
        <w:t> </w:t>
      </w:r>
      <w:r>
        <w:rPr>
          <w:sz w:val="22"/>
        </w:rPr>
        <w:t>de alfabetización,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un</w:t>
      </w:r>
      <w:r>
        <w:rPr>
          <w:spacing w:val="-2"/>
          <w:sz w:val="22"/>
        </w:rPr>
        <w:t> </w:t>
      </w:r>
      <w:r>
        <w:rPr>
          <w:sz w:val="22"/>
        </w:rPr>
        <w:t>64.5%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un</w:t>
      </w:r>
      <w:r>
        <w:rPr>
          <w:spacing w:val="-1"/>
          <w:sz w:val="22"/>
        </w:rPr>
        <w:t> </w:t>
      </w:r>
      <w:r>
        <w:rPr>
          <w:sz w:val="22"/>
        </w:rPr>
        <w:t>66.2%,</w:t>
      </w:r>
      <w:r>
        <w:rPr>
          <w:spacing w:val="1"/>
          <w:sz w:val="22"/>
        </w:rPr>
        <w:t> </w:t>
      </w:r>
      <w:r>
        <w:rPr>
          <w:sz w:val="22"/>
        </w:rPr>
        <w:t>respectivamente.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ind w:left="278" w:right="1074"/>
        <w:jc w:val="both"/>
      </w:pPr>
      <w:r>
        <w:rPr/>
        <w:t>En resumen, las áreas más afectadas se caracterizan por ser zonas rurales con presencia de población</w:t>
      </w:r>
      <w:r>
        <w:rPr>
          <w:spacing w:val="1"/>
        </w:rPr>
        <w:t> </w:t>
      </w:r>
      <w:r>
        <w:rPr/>
        <w:t>indígena, con altos niveles de pobreza y desigualdad. Es decir, los desastres afectaron con mayor fuerza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comunidades</w:t>
      </w:r>
      <w:r>
        <w:rPr>
          <w:spacing w:val="-1"/>
        </w:rPr>
        <w:t> </w:t>
      </w:r>
      <w:r>
        <w:rPr/>
        <w:t>más</w:t>
      </w:r>
      <w:r>
        <w:rPr>
          <w:spacing w:val="-3"/>
        </w:rPr>
        <w:t> </w:t>
      </w:r>
      <w:r>
        <w:rPr/>
        <w:t>vulnerables de</w:t>
      </w:r>
      <w:r>
        <w:rPr>
          <w:spacing w:val="-2"/>
        </w:rPr>
        <w:t> </w:t>
      </w:r>
      <w:r>
        <w:rPr/>
        <w:t>estos departamentos.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278" w:right="1072"/>
        <w:jc w:val="both"/>
      </w:pPr>
      <w:r>
        <w:rPr/>
        <w:t>Por otra parte, el sector de educación pública reportó daños en 435 inmuebles educacionales, lo que</w:t>
      </w:r>
      <w:r>
        <w:rPr>
          <w:spacing w:val="1"/>
        </w:rPr>
        <w:t> </w:t>
      </w:r>
      <w:r>
        <w:rPr/>
        <w:t>representa un 2.07% del total de inmuebles. Además, 84 inmuebles fueron utilizados como albergues</w:t>
      </w:r>
      <w:r>
        <w:rPr>
          <w:spacing w:val="1"/>
        </w:rPr>
        <w:t> </w:t>
      </w:r>
      <w:r>
        <w:rPr/>
        <w:t>temporales en los cuales se recibieron a 7,031 personas. Los efectos totales estimados en el sector</w:t>
      </w:r>
      <w:r>
        <w:rPr>
          <w:spacing w:val="1"/>
        </w:rPr>
        <w:t> </w:t>
      </w:r>
      <w:r>
        <w:rPr/>
        <w:t>educación fueron de Q 42.2 millones, de los cuales un 84% corresponden a daños y un 16% a costos</w:t>
      </w:r>
      <w:r>
        <w:rPr>
          <w:spacing w:val="1"/>
        </w:rPr>
        <w:t> </w:t>
      </w:r>
      <w:r>
        <w:rPr/>
        <w:t>adicionales, los cuales principalmente se refieren a los costos asociados a reparaciones de escuelas</w:t>
      </w:r>
      <w:r>
        <w:rPr>
          <w:spacing w:val="1"/>
        </w:rPr>
        <w:t> </w:t>
      </w:r>
      <w:r>
        <w:rPr/>
        <w:t>utilizadas</w:t>
      </w:r>
      <w:r>
        <w:rPr>
          <w:spacing w:val="-9"/>
        </w:rPr>
        <w:t> </w:t>
      </w:r>
      <w:r>
        <w:rPr/>
        <w:t>como</w:t>
      </w:r>
      <w:r>
        <w:rPr>
          <w:spacing w:val="-7"/>
        </w:rPr>
        <w:t> </w:t>
      </w:r>
      <w:r>
        <w:rPr/>
        <w:t>albergues.</w:t>
      </w:r>
      <w:r>
        <w:rPr>
          <w:spacing w:val="-11"/>
        </w:rPr>
        <w:t> </w:t>
      </w:r>
      <w:r>
        <w:rPr/>
        <w:t>Se</w:t>
      </w:r>
      <w:r>
        <w:rPr>
          <w:spacing w:val="-8"/>
        </w:rPr>
        <w:t> </w:t>
      </w:r>
      <w:r>
        <w:rPr/>
        <w:t>estima</w:t>
      </w:r>
      <w:r>
        <w:rPr>
          <w:spacing w:val="-11"/>
        </w:rPr>
        <w:t> </w:t>
      </w:r>
      <w:r>
        <w:rPr/>
        <w:t>que</w:t>
      </w:r>
      <w:r>
        <w:rPr>
          <w:spacing w:val="-7"/>
        </w:rPr>
        <w:t> </w:t>
      </w:r>
      <w:r>
        <w:rPr/>
        <w:t>las</w:t>
      </w:r>
      <w:r>
        <w:rPr>
          <w:spacing w:val="-11"/>
        </w:rPr>
        <w:t> </w:t>
      </w:r>
      <w:r>
        <w:rPr/>
        <w:t>pérdidas</w:t>
      </w:r>
      <w:r>
        <w:rPr>
          <w:spacing w:val="-11"/>
        </w:rPr>
        <w:t> </w:t>
      </w:r>
      <w:r>
        <w:rPr/>
        <w:t>por</w:t>
      </w:r>
      <w:r>
        <w:rPr>
          <w:spacing w:val="-8"/>
        </w:rPr>
        <w:t> </w:t>
      </w:r>
      <w:r>
        <w:rPr/>
        <w:t>cese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actividad</w:t>
      </w:r>
      <w:r>
        <w:rPr>
          <w:spacing w:val="-9"/>
        </w:rPr>
        <w:t> </w:t>
      </w:r>
      <w:r>
        <w:rPr/>
        <w:t>no</w:t>
      </w:r>
      <w:r>
        <w:rPr>
          <w:spacing w:val="-7"/>
        </w:rPr>
        <w:t> </w:t>
      </w:r>
      <w:r>
        <w:rPr/>
        <w:t>han</w:t>
      </w:r>
      <w:r>
        <w:rPr>
          <w:spacing w:val="-9"/>
        </w:rPr>
        <w:t> </w:t>
      </w:r>
      <w:r>
        <w:rPr/>
        <w:t>generado</w:t>
      </w:r>
      <w:r>
        <w:rPr>
          <w:spacing w:val="-9"/>
        </w:rPr>
        <w:t> </w:t>
      </w:r>
      <w:r>
        <w:rPr/>
        <w:t>gran</w:t>
      </w:r>
      <w:r>
        <w:rPr>
          <w:spacing w:val="-9"/>
        </w:rPr>
        <w:t> </w:t>
      </w:r>
      <w:r>
        <w:rPr/>
        <w:t>impacto</w:t>
      </w:r>
      <w:r>
        <w:rPr>
          <w:spacing w:val="-47"/>
        </w:rPr>
        <w:t> </w:t>
      </w:r>
      <w:r>
        <w:rPr/>
        <w:t>para el país, ya que la suspensión de clases producto del paso de las depresiones sucedieron a un mes</w:t>
      </w:r>
      <w:r>
        <w:rPr>
          <w:spacing w:val="1"/>
        </w:rPr>
        <w:t> </w:t>
      </w:r>
      <w:r>
        <w:rPr/>
        <w:t>aproximadamente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finalizar</w:t>
      </w:r>
      <w:r>
        <w:rPr>
          <w:spacing w:val="-2"/>
        </w:rPr>
        <w:t> </w:t>
      </w:r>
      <w:r>
        <w:rPr/>
        <w:t>el</w:t>
      </w:r>
      <w:r>
        <w:rPr>
          <w:spacing w:val="-6"/>
        </w:rPr>
        <w:t> </w:t>
      </w:r>
      <w:r>
        <w:rPr/>
        <w:t>período</w:t>
      </w:r>
      <w:r>
        <w:rPr>
          <w:spacing w:val="-4"/>
        </w:rPr>
        <w:t> </w:t>
      </w:r>
      <w:r>
        <w:rPr/>
        <w:t>escolar,</w:t>
      </w:r>
      <w:r>
        <w:rPr>
          <w:spacing w:val="-8"/>
        </w:rPr>
        <w:t> </w:t>
      </w:r>
      <w:r>
        <w:rPr/>
        <w:t>momento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cual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planes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instrucción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distancia</w:t>
      </w:r>
      <w:r>
        <w:rPr>
          <w:spacing w:val="-47"/>
        </w:rPr>
        <w:t> </w:t>
      </w:r>
      <w:r>
        <w:rPr/>
        <w:t>ya</w:t>
      </w:r>
      <w:r>
        <w:rPr>
          <w:spacing w:val="-1"/>
        </w:rPr>
        <w:t> </w:t>
      </w:r>
      <w:r>
        <w:rPr/>
        <w:t>estaban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marcha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continuo</w:t>
      </w:r>
      <w:r>
        <w:rPr>
          <w:spacing w:val="1"/>
        </w:rPr>
        <w:t> </w:t>
      </w:r>
      <w:r>
        <w:rPr/>
        <w:t>esta</w:t>
      </w:r>
      <w:r>
        <w:rPr>
          <w:spacing w:val="-2"/>
        </w:rPr>
        <w:t> </w:t>
      </w:r>
      <w:r>
        <w:rPr/>
        <w:t>modalidad</w:t>
      </w:r>
      <w:r>
        <w:rPr>
          <w:spacing w:val="-1"/>
        </w:rPr>
        <w:t> </w:t>
      </w:r>
      <w:r>
        <w:rPr/>
        <w:t>para el ciclo</w:t>
      </w:r>
      <w:r>
        <w:rPr>
          <w:spacing w:val="-1"/>
        </w:rPr>
        <w:t> </w:t>
      </w:r>
      <w:r>
        <w:rPr/>
        <w:t>escolar</w:t>
      </w:r>
      <w:r>
        <w:rPr>
          <w:spacing w:val="-3"/>
        </w:rPr>
        <w:t> </w:t>
      </w:r>
      <w:r>
        <w:rPr/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  <w:r>
        <w:rPr/>
        <w:pict>
          <v:rect style="position:absolute;margin-left:563.880005pt;margin-top:19.197184pt;width:25.44pt;height:1.4399pt;mso-position-horizontal-relative:page;mso-position-vertical-relative:paragraph;z-index:-1547571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125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67680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6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0"/>
          <w:numId w:val="32"/>
        </w:numPr>
        <w:tabs>
          <w:tab w:pos="710" w:val="left" w:leader="none"/>
          <w:tab w:pos="711" w:val="left" w:leader="none"/>
        </w:tabs>
        <w:spacing w:line="240" w:lineRule="auto" w:before="52" w:after="0"/>
        <w:ind w:left="710" w:right="0" w:hanging="433"/>
        <w:jc w:val="left"/>
      </w:pPr>
      <w:bookmarkStart w:name="_bookmark138" w:id="209"/>
      <w:bookmarkEnd w:id="209"/>
      <w:r>
        <w:rPr>
          <w:b w:val="0"/>
        </w:rPr>
      </w:r>
      <w:bookmarkStart w:name="_bookmark138" w:id="210"/>
      <w:bookmarkEnd w:id="210"/>
      <w:r>
        <w:rPr>
          <w:color w:val="1F4E79"/>
        </w:rPr>
        <w:t>Inf</w:t>
      </w:r>
      <w:r>
        <w:rPr>
          <w:color w:val="1F4E79"/>
        </w:rPr>
        <w:t>ormación</w:t>
      </w:r>
      <w:r>
        <w:rPr>
          <w:color w:val="1F4E79"/>
          <w:spacing w:val="-7"/>
        </w:rPr>
        <w:t> </w:t>
      </w:r>
      <w:r>
        <w:rPr>
          <w:color w:val="1F4E79"/>
        </w:rPr>
        <w:t>por</w:t>
      </w:r>
      <w:r>
        <w:rPr>
          <w:color w:val="1F4E79"/>
          <w:spacing w:val="-5"/>
        </w:rPr>
        <w:t> </w:t>
      </w:r>
      <w:r>
        <w:rPr>
          <w:color w:val="1F4E79"/>
        </w:rPr>
        <w:t>departamento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ListParagraph"/>
        <w:numPr>
          <w:ilvl w:val="1"/>
          <w:numId w:val="32"/>
        </w:numPr>
        <w:tabs>
          <w:tab w:pos="854" w:val="left" w:leader="none"/>
          <w:tab w:pos="855" w:val="left" w:leader="none"/>
        </w:tabs>
        <w:spacing w:line="240" w:lineRule="auto" w:before="0" w:after="0"/>
        <w:ind w:left="854" w:right="0" w:hanging="577"/>
        <w:jc w:val="left"/>
        <w:rPr>
          <w:b/>
          <w:sz w:val="24"/>
        </w:rPr>
      </w:pPr>
      <w:bookmarkStart w:name="_bookmark139" w:id="211"/>
      <w:bookmarkEnd w:id="211"/>
      <w:r>
        <w:rPr/>
      </w:r>
      <w:bookmarkStart w:name="_bookmark139" w:id="212"/>
      <w:bookmarkEnd w:id="212"/>
      <w:r>
        <w:rPr>
          <w:b/>
          <w:color w:val="1F4E79"/>
          <w:sz w:val="24"/>
        </w:rPr>
        <w:t>Alta</w:t>
      </w:r>
      <w:r>
        <w:rPr>
          <w:b/>
          <w:color w:val="1F4E79"/>
          <w:spacing w:val="-5"/>
          <w:sz w:val="24"/>
        </w:rPr>
        <w:t> </w:t>
      </w:r>
      <w:r>
        <w:rPr>
          <w:b/>
          <w:color w:val="1F4E79"/>
          <w:sz w:val="24"/>
        </w:rPr>
        <w:t>Verapaz</w:t>
      </w:r>
    </w:p>
    <w:p>
      <w:pPr>
        <w:pStyle w:val="BodyText"/>
        <w:rPr>
          <w:b/>
          <w:sz w:val="24"/>
        </w:rPr>
      </w:pPr>
    </w:p>
    <w:p>
      <w:pPr>
        <w:pStyle w:val="Heading3"/>
        <w:numPr>
          <w:ilvl w:val="2"/>
          <w:numId w:val="32"/>
        </w:numPr>
        <w:tabs>
          <w:tab w:pos="998" w:val="left" w:leader="none"/>
          <w:tab w:pos="999" w:val="left" w:leader="none"/>
        </w:tabs>
        <w:spacing w:line="240" w:lineRule="auto" w:before="187" w:after="0"/>
        <w:ind w:left="998" w:right="0" w:hanging="721"/>
        <w:jc w:val="left"/>
      </w:pPr>
      <w:bookmarkStart w:name="_bookmark140" w:id="213"/>
      <w:bookmarkEnd w:id="213"/>
      <w:r>
        <w:rPr>
          <w:b w:val="0"/>
        </w:rPr>
      </w:r>
      <w:bookmarkStart w:name="_bookmark140" w:id="214"/>
      <w:bookmarkEnd w:id="214"/>
      <w:r>
        <w:rPr/>
        <w:t>Inf</w:t>
      </w:r>
      <w:r>
        <w:rPr/>
        <w:t>ormación</w:t>
      </w:r>
      <w:r>
        <w:rPr>
          <w:spacing w:val="-8"/>
        </w:rPr>
        <w:t> </w:t>
      </w:r>
      <w:r>
        <w:rPr/>
        <w:t>General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ind w:left="278" w:right="1069"/>
        <w:jc w:val="both"/>
      </w:pPr>
      <w:r>
        <w:rPr/>
        <w:t>Según el INE (2018), el departamento de Alta Verapaz posee una población de 1,215,038 habitantes, con</w:t>
      </w:r>
      <w:r>
        <w:rPr>
          <w:spacing w:val="1"/>
        </w:rPr>
        <w:t> </w:t>
      </w:r>
      <w:r>
        <w:rPr/>
        <w:t>49%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hombres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51%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mujeres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donde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reconocen</w:t>
      </w:r>
      <w:r>
        <w:rPr>
          <w:spacing w:val="-5"/>
        </w:rPr>
        <w:t> </w:t>
      </w:r>
      <w:r>
        <w:rPr/>
        <w:t>como</w:t>
      </w:r>
      <w:r>
        <w:rPr>
          <w:spacing w:val="-7"/>
        </w:rPr>
        <w:t> </w:t>
      </w:r>
      <w:r>
        <w:rPr/>
        <w:t>93%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etnia</w:t>
      </w:r>
      <w:r>
        <w:rPr>
          <w:spacing w:val="-8"/>
        </w:rPr>
        <w:t> </w:t>
      </w:r>
      <w:r>
        <w:rPr/>
        <w:t>Maya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/>
        <w:t>7%</w:t>
      </w:r>
      <w:r>
        <w:rPr>
          <w:spacing w:val="-5"/>
        </w:rPr>
        <w:t> </w:t>
      </w:r>
      <w:r>
        <w:rPr/>
        <w:t>como</w:t>
      </w:r>
      <w:r>
        <w:rPr>
          <w:spacing w:val="-6"/>
        </w:rPr>
        <w:t> </w:t>
      </w:r>
      <w:r>
        <w:rPr/>
        <w:t>Ladina,</w:t>
      </w:r>
      <w:r>
        <w:rPr>
          <w:spacing w:val="-47"/>
        </w:rPr>
        <w:t> </w:t>
      </w:r>
      <w:r>
        <w:rPr/>
        <w:t>donde principalmente</w:t>
      </w:r>
      <w:r>
        <w:rPr>
          <w:spacing w:val="-2"/>
        </w:rPr>
        <w:t> </w:t>
      </w:r>
      <w:r>
        <w:rPr/>
        <w:t>se</w:t>
      </w:r>
      <w:r>
        <w:rPr>
          <w:spacing w:val="1"/>
        </w:rPr>
        <w:t> </w:t>
      </w:r>
      <w:r>
        <w:rPr/>
        <w:t>hablan</w:t>
      </w:r>
      <w:r>
        <w:rPr>
          <w:spacing w:val="-2"/>
        </w:rPr>
        <w:t> </w:t>
      </w:r>
      <w:r>
        <w:rPr/>
        <w:t>los idiomas:</w:t>
      </w:r>
      <w:r>
        <w:rPr>
          <w:spacing w:val="-1"/>
        </w:rPr>
        <w:t> </w:t>
      </w:r>
      <w:r>
        <w:rPr/>
        <w:t>K’eqchí’,</w:t>
      </w:r>
      <w:r>
        <w:rPr>
          <w:spacing w:val="-3"/>
        </w:rPr>
        <w:t> </w:t>
      </w:r>
      <w:r>
        <w:rPr/>
        <w:t>Pocomchí,</w:t>
      </w:r>
      <w:r>
        <w:rPr>
          <w:spacing w:val="-4"/>
        </w:rPr>
        <w:t> </w:t>
      </w:r>
      <w:r>
        <w:rPr/>
        <w:t>Achí y</w:t>
      </w:r>
      <w:r>
        <w:rPr>
          <w:spacing w:val="-2"/>
        </w:rPr>
        <w:t> </w:t>
      </w:r>
      <w:r>
        <w:rPr/>
        <w:t>Español,</w:t>
      </w:r>
      <w:r>
        <w:rPr>
          <w:spacing w:val="-2"/>
        </w:rPr>
        <w:t> </w:t>
      </w:r>
      <w:r>
        <w:rPr/>
        <w:t>entre</w:t>
      </w:r>
      <w:r>
        <w:rPr>
          <w:spacing w:val="-2"/>
        </w:rPr>
        <w:t> </w:t>
      </w:r>
      <w:r>
        <w:rPr/>
        <w:t>otros.</w:t>
      </w:r>
    </w:p>
    <w:p>
      <w:pPr>
        <w:pStyle w:val="BodyText"/>
        <w:spacing w:before="10"/>
        <w:rPr>
          <w:sz w:val="19"/>
        </w:rPr>
      </w:pPr>
    </w:p>
    <w:p>
      <w:pPr>
        <w:pStyle w:val="Heading3"/>
        <w:numPr>
          <w:ilvl w:val="2"/>
          <w:numId w:val="32"/>
        </w:numPr>
        <w:tabs>
          <w:tab w:pos="998" w:val="left" w:leader="none"/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141" w:id="215"/>
      <w:bookmarkEnd w:id="215"/>
      <w:r>
        <w:rPr>
          <w:b w:val="0"/>
        </w:rPr>
      </w:r>
      <w:bookmarkStart w:name="_bookmark141" w:id="216"/>
      <w:bookmarkEnd w:id="216"/>
      <w:r>
        <w:rPr/>
        <w:t>Situ</w:t>
      </w:r>
      <w:r>
        <w:rPr/>
        <w:t>ación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Sistema</w:t>
      </w:r>
      <w:r>
        <w:rPr>
          <w:spacing w:val="-4"/>
        </w:rPr>
        <w:t> </w:t>
      </w:r>
      <w:r>
        <w:rPr/>
        <w:t>Nacional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Educación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3"/>
        <w:jc w:val="both"/>
      </w:pPr>
      <w:r>
        <w:rPr/>
        <w:t>En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educativo,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estudiantes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presentado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comportamiento similar al presentado a nivel nacional, en donde, la primaria posee la mayor cantidad de</w:t>
      </w:r>
      <w:r>
        <w:rPr>
          <w:spacing w:val="-47"/>
        </w:rPr>
        <w:t> </w:t>
      </w:r>
      <w:r>
        <w:rPr/>
        <w:t>estudiantes registrados, seguido por el ciclo básico y diversificado. En la siguiente tabla, se presentan las</w:t>
      </w:r>
      <w:r>
        <w:rPr>
          <w:spacing w:val="1"/>
        </w:rPr>
        <w:t> </w:t>
      </w:r>
      <w:r>
        <w:rPr/>
        <w:t>cantidades</w:t>
      </w:r>
      <w:r>
        <w:rPr>
          <w:spacing w:val="1"/>
        </w:rPr>
        <w:t> </w:t>
      </w:r>
      <w:r>
        <w:rPr/>
        <w:t>relacionadas.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 w:after="6"/>
        <w:ind w:left="278"/>
        <w:jc w:val="both"/>
      </w:pPr>
      <w:r>
        <w:rPr/>
        <w:t>Tabla</w:t>
      </w:r>
      <w:r>
        <w:rPr>
          <w:spacing w:val="-2"/>
        </w:rPr>
        <w:t> </w:t>
      </w:r>
      <w:r>
        <w:rPr/>
        <w:t>Nº.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estudiantes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Nivel</w:t>
      </w:r>
      <w:r>
        <w:rPr>
          <w:spacing w:val="-1"/>
        </w:rPr>
        <w:t> </w:t>
      </w:r>
      <w:r>
        <w:rPr/>
        <w:t>Educativo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Alta</w:t>
      </w:r>
      <w:r>
        <w:rPr>
          <w:spacing w:val="-6"/>
        </w:rPr>
        <w:t> </w:t>
      </w:r>
      <w:r>
        <w:rPr/>
        <w:t>Verapaz</w:t>
      </w:r>
      <w:r>
        <w:rPr>
          <w:spacing w:val="-2"/>
        </w:rPr>
        <w:t> </w:t>
      </w:r>
      <w:r>
        <w:rPr/>
        <w:t>(2017</w:t>
      </w:r>
      <w:r>
        <w:rPr>
          <w:spacing w:val="-1"/>
        </w:rPr>
        <w:t> </w:t>
      </w:r>
      <w:r>
        <w:rPr/>
        <w:t>al</w:t>
      </w:r>
      <w:r>
        <w:rPr>
          <w:spacing w:val="-4"/>
        </w:rPr>
        <w:t> </w:t>
      </w:r>
      <w:r>
        <w:rPr/>
        <w:t>2021)</w:t>
      </w:r>
    </w:p>
    <w:tbl>
      <w:tblPr>
        <w:tblW w:w="0" w:type="auto"/>
        <w:jc w:val="left"/>
        <w:tblInd w:w="2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5"/>
        <w:gridCol w:w="1699"/>
        <w:gridCol w:w="1169"/>
        <w:gridCol w:w="1386"/>
        <w:gridCol w:w="884"/>
        <w:gridCol w:w="1571"/>
        <w:gridCol w:w="1338"/>
      </w:tblGrid>
      <w:tr>
        <w:trPr>
          <w:trHeight w:val="439" w:hRule="atLeast"/>
        </w:trPr>
        <w:tc>
          <w:tcPr>
            <w:tcW w:w="1315" w:type="dxa"/>
            <w:shd w:val="clear" w:color="auto" w:fill="D9E0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line="192" w:lineRule="exact"/>
              <w:ind w:left="231" w:right="10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105"/>
                <w:sz w:val="18"/>
              </w:rPr>
              <w:t>PREPRIMARIA</w:t>
            </w:r>
          </w:p>
        </w:tc>
        <w:tc>
          <w:tcPr>
            <w:tcW w:w="1169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line="192" w:lineRule="exact"/>
              <w:ind w:left="138" w:right="5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105"/>
                <w:sz w:val="18"/>
              </w:rPr>
              <w:t>PRIMARIA</w:t>
            </w:r>
          </w:p>
        </w:tc>
        <w:tc>
          <w:tcPr>
            <w:tcW w:w="1386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ind w:left="86" w:right="6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8"/>
              </w:rPr>
              <w:t>PRIMARIA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8"/>
              </w:rPr>
              <w:t>DE</w:t>
            </w:r>
          </w:p>
          <w:p>
            <w:pPr>
              <w:pStyle w:val="TableParagraph"/>
              <w:spacing w:line="192" w:lineRule="exact" w:before="23"/>
              <w:ind w:left="72" w:right="6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105"/>
                <w:sz w:val="18"/>
              </w:rPr>
              <w:t>ADULTOS</w:t>
            </w:r>
          </w:p>
        </w:tc>
        <w:tc>
          <w:tcPr>
            <w:tcW w:w="884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line="192" w:lineRule="exact"/>
              <w:ind w:left="48" w:right="5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105"/>
                <w:sz w:val="18"/>
              </w:rPr>
              <w:t>BASICO</w:t>
            </w:r>
          </w:p>
        </w:tc>
        <w:tc>
          <w:tcPr>
            <w:tcW w:w="1571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line="192" w:lineRule="exact"/>
              <w:ind w:left="32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105"/>
                <w:sz w:val="18"/>
              </w:rPr>
              <w:t>DIVERSIFICADO</w:t>
            </w:r>
          </w:p>
        </w:tc>
        <w:tc>
          <w:tcPr>
            <w:tcW w:w="1338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line="192" w:lineRule="exact"/>
              <w:ind w:right="6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pacing w:val="-1"/>
                <w:w w:val="105"/>
                <w:sz w:val="18"/>
              </w:rPr>
              <w:t>Tota</w:t>
            </w:r>
            <w:r>
              <w:rPr>
                <w:rFonts w:ascii="Arial"/>
                <w:b/>
                <w:color w:val="FFFFFF"/>
                <w:spacing w:val="-36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w w:val="105"/>
                <w:sz w:val="18"/>
              </w:rPr>
              <w:t>l</w:t>
            </w:r>
            <w:r>
              <w:rPr>
                <w:rFonts w:ascii="Arial"/>
                <w:b/>
                <w:color w:val="FFFFFF"/>
                <w:spacing w:val="-8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FFFFFF"/>
                <w:w w:val="105"/>
                <w:sz w:val="18"/>
              </w:rPr>
              <w:t>general</w:t>
            </w:r>
          </w:p>
        </w:tc>
      </w:tr>
      <w:tr>
        <w:trPr>
          <w:trHeight w:val="195" w:hRule="atLeast"/>
        </w:trPr>
        <w:tc>
          <w:tcPr>
            <w:tcW w:w="1315" w:type="dxa"/>
          </w:tcPr>
          <w:p>
            <w:pPr>
              <w:pStyle w:val="TableParagraph"/>
              <w:spacing w:line="165" w:lineRule="exact"/>
              <w:ind w:right="461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2017</w:t>
            </w:r>
          </w:p>
        </w:tc>
        <w:tc>
          <w:tcPr>
            <w:tcW w:w="1699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72" w:lineRule="exact"/>
              <w:ind w:left="231" w:right="10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37,191</w:t>
            </w:r>
          </w:p>
        </w:tc>
        <w:tc>
          <w:tcPr>
            <w:tcW w:w="1169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72" w:lineRule="exact"/>
              <w:ind w:left="138" w:right="1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213,898</w:t>
            </w:r>
          </w:p>
        </w:tc>
        <w:tc>
          <w:tcPr>
            <w:tcW w:w="1386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72" w:lineRule="exact"/>
              <w:ind w:right="54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721</w:t>
            </w:r>
          </w:p>
        </w:tc>
        <w:tc>
          <w:tcPr>
            <w:tcW w:w="884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72" w:lineRule="exact"/>
              <w:ind w:left="48" w:right="4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49,103</w:t>
            </w:r>
          </w:p>
        </w:tc>
        <w:tc>
          <w:tcPr>
            <w:tcW w:w="1571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72" w:lineRule="exact"/>
              <w:ind w:left="65" w:right="1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17,835</w:t>
            </w:r>
          </w:p>
        </w:tc>
        <w:tc>
          <w:tcPr>
            <w:tcW w:w="1338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72" w:lineRule="exact"/>
              <w:ind w:right="41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318,748</w:t>
            </w:r>
          </w:p>
        </w:tc>
      </w:tr>
      <w:tr>
        <w:trPr>
          <w:trHeight w:val="212" w:hRule="atLeast"/>
        </w:trPr>
        <w:tc>
          <w:tcPr>
            <w:tcW w:w="1315" w:type="dxa"/>
          </w:tcPr>
          <w:p>
            <w:pPr>
              <w:pStyle w:val="TableParagraph"/>
              <w:spacing w:line="184" w:lineRule="exact" w:before="8"/>
              <w:ind w:right="461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2018</w:t>
            </w:r>
          </w:p>
        </w:tc>
        <w:tc>
          <w:tcPr>
            <w:tcW w:w="1699" w:type="dxa"/>
          </w:tcPr>
          <w:p>
            <w:pPr>
              <w:pStyle w:val="TableParagraph"/>
              <w:spacing w:line="184" w:lineRule="exact" w:before="8"/>
              <w:ind w:left="231" w:right="10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39,197</w:t>
            </w:r>
          </w:p>
        </w:tc>
        <w:tc>
          <w:tcPr>
            <w:tcW w:w="1169" w:type="dxa"/>
          </w:tcPr>
          <w:p>
            <w:pPr>
              <w:pStyle w:val="TableParagraph"/>
              <w:spacing w:line="184" w:lineRule="exact" w:before="8"/>
              <w:ind w:left="138" w:right="1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222,681</w:t>
            </w:r>
          </w:p>
        </w:tc>
        <w:tc>
          <w:tcPr>
            <w:tcW w:w="1386" w:type="dxa"/>
          </w:tcPr>
          <w:p>
            <w:pPr>
              <w:pStyle w:val="TableParagraph"/>
              <w:spacing w:line="184" w:lineRule="exact" w:before="8"/>
              <w:ind w:right="54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597</w:t>
            </w:r>
          </w:p>
        </w:tc>
        <w:tc>
          <w:tcPr>
            <w:tcW w:w="884" w:type="dxa"/>
          </w:tcPr>
          <w:p>
            <w:pPr>
              <w:pStyle w:val="TableParagraph"/>
              <w:spacing w:line="184" w:lineRule="exact" w:before="8"/>
              <w:ind w:left="48" w:right="4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50,285</w:t>
            </w:r>
          </w:p>
        </w:tc>
        <w:tc>
          <w:tcPr>
            <w:tcW w:w="1571" w:type="dxa"/>
          </w:tcPr>
          <w:p>
            <w:pPr>
              <w:pStyle w:val="TableParagraph"/>
              <w:spacing w:line="184" w:lineRule="exact" w:before="8"/>
              <w:ind w:left="65" w:right="1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19,151</w:t>
            </w:r>
          </w:p>
        </w:tc>
        <w:tc>
          <w:tcPr>
            <w:tcW w:w="1338" w:type="dxa"/>
          </w:tcPr>
          <w:p>
            <w:pPr>
              <w:pStyle w:val="TableParagraph"/>
              <w:spacing w:line="184" w:lineRule="exact" w:before="8"/>
              <w:ind w:right="41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331,911</w:t>
            </w:r>
          </w:p>
        </w:tc>
      </w:tr>
      <w:tr>
        <w:trPr>
          <w:trHeight w:val="212" w:hRule="atLeast"/>
        </w:trPr>
        <w:tc>
          <w:tcPr>
            <w:tcW w:w="1315" w:type="dxa"/>
          </w:tcPr>
          <w:p>
            <w:pPr>
              <w:pStyle w:val="TableParagraph"/>
              <w:spacing w:line="184" w:lineRule="exact" w:before="8"/>
              <w:ind w:right="461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2019</w:t>
            </w:r>
          </w:p>
        </w:tc>
        <w:tc>
          <w:tcPr>
            <w:tcW w:w="1699" w:type="dxa"/>
          </w:tcPr>
          <w:p>
            <w:pPr>
              <w:pStyle w:val="TableParagraph"/>
              <w:spacing w:line="184" w:lineRule="exact" w:before="8"/>
              <w:ind w:left="231" w:right="10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38,801</w:t>
            </w:r>
          </w:p>
        </w:tc>
        <w:tc>
          <w:tcPr>
            <w:tcW w:w="1169" w:type="dxa"/>
          </w:tcPr>
          <w:p>
            <w:pPr>
              <w:pStyle w:val="TableParagraph"/>
              <w:spacing w:line="184" w:lineRule="exact" w:before="8"/>
              <w:ind w:left="138" w:right="1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223,622</w:t>
            </w:r>
          </w:p>
        </w:tc>
        <w:tc>
          <w:tcPr>
            <w:tcW w:w="1386" w:type="dxa"/>
          </w:tcPr>
          <w:p>
            <w:pPr>
              <w:pStyle w:val="TableParagraph"/>
              <w:spacing w:line="184" w:lineRule="exact" w:before="8"/>
              <w:ind w:right="54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647</w:t>
            </w:r>
          </w:p>
        </w:tc>
        <w:tc>
          <w:tcPr>
            <w:tcW w:w="884" w:type="dxa"/>
          </w:tcPr>
          <w:p>
            <w:pPr>
              <w:pStyle w:val="TableParagraph"/>
              <w:spacing w:line="184" w:lineRule="exact" w:before="8"/>
              <w:ind w:left="48" w:right="4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50,187</w:t>
            </w:r>
          </w:p>
        </w:tc>
        <w:tc>
          <w:tcPr>
            <w:tcW w:w="1571" w:type="dxa"/>
          </w:tcPr>
          <w:p>
            <w:pPr>
              <w:pStyle w:val="TableParagraph"/>
              <w:spacing w:line="184" w:lineRule="exact" w:before="8"/>
              <w:ind w:left="65" w:right="1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19,673</w:t>
            </w:r>
          </w:p>
        </w:tc>
        <w:tc>
          <w:tcPr>
            <w:tcW w:w="1338" w:type="dxa"/>
          </w:tcPr>
          <w:p>
            <w:pPr>
              <w:pStyle w:val="TableParagraph"/>
              <w:spacing w:line="184" w:lineRule="exact" w:before="8"/>
              <w:ind w:right="41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332,930</w:t>
            </w:r>
          </w:p>
        </w:tc>
      </w:tr>
      <w:tr>
        <w:trPr>
          <w:trHeight w:val="212" w:hRule="atLeast"/>
        </w:trPr>
        <w:tc>
          <w:tcPr>
            <w:tcW w:w="1315" w:type="dxa"/>
          </w:tcPr>
          <w:p>
            <w:pPr>
              <w:pStyle w:val="TableParagraph"/>
              <w:spacing w:line="184" w:lineRule="exact" w:before="9"/>
              <w:ind w:right="461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2020</w:t>
            </w:r>
          </w:p>
        </w:tc>
        <w:tc>
          <w:tcPr>
            <w:tcW w:w="1699" w:type="dxa"/>
          </w:tcPr>
          <w:p>
            <w:pPr>
              <w:pStyle w:val="TableParagraph"/>
              <w:spacing w:line="184" w:lineRule="exact" w:before="9"/>
              <w:ind w:left="231" w:right="10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37,811</w:t>
            </w:r>
          </w:p>
        </w:tc>
        <w:tc>
          <w:tcPr>
            <w:tcW w:w="1169" w:type="dxa"/>
          </w:tcPr>
          <w:p>
            <w:pPr>
              <w:pStyle w:val="TableParagraph"/>
              <w:spacing w:line="184" w:lineRule="exact" w:before="9"/>
              <w:ind w:left="138" w:right="1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225,195</w:t>
            </w:r>
          </w:p>
        </w:tc>
        <w:tc>
          <w:tcPr>
            <w:tcW w:w="1386" w:type="dxa"/>
          </w:tcPr>
          <w:p>
            <w:pPr>
              <w:pStyle w:val="TableParagraph"/>
              <w:spacing w:line="184" w:lineRule="exact" w:before="9"/>
              <w:ind w:right="54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434</w:t>
            </w:r>
          </w:p>
        </w:tc>
        <w:tc>
          <w:tcPr>
            <w:tcW w:w="884" w:type="dxa"/>
          </w:tcPr>
          <w:p>
            <w:pPr>
              <w:pStyle w:val="TableParagraph"/>
              <w:spacing w:line="184" w:lineRule="exact" w:before="9"/>
              <w:ind w:left="48" w:right="4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50,705</w:t>
            </w:r>
          </w:p>
        </w:tc>
        <w:tc>
          <w:tcPr>
            <w:tcW w:w="1571" w:type="dxa"/>
          </w:tcPr>
          <w:p>
            <w:pPr>
              <w:pStyle w:val="TableParagraph"/>
              <w:spacing w:line="184" w:lineRule="exact" w:before="9"/>
              <w:ind w:left="65" w:right="1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20,792</w:t>
            </w:r>
          </w:p>
        </w:tc>
        <w:tc>
          <w:tcPr>
            <w:tcW w:w="1338" w:type="dxa"/>
          </w:tcPr>
          <w:p>
            <w:pPr>
              <w:pStyle w:val="TableParagraph"/>
              <w:spacing w:line="184" w:lineRule="exact" w:before="9"/>
              <w:ind w:right="41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334,937</w:t>
            </w:r>
          </w:p>
        </w:tc>
      </w:tr>
      <w:tr>
        <w:trPr>
          <w:trHeight w:val="205" w:hRule="atLeast"/>
        </w:trPr>
        <w:tc>
          <w:tcPr>
            <w:tcW w:w="1315" w:type="dxa"/>
          </w:tcPr>
          <w:p>
            <w:pPr>
              <w:pStyle w:val="TableParagraph"/>
              <w:spacing w:line="176" w:lineRule="exact" w:before="8"/>
              <w:ind w:right="461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2021</w:t>
            </w:r>
          </w:p>
        </w:tc>
        <w:tc>
          <w:tcPr>
            <w:tcW w:w="1699" w:type="dxa"/>
          </w:tcPr>
          <w:p>
            <w:pPr>
              <w:pStyle w:val="TableParagraph"/>
              <w:spacing w:line="176" w:lineRule="exact" w:before="8"/>
              <w:ind w:left="231" w:right="10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44,396</w:t>
            </w:r>
          </w:p>
        </w:tc>
        <w:tc>
          <w:tcPr>
            <w:tcW w:w="1169" w:type="dxa"/>
          </w:tcPr>
          <w:p>
            <w:pPr>
              <w:pStyle w:val="TableParagraph"/>
              <w:spacing w:line="176" w:lineRule="exact" w:before="8"/>
              <w:ind w:left="138" w:right="1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230,448</w:t>
            </w:r>
          </w:p>
        </w:tc>
        <w:tc>
          <w:tcPr>
            <w:tcW w:w="1386" w:type="dxa"/>
          </w:tcPr>
          <w:p>
            <w:pPr>
              <w:pStyle w:val="TableParagraph"/>
              <w:spacing w:line="176" w:lineRule="exact" w:before="8"/>
              <w:ind w:right="54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271</w:t>
            </w:r>
          </w:p>
        </w:tc>
        <w:tc>
          <w:tcPr>
            <w:tcW w:w="884" w:type="dxa"/>
          </w:tcPr>
          <w:p>
            <w:pPr>
              <w:pStyle w:val="TableParagraph"/>
              <w:spacing w:line="176" w:lineRule="exact" w:before="8"/>
              <w:ind w:left="48" w:right="4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47,928</w:t>
            </w:r>
          </w:p>
        </w:tc>
        <w:tc>
          <w:tcPr>
            <w:tcW w:w="1571" w:type="dxa"/>
          </w:tcPr>
          <w:p>
            <w:pPr>
              <w:pStyle w:val="TableParagraph"/>
              <w:spacing w:line="176" w:lineRule="exact" w:before="8"/>
              <w:ind w:left="65" w:right="1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18,490</w:t>
            </w:r>
          </w:p>
        </w:tc>
        <w:tc>
          <w:tcPr>
            <w:tcW w:w="1338" w:type="dxa"/>
          </w:tcPr>
          <w:p>
            <w:pPr>
              <w:pStyle w:val="TableParagraph"/>
              <w:spacing w:line="176" w:lineRule="exact" w:before="8"/>
              <w:ind w:right="41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341,533</w:t>
            </w:r>
          </w:p>
        </w:tc>
      </w:tr>
    </w:tbl>
    <w:tbl>
      <w:tblPr>
        <w:tblW w:w="0" w:type="auto"/>
        <w:jc w:val="left"/>
        <w:tblInd w:w="2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9"/>
        <w:gridCol w:w="1578"/>
        <w:gridCol w:w="1463"/>
        <w:gridCol w:w="1041"/>
        <w:gridCol w:w="1265"/>
        <w:gridCol w:w="1342"/>
        <w:gridCol w:w="1358"/>
      </w:tblGrid>
      <w:tr>
        <w:trPr>
          <w:trHeight w:val="228" w:hRule="atLeast"/>
        </w:trPr>
        <w:tc>
          <w:tcPr>
            <w:tcW w:w="1309" w:type="dxa"/>
            <w:tcBorders>
              <w:top w:val="single" w:sz="8" w:space="0" w:color="8EA9DB"/>
            </w:tcBorders>
            <w:shd w:val="clear" w:color="auto" w:fill="D9E0F1"/>
          </w:tcPr>
          <w:p>
            <w:pPr>
              <w:pStyle w:val="TableParagraph"/>
              <w:spacing w:before="16"/>
              <w:ind w:left="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Tota</w:t>
            </w:r>
            <w:r>
              <w:rPr>
                <w:rFonts w:ascii="Arial"/>
                <w:b/>
                <w:spacing w:val="-29"/>
                <w:w w:val="105"/>
                <w:sz w:val="16"/>
              </w:rPr>
              <w:t> </w:t>
            </w:r>
            <w:r>
              <w:rPr>
                <w:rFonts w:ascii="Arial"/>
                <w:b/>
                <w:w w:val="105"/>
                <w:sz w:val="16"/>
              </w:rPr>
              <w:t>l</w:t>
            </w:r>
            <w:r>
              <w:rPr>
                <w:rFonts w:ascii="Arial"/>
                <w:b/>
                <w:spacing w:val="-3"/>
                <w:w w:val="105"/>
                <w:sz w:val="16"/>
              </w:rPr>
              <w:t> </w:t>
            </w:r>
            <w:r>
              <w:rPr>
                <w:rFonts w:ascii="Arial"/>
                <w:b/>
                <w:w w:val="105"/>
                <w:sz w:val="16"/>
              </w:rPr>
              <w:t>general</w:t>
            </w:r>
          </w:p>
        </w:tc>
        <w:tc>
          <w:tcPr>
            <w:tcW w:w="1578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205" w:lineRule="exact"/>
              <w:ind w:left="57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105"/>
                <w:sz w:val="18"/>
              </w:rPr>
              <w:t>197,396</w:t>
            </w:r>
          </w:p>
        </w:tc>
        <w:tc>
          <w:tcPr>
            <w:tcW w:w="1463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205" w:lineRule="exact"/>
              <w:ind w:left="3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105"/>
                <w:sz w:val="18"/>
              </w:rPr>
              <w:t>1,115,844</w:t>
            </w:r>
          </w:p>
        </w:tc>
        <w:tc>
          <w:tcPr>
            <w:tcW w:w="1041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205" w:lineRule="exact"/>
              <w:ind w:left="29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105"/>
                <w:sz w:val="18"/>
              </w:rPr>
              <w:t>2,670</w:t>
            </w:r>
          </w:p>
        </w:tc>
        <w:tc>
          <w:tcPr>
            <w:tcW w:w="1265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205" w:lineRule="exact"/>
              <w:ind w:left="28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105"/>
                <w:sz w:val="18"/>
              </w:rPr>
              <w:t>248,208</w:t>
            </w:r>
          </w:p>
        </w:tc>
        <w:tc>
          <w:tcPr>
            <w:tcW w:w="1342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205" w:lineRule="exact"/>
              <w:ind w:left="3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105"/>
                <w:sz w:val="18"/>
              </w:rPr>
              <w:t>95,941</w:t>
            </w:r>
          </w:p>
        </w:tc>
        <w:tc>
          <w:tcPr>
            <w:tcW w:w="1358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205" w:lineRule="exact"/>
              <w:ind w:left="46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105"/>
                <w:sz w:val="18"/>
              </w:rPr>
              <w:t>1,660,059</w:t>
            </w:r>
          </w:p>
        </w:tc>
      </w:tr>
    </w:tbl>
    <w:p>
      <w:pPr>
        <w:spacing w:before="13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2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3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4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278" w:right="1076"/>
        <w:jc w:val="both"/>
      </w:pPr>
      <w:r>
        <w:rPr/>
        <w:pict>
          <v:group style="position:absolute;margin-left:66.513397pt;margin-top:30.696943pt;width:473.95pt;height:172.9pt;mso-position-horizontal-relative:page;mso-position-vertical-relative:paragraph;z-index:-15474176;mso-wrap-distance-left:0;mso-wrap-distance-right:0" coordorigin="1330,614" coordsize="9479,3458">
            <v:rect style="position:absolute;left:1338;top:622;width:9462;height:3441" filled="true" fillcolor="#ffffff" stroked="false">
              <v:fill type="solid"/>
            </v:rect>
            <v:line style="position:absolute" from="2265,3020" to="2348,3020" stroked="true" strokeweight=".791841pt" strokecolor="#d9d9d9">
              <v:stroke dashstyle="solid"/>
            </v:line>
            <v:shape style="position:absolute;left:2601;top:3015;width:1411;height:8" coordorigin="2601,3016" coordsize="1411,8" path="m2601,3024l3275,3024m3507,3024l4012,3024m2601,3016l3275,3016m3507,3016l4012,3016e" filled="false" stroked="true" strokeweight=".395923pt" strokecolor="#d9d9d9">
              <v:path arrowok="t"/>
              <v:stroke dashstyle="solid"/>
            </v:shape>
            <v:shape style="position:absolute;left:4242;top:3019;width:3072;height:2" coordorigin="4242,3020" coordsize="3072,0" path="m4242,3020l4621,3020m4853,3020l4916,3020m5169,3020l5653,3020m5905,3020l6262,3020m6514,3020l6577,3020m6830,3020l7314,3020e" filled="false" stroked="true" strokeweight=".791841pt" strokecolor="#d9d9d9">
              <v:path arrowok="t"/>
              <v:stroke dashstyle="solid"/>
            </v:shape>
            <v:shape style="position:absolute;left:7546;top:3015;width:1410;height:8" coordorigin="7546,3016" coordsize="1410,8" path="m7546,3024l8219,3024m8471,3024l8955,3024m7546,3016l8219,3016m8471,3016l8955,3016e" filled="false" stroked="true" strokeweight=".395916pt" strokecolor="#d9d9d9">
              <v:path arrowok="t"/>
              <v:stroke dashstyle="solid"/>
            </v:shape>
            <v:shape style="position:absolute;left:2265;top:2281;width:8260;height:739" coordorigin="2265,2281" coordsize="8260,739" path="m9208,3020l9587,3020m9818,3020l9881,3020m10134,3020l10525,3020m2265,2774l3275,2774m3507,2774l4916,2774m5169,2774l6577,2774m6830,2774l8219,2774m8471,2774l9881,2774m10134,2774l10525,2774m2265,2527l3275,2527m3507,2527l4916,2527m5169,2527l6577,2527m6830,2527l8219,2527m8471,2527l9881,2527m10134,2527l10525,2527m2265,2281l3275,2281m3507,2281l4916,2281m5169,2281l6577,2281m6830,2281l8219,2281m8471,2281l9881,2281m10134,2281l10525,2281e" filled="false" stroked="true" strokeweight=".791841pt" strokecolor="#d9d9d9">
              <v:path arrowok="t"/>
              <v:stroke dashstyle="solid"/>
            </v:shape>
            <v:shape style="position:absolute;left:2265;top:1804;width:8260;height:231" coordorigin="2265,1804" coordsize="8260,231" path="m2265,2035l2265,2035,10525,2035m2265,1804l2265,1804,10525,1804e" filled="false" stroked="true" strokeweight=".904248pt" strokecolor="#d9d9d9">
              <v:path arrowok="t"/>
              <v:stroke dashstyle="solid"/>
            </v:shape>
            <v:shape style="position:absolute;left:2348;top:2888;width:6860;height:376" coordorigin="2348,2888" coordsize="6860,376" path="m2601,2888l2348,2888,2348,3264,2601,3264,2601,2888xm4242,2888l4012,2888,4012,3264,4242,3264,4242,2888xm5905,2904l5653,2904,5653,3264,5905,3264,5905,2904xm7546,2904l7314,2904,7314,3264,7546,3264,7546,2904xm9208,2921l8955,2921,8955,3264,9208,3264,9208,2921xe" filled="true" fillcolor="#4471c4" stroked="false">
              <v:path arrowok="t"/>
              <v:fill type="solid"/>
            </v:shape>
            <v:shape style="position:absolute;left:2664;top:3069;width:6859;height:195" coordorigin="2664,3069" coordsize="6859,195" path="m2896,3069l2664,3069,2664,3264,2896,3264,2896,3069xm4557,3069l4305,3069,4305,3264,4557,3264,4557,3069xm6199,3069l5968,3069,5968,3264,6199,3264,6199,3069xm7862,3069l7609,3069,7609,3264,7862,3264,7862,3069xm9523,3069l9271,3069,9271,3264,9523,3264,9523,3069xe" filled="true" fillcolor="#ec7c30" stroked="false">
              <v:path arrowok="t"/>
              <v:fill type="solid"/>
            </v:shape>
            <v:shape style="position:absolute;left:2959;top:3002;width:6859;height:262" coordorigin="2960,3003" coordsize="6859,262" path="m3212,3020l2960,3020,2960,3264,3212,3264,3212,3020xm4853,3003l4621,3003,4621,3264,4853,3264,4853,3003xm6514,3003l6262,3003,6262,3264,6514,3264,6514,3003xm8177,3020l7925,3020,7925,3264,8177,3264,8177,3020xm9818,3003l9587,3003,9587,3264,9818,3264,9818,3003xe" filled="true" fillcolor="#a4a4a4" stroked="false">
              <v:path arrowok="t"/>
              <v:fill type="solid"/>
            </v:shape>
            <v:shape style="position:absolute;left:3274;top:2050;width:6860;height:1213" coordorigin="3275,2051" coordsize="6860,1213" path="m3507,2116l3275,2116,3275,3264,3507,3264,3507,2116xm5169,2100l4916,2100,4916,3264,5169,3264,5169,2100xm6830,2116l6577,2116,6577,3264,6830,3264,6830,2116xm8471,2100l8219,2100,8219,3264,8471,3264,8471,2100xm10134,2051l9881,2051,9881,3264,10134,3264,10134,2051xe" filled="true" fillcolor="#ffc000" stroked="false">
              <v:path arrowok="t"/>
              <v:fill type="solid"/>
            </v:shape>
            <v:shape style="position:absolute;left:3569;top:3248;width:6858;height:16" coordorigin="3570,3249" coordsize="6858,16" path="m3822,3249l3570,3249,3570,3264,3822,3264,3822,3249xm5464,3249l5232,3249,5232,3264,5464,3264,5464,3249xm7125,3249l6872,3249,6872,3264,7125,3264,7125,3249xm8786,3249l8534,3249,8534,3264,8786,3264,8786,3249xm10428,3249l10197,3249,10197,3264,10428,3264,10428,3249xe" filled="true" fillcolor="#5b9bd4" stroked="false">
              <v:path arrowok="t"/>
              <v:fill type="solid"/>
            </v:shape>
            <v:shape style="position:absolute;left:2255;top:3263;width:8270;height:2" coordorigin="2256,3264" coordsize="8270,0" path="m2256,3264l2256,3264,10525,3264e" filled="false" stroked="true" strokeweight=".791829pt" strokecolor="#d9d9d9">
              <v:path arrowok="t"/>
              <v:stroke dashstyle="solid"/>
            </v:shape>
            <v:rect style="position:absolute;left:2454;top:3750;width:94;height:73" filled="true" fillcolor="#4471c4" stroked="false">
              <v:fill type="solid"/>
            </v:rect>
            <v:rect style="position:absolute;left:3487;top:3750;width:94;height:73" filled="true" fillcolor="#ec7c30" stroked="false">
              <v:fill type="solid"/>
            </v:rect>
            <v:rect style="position:absolute;left:5138;top:3750;width:94;height:73" filled="true" fillcolor="#a4a4a4" stroked="false">
              <v:fill type="solid"/>
            </v:rect>
            <v:rect style="position:absolute;left:6616;top:3750;width:93;height:73" filled="true" fillcolor="#ffc000" stroked="false">
              <v:fill type="solid"/>
            </v:rect>
            <v:rect style="position:absolute;left:7803;top:3750;width:92;height:73" filled="true" fillcolor="#5b9bd4" stroked="false">
              <v:fill type="solid"/>
            </v:rect>
            <v:rect style="position:absolute;left:1338;top:622;width:9462;height:3441" filled="false" stroked="true" strokeweight=".818088pt" strokecolor="#d9d9d9">
              <v:stroke dashstyle="solid"/>
            </v:rect>
            <v:shape style="position:absolute;left:3934;top:794;width:4287;height:573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-1" w:right="18" w:firstLine="0"/>
                      <w:jc w:val="center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30"/>
                        <w:sz w:val="17"/>
                      </w:rPr>
                      <w:t>Tota</w:t>
                    </w:r>
                    <w:r>
                      <w:rPr>
                        <w:rFonts w:ascii="Arial"/>
                        <w:b/>
                        <w:spacing w:val="-38"/>
                        <w:w w:val="130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30"/>
                        <w:sz w:val="17"/>
                      </w:rPr>
                      <w:t>l</w:t>
                    </w:r>
                    <w:r>
                      <w:rPr>
                        <w:rFonts w:ascii="Arial"/>
                        <w:b/>
                        <w:spacing w:val="-10"/>
                        <w:w w:val="130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30"/>
                        <w:sz w:val="17"/>
                      </w:rPr>
                      <w:t>de</w:t>
                    </w:r>
                    <w:r>
                      <w:rPr>
                        <w:rFonts w:ascii="Arial"/>
                        <w:b/>
                        <w:spacing w:val="19"/>
                        <w:w w:val="130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30"/>
                        <w:sz w:val="17"/>
                      </w:rPr>
                      <w:t>estudia</w:t>
                    </w:r>
                    <w:r>
                      <w:rPr>
                        <w:rFonts w:ascii="Arial"/>
                        <w:b/>
                        <w:spacing w:val="-40"/>
                        <w:w w:val="130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30"/>
                        <w:sz w:val="17"/>
                      </w:rPr>
                      <w:t>ntes</w:t>
                    </w:r>
                    <w:r>
                      <w:rPr>
                        <w:rFonts w:ascii="Arial"/>
                        <w:b/>
                        <w:spacing w:val="-25"/>
                        <w:w w:val="130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30"/>
                        <w:sz w:val="17"/>
                      </w:rPr>
                      <w:t>por</w:t>
                    </w:r>
                    <w:r>
                      <w:rPr>
                        <w:rFonts w:ascii="Arial"/>
                        <w:b/>
                        <w:spacing w:val="-15"/>
                        <w:w w:val="130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30"/>
                        <w:sz w:val="17"/>
                      </w:rPr>
                      <w:t>Nivel</w:t>
                    </w:r>
                    <w:r>
                      <w:rPr>
                        <w:rFonts w:ascii="Arial"/>
                        <w:b/>
                        <w:spacing w:val="-9"/>
                        <w:w w:val="130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30"/>
                        <w:sz w:val="17"/>
                      </w:rPr>
                      <w:t>Educa</w:t>
                    </w:r>
                    <w:r>
                      <w:rPr>
                        <w:rFonts w:ascii="Arial"/>
                        <w:b/>
                        <w:spacing w:val="-39"/>
                        <w:w w:val="130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30"/>
                        <w:sz w:val="17"/>
                      </w:rPr>
                      <w:t>tivo</w:t>
                    </w:r>
                    <w:r>
                      <w:rPr>
                        <w:rFonts w:ascii="Arial"/>
                        <w:b/>
                        <w:spacing w:val="-59"/>
                        <w:w w:val="130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w w:val="130"/>
                        <w:sz w:val="17"/>
                      </w:rPr>
                      <w:t>Departamento</w:t>
                    </w:r>
                    <w:r>
                      <w:rPr>
                        <w:rFonts w:ascii="Arial"/>
                        <w:b/>
                        <w:spacing w:val="12"/>
                        <w:w w:val="130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w w:val="130"/>
                        <w:sz w:val="17"/>
                      </w:rPr>
                      <w:t>de</w:t>
                    </w:r>
                    <w:r>
                      <w:rPr>
                        <w:rFonts w:ascii="Arial"/>
                        <w:b/>
                        <w:spacing w:val="26"/>
                        <w:w w:val="130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w w:val="130"/>
                        <w:sz w:val="17"/>
                      </w:rPr>
                      <w:t>Alta</w:t>
                    </w:r>
                    <w:r>
                      <w:rPr>
                        <w:rFonts w:ascii="Arial"/>
                        <w:b/>
                        <w:spacing w:val="32"/>
                        <w:w w:val="130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w w:val="130"/>
                        <w:sz w:val="17"/>
                      </w:rPr>
                      <w:t>Verapaz</w:t>
                    </w:r>
                  </w:p>
                  <w:p>
                    <w:pPr>
                      <w:spacing w:before="15"/>
                      <w:ind w:left="1586" w:right="1613" w:firstLine="0"/>
                      <w:jc w:val="center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35"/>
                        <w:sz w:val="14"/>
                      </w:rPr>
                      <w:t>(2017-</w:t>
                    </w:r>
                    <w:r>
                      <w:rPr>
                        <w:rFonts w:ascii="Arial"/>
                        <w:b/>
                        <w:spacing w:val="-35"/>
                        <w:w w:val="135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w w:val="135"/>
                        <w:sz w:val="14"/>
                      </w:rPr>
                      <w:t>2021)</w:t>
                    </w:r>
                  </w:p>
                </w:txbxContent>
              </v:textbox>
              <w10:wrap type="none"/>
            </v:shape>
            <v:shape style="position:absolute;left:1487;top:1719;width:625;height:1628" type="#_x0000_t202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10"/>
                        <w:sz w:val="13"/>
                      </w:rPr>
                      <w:t>120,000</w:t>
                    </w:r>
                  </w:p>
                  <w:p>
                    <w:pPr>
                      <w:spacing w:before="86"/>
                      <w:ind w:left="0" w:right="18" w:firstLine="0"/>
                      <w:jc w:val="righ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10"/>
                        <w:sz w:val="13"/>
                      </w:rPr>
                      <w:t>100,000</w:t>
                    </w:r>
                  </w:p>
                  <w:p>
                    <w:pPr>
                      <w:spacing w:before="87"/>
                      <w:ind w:left="0" w:right="27" w:firstLine="0"/>
                      <w:jc w:val="righ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10"/>
                        <w:sz w:val="13"/>
                      </w:rPr>
                      <w:t>80,000</w:t>
                    </w:r>
                  </w:p>
                  <w:p>
                    <w:pPr>
                      <w:spacing w:before="87"/>
                      <w:ind w:left="0" w:right="27" w:firstLine="0"/>
                      <w:jc w:val="righ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10"/>
                        <w:sz w:val="13"/>
                      </w:rPr>
                      <w:t>60,000</w:t>
                    </w:r>
                  </w:p>
                  <w:p>
                    <w:pPr>
                      <w:spacing w:before="86"/>
                      <w:ind w:left="0" w:right="27" w:firstLine="0"/>
                      <w:jc w:val="righ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10"/>
                        <w:sz w:val="13"/>
                      </w:rPr>
                      <w:t>40,000</w:t>
                    </w:r>
                  </w:p>
                  <w:p>
                    <w:pPr>
                      <w:spacing w:before="87"/>
                      <w:ind w:left="0" w:right="27" w:firstLine="0"/>
                      <w:jc w:val="righ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10"/>
                        <w:sz w:val="13"/>
                      </w:rPr>
                      <w:t>20,000</w:t>
                    </w:r>
                  </w:p>
                  <w:p>
                    <w:pPr>
                      <w:spacing w:before="87"/>
                      <w:ind w:left="0" w:right="25" w:firstLine="0"/>
                      <w:jc w:val="righ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12"/>
                        <w:sz w:val="13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891;top:3353;width:394;height:16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10"/>
                        <w:sz w:val="13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4545;top:3353;width:394;height:16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10"/>
                        <w:sz w:val="13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6205;top:3353;width:394;height:16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10"/>
                        <w:sz w:val="13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7854;top:3353;width:394;height:16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10"/>
                        <w:sz w:val="13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9513;top:3353;width:394;height:16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10"/>
                        <w:sz w:val="13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2583;top:3706;width:645;height:16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20"/>
                        <w:sz w:val="13"/>
                      </w:rPr>
                      <w:t>BASICO</w:t>
                    </w:r>
                  </w:p>
                </w:txbxContent>
              </v:textbox>
              <w10:wrap type="none"/>
            </v:shape>
            <v:shape style="position:absolute;left:3617;top:3706;width:1269;height:16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spacing w:val="1"/>
                        <w:w w:val="124"/>
                        <w:sz w:val="13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w w:val="69"/>
                        <w:sz w:val="13"/>
                      </w:rPr>
                      <w:t>I</w:t>
                    </w:r>
                    <w:r>
                      <w:rPr>
                        <w:rFonts w:ascii="Verdana"/>
                        <w:w w:val="132"/>
                        <w:sz w:val="13"/>
                      </w:rPr>
                      <w:t>V</w:t>
                    </w:r>
                    <w:r>
                      <w:rPr>
                        <w:rFonts w:ascii="Verdana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Verdana"/>
                        <w:spacing w:val="1"/>
                        <w:w w:val="112"/>
                        <w:sz w:val="13"/>
                      </w:rPr>
                      <w:t>R</w:t>
                    </w:r>
                    <w:r>
                      <w:rPr>
                        <w:rFonts w:ascii="Verdana"/>
                        <w:w w:val="84"/>
                        <w:sz w:val="13"/>
                      </w:rPr>
                      <w:t>SI</w:t>
                    </w:r>
                    <w:r>
                      <w:rPr>
                        <w:rFonts w:ascii="Verdana"/>
                        <w:w w:val="108"/>
                        <w:sz w:val="13"/>
                      </w:rPr>
                      <w:t>F</w:t>
                    </w:r>
                    <w:r>
                      <w:rPr>
                        <w:rFonts w:ascii="Verdana"/>
                        <w:w w:val="69"/>
                        <w:sz w:val="13"/>
                      </w:rPr>
                      <w:t>I</w:t>
                    </w:r>
                    <w:r>
                      <w:rPr>
                        <w:rFonts w:ascii="Verdana"/>
                        <w:spacing w:val="-1"/>
                        <w:w w:val="144"/>
                        <w:sz w:val="13"/>
                      </w:rPr>
                      <w:t>C</w:t>
                    </w:r>
                    <w:r>
                      <w:rPr>
                        <w:rFonts w:ascii="Verdana"/>
                        <w:w w:val="144"/>
                        <w:sz w:val="13"/>
                      </w:rPr>
                      <w:t>A</w:t>
                    </w:r>
                    <w:r>
                      <w:rPr>
                        <w:rFonts w:ascii="Verdana"/>
                        <w:spacing w:val="1"/>
                        <w:w w:val="124"/>
                        <w:sz w:val="13"/>
                      </w:rPr>
                      <w:t>D</w:t>
                    </w:r>
                    <w:r>
                      <w:rPr>
                        <w:rFonts w:ascii="Verdana"/>
                        <w:w w:val="142"/>
                        <w:sz w:val="13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5267;top:3706;width:1091;height:16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spacing w:val="-1"/>
                        <w:w w:val="120"/>
                        <w:sz w:val="13"/>
                      </w:rPr>
                      <w:t>PREPRIMARIA</w:t>
                    </w:r>
                  </w:p>
                </w:txbxContent>
              </v:textbox>
              <w10:wrap type="none"/>
            </v:shape>
            <v:shape style="position:absolute;left:6746;top:3706;width:800;height:16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20"/>
                        <w:sz w:val="13"/>
                      </w:rPr>
                      <w:t>PRIMARIA</w:t>
                    </w:r>
                  </w:p>
                </w:txbxContent>
              </v:textbox>
              <w10:wrap type="none"/>
            </v:shape>
            <v:shape style="position:absolute;left:7932;top:3706;width:1844;height:16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26"/>
                        <w:sz w:val="13"/>
                      </w:rPr>
                      <w:t>P</w:t>
                    </w:r>
                    <w:r>
                      <w:rPr>
                        <w:rFonts w:ascii="Verdana"/>
                        <w:spacing w:val="-1"/>
                        <w:w w:val="112"/>
                        <w:sz w:val="13"/>
                      </w:rPr>
                      <w:t>R</w:t>
                    </w:r>
                    <w:r>
                      <w:rPr>
                        <w:rFonts w:ascii="Verdana"/>
                        <w:spacing w:val="1"/>
                        <w:w w:val="69"/>
                        <w:sz w:val="13"/>
                      </w:rPr>
                      <w:t>I</w:t>
                    </w:r>
                    <w:r>
                      <w:rPr>
                        <w:rFonts w:ascii="Verdana"/>
                        <w:w w:val="140"/>
                        <w:sz w:val="13"/>
                      </w:rPr>
                      <w:t>M</w:t>
                    </w:r>
                    <w:r>
                      <w:rPr>
                        <w:rFonts w:ascii="Verdana"/>
                        <w:spacing w:val="1"/>
                        <w:w w:val="139"/>
                        <w:sz w:val="13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112"/>
                        <w:sz w:val="13"/>
                      </w:rPr>
                      <w:t>R</w:t>
                    </w:r>
                    <w:r>
                      <w:rPr>
                        <w:rFonts w:ascii="Verdana"/>
                        <w:w w:val="69"/>
                        <w:sz w:val="13"/>
                      </w:rPr>
                      <w:t>I</w:t>
                    </w:r>
                    <w:r>
                      <w:rPr>
                        <w:rFonts w:ascii="Verdana"/>
                        <w:w w:val="139"/>
                        <w:sz w:val="13"/>
                      </w:rPr>
                      <w:t>A</w:t>
                    </w:r>
                    <w:r>
                      <w:rPr>
                        <w:rFonts w:ascii="Verdana"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Verdana"/>
                        <w:w w:val="124"/>
                        <w:sz w:val="13"/>
                      </w:rPr>
                      <w:t>D</w:t>
                    </w:r>
                    <w:r>
                      <w:rPr>
                        <w:rFonts w:ascii="Verdana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Verdana"/>
                        <w:spacing w:val="1"/>
                        <w:sz w:val="13"/>
                      </w:rPr>
                      <w:t> </w:t>
                    </w:r>
                    <w:r>
                      <w:rPr>
                        <w:rFonts w:ascii="Verdana"/>
                        <w:w w:val="139"/>
                        <w:sz w:val="13"/>
                      </w:rPr>
                      <w:t>A</w:t>
                    </w:r>
                    <w:r>
                      <w:rPr>
                        <w:rFonts w:ascii="Verdana"/>
                        <w:w w:val="124"/>
                        <w:sz w:val="13"/>
                      </w:rPr>
                      <w:t>D</w:t>
                    </w:r>
                    <w:r>
                      <w:rPr>
                        <w:rFonts w:ascii="Verdana"/>
                        <w:spacing w:val="1"/>
                        <w:w w:val="115"/>
                        <w:sz w:val="13"/>
                      </w:rPr>
                      <w:t>U</w:t>
                    </w:r>
                    <w:r>
                      <w:rPr>
                        <w:rFonts w:ascii="Verdana"/>
                        <w:spacing w:val="-8"/>
                        <w:w w:val="106"/>
                        <w:sz w:val="13"/>
                      </w:rPr>
                      <w:t>L</w:t>
                    </w:r>
                    <w:r>
                      <w:rPr>
                        <w:rFonts w:ascii="Verdana"/>
                        <w:spacing w:val="1"/>
                        <w:w w:val="88"/>
                        <w:sz w:val="13"/>
                      </w:rPr>
                      <w:t>T</w:t>
                    </w:r>
                    <w:r>
                      <w:rPr>
                        <w:rFonts w:ascii="Verdana"/>
                        <w:spacing w:val="1"/>
                        <w:w w:val="142"/>
                        <w:sz w:val="13"/>
                      </w:rPr>
                      <w:t>O</w:t>
                    </w:r>
                    <w:r>
                      <w:rPr>
                        <w:rFonts w:ascii="Verdana"/>
                        <w:w w:val="93"/>
                        <w:sz w:val="13"/>
                      </w:rPr>
                      <w:t>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Este tablero, presenta el total de estudiantes por Nivel Educativo para el Departamento de Alta Verapaz</w:t>
      </w:r>
      <w:r>
        <w:rPr>
          <w:spacing w:val="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lapso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5 años.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  <w:r>
        <w:rPr/>
        <w:pict>
          <v:rect style="position:absolute;margin-left:563.880005pt;margin-top:19.516541pt;width:25.44pt;height:1.4399pt;mso-position-horizontal-relative:page;mso-position-vertical-relative:paragraph;z-index:-1547366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126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6921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6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0"/>
        <w:jc w:val="both"/>
      </w:pP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tuvo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estudiantil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318,748.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2018,</w:t>
      </w:r>
      <w:r>
        <w:rPr>
          <w:spacing w:val="1"/>
        </w:rPr>
        <w:t> </w:t>
      </w:r>
      <w:r>
        <w:rPr/>
        <w:t>mostró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pequeño</w:t>
      </w:r>
      <w:r>
        <w:rPr>
          <w:spacing w:val="1"/>
        </w:rPr>
        <w:t> </w:t>
      </w:r>
      <w:r>
        <w:rPr/>
        <w:t>incremento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13,163</w:t>
      </w:r>
      <w:r>
        <w:rPr>
          <w:spacing w:val="-7"/>
        </w:rPr>
        <w:t> </w:t>
      </w:r>
      <w:r>
        <w:rPr/>
        <w:t>alumnos,</w:t>
      </w:r>
      <w:r>
        <w:rPr>
          <w:spacing w:val="-8"/>
        </w:rPr>
        <w:t> </w:t>
      </w:r>
      <w:r>
        <w:rPr/>
        <w:t>lo</w:t>
      </w:r>
      <w:r>
        <w:rPr>
          <w:spacing w:val="-10"/>
        </w:rPr>
        <w:t> </w:t>
      </w:r>
      <w:r>
        <w:rPr/>
        <w:t>cual,</w:t>
      </w:r>
      <w:r>
        <w:rPr>
          <w:spacing w:val="-8"/>
        </w:rPr>
        <w:t> </w:t>
      </w:r>
      <w:r>
        <w:rPr/>
        <w:t>representó</w:t>
      </w:r>
      <w:r>
        <w:rPr>
          <w:spacing w:val="-7"/>
        </w:rPr>
        <w:t> </w:t>
      </w:r>
      <w:r>
        <w:rPr/>
        <w:t>un</w:t>
      </w:r>
      <w:r>
        <w:rPr>
          <w:spacing w:val="-9"/>
        </w:rPr>
        <w:t> </w:t>
      </w:r>
      <w:r>
        <w:rPr/>
        <w:t>5%</w:t>
      </w:r>
      <w:r>
        <w:rPr>
          <w:spacing w:val="-7"/>
        </w:rPr>
        <w:t> </w:t>
      </w:r>
      <w:r>
        <w:rPr/>
        <w:t>con</w:t>
      </w:r>
      <w:r>
        <w:rPr>
          <w:spacing w:val="-9"/>
        </w:rPr>
        <w:t> </w:t>
      </w:r>
      <w:r>
        <w:rPr/>
        <w:t>respecto</w:t>
      </w:r>
      <w:r>
        <w:rPr>
          <w:spacing w:val="-7"/>
        </w:rPr>
        <w:t> </w:t>
      </w:r>
      <w:r>
        <w:rPr/>
        <w:t>al</w:t>
      </w:r>
      <w:r>
        <w:rPr>
          <w:spacing w:val="-9"/>
        </w:rPr>
        <w:t> </w:t>
      </w:r>
      <w:r>
        <w:rPr/>
        <w:t>año</w:t>
      </w:r>
      <w:r>
        <w:rPr>
          <w:spacing w:val="-7"/>
        </w:rPr>
        <w:t> </w:t>
      </w:r>
      <w:r>
        <w:rPr/>
        <w:t>previo.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2019,</w:t>
      </w:r>
      <w:r>
        <w:rPr>
          <w:spacing w:val="-8"/>
        </w:rPr>
        <w:t> </w:t>
      </w:r>
      <w:r>
        <w:rPr/>
        <w:t>continuó</w:t>
      </w:r>
      <w:r>
        <w:rPr>
          <w:spacing w:val="-47"/>
        </w:rPr>
        <w:t> </w:t>
      </w:r>
      <w:r>
        <w:rPr/>
        <w:t>con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tendencia</w:t>
      </w:r>
      <w:r>
        <w:rPr>
          <w:spacing w:val="-5"/>
        </w:rPr>
        <w:t> </w:t>
      </w:r>
      <w:r>
        <w:rPr/>
        <w:t>al</w:t>
      </w:r>
      <w:r>
        <w:rPr>
          <w:spacing w:val="-3"/>
        </w:rPr>
        <w:t> </w:t>
      </w:r>
      <w:r>
        <w:rPr/>
        <w:t>alza</w:t>
      </w:r>
      <w:r>
        <w:rPr>
          <w:spacing w:val="-3"/>
        </w:rPr>
        <w:t> </w:t>
      </w:r>
      <w:r>
        <w:rPr/>
        <w:t>con</w:t>
      </w:r>
      <w:r>
        <w:rPr>
          <w:spacing w:val="-5"/>
        </w:rPr>
        <w:t> </w:t>
      </w:r>
      <w:r>
        <w:rPr/>
        <w:t>un</w:t>
      </w:r>
      <w:r>
        <w:rPr>
          <w:spacing w:val="-3"/>
        </w:rPr>
        <w:t> </w:t>
      </w:r>
      <w:r>
        <w:rPr/>
        <w:t>total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332,930</w:t>
      </w:r>
      <w:r>
        <w:rPr>
          <w:spacing w:val="-5"/>
        </w:rPr>
        <w:t> </w:t>
      </w:r>
      <w:r>
        <w:rPr/>
        <w:t>estudiantes.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tendencia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continuó</w:t>
      </w:r>
      <w:r>
        <w:rPr>
          <w:spacing w:val="-2"/>
        </w:rPr>
        <w:t> </w:t>
      </w:r>
      <w:r>
        <w:rPr/>
        <w:t>ampliando</w:t>
      </w:r>
      <w:r>
        <w:rPr>
          <w:spacing w:val="-1"/>
        </w:rPr>
        <w:t> </w:t>
      </w:r>
      <w:r>
        <w:rPr/>
        <w:t>durante</w:t>
      </w:r>
      <w:r>
        <w:rPr>
          <w:spacing w:val="-47"/>
        </w:rPr>
        <w:t> </w:t>
      </w:r>
      <w:r>
        <w:rPr/>
        <w:t>los</w:t>
      </w:r>
      <w:r>
        <w:rPr>
          <w:spacing w:val="-1"/>
        </w:rPr>
        <w:t> </w:t>
      </w:r>
      <w:r>
        <w:rPr/>
        <w:t>años</w:t>
      </w:r>
      <w:r>
        <w:rPr>
          <w:spacing w:val="-2"/>
        </w:rPr>
        <w:t> </w:t>
      </w:r>
      <w:r>
        <w:rPr/>
        <w:t>2020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2021,</w:t>
      </w:r>
      <w:r>
        <w:rPr>
          <w:spacing w:val="-1"/>
        </w:rPr>
        <w:t> </w:t>
      </w:r>
      <w:r>
        <w:rPr/>
        <w:t>evidenciando</w:t>
      </w:r>
      <w:r>
        <w:rPr>
          <w:spacing w:val="1"/>
        </w:rPr>
        <w:t> </w:t>
      </w:r>
      <w:r>
        <w:rPr/>
        <w:t>un</w:t>
      </w:r>
      <w:r>
        <w:rPr>
          <w:spacing w:val="-2"/>
        </w:rPr>
        <w:t> </w:t>
      </w:r>
      <w:r>
        <w:rPr/>
        <w:t>leve</w:t>
      </w:r>
      <w:r>
        <w:rPr>
          <w:spacing w:val="1"/>
        </w:rPr>
        <w:t> </w:t>
      </w:r>
      <w:r>
        <w:rPr/>
        <w:t>aumento del 2%</w:t>
      </w:r>
      <w:r>
        <w:rPr>
          <w:spacing w:val="1"/>
        </w:rPr>
        <w:t> </w:t>
      </w:r>
      <w:r>
        <w:rPr/>
        <w:t>de la</w:t>
      </w:r>
      <w:r>
        <w:rPr>
          <w:spacing w:val="-3"/>
        </w:rPr>
        <w:t> </w:t>
      </w:r>
      <w:r>
        <w:rPr/>
        <w:t>población estudiantil.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5"/>
        <w:jc w:val="both"/>
      </w:pPr>
      <w:r>
        <w:rPr/>
        <w:t>En términos particulares, el nivel que registró un crecimiento constante fue el nivel primario con una</w:t>
      </w:r>
      <w:r>
        <w:rPr>
          <w:spacing w:val="1"/>
        </w:rPr>
        <w:t> </w:t>
      </w:r>
      <w:r>
        <w:rPr/>
        <w:t>participación media de 223,169 estudiantes por año. Seguido por el nivel preprimaria, el cual, presentó</w:t>
      </w:r>
      <w:r>
        <w:rPr>
          <w:spacing w:val="1"/>
        </w:rPr>
        <w:t> </w:t>
      </w:r>
      <w:r>
        <w:rPr/>
        <w:t>una tendencia</w:t>
      </w:r>
      <w:r>
        <w:rPr>
          <w:spacing w:val="-3"/>
        </w:rPr>
        <w:t> </w:t>
      </w:r>
      <w:r>
        <w:rPr/>
        <w:t>estable.</w:t>
      </w:r>
    </w:p>
    <w:p>
      <w:pPr>
        <w:pStyle w:val="BodyText"/>
        <w:spacing w:before="1"/>
      </w:pPr>
    </w:p>
    <w:p>
      <w:pPr>
        <w:pStyle w:val="BodyText"/>
        <w:ind w:left="278" w:right="1072"/>
        <w:jc w:val="both"/>
      </w:pPr>
      <w:r>
        <w:rPr/>
        <w:t>La primaria de adultos es el que mayor deterioro posee debido a que ha mostrado un decrecimiento</w:t>
      </w:r>
      <w:r>
        <w:rPr>
          <w:spacing w:val="1"/>
        </w:rPr>
        <w:t> </w:t>
      </w:r>
      <w:r>
        <w:rPr/>
        <w:t>sostenido durante los cinco años. Mostrando el máximo descenso de la población entre el 2020 y 2021,</w:t>
      </w:r>
      <w:r>
        <w:rPr>
          <w:spacing w:val="1"/>
        </w:rPr>
        <w:t> </w:t>
      </w:r>
      <w:r>
        <w:rPr/>
        <w:t>con una reducción del 38% con respecto del año anterior. Seguido por el ciclo básico. Para estos niveles</w:t>
      </w:r>
      <w:r>
        <w:rPr>
          <w:spacing w:val="1"/>
        </w:rPr>
        <w:t> </w:t>
      </w:r>
      <w:r>
        <w:rPr/>
        <w:t>educativos, el descenso de la población estudiantil podría explicarse, porque poseen edad de trabajar y</w:t>
      </w:r>
      <w:r>
        <w:rPr>
          <w:spacing w:val="1"/>
        </w:rPr>
        <w:t> </w:t>
      </w:r>
      <w:r>
        <w:rPr/>
        <w:t>necesidad de incorporarse a diversas actividades. De acuerdo con la ENEI, al 2019 el grupo en edad de</w:t>
      </w:r>
      <w:r>
        <w:rPr>
          <w:spacing w:val="1"/>
        </w:rPr>
        <w:t> </w:t>
      </w:r>
      <w:r>
        <w:rPr/>
        <w:t>trabajar</w:t>
      </w:r>
      <w:r>
        <w:rPr>
          <w:spacing w:val="-1"/>
        </w:rPr>
        <w:t> </w:t>
      </w:r>
      <w:r>
        <w:rPr/>
        <w:t>(más de</w:t>
      </w:r>
      <w:r>
        <w:rPr>
          <w:spacing w:val="1"/>
        </w:rPr>
        <w:t> </w:t>
      </w:r>
      <w:r>
        <w:rPr/>
        <w:t>15 años)</w:t>
      </w:r>
      <w:r>
        <w:rPr>
          <w:spacing w:val="-1"/>
        </w:rPr>
        <w:t> </w:t>
      </w:r>
      <w:r>
        <w:rPr/>
        <w:t>para el área</w:t>
      </w:r>
      <w:r>
        <w:rPr>
          <w:spacing w:val="1"/>
        </w:rPr>
        <w:t> </w:t>
      </w:r>
      <w:r>
        <w:rPr/>
        <w:t>rural</w:t>
      </w:r>
      <w:r>
        <w:rPr>
          <w:spacing w:val="-1"/>
        </w:rPr>
        <w:t> </w:t>
      </w:r>
      <w:r>
        <w:rPr/>
        <w:t>ascendía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6,239,587 de</w:t>
      </w:r>
      <w:r>
        <w:rPr>
          <w:spacing w:val="1"/>
        </w:rPr>
        <w:t> </w:t>
      </w:r>
      <w:r>
        <w:rPr/>
        <w:t>jóvenes.</w:t>
      </w:r>
    </w:p>
    <w:p>
      <w:pPr>
        <w:pStyle w:val="BodyText"/>
        <w:spacing w:before="12"/>
        <w:rPr>
          <w:sz w:val="21"/>
        </w:rPr>
      </w:pPr>
    </w:p>
    <w:p>
      <w:pPr>
        <w:pStyle w:val="BodyText"/>
        <w:ind w:left="278" w:right="1072"/>
        <w:jc w:val="both"/>
      </w:pPr>
      <w:r>
        <w:rPr/>
        <w:t>A</w:t>
      </w:r>
      <w:r>
        <w:rPr>
          <w:spacing w:val="-5"/>
        </w:rPr>
        <w:t> </w:t>
      </w:r>
      <w:r>
        <w:rPr/>
        <w:t>diferencia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7"/>
        </w:rPr>
        <w:t> </w:t>
      </w:r>
      <w:r>
        <w:rPr/>
        <w:t>cuentas</w:t>
      </w:r>
      <w:r>
        <w:rPr>
          <w:spacing w:val="-8"/>
        </w:rPr>
        <w:t> </w:t>
      </w:r>
      <w:r>
        <w:rPr/>
        <w:t>generales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sistema,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nivel</w:t>
      </w:r>
      <w:r>
        <w:rPr>
          <w:spacing w:val="-6"/>
        </w:rPr>
        <w:t> </w:t>
      </w:r>
      <w:r>
        <w:rPr/>
        <w:t>diversificado</w:t>
      </w:r>
      <w:r>
        <w:rPr>
          <w:spacing w:val="-5"/>
        </w:rPr>
        <w:t> </w:t>
      </w:r>
      <w:r>
        <w:rPr/>
        <w:t>presentó</w:t>
      </w:r>
      <w:r>
        <w:rPr>
          <w:spacing w:val="-2"/>
        </w:rPr>
        <w:t> </w:t>
      </w:r>
      <w:r>
        <w:rPr/>
        <w:t>un</w:t>
      </w:r>
      <w:r>
        <w:rPr>
          <w:spacing w:val="-4"/>
        </w:rPr>
        <w:t> </w:t>
      </w:r>
      <w:r>
        <w:rPr/>
        <w:t>crecimiento</w:t>
      </w:r>
      <w:r>
        <w:rPr>
          <w:spacing w:val="-5"/>
        </w:rPr>
        <w:t> </w:t>
      </w:r>
      <w:r>
        <w:rPr/>
        <w:t>sostenido</w:t>
      </w:r>
      <w:r>
        <w:rPr>
          <w:spacing w:val="-47"/>
        </w:rPr>
        <w:t> </w:t>
      </w:r>
      <w:r>
        <w:rPr/>
        <w:t>durante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años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2017</w:t>
      </w:r>
      <w:r>
        <w:rPr>
          <w:spacing w:val="-3"/>
        </w:rPr>
        <w:t> </w:t>
      </w:r>
      <w:r>
        <w:rPr/>
        <w:t>al</w:t>
      </w:r>
      <w:r>
        <w:rPr>
          <w:spacing w:val="-4"/>
        </w:rPr>
        <w:t> </w:t>
      </w:r>
      <w:r>
        <w:rPr/>
        <w:t>2020,</w:t>
      </w:r>
      <w:r>
        <w:rPr>
          <w:spacing w:val="-3"/>
        </w:rPr>
        <w:t> </w:t>
      </w:r>
      <w:r>
        <w:rPr/>
        <w:t>dato</w:t>
      </w:r>
      <w:r>
        <w:rPr>
          <w:spacing w:val="-2"/>
        </w:rPr>
        <w:t> </w:t>
      </w:r>
      <w:r>
        <w:rPr/>
        <w:t>interesante</w:t>
      </w:r>
      <w:r>
        <w:rPr>
          <w:spacing w:val="-3"/>
        </w:rPr>
        <w:t> </w:t>
      </w:r>
      <w:r>
        <w:rPr/>
        <w:t>sobre</w:t>
      </w:r>
      <w:r>
        <w:rPr>
          <w:spacing w:val="-3"/>
        </w:rPr>
        <w:t> </w:t>
      </w:r>
      <w:r>
        <w:rPr/>
        <w:t>todo</w:t>
      </w:r>
      <w:r>
        <w:rPr>
          <w:spacing w:val="-2"/>
        </w:rPr>
        <w:t> </w:t>
      </w:r>
      <w:r>
        <w:rPr/>
        <w:t>por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contexto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pandemia</w:t>
      </w:r>
      <w:r>
        <w:rPr>
          <w:spacing w:val="-4"/>
        </w:rPr>
        <w:t> </w:t>
      </w:r>
      <w:r>
        <w:rPr/>
        <w:t>COVID-19,</w:t>
      </w:r>
      <w:r>
        <w:rPr>
          <w:spacing w:val="-48"/>
        </w:rPr>
        <w:t> </w:t>
      </w:r>
      <w:r>
        <w:rPr/>
        <w:t>para</w:t>
      </w:r>
      <w:r>
        <w:rPr>
          <w:spacing w:val="-1"/>
        </w:rPr>
        <w:t> </w:t>
      </w:r>
      <w:r>
        <w:rPr/>
        <w:t>presentar</w:t>
      </w:r>
      <w:r>
        <w:rPr>
          <w:spacing w:val="-3"/>
        </w:rPr>
        <w:t> </w:t>
      </w:r>
      <w:r>
        <w:rPr/>
        <w:t>una reducción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11% con</w:t>
      </w:r>
      <w:r>
        <w:rPr>
          <w:spacing w:val="-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del año precedente.</w:t>
      </w:r>
    </w:p>
    <w:p>
      <w:pPr>
        <w:pStyle w:val="BodyText"/>
        <w:spacing w:before="9"/>
        <w:rPr>
          <w:sz w:val="19"/>
        </w:rPr>
      </w:pPr>
    </w:p>
    <w:p>
      <w:pPr>
        <w:pStyle w:val="Heading3"/>
        <w:numPr>
          <w:ilvl w:val="2"/>
          <w:numId w:val="32"/>
        </w:numPr>
        <w:tabs>
          <w:tab w:pos="998" w:val="left" w:leader="none"/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142" w:id="217"/>
      <w:bookmarkEnd w:id="217"/>
      <w:r>
        <w:rPr>
          <w:b w:val="0"/>
        </w:rPr>
      </w:r>
      <w:bookmarkStart w:name="_bookmark142" w:id="218"/>
      <w:bookmarkEnd w:id="218"/>
      <w:r>
        <w:rPr/>
        <w:t>Ind</w:t>
      </w:r>
      <w:r>
        <w:rPr/>
        <w:t>icador:</w:t>
      </w:r>
      <w:r>
        <w:rPr>
          <w:spacing w:val="-4"/>
        </w:rPr>
        <w:t> </w:t>
      </w:r>
      <w:r>
        <w:rPr/>
        <w:t>Tasa</w:t>
      </w:r>
      <w:r>
        <w:rPr>
          <w:spacing w:val="-3"/>
        </w:rPr>
        <w:t> </w:t>
      </w:r>
      <w:r>
        <w:rPr/>
        <w:t>Neta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Cobertura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2"/>
        <w:jc w:val="both"/>
      </w:pPr>
      <w:r>
        <w:rPr/>
        <w:t>Por otra parte, la cobertura educativa (TNE) específica para Alta Verapaz durante el período del 2017 al</w:t>
      </w:r>
      <w:r>
        <w:rPr>
          <w:spacing w:val="1"/>
        </w:rPr>
        <w:t> </w:t>
      </w:r>
      <w:r>
        <w:rPr/>
        <w:t>2020</w:t>
      </w:r>
      <w:r>
        <w:rPr>
          <w:spacing w:val="-6"/>
        </w:rPr>
        <w:t> </w:t>
      </w:r>
      <w:r>
        <w:rPr/>
        <w:t>ha</w:t>
      </w:r>
      <w:r>
        <w:rPr>
          <w:spacing w:val="-6"/>
        </w:rPr>
        <w:t> </w:t>
      </w:r>
      <w:r>
        <w:rPr/>
        <w:t>presentado</w:t>
      </w:r>
      <w:r>
        <w:rPr>
          <w:spacing w:val="-5"/>
        </w:rPr>
        <w:t> </w:t>
      </w:r>
      <w:r>
        <w:rPr/>
        <w:t>un</w:t>
      </w:r>
      <w:r>
        <w:rPr>
          <w:spacing w:val="-6"/>
        </w:rPr>
        <w:t> </w:t>
      </w:r>
      <w:r>
        <w:rPr/>
        <w:t>aumento</w:t>
      </w:r>
      <w:r>
        <w:rPr>
          <w:spacing w:val="-4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cobertura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nivel</w:t>
      </w:r>
      <w:r>
        <w:rPr>
          <w:spacing w:val="-7"/>
        </w:rPr>
        <w:t> </w:t>
      </w:r>
      <w:r>
        <w:rPr/>
        <w:t>primaria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comparación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TNE</w:t>
      </w:r>
      <w:r>
        <w:rPr>
          <w:spacing w:val="-7"/>
        </w:rPr>
        <w:t> </w:t>
      </w:r>
      <w:r>
        <w:rPr/>
        <w:t>nacional,</w:t>
      </w:r>
      <w:r>
        <w:rPr>
          <w:spacing w:val="-6"/>
        </w:rPr>
        <w:t> </w:t>
      </w:r>
      <w:r>
        <w:rPr/>
        <w:t>pero</w:t>
      </w:r>
      <w:r>
        <w:rPr>
          <w:spacing w:val="-47"/>
        </w:rPr>
        <w:t> </w:t>
      </w:r>
      <w:r>
        <w:rPr/>
        <w:t>presenta cantidades reducidas en la participación de los jóvenes en el ciclo básico y diversificado. En la</w:t>
      </w:r>
      <w:r>
        <w:rPr>
          <w:spacing w:val="1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tabla,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observan</w:t>
      </w:r>
      <w:r>
        <w:rPr>
          <w:spacing w:val="-1"/>
        </w:rPr>
        <w:t> </w:t>
      </w:r>
      <w:r>
        <w:rPr/>
        <w:t>las cifras</w:t>
      </w:r>
      <w:r>
        <w:rPr>
          <w:spacing w:val="-1"/>
        </w:rPr>
        <w:t> </w:t>
      </w:r>
      <w:r>
        <w:rPr/>
        <w:t>del TNE para el</w:t>
      </w:r>
      <w:r>
        <w:rPr>
          <w:spacing w:val="-2"/>
        </w:rPr>
        <w:t> </w:t>
      </w:r>
      <w:r>
        <w:rPr/>
        <w:t>período</w:t>
      </w:r>
      <w:r>
        <w:rPr>
          <w:spacing w:val="-2"/>
        </w:rPr>
        <w:t> </w:t>
      </w:r>
      <w:r>
        <w:rPr/>
        <w:t>2017-2020.</w:t>
      </w:r>
    </w:p>
    <w:p>
      <w:pPr>
        <w:pStyle w:val="BodyText"/>
        <w:spacing w:before="3"/>
      </w:pPr>
    </w:p>
    <w:p>
      <w:pPr>
        <w:pStyle w:val="BodyText"/>
        <w:spacing w:line="237" w:lineRule="auto" w:after="8"/>
        <w:ind w:left="278" w:right="1075"/>
        <w:jc w:val="both"/>
      </w:pPr>
      <w:r>
        <w:rPr/>
        <w:t>Tabla</w:t>
      </w:r>
      <w:r>
        <w:rPr>
          <w:spacing w:val="1"/>
        </w:rPr>
        <w:t> </w:t>
      </w:r>
      <w:r>
        <w:rPr/>
        <w:t>Nº.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Cobertura: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Bruta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Académico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47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de Alta</w:t>
      </w:r>
      <w:r>
        <w:rPr>
          <w:spacing w:val="-3"/>
        </w:rPr>
        <w:t> </w:t>
      </w:r>
      <w:r>
        <w:rPr/>
        <w:t>Verapaz</w:t>
      </w:r>
    </w:p>
    <w:tbl>
      <w:tblPr>
        <w:tblW w:w="0" w:type="auto"/>
        <w:jc w:val="left"/>
        <w:tblInd w:w="2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2"/>
        <w:gridCol w:w="2712"/>
        <w:gridCol w:w="1621"/>
        <w:gridCol w:w="1074"/>
        <w:gridCol w:w="1075"/>
        <w:gridCol w:w="1447"/>
      </w:tblGrid>
      <w:tr>
        <w:trPr>
          <w:trHeight w:val="349" w:hRule="atLeast"/>
        </w:trPr>
        <w:tc>
          <w:tcPr>
            <w:tcW w:w="9681" w:type="dxa"/>
            <w:gridSpan w:val="6"/>
            <w:tcBorders>
              <w:top w:val="nil"/>
              <w:bottom w:val="single" w:sz="6" w:space="0" w:color="000000"/>
              <w:right w:val="nil"/>
            </w:tcBorders>
            <w:shd w:val="clear" w:color="auto" w:fill="F1F1F1"/>
          </w:tcPr>
          <w:p>
            <w:pPr>
              <w:pStyle w:val="TableParagraph"/>
              <w:spacing w:before="71"/>
              <w:ind w:left="3068" w:right="306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30"/>
                <w:sz w:val="18"/>
              </w:rPr>
              <w:t>Departamento</w:t>
            </w:r>
            <w:r>
              <w:rPr>
                <w:rFonts w:ascii="Arial"/>
                <w:b/>
                <w:spacing w:val="7"/>
                <w:w w:val="130"/>
                <w:sz w:val="18"/>
              </w:rPr>
              <w:t> </w:t>
            </w:r>
            <w:r>
              <w:rPr>
                <w:rFonts w:ascii="Arial"/>
                <w:b/>
                <w:w w:val="130"/>
                <w:sz w:val="18"/>
              </w:rPr>
              <w:t>de</w:t>
            </w:r>
            <w:r>
              <w:rPr>
                <w:rFonts w:ascii="Arial"/>
                <w:b/>
                <w:spacing w:val="20"/>
                <w:w w:val="130"/>
                <w:sz w:val="18"/>
              </w:rPr>
              <w:t> </w:t>
            </w:r>
            <w:r>
              <w:rPr>
                <w:rFonts w:ascii="Arial"/>
                <w:b/>
                <w:w w:val="130"/>
                <w:sz w:val="18"/>
              </w:rPr>
              <w:t>Alta</w:t>
            </w:r>
            <w:r>
              <w:rPr>
                <w:rFonts w:ascii="Arial"/>
                <w:b/>
                <w:spacing w:val="26"/>
                <w:w w:val="130"/>
                <w:sz w:val="18"/>
              </w:rPr>
              <w:t> </w:t>
            </w:r>
            <w:r>
              <w:rPr>
                <w:rFonts w:ascii="Arial"/>
                <w:b/>
                <w:spacing w:val="9"/>
                <w:w w:val="130"/>
                <w:sz w:val="18"/>
              </w:rPr>
              <w:t>Verapaz</w:t>
            </w:r>
          </w:p>
        </w:tc>
      </w:tr>
      <w:tr>
        <w:trPr>
          <w:trHeight w:val="374" w:hRule="atLeast"/>
        </w:trPr>
        <w:tc>
          <w:tcPr>
            <w:tcW w:w="17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before="98"/>
              <w:ind w:left="145" w:right="140"/>
              <w:jc w:val="center"/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w w:val="125"/>
                <w:sz w:val="14"/>
              </w:rPr>
              <w:t>Años</w:t>
            </w:r>
          </w:p>
        </w:tc>
        <w:tc>
          <w:tcPr>
            <w:tcW w:w="271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before="98"/>
              <w:ind w:left="196" w:right="172"/>
              <w:jc w:val="center"/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w w:val="130"/>
                <w:sz w:val="14"/>
              </w:rPr>
              <w:t>ïndicadores</w:t>
            </w:r>
            <w:r>
              <w:rPr>
                <w:rFonts w:ascii="Verdana" w:hAnsi="Verdana"/>
                <w:spacing w:val="-7"/>
                <w:w w:val="130"/>
                <w:sz w:val="14"/>
              </w:rPr>
              <w:t> </w:t>
            </w:r>
            <w:r>
              <w:rPr>
                <w:rFonts w:ascii="Verdana" w:hAnsi="Verdana"/>
                <w:w w:val="130"/>
                <w:sz w:val="14"/>
              </w:rPr>
              <w:t>de</w:t>
            </w:r>
            <w:r>
              <w:rPr>
                <w:rFonts w:ascii="Verdana" w:hAnsi="Verdana"/>
                <w:spacing w:val="-7"/>
                <w:w w:val="130"/>
                <w:sz w:val="14"/>
              </w:rPr>
              <w:t> </w:t>
            </w:r>
            <w:r>
              <w:rPr>
                <w:rFonts w:ascii="Verdana" w:hAnsi="Verdana"/>
                <w:w w:val="130"/>
                <w:sz w:val="14"/>
              </w:rPr>
              <w:t>Cobertura</w:t>
            </w:r>
          </w:p>
        </w:tc>
        <w:tc>
          <w:tcPr>
            <w:tcW w:w="16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before="108"/>
              <w:ind w:left="292" w:right="25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30"/>
                <w:sz w:val="14"/>
              </w:rPr>
              <w:t>Preprimaria</w:t>
            </w:r>
          </w:p>
        </w:tc>
        <w:tc>
          <w:tcPr>
            <w:tcW w:w="107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before="108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7"/>
                <w:w w:val="130"/>
                <w:sz w:val="14"/>
              </w:rPr>
              <w:t>Prima</w:t>
            </w:r>
            <w:r>
              <w:rPr>
                <w:rFonts w:ascii="Arial"/>
                <w:b/>
                <w:spacing w:val="-32"/>
                <w:w w:val="130"/>
                <w:sz w:val="14"/>
              </w:rPr>
              <w:t> </w:t>
            </w:r>
            <w:r>
              <w:rPr>
                <w:rFonts w:ascii="Arial"/>
                <w:b/>
                <w:spacing w:val="-7"/>
                <w:w w:val="130"/>
                <w:sz w:val="14"/>
              </w:rPr>
              <w:t>ria</w:t>
            </w:r>
          </w:p>
        </w:tc>
        <w:tc>
          <w:tcPr>
            <w:tcW w:w="107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before="108"/>
              <w:ind w:left="158" w:right="15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7"/>
                <w:w w:val="130"/>
                <w:sz w:val="14"/>
              </w:rPr>
              <w:t>Bá</w:t>
            </w:r>
            <w:r>
              <w:rPr>
                <w:rFonts w:ascii="Arial" w:hAnsi="Arial"/>
                <w:b/>
                <w:spacing w:val="-33"/>
                <w:w w:val="130"/>
                <w:sz w:val="14"/>
              </w:rPr>
              <w:t> </w:t>
            </w:r>
            <w:r>
              <w:rPr>
                <w:rFonts w:ascii="Arial" w:hAnsi="Arial"/>
                <w:b/>
                <w:spacing w:val="-7"/>
                <w:w w:val="130"/>
                <w:sz w:val="14"/>
              </w:rPr>
              <w:t>sico</w:t>
            </w:r>
          </w:p>
        </w:tc>
        <w:tc>
          <w:tcPr>
            <w:tcW w:w="1447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F1F1F1"/>
          </w:tcPr>
          <w:p>
            <w:pPr>
              <w:pStyle w:val="TableParagraph"/>
              <w:spacing w:before="108"/>
              <w:ind w:left="139" w:right="12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4"/>
                <w:w w:val="130"/>
                <w:sz w:val="14"/>
              </w:rPr>
              <w:t>Dive</w:t>
            </w:r>
            <w:r>
              <w:rPr>
                <w:rFonts w:ascii="Arial"/>
                <w:b/>
                <w:spacing w:val="-35"/>
                <w:w w:val="130"/>
                <w:sz w:val="14"/>
              </w:rPr>
              <w:t> </w:t>
            </w:r>
            <w:r>
              <w:rPr>
                <w:rFonts w:ascii="Arial"/>
                <w:b/>
                <w:spacing w:val="-4"/>
                <w:w w:val="130"/>
                <w:sz w:val="14"/>
              </w:rPr>
              <w:t>rsifica</w:t>
            </w:r>
            <w:r>
              <w:rPr>
                <w:rFonts w:ascii="Arial"/>
                <w:b/>
                <w:spacing w:val="-31"/>
                <w:w w:val="130"/>
                <w:sz w:val="14"/>
              </w:rPr>
              <w:t> </w:t>
            </w:r>
            <w:r>
              <w:rPr>
                <w:rFonts w:ascii="Arial"/>
                <w:b/>
                <w:spacing w:val="-3"/>
                <w:w w:val="130"/>
                <w:sz w:val="14"/>
              </w:rPr>
              <w:t>do</w:t>
            </w:r>
          </w:p>
        </w:tc>
      </w:tr>
      <w:tr>
        <w:trPr>
          <w:trHeight w:val="373" w:hRule="atLeast"/>
        </w:trPr>
        <w:tc>
          <w:tcPr>
            <w:tcW w:w="1752" w:type="dxa"/>
            <w:vMerge w:val="restart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48" w:right="140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w w:val="115"/>
                <w:sz w:val="14"/>
              </w:rPr>
              <w:t>2017</w:t>
            </w:r>
          </w:p>
        </w:tc>
        <w:tc>
          <w:tcPr>
            <w:tcW w:w="271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8"/>
              <w:ind w:left="168" w:right="17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1D7CB3"/>
                <w:w w:val="125"/>
                <w:sz w:val="14"/>
              </w:rPr>
              <w:t>Tasa</w:t>
            </w:r>
            <w:r>
              <w:rPr>
                <w:rFonts w:ascii="Verdana"/>
                <w:color w:val="1D7CB3"/>
                <w:spacing w:val="-5"/>
                <w:w w:val="125"/>
                <w:sz w:val="14"/>
              </w:rPr>
              <w:t> </w:t>
            </w:r>
            <w:r>
              <w:rPr>
                <w:rFonts w:ascii="Verdana"/>
                <w:color w:val="1D7CB3"/>
                <w:w w:val="125"/>
                <w:sz w:val="14"/>
              </w:rPr>
              <w:t>Bruta</w:t>
            </w:r>
            <w:r>
              <w:rPr>
                <w:rFonts w:ascii="Verdana"/>
                <w:color w:val="1D7CB3"/>
                <w:spacing w:val="-4"/>
                <w:w w:val="125"/>
                <w:sz w:val="14"/>
              </w:rPr>
              <w:t> </w:t>
            </w:r>
            <w:r>
              <w:rPr>
                <w:rFonts w:ascii="Verdana"/>
                <w:color w:val="1D7CB3"/>
                <w:w w:val="125"/>
                <w:sz w:val="14"/>
              </w:rPr>
              <w:t>deCobertura</w:t>
            </w:r>
          </w:p>
        </w:tc>
        <w:tc>
          <w:tcPr>
            <w:tcW w:w="162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8"/>
              <w:ind w:left="255" w:right="256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w w:val="110"/>
                <w:sz w:val="14"/>
              </w:rPr>
              <w:t>55,38%</w:t>
            </w:r>
          </w:p>
        </w:tc>
        <w:tc>
          <w:tcPr>
            <w:tcW w:w="107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8"/>
              <w:ind w:left="189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w w:val="110"/>
                <w:sz w:val="14"/>
              </w:rPr>
              <w:t>112,21%</w:t>
            </w:r>
          </w:p>
        </w:tc>
        <w:tc>
          <w:tcPr>
            <w:tcW w:w="107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8"/>
              <w:ind w:left="158" w:right="14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w w:val="110"/>
                <w:sz w:val="14"/>
              </w:rPr>
              <w:t>55,59%</w:t>
            </w:r>
          </w:p>
        </w:tc>
        <w:tc>
          <w:tcPr>
            <w:tcW w:w="1447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98"/>
              <w:ind w:left="128" w:right="129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w w:val="110"/>
                <w:sz w:val="14"/>
              </w:rPr>
              <w:t>18,20%</w:t>
            </w:r>
          </w:p>
        </w:tc>
      </w:tr>
      <w:tr>
        <w:trPr>
          <w:trHeight w:val="374" w:hRule="atLeast"/>
        </w:trPr>
        <w:tc>
          <w:tcPr>
            <w:tcW w:w="1752" w:type="dxa"/>
            <w:vMerge/>
            <w:tcBorders>
              <w:top w:val="nil"/>
              <w:bottom w:val="single" w:sz="6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AEDF3"/>
          </w:tcPr>
          <w:p>
            <w:pPr>
              <w:pStyle w:val="TableParagraph"/>
              <w:spacing w:before="99"/>
              <w:ind w:left="170" w:right="17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1D7CB3"/>
                <w:w w:val="130"/>
                <w:sz w:val="14"/>
              </w:rPr>
              <w:t>Tasa</w:t>
            </w:r>
            <w:r>
              <w:rPr>
                <w:rFonts w:ascii="Verdana"/>
                <w:color w:val="1D7CB3"/>
                <w:spacing w:val="-15"/>
                <w:w w:val="130"/>
                <w:sz w:val="14"/>
              </w:rPr>
              <w:t> </w:t>
            </w:r>
            <w:r>
              <w:rPr>
                <w:rFonts w:ascii="Verdana"/>
                <w:color w:val="1D7CB3"/>
                <w:w w:val="130"/>
                <w:sz w:val="14"/>
              </w:rPr>
              <w:t>Neta</w:t>
            </w:r>
            <w:r>
              <w:rPr>
                <w:rFonts w:ascii="Verdana"/>
                <w:color w:val="1D7CB3"/>
                <w:spacing w:val="-13"/>
                <w:w w:val="130"/>
                <w:sz w:val="14"/>
              </w:rPr>
              <w:t> </w:t>
            </w:r>
            <w:r>
              <w:rPr>
                <w:rFonts w:ascii="Verdana"/>
                <w:color w:val="1D7CB3"/>
                <w:w w:val="130"/>
                <w:sz w:val="14"/>
              </w:rPr>
              <w:t>de</w:t>
            </w:r>
            <w:r>
              <w:rPr>
                <w:rFonts w:ascii="Verdana"/>
                <w:color w:val="1D7CB3"/>
                <w:spacing w:val="-15"/>
                <w:w w:val="130"/>
                <w:sz w:val="14"/>
              </w:rPr>
              <w:t> </w:t>
            </w:r>
            <w:r>
              <w:rPr>
                <w:rFonts w:ascii="Verdana"/>
                <w:color w:val="1D7CB3"/>
                <w:w w:val="130"/>
                <w:sz w:val="14"/>
              </w:rPr>
              <w:t>Cobertura</w:t>
            </w:r>
          </w:p>
        </w:tc>
        <w:tc>
          <w:tcPr>
            <w:tcW w:w="16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AEDF3"/>
          </w:tcPr>
          <w:p>
            <w:pPr>
              <w:pStyle w:val="TableParagraph"/>
              <w:spacing w:before="99"/>
              <w:ind w:left="255" w:right="256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w w:val="110"/>
                <w:sz w:val="14"/>
              </w:rPr>
              <w:t>45,32%</w:t>
            </w:r>
          </w:p>
        </w:tc>
        <w:tc>
          <w:tcPr>
            <w:tcW w:w="107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AEDF3"/>
          </w:tcPr>
          <w:p>
            <w:pPr>
              <w:pStyle w:val="TableParagraph"/>
              <w:spacing w:before="99"/>
              <w:ind w:left="238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w w:val="110"/>
                <w:sz w:val="14"/>
              </w:rPr>
              <w:t>89,18%</w:t>
            </w:r>
          </w:p>
        </w:tc>
        <w:tc>
          <w:tcPr>
            <w:tcW w:w="107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AEDF3"/>
          </w:tcPr>
          <w:p>
            <w:pPr>
              <w:pStyle w:val="TableParagraph"/>
              <w:spacing w:before="99"/>
              <w:ind w:left="158" w:right="14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w w:val="110"/>
                <w:sz w:val="14"/>
              </w:rPr>
              <w:t>31,31%</w:t>
            </w:r>
          </w:p>
        </w:tc>
        <w:tc>
          <w:tcPr>
            <w:tcW w:w="1447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DAEDF3"/>
          </w:tcPr>
          <w:p>
            <w:pPr>
              <w:pStyle w:val="TableParagraph"/>
              <w:spacing w:before="99"/>
              <w:ind w:left="128" w:right="129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w w:val="110"/>
                <w:sz w:val="14"/>
              </w:rPr>
              <w:t>11,08%</w:t>
            </w:r>
          </w:p>
        </w:tc>
      </w:tr>
      <w:tr>
        <w:trPr>
          <w:trHeight w:val="347" w:hRule="atLeast"/>
        </w:trPr>
        <w:tc>
          <w:tcPr>
            <w:tcW w:w="1752" w:type="dxa"/>
            <w:vMerge w:val="restart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48" w:right="140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w w:val="115"/>
                <w:sz w:val="14"/>
              </w:rPr>
              <w:t>2018</w:t>
            </w:r>
          </w:p>
        </w:tc>
        <w:tc>
          <w:tcPr>
            <w:tcW w:w="271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5"/>
              <w:ind w:left="168" w:right="17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1D7CB3"/>
                <w:w w:val="125"/>
                <w:sz w:val="14"/>
              </w:rPr>
              <w:t>Tasa</w:t>
            </w:r>
            <w:r>
              <w:rPr>
                <w:rFonts w:ascii="Verdana"/>
                <w:color w:val="1D7CB3"/>
                <w:spacing w:val="-5"/>
                <w:w w:val="125"/>
                <w:sz w:val="14"/>
              </w:rPr>
              <w:t> </w:t>
            </w:r>
            <w:r>
              <w:rPr>
                <w:rFonts w:ascii="Verdana"/>
                <w:color w:val="1D7CB3"/>
                <w:w w:val="125"/>
                <w:sz w:val="14"/>
              </w:rPr>
              <w:t>Bruta</w:t>
            </w:r>
            <w:r>
              <w:rPr>
                <w:rFonts w:ascii="Verdana"/>
                <w:color w:val="1D7CB3"/>
                <w:spacing w:val="-4"/>
                <w:w w:val="125"/>
                <w:sz w:val="14"/>
              </w:rPr>
              <w:t> </w:t>
            </w:r>
            <w:r>
              <w:rPr>
                <w:rFonts w:ascii="Verdana"/>
                <w:color w:val="1D7CB3"/>
                <w:w w:val="125"/>
                <w:sz w:val="14"/>
              </w:rPr>
              <w:t>deCobertura</w:t>
            </w:r>
          </w:p>
        </w:tc>
        <w:tc>
          <w:tcPr>
            <w:tcW w:w="162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5"/>
              <w:ind w:left="255" w:right="256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w w:val="110"/>
                <w:sz w:val="14"/>
              </w:rPr>
              <w:t>58,93%</w:t>
            </w:r>
          </w:p>
        </w:tc>
        <w:tc>
          <w:tcPr>
            <w:tcW w:w="107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5"/>
              <w:ind w:left="189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w w:val="110"/>
                <w:sz w:val="14"/>
              </w:rPr>
              <w:t>114,41%</w:t>
            </w:r>
          </w:p>
        </w:tc>
        <w:tc>
          <w:tcPr>
            <w:tcW w:w="107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5"/>
              <w:ind w:left="158" w:right="14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w w:val="110"/>
                <w:sz w:val="14"/>
              </w:rPr>
              <w:t>57,24%</w:t>
            </w:r>
          </w:p>
        </w:tc>
        <w:tc>
          <w:tcPr>
            <w:tcW w:w="1447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5"/>
              <w:ind w:left="128" w:right="129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w w:val="110"/>
                <w:sz w:val="14"/>
              </w:rPr>
              <w:t>20,24%</w:t>
            </w:r>
          </w:p>
        </w:tc>
      </w:tr>
      <w:tr>
        <w:trPr>
          <w:trHeight w:val="348" w:hRule="atLeast"/>
        </w:trPr>
        <w:tc>
          <w:tcPr>
            <w:tcW w:w="1752" w:type="dxa"/>
            <w:vMerge/>
            <w:tcBorders>
              <w:top w:val="nil"/>
              <w:bottom w:val="single" w:sz="6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AEDF3"/>
          </w:tcPr>
          <w:p>
            <w:pPr>
              <w:pStyle w:val="TableParagraph"/>
              <w:spacing w:before="86"/>
              <w:ind w:left="170" w:right="17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1D7CB3"/>
                <w:w w:val="130"/>
                <w:sz w:val="14"/>
              </w:rPr>
              <w:t>Tasa</w:t>
            </w:r>
            <w:r>
              <w:rPr>
                <w:rFonts w:ascii="Verdana"/>
                <w:color w:val="1D7CB3"/>
                <w:spacing w:val="-15"/>
                <w:w w:val="130"/>
                <w:sz w:val="14"/>
              </w:rPr>
              <w:t> </w:t>
            </w:r>
            <w:r>
              <w:rPr>
                <w:rFonts w:ascii="Verdana"/>
                <w:color w:val="1D7CB3"/>
                <w:w w:val="130"/>
                <w:sz w:val="14"/>
              </w:rPr>
              <w:t>Neta</w:t>
            </w:r>
            <w:r>
              <w:rPr>
                <w:rFonts w:ascii="Verdana"/>
                <w:color w:val="1D7CB3"/>
                <w:spacing w:val="-13"/>
                <w:w w:val="130"/>
                <w:sz w:val="14"/>
              </w:rPr>
              <w:t> </w:t>
            </w:r>
            <w:r>
              <w:rPr>
                <w:rFonts w:ascii="Verdana"/>
                <w:color w:val="1D7CB3"/>
                <w:w w:val="130"/>
                <w:sz w:val="14"/>
              </w:rPr>
              <w:t>de</w:t>
            </w:r>
            <w:r>
              <w:rPr>
                <w:rFonts w:ascii="Verdana"/>
                <w:color w:val="1D7CB3"/>
                <w:spacing w:val="-15"/>
                <w:w w:val="130"/>
                <w:sz w:val="14"/>
              </w:rPr>
              <w:t> </w:t>
            </w:r>
            <w:r>
              <w:rPr>
                <w:rFonts w:ascii="Verdana"/>
                <w:color w:val="1D7CB3"/>
                <w:w w:val="130"/>
                <w:sz w:val="14"/>
              </w:rPr>
              <w:t>Cobertura</w:t>
            </w:r>
          </w:p>
        </w:tc>
        <w:tc>
          <w:tcPr>
            <w:tcW w:w="16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AEDF3"/>
          </w:tcPr>
          <w:p>
            <w:pPr>
              <w:pStyle w:val="TableParagraph"/>
              <w:spacing w:before="95"/>
              <w:ind w:left="281" w:right="25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333333"/>
                <w:w w:val="130"/>
                <w:sz w:val="14"/>
              </w:rPr>
              <w:t>47,75%</w:t>
            </w:r>
          </w:p>
        </w:tc>
        <w:tc>
          <w:tcPr>
            <w:tcW w:w="107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AEDF3"/>
          </w:tcPr>
          <w:p>
            <w:pPr>
              <w:pStyle w:val="TableParagraph"/>
              <w:spacing w:before="86"/>
              <w:ind w:left="238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w w:val="110"/>
                <w:sz w:val="14"/>
              </w:rPr>
              <w:t>90,28%</w:t>
            </w:r>
          </w:p>
        </w:tc>
        <w:tc>
          <w:tcPr>
            <w:tcW w:w="107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AEDF3"/>
          </w:tcPr>
          <w:p>
            <w:pPr>
              <w:pStyle w:val="TableParagraph"/>
              <w:spacing w:before="86"/>
              <w:ind w:left="158" w:right="14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w w:val="110"/>
                <w:sz w:val="14"/>
              </w:rPr>
              <w:t>32,59%</w:t>
            </w:r>
          </w:p>
        </w:tc>
        <w:tc>
          <w:tcPr>
            <w:tcW w:w="1447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DAEDF3"/>
          </w:tcPr>
          <w:p>
            <w:pPr>
              <w:pStyle w:val="TableParagraph"/>
              <w:spacing w:before="86"/>
              <w:ind w:left="128" w:right="129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w w:val="110"/>
                <w:sz w:val="14"/>
              </w:rPr>
              <w:t>12,40%</w:t>
            </w:r>
          </w:p>
        </w:tc>
      </w:tr>
      <w:tr>
        <w:trPr>
          <w:trHeight w:val="347" w:hRule="atLeast"/>
        </w:trPr>
        <w:tc>
          <w:tcPr>
            <w:tcW w:w="1752" w:type="dxa"/>
            <w:vMerge w:val="restart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48" w:right="140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w w:val="115"/>
                <w:sz w:val="14"/>
              </w:rPr>
              <w:t>2019</w:t>
            </w:r>
          </w:p>
        </w:tc>
        <w:tc>
          <w:tcPr>
            <w:tcW w:w="271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5"/>
              <w:ind w:left="168" w:right="17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1D7CB3"/>
                <w:w w:val="125"/>
                <w:sz w:val="14"/>
              </w:rPr>
              <w:t>Tasa</w:t>
            </w:r>
            <w:r>
              <w:rPr>
                <w:rFonts w:ascii="Verdana"/>
                <w:color w:val="1D7CB3"/>
                <w:spacing w:val="-5"/>
                <w:w w:val="125"/>
                <w:sz w:val="14"/>
              </w:rPr>
              <w:t> </w:t>
            </w:r>
            <w:r>
              <w:rPr>
                <w:rFonts w:ascii="Verdana"/>
                <w:color w:val="1D7CB3"/>
                <w:w w:val="125"/>
                <w:sz w:val="14"/>
              </w:rPr>
              <w:t>Bruta</w:t>
            </w:r>
            <w:r>
              <w:rPr>
                <w:rFonts w:ascii="Verdana"/>
                <w:color w:val="1D7CB3"/>
                <w:spacing w:val="-4"/>
                <w:w w:val="125"/>
                <w:sz w:val="14"/>
              </w:rPr>
              <w:t> </w:t>
            </w:r>
            <w:r>
              <w:rPr>
                <w:rFonts w:ascii="Verdana"/>
                <w:color w:val="1D7CB3"/>
                <w:w w:val="125"/>
                <w:sz w:val="14"/>
              </w:rPr>
              <w:t>deCobertura</w:t>
            </w:r>
          </w:p>
        </w:tc>
        <w:tc>
          <w:tcPr>
            <w:tcW w:w="162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5"/>
              <w:ind w:left="255" w:right="256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w w:val="110"/>
                <w:sz w:val="14"/>
              </w:rPr>
              <w:t>58,75%</w:t>
            </w:r>
          </w:p>
        </w:tc>
        <w:tc>
          <w:tcPr>
            <w:tcW w:w="107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5"/>
              <w:ind w:left="189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w w:val="110"/>
                <w:sz w:val="14"/>
              </w:rPr>
              <w:t>112,93%</w:t>
            </w:r>
          </w:p>
        </w:tc>
        <w:tc>
          <w:tcPr>
            <w:tcW w:w="107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5"/>
              <w:ind w:left="158" w:right="14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w w:val="110"/>
                <w:sz w:val="14"/>
              </w:rPr>
              <w:t>56,77%</w:t>
            </w:r>
          </w:p>
        </w:tc>
        <w:tc>
          <w:tcPr>
            <w:tcW w:w="1447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5"/>
              <w:ind w:left="128" w:right="129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w w:val="110"/>
                <w:sz w:val="14"/>
              </w:rPr>
              <w:t>22,34%</w:t>
            </w:r>
          </w:p>
        </w:tc>
      </w:tr>
      <w:tr>
        <w:trPr>
          <w:trHeight w:val="347" w:hRule="atLeast"/>
        </w:trPr>
        <w:tc>
          <w:tcPr>
            <w:tcW w:w="1752" w:type="dxa"/>
            <w:vMerge/>
            <w:tcBorders>
              <w:top w:val="nil"/>
              <w:bottom w:val="single" w:sz="6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AEDF3"/>
          </w:tcPr>
          <w:p>
            <w:pPr>
              <w:pStyle w:val="TableParagraph"/>
              <w:spacing w:before="85"/>
              <w:ind w:left="170" w:right="17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1D7CB3"/>
                <w:w w:val="130"/>
                <w:sz w:val="14"/>
              </w:rPr>
              <w:t>Tasa</w:t>
            </w:r>
            <w:r>
              <w:rPr>
                <w:rFonts w:ascii="Verdana"/>
                <w:color w:val="1D7CB3"/>
                <w:spacing w:val="-15"/>
                <w:w w:val="130"/>
                <w:sz w:val="14"/>
              </w:rPr>
              <w:t> </w:t>
            </w:r>
            <w:r>
              <w:rPr>
                <w:rFonts w:ascii="Verdana"/>
                <w:color w:val="1D7CB3"/>
                <w:w w:val="130"/>
                <w:sz w:val="14"/>
              </w:rPr>
              <w:t>Neta</w:t>
            </w:r>
            <w:r>
              <w:rPr>
                <w:rFonts w:ascii="Verdana"/>
                <w:color w:val="1D7CB3"/>
                <w:spacing w:val="-13"/>
                <w:w w:val="130"/>
                <w:sz w:val="14"/>
              </w:rPr>
              <w:t> </w:t>
            </w:r>
            <w:r>
              <w:rPr>
                <w:rFonts w:ascii="Verdana"/>
                <w:color w:val="1D7CB3"/>
                <w:w w:val="130"/>
                <w:sz w:val="14"/>
              </w:rPr>
              <w:t>de</w:t>
            </w:r>
            <w:r>
              <w:rPr>
                <w:rFonts w:ascii="Verdana"/>
                <w:color w:val="1D7CB3"/>
                <w:spacing w:val="-15"/>
                <w:w w:val="130"/>
                <w:sz w:val="14"/>
              </w:rPr>
              <w:t> </w:t>
            </w:r>
            <w:r>
              <w:rPr>
                <w:rFonts w:ascii="Verdana"/>
                <w:color w:val="1D7CB3"/>
                <w:w w:val="130"/>
                <w:sz w:val="14"/>
              </w:rPr>
              <w:t>Cobertura</w:t>
            </w:r>
          </w:p>
        </w:tc>
        <w:tc>
          <w:tcPr>
            <w:tcW w:w="16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AEDF3"/>
          </w:tcPr>
          <w:p>
            <w:pPr>
              <w:pStyle w:val="TableParagraph"/>
              <w:spacing w:before="85"/>
              <w:ind w:left="255" w:right="256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w w:val="110"/>
                <w:sz w:val="14"/>
              </w:rPr>
              <w:t>47,59%</w:t>
            </w:r>
          </w:p>
        </w:tc>
        <w:tc>
          <w:tcPr>
            <w:tcW w:w="107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AEDF3"/>
          </w:tcPr>
          <w:p>
            <w:pPr>
              <w:pStyle w:val="TableParagraph"/>
              <w:spacing w:before="85"/>
              <w:ind w:left="238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w w:val="110"/>
                <w:sz w:val="14"/>
              </w:rPr>
              <w:t>90,17%</w:t>
            </w:r>
          </w:p>
        </w:tc>
        <w:tc>
          <w:tcPr>
            <w:tcW w:w="107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AEDF3"/>
          </w:tcPr>
          <w:p>
            <w:pPr>
              <w:pStyle w:val="TableParagraph"/>
              <w:spacing w:before="85"/>
              <w:ind w:left="158" w:right="14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w w:val="110"/>
                <w:sz w:val="14"/>
              </w:rPr>
              <w:t>32,89%</w:t>
            </w:r>
          </w:p>
        </w:tc>
        <w:tc>
          <w:tcPr>
            <w:tcW w:w="1447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DAEDF3"/>
          </w:tcPr>
          <w:p>
            <w:pPr>
              <w:pStyle w:val="TableParagraph"/>
              <w:spacing w:before="85"/>
              <w:ind w:left="128" w:right="129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w w:val="110"/>
                <w:sz w:val="14"/>
              </w:rPr>
              <w:t>13,67%</w:t>
            </w:r>
          </w:p>
        </w:tc>
      </w:tr>
      <w:tr>
        <w:trPr>
          <w:trHeight w:val="348" w:hRule="atLeast"/>
        </w:trPr>
        <w:tc>
          <w:tcPr>
            <w:tcW w:w="1752" w:type="dxa"/>
            <w:vMerge w:val="restart"/>
            <w:tcBorders>
              <w:top w:val="single" w:sz="6" w:space="0" w:color="000000"/>
              <w:bottom w:val="nil"/>
            </w:tcBorders>
            <w:shd w:val="clear" w:color="auto" w:fill="F1F1F1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48" w:right="140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w w:val="115"/>
                <w:sz w:val="14"/>
              </w:rPr>
              <w:t>2020</w:t>
            </w:r>
          </w:p>
        </w:tc>
        <w:tc>
          <w:tcPr>
            <w:tcW w:w="271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6"/>
              <w:ind w:left="168" w:right="17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1D7CB3"/>
                <w:w w:val="125"/>
                <w:sz w:val="14"/>
              </w:rPr>
              <w:t>Tasa</w:t>
            </w:r>
            <w:r>
              <w:rPr>
                <w:rFonts w:ascii="Verdana"/>
                <w:color w:val="1D7CB3"/>
                <w:spacing w:val="-5"/>
                <w:w w:val="125"/>
                <w:sz w:val="14"/>
              </w:rPr>
              <w:t> </w:t>
            </w:r>
            <w:r>
              <w:rPr>
                <w:rFonts w:ascii="Verdana"/>
                <w:color w:val="1D7CB3"/>
                <w:w w:val="125"/>
                <w:sz w:val="14"/>
              </w:rPr>
              <w:t>Bruta</w:t>
            </w:r>
            <w:r>
              <w:rPr>
                <w:rFonts w:ascii="Verdana"/>
                <w:color w:val="1D7CB3"/>
                <w:spacing w:val="-4"/>
                <w:w w:val="125"/>
                <w:sz w:val="14"/>
              </w:rPr>
              <w:t> </w:t>
            </w:r>
            <w:r>
              <w:rPr>
                <w:rFonts w:ascii="Verdana"/>
                <w:color w:val="1D7CB3"/>
                <w:w w:val="125"/>
                <w:sz w:val="14"/>
              </w:rPr>
              <w:t>deCobertura</w:t>
            </w:r>
          </w:p>
        </w:tc>
        <w:tc>
          <w:tcPr>
            <w:tcW w:w="162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6"/>
              <w:ind w:left="255" w:right="256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w w:val="110"/>
                <w:sz w:val="14"/>
              </w:rPr>
              <w:t>57,60%</w:t>
            </w:r>
          </w:p>
        </w:tc>
        <w:tc>
          <w:tcPr>
            <w:tcW w:w="107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6"/>
              <w:ind w:left="189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w w:val="110"/>
                <w:sz w:val="14"/>
              </w:rPr>
              <w:t>112,44%</w:t>
            </w:r>
          </w:p>
        </w:tc>
        <w:tc>
          <w:tcPr>
            <w:tcW w:w="107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6"/>
              <w:ind w:left="158" w:right="14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w w:val="110"/>
                <w:sz w:val="14"/>
              </w:rPr>
              <w:t>56,63%</w:t>
            </w:r>
          </w:p>
        </w:tc>
        <w:tc>
          <w:tcPr>
            <w:tcW w:w="1447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6"/>
              <w:ind w:left="128" w:right="129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w w:val="110"/>
                <w:sz w:val="14"/>
              </w:rPr>
              <w:t>23,82%</w:t>
            </w:r>
          </w:p>
        </w:tc>
      </w:tr>
      <w:tr>
        <w:trPr>
          <w:trHeight w:val="352" w:hRule="atLeast"/>
        </w:trPr>
        <w:tc>
          <w:tcPr>
            <w:tcW w:w="1752" w:type="dxa"/>
            <w:vMerge/>
            <w:tcBorders>
              <w:top w:val="nil"/>
              <w:bottom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  <w:tcBorders>
              <w:top w:val="single" w:sz="6" w:space="0" w:color="000000"/>
              <w:bottom w:val="nil"/>
            </w:tcBorders>
            <w:shd w:val="clear" w:color="auto" w:fill="DAEDF3"/>
          </w:tcPr>
          <w:p>
            <w:pPr>
              <w:pStyle w:val="TableParagraph"/>
              <w:spacing w:before="85"/>
              <w:ind w:left="170" w:right="17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1D7CB3"/>
                <w:w w:val="130"/>
                <w:sz w:val="14"/>
              </w:rPr>
              <w:t>Tasa</w:t>
            </w:r>
            <w:r>
              <w:rPr>
                <w:rFonts w:ascii="Verdana"/>
                <w:color w:val="1D7CB3"/>
                <w:spacing w:val="-15"/>
                <w:w w:val="130"/>
                <w:sz w:val="14"/>
              </w:rPr>
              <w:t> </w:t>
            </w:r>
            <w:r>
              <w:rPr>
                <w:rFonts w:ascii="Verdana"/>
                <w:color w:val="1D7CB3"/>
                <w:w w:val="130"/>
                <w:sz w:val="14"/>
              </w:rPr>
              <w:t>Neta</w:t>
            </w:r>
            <w:r>
              <w:rPr>
                <w:rFonts w:ascii="Verdana"/>
                <w:color w:val="1D7CB3"/>
                <w:spacing w:val="-13"/>
                <w:w w:val="130"/>
                <w:sz w:val="14"/>
              </w:rPr>
              <w:t> </w:t>
            </w:r>
            <w:r>
              <w:rPr>
                <w:rFonts w:ascii="Verdana"/>
                <w:color w:val="1D7CB3"/>
                <w:w w:val="130"/>
                <w:sz w:val="14"/>
              </w:rPr>
              <w:t>de</w:t>
            </w:r>
            <w:r>
              <w:rPr>
                <w:rFonts w:ascii="Verdana"/>
                <w:color w:val="1D7CB3"/>
                <w:spacing w:val="-15"/>
                <w:w w:val="130"/>
                <w:sz w:val="14"/>
              </w:rPr>
              <w:t> </w:t>
            </w:r>
            <w:r>
              <w:rPr>
                <w:rFonts w:ascii="Verdana"/>
                <w:color w:val="1D7CB3"/>
                <w:w w:val="130"/>
                <w:sz w:val="14"/>
              </w:rPr>
              <w:t>Cobertura</w:t>
            </w:r>
          </w:p>
        </w:tc>
        <w:tc>
          <w:tcPr>
            <w:tcW w:w="1621" w:type="dxa"/>
            <w:tcBorders>
              <w:top w:val="single" w:sz="6" w:space="0" w:color="000000"/>
              <w:bottom w:val="nil"/>
            </w:tcBorders>
            <w:shd w:val="clear" w:color="auto" w:fill="DAEDF3"/>
          </w:tcPr>
          <w:p>
            <w:pPr>
              <w:pStyle w:val="TableParagraph"/>
              <w:spacing w:before="85"/>
              <w:ind w:left="255" w:right="256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w w:val="110"/>
                <w:sz w:val="14"/>
              </w:rPr>
              <w:t>46,89%</w:t>
            </w:r>
          </w:p>
        </w:tc>
        <w:tc>
          <w:tcPr>
            <w:tcW w:w="1074" w:type="dxa"/>
            <w:tcBorders>
              <w:top w:val="single" w:sz="6" w:space="0" w:color="000000"/>
              <w:bottom w:val="nil"/>
            </w:tcBorders>
            <w:shd w:val="clear" w:color="auto" w:fill="DAEDF3"/>
          </w:tcPr>
          <w:p>
            <w:pPr>
              <w:pStyle w:val="TableParagraph"/>
              <w:spacing w:before="94"/>
              <w:ind w:left="2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333333"/>
                <w:w w:val="130"/>
                <w:sz w:val="14"/>
              </w:rPr>
              <w:t>90,61%</w:t>
            </w:r>
          </w:p>
        </w:tc>
        <w:tc>
          <w:tcPr>
            <w:tcW w:w="1075" w:type="dxa"/>
            <w:tcBorders>
              <w:top w:val="single" w:sz="6" w:space="0" w:color="000000"/>
              <w:bottom w:val="nil"/>
            </w:tcBorders>
            <w:shd w:val="clear" w:color="auto" w:fill="DAEDF3"/>
          </w:tcPr>
          <w:p>
            <w:pPr>
              <w:pStyle w:val="TableParagraph"/>
              <w:spacing w:before="94"/>
              <w:ind w:left="158" w:right="14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333333"/>
                <w:w w:val="130"/>
                <w:sz w:val="14"/>
              </w:rPr>
              <w:t>34,16%</w:t>
            </w:r>
          </w:p>
        </w:tc>
        <w:tc>
          <w:tcPr>
            <w:tcW w:w="1447" w:type="dxa"/>
            <w:tcBorders>
              <w:top w:val="single" w:sz="6" w:space="0" w:color="000000"/>
              <w:bottom w:val="nil"/>
              <w:right w:val="nil"/>
            </w:tcBorders>
            <w:shd w:val="clear" w:color="auto" w:fill="DAEDF3"/>
          </w:tcPr>
          <w:p>
            <w:pPr>
              <w:pStyle w:val="TableParagraph"/>
              <w:spacing w:before="94"/>
              <w:ind w:left="139" w:right="11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333333"/>
                <w:w w:val="130"/>
                <w:sz w:val="14"/>
              </w:rPr>
              <w:t>14,64%</w:t>
            </w:r>
          </w:p>
        </w:tc>
      </w:tr>
    </w:tbl>
    <w:p>
      <w:pPr>
        <w:spacing w:before="17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3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2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2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2"/>
          <w:sz w:val="14"/>
        </w:rPr>
        <w:t> </w:t>
      </w:r>
      <w:r>
        <w:rPr>
          <w:sz w:val="14"/>
        </w:rPr>
        <w:t>la</w:t>
      </w:r>
      <w:r>
        <w:rPr>
          <w:spacing w:val="-3"/>
          <w:sz w:val="14"/>
        </w:rPr>
        <w:t> </w:t>
      </w:r>
      <w:r>
        <w:rPr>
          <w:sz w:val="14"/>
        </w:rPr>
        <w:t>Dirección</w:t>
      </w:r>
      <w:r>
        <w:rPr>
          <w:spacing w:val="-4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3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4"/>
          <w:sz w:val="14"/>
        </w:rPr>
        <w:t> </w:t>
      </w:r>
      <w:r>
        <w:rPr>
          <w:sz w:val="14"/>
        </w:rPr>
        <w:t>Educación</w:t>
      </w:r>
      <w:r>
        <w:rPr>
          <w:spacing w:val="-4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  <w:r>
        <w:rPr/>
        <w:pict>
          <v:rect style="position:absolute;margin-left:563.880005pt;margin-top:8.650077pt;width:25.44pt;height:1.4399pt;mso-position-horizontal-relative:page;mso-position-vertical-relative:paragraph;z-index:-1547212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127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70752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6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1"/>
        <w:jc w:val="both"/>
      </w:pPr>
      <w:r>
        <w:rPr/>
        <w:t>La educación preprimaria reporta muy baja cobertura durante el periodo 2017‐2020, con una TNE de</w:t>
      </w:r>
      <w:r>
        <w:rPr>
          <w:spacing w:val="1"/>
        </w:rPr>
        <w:t> </w:t>
      </w:r>
      <w:r>
        <w:rPr/>
        <w:t>(45.32%), (47.75%), (47.59%) y (46.89%) respectivamente durante los años indicados. Esto significa que</w:t>
      </w:r>
      <w:r>
        <w:rPr>
          <w:spacing w:val="1"/>
        </w:rPr>
        <w:t> </w:t>
      </w:r>
      <w:r>
        <w:rPr/>
        <w:t>los niños menores de cinco años están accediendo al sistema educativo en una edad posterior. Lo cual,</w:t>
      </w:r>
      <w:r>
        <w:rPr>
          <w:spacing w:val="1"/>
        </w:rPr>
        <w:t> </w:t>
      </w:r>
      <w:r>
        <w:rPr/>
        <w:t>significa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uno de</w:t>
      </w:r>
      <w:r>
        <w:rPr>
          <w:spacing w:val="-2"/>
        </w:rPr>
        <w:t> </w:t>
      </w:r>
      <w:r>
        <w:rPr/>
        <w:t>cada dos</w:t>
      </w:r>
      <w:r>
        <w:rPr>
          <w:spacing w:val="-1"/>
        </w:rPr>
        <w:t> </w:t>
      </w:r>
      <w:r>
        <w:rPr/>
        <w:t>niños asiste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este nivel (TNE:</w:t>
      </w:r>
      <w:r>
        <w:rPr>
          <w:spacing w:val="-2"/>
        </w:rPr>
        <w:t> </w:t>
      </w:r>
      <w:r>
        <w:rPr/>
        <w:t>47%).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6"/>
        <w:jc w:val="both"/>
        <w:rPr>
          <w:sz w:val="20"/>
        </w:rPr>
      </w:pPr>
      <w:r>
        <w:rPr/>
        <w:t>En el nivel primaria se registran mayores valores de cobertura, que van de (89.18%), (90.28%), (90.17%) y</w:t>
      </w:r>
      <w:r>
        <w:rPr>
          <w:spacing w:val="-47"/>
        </w:rPr>
        <w:t> </w:t>
      </w:r>
      <w:r>
        <w:rPr>
          <w:spacing w:val="-1"/>
        </w:rPr>
        <w:t>(90.61%),</w:t>
      </w:r>
      <w:r>
        <w:rPr>
          <w:spacing w:val="-10"/>
        </w:rPr>
        <w:t> </w:t>
      </w:r>
      <w:r>
        <w:rPr>
          <w:spacing w:val="-1"/>
        </w:rPr>
        <w:t>registrando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9"/>
        </w:rPr>
        <w:t> </w:t>
      </w:r>
      <w:r>
        <w:rPr>
          <w:spacing w:val="-1"/>
        </w:rPr>
        <w:t>mayor</w:t>
      </w:r>
      <w:r>
        <w:rPr>
          <w:spacing w:val="-9"/>
        </w:rPr>
        <w:t> </w:t>
      </w:r>
      <w:r>
        <w:rPr/>
        <w:t>dato</w:t>
      </w:r>
      <w:r>
        <w:rPr>
          <w:spacing w:val="-8"/>
        </w:rPr>
        <w:t> </w:t>
      </w:r>
      <w:r>
        <w:rPr/>
        <w:t>durante</w:t>
      </w:r>
      <w:r>
        <w:rPr>
          <w:spacing w:val="-12"/>
        </w:rPr>
        <w:t> </w:t>
      </w:r>
      <w:r>
        <w:rPr/>
        <w:t>el</w:t>
      </w:r>
      <w:r>
        <w:rPr>
          <w:spacing w:val="-9"/>
        </w:rPr>
        <w:t> </w:t>
      </w:r>
      <w:r>
        <w:rPr/>
        <w:t>2020.</w:t>
      </w:r>
      <w:r>
        <w:rPr>
          <w:spacing w:val="-10"/>
        </w:rPr>
        <w:t> </w:t>
      </w:r>
      <w:r>
        <w:rPr/>
        <w:t>El</w:t>
      </w:r>
      <w:r>
        <w:rPr>
          <w:spacing w:val="-12"/>
        </w:rPr>
        <w:t> </w:t>
      </w:r>
      <w:r>
        <w:rPr/>
        <w:t>valor</w:t>
      </w:r>
      <w:r>
        <w:rPr>
          <w:spacing w:val="-9"/>
        </w:rPr>
        <w:t> </w:t>
      </w:r>
      <w:r>
        <w:rPr/>
        <w:t>promedio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TNE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Alta</w:t>
      </w:r>
      <w:r>
        <w:rPr>
          <w:spacing w:val="-9"/>
        </w:rPr>
        <w:t> </w:t>
      </w:r>
      <w:r>
        <w:rPr/>
        <w:t>Verapaz</w:t>
      </w:r>
      <w:r>
        <w:rPr>
          <w:spacing w:val="-11"/>
        </w:rPr>
        <w:t> </w:t>
      </w:r>
      <w:r>
        <w:rPr/>
        <w:t>(90.06%)</w:t>
      </w:r>
      <w:r>
        <w:rPr>
          <w:spacing w:val="-47"/>
        </w:rPr>
        <w:t> </w:t>
      </w:r>
      <w:r>
        <w:rPr/>
        <w:t>durante el periodo fue mayor al TNE Nacional (77.5%) del último valor registrado en el 2019. Es decir,</w:t>
      </w:r>
      <w:r>
        <w:rPr>
          <w:spacing w:val="1"/>
        </w:rPr>
        <w:t> </w:t>
      </w:r>
      <w:r>
        <w:rPr/>
        <w:t>nueve de</w:t>
      </w:r>
      <w:r>
        <w:rPr>
          <w:spacing w:val="1"/>
        </w:rPr>
        <w:t> </w:t>
      </w:r>
      <w:r>
        <w:rPr/>
        <w:t>cada diez están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primaria </w:t>
      </w:r>
      <w:r>
        <w:rPr>
          <w:sz w:val="20"/>
        </w:rPr>
        <w:t>(TNE:</w:t>
      </w:r>
      <w:r>
        <w:rPr>
          <w:spacing w:val="-1"/>
          <w:sz w:val="20"/>
        </w:rPr>
        <w:t> </w:t>
      </w:r>
      <w:r>
        <w:rPr>
          <w:sz w:val="20"/>
        </w:rPr>
        <w:t>90%).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ind w:left="278" w:right="1069"/>
        <w:jc w:val="both"/>
      </w:pPr>
      <w:r>
        <w:rPr/>
        <w:t>En educación básica los valores promedio para el periodo caen de forma significativa comparados con la</w:t>
      </w:r>
      <w:r>
        <w:rPr>
          <w:spacing w:val="1"/>
        </w:rPr>
        <w:t> </w:t>
      </w:r>
      <w:r>
        <w:rPr/>
        <w:t>educación primaria, reportando cantidades que van desde (31.31%), (32.59%), (32.89%) y (34.16%),</w:t>
      </w:r>
      <w:r>
        <w:rPr>
          <w:spacing w:val="1"/>
        </w:rPr>
        <w:t> </w:t>
      </w:r>
      <w:r>
        <w:rPr>
          <w:spacing w:val="-1"/>
        </w:rPr>
        <w:t>respectivamente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-12"/>
        </w:rPr>
        <w:t> </w:t>
      </w:r>
      <w:r>
        <w:rPr/>
        <w:t>el</w:t>
      </w:r>
      <w:r>
        <w:rPr>
          <w:spacing w:val="-9"/>
        </w:rPr>
        <w:t> </w:t>
      </w:r>
      <w:r>
        <w:rPr/>
        <w:t>período</w:t>
      </w:r>
      <w:r>
        <w:rPr>
          <w:spacing w:val="-11"/>
        </w:rPr>
        <w:t> </w:t>
      </w:r>
      <w:r>
        <w:rPr/>
        <w:t>analizado.</w:t>
      </w:r>
      <w:r>
        <w:rPr>
          <w:spacing w:val="-10"/>
        </w:rPr>
        <w:t> </w:t>
      </w:r>
      <w:r>
        <w:rPr/>
        <w:t>Incluso</w:t>
      </w:r>
      <w:r>
        <w:rPr>
          <w:spacing w:val="-8"/>
        </w:rPr>
        <w:t> </w:t>
      </w:r>
      <w:r>
        <w:rPr/>
        <w:t>por</w:t>
      </w:r>
      <w:r>
        <w:rPr>
          <w:spacing w:val="-12"/>
        </w:rPr>
        <w:t> </w:t>
      </w:r>
      <w:r>
        <w:rPr/>
        <w:t>debajo</w:t>
      </w:r>
      <w:r>
        <w:rPr>
          <w:spacing w:val="-10"/>
        </w:rPr>
        <w:t> </w:t>
      </w:r>
      <w:r>
        <w:rPr/>
        <w:t>del</w:t>
      </w:r>
      <w:r>
        <w:rPr>
          <w:spacing w:val="-12"/>
        </w:rPr>
        <w:t> </w:t>
      </w:r>
      <w:r>
        <w:rPr/>
        <w:t>TNE</w:t>
      </w:r>
      <w:r>
        <w:rPr>
          <w:spacing w:val="-10"/>
        </w:rPr>
        <w:t> </w:t>
      </w:r>
      <w:r>
        <w:rPr/>
        <w:t>Nacional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reportó</w:t>
      </w:r>
      <w:r>
        <w:rPr>
          <w:spacing w:val="-8"/>
        </w:rPr>
        <w:t> </w:t>
      </w:r>
      <w:r>
        <w:rPr/>
        <w:t>su</w:t>
      </w:r>
      <w:r>
        <w:rPr>
          <w:spacing w:val="-13"/>
        </w:rPr>
        <w:t> </w:t>
      </w:r>
      <w:r>
        <w:rPr/>
        <w:t>mejor</w:t>
      </w:r>
      <w:r>
        <w:rPr>
          <w:spacing w:val="-12"/>
        </w:rPr>
        <w:t> </w:t>
      </w:r>
      <w:r>
        <w:rPr/>
        <w:t>dato</w:t>
      </w:r>
      <w:r>
        <w:rPr>
          <w:spacing w:val="-47"/>
        </w:rPr>
        <w:t> </w:t>
      </w:r>
      <w:r>
        <w:rPr/>
        <w:t>en el 2015 (45.49%), mostrando una reducción de 10 puntos porcentuales. Esto significa que una tercera</w:t>
      </w:r>
      <w:r>
        <w:rPr>
          <w:spacing w:val="1"/>
        </w:rPr>
        <w:t> </w:t>
      </w:r>
      <w:r>
        <w:rPr/>
        <w:t>parte</w:t>
      </w:r>
      <w:r>
        <w:rPr>
          <w:spacing w:val="-1"/>
        </w:rPr>
        <w:t> </w:t>
      </w:r>
      <w:r>
        <w:rPr/>
        <w:t>asiste al</w:t>
      </w:r>
      <w:r>
        <w:rPr>
          <w:spacing w:val="-3"/>
        </w:rPr>
        <w:t> </w:t>
      </w:r>
      <w:r>
        <w:rPr/>
        <w:t>ciclo</w:t>
      </w:r>
      <w:r>
        <w:rPr>
          <w:spacing w:val="1"/>
        </w:rPr>
        <w:t> </w:t>
      </w:r>
      <w:r>
        <w:rPr/>
        <w:t>básico</w:t>
      </w:r>
      <w:r>
        <w:rPr>
          <w:spacing w:val="1"/>
        </w:rPr>
        <w:t> </w:t>
      </w:r>
      <w:r>
        <w:rPr/>
        <w:t>(TNE:</w:t>
      </w:r>
      <w:r>
        <w:rPr>
          <w:spacing w:val="-2"/>
        </w:rPr>
        <w:t> </w:t>
      </w:r>
      <w:r>
        <w:rPr/>
        <w:t>34%).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5"/>
        <w:jc w:val="both"/>
      </w:pPr>
      <w:r>
        <w:rPr/>
        <w:t>Para el caso de Alta Verapaz, estos valores podrían explicarse por una alta deserción escolar de niños y</w:t>
      </w:r>
      <w:r>
        <w:rPr>
          <w:spacing w:val="1"/>
        </w:rPr>
        <w:t> </w:t>
      </w:r>
      <w:r>
        <w:rPr/>
        <w:t>adolescentes,</w:t>
      </w:r>
      <w:r>
        <w:rPr>
          <w:spacing w:val="1"/>
        </w:rPr>
        <w:t> </w:t>
      </w:r>
      <w:r>
        <w:rPr/>
        <w:t>destacando como</w:t>
      </w:r>
      <w:r>
        <w:rPr>
          <w:spacing w:val="4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principales</w:t>
      </w:r>
      <w:r>
        <w:rPr>
          <w:spacing w:val="1"/>
        </w:rPr>
        <w:t> </w:t>
      </w:r>
      <w:r>
        <w:rPr/>
        <w:t>motivos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/>
        <w:t>retiro</w:t>
      </w:r>
      <w:r>
        <w:rPr>
          <w:spacing w:val="3"/>
        </w:rPr>
        <w:t> </w:t>
      </w:r>
      <w:r>
        <w:rPr/>
        <w:t>durante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2020,</w:t>
      </w:r>
      <w:r>
        <w:rPr>
          <w:spacing w:val="5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2"/>
        </w:rPr>
        <w:t> </w:t>
      </w:r>
      <w:r>
        <w:rPr/>
        <w:t>razones:</w:t>
      </w:r>
    </w:p>
    <w:p>
      <w:pPr>
        <w:pStyle w:val="BodyText"/>
        <w:spacing w:before="1"/>
        <w:ind w:left="278" w:right="1072"/>
        <w:jc w:val="both"/>
      </w:pPr>
      <w:r>
        <w:rPr/>
        <w:t>1. Retiro por traslado 2. No le interesa y 3. Por trabajo, entran prematuramente a la vida</w:t>
      </w:r>
      <w:r>
        <w:rPr>
          <w:spacing w:val="1"/>
        </w:rPr>
        <w:t> </w:t>
      </w:r>
      <w:r>
        <w:rPr/>
        <w:t>laboral,</w:t>
      </w:r>
      <w:r>
        <w:rPr>
          <w:spacing w:val="1"/>
        </w:rPr>
        <w:t> </w:t>
      </w:r>
      <w:r>
        <w:rPr/>
        <w:t>abandonando</w:t>
      </w:r>
      <w:r>
        <w:rPr>
          <w:spacing w:val="1"/>
        </w:rPr>
        <w:t> </w:t>
      </w:r>
      <w:r>
        <w:rPr/>
        <w:t>su</w:t>
      </w:r>
      <w:r>
        <w:rPr>
          <w:spacing w:val="-4"/>
        </w:rPr>
        <w:t> </w:t>
      </w:r>
      <w:r>
        <w:rPr/>
        <w:t>educación.</w:t>
      </w:r>
    </w:p>
    <w:p>
      <w:pPr>
        <w:pStyle w:val="BodyText"/>
      </w:pPr>
    </w:p>
    <w:p>
      <w:pPr>
        <w:pStyle w:val="BodyText"/>
        <w:spacing w:before="1"/>
        <w:ind w:left="278" w:right="1074"/>
        <w:jc w:val="both"/>
      </w:pPr>
      <w:r>
        <w:rPr/>
        <w:t>Los</w:t>
      </w:r>
      <w:r>
        <w:rPr>
          <w:spacing w:val="-7"/>
        </w:rPr>
        <w:t> </w:t>
      </w:r>
      <w:r>
        <w:rPr/>
        <w:t>valores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tasa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cobertura</w:t>
      </w:r>
      <w:r>
        <w:rPr>
          <w:spacing w:val="-3"/>
        </w:rPr>
        <w:t> </w:t>
      </w:r>
      <w:r>
        <w:rPr/>
        <w:t>neta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sistema</w:t>
      </w:r>
      <w:r>
        <w:rPr>
          <w:spacing w:val="-3"/>
        </w:rPr>
        <w:t> </w:t>
      </w:r>
      <w:r>
        <w:rPr/>
        <w:t>educativo</w:t>
      </w:r>
      <w:r>
        <w:rPr>
          <w:spacing w:val="-2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3"/>
        </w:rPr>
        <w:t> </w:t>
      </w:r>
      <w:r>
        <w:rPr/>
        <w:t>diversificado</w:t>
      </w:r>
      <w:r>
        <w:rPr>
          <w:spacing w:val="-2"/>
        </w:rPr>
        <w:t> </w:t>
      </w:r>
      <w:r>
        <w:rPr/>
        <w:t>son</w:t>
      </w:r>
      <w:r>
        <w:rPr>
          <w:spacing w:val="-4"/>
        </w:rPr>
        <w:t> </w:t>
      </w:r>
      <w:r>
        <w:rPr/>
        <w:t>los</w:t>
      </w:r>
      <w:r>
        <w:rPr>
          <w:spacing w:val="-6"/>
        </w:rPr>
        <w:t> </w:t>
      </w:r>
      <w:r>
        <w:rPr/>
        <w:t>más</w:t>
      </w:r>
      <w:r>
        <w:rPr>
          <w:spacing w:val="-4"/>
        </w:rPr>
        <w:t> </w:t>
      </w:r>
      <w:r>
        <w:rPr/>
        <w:t>bajos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todos</w:t>
      </w:r>
      <w:r>
        <w:rPr>
          <w:spacing w:val="-47"/>
        </w:rPr>
        <w:t> </w:t>
      </w:r>
      <w:r>
        <w:rPr/>
        <w:t>los niveles. Esta situación no es muy distinta a lo que ocurre con los datos a nivel nacional cuya tasa de</w:t>
      </w:r>
      <w:r>
        <w:rPr>
          <w:spacing w:val="1"/>
        </w:rPr>
        <w:t> </w:t>
      </w:r>
      <w:r>
        <w:rPr/>
        <w:t>cobertura en educación media es del 24.57%. Estos valores indican una altísima deserción del sistema</w:t>
      </w:r>
      <w:r>
        <w:rPr>
          <w:spacing w:val="1"/>
        </w:rPr>
        <w:t> </w:t>
      </w:r>
      <w:r>
        <w:rPr/>
        <w:t>educativo,</w:t>
      </w:r>
      <w:r>
        <w:rPr>
          <w:spacing w:val="6"/>
        </w:rPr>
        <w:t> </w:t>
      </w:r>
      <w:r>
        <w:rPr/>
        <w:t>lo</w:t>
      </w:r>
      <w:r>
        <w:rPr>
          <w:spacing w:val="5"/>
        </w:rPr>
        <w:t> </w:t>
      </w:r>
      <w:r>
        <w:rPr/>
        <w:t>cual</w:t>
      </w:r>
      <w:r>
        <w:rPr>
          <w:spacing w:val="7"/>
        </w:rPr>
        <w:t> </w:t>
      </w:r>
      <w:r>
        <w:rPr/>
        <w:t>se</w:t>
      </w:r>
      <w:r>
        <w:rPr>
          <w:spacing w:val="4"/>
        </w:rPr>
        <w:t> </w:t>
      </w:r>
      <w:r>
        <w:rPr/>
        <w:t>explica</w:t>
      </w:r>
      <w:r>
        <w:rPr>
          <w:spacing w:val="6"/>
        </w:rPr>
        <w:t> </w:t>
      </w:r>
      <w:r>
        <w:rPr/>
        <w:t>para</w:t>
      </w:r>
      <w:r>
        <w:rPr>
          <w:spacing w:val="7"/>
        </w:rPr>
        <w:t> </w:t>
      </w:r>
      <w:r>
        <w:rPr/>
        <w:t>el</w:t>
      </w:r>
      <w:r>
        <w:rPr>
          <w:spacing w:val="4"/>
        </w:rPr>
        <w:t> </w:t>
      </w:r>
      <w:r>
        <w:rPr/>
        <w:t>2020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siguientes</w:t>
      </w:r>
      <w:r>
        <w:rPr>
          <w:spacing w:val="4"/>
        </w:rPr>
        <w:t> </w:t>
      </w:r>
      <w:r>
        <w:rPr/>
        <w:t>motivos:</w:t>
      </w:r>
      <w:r>
        <w:rPr>
          <w:spacing w:val="10"/>
        </w:rPr>
        <w:t> </w:t>
      </w:r>
      <w:r>
        <w:rPr/>
        <w:t>1.</w:t>
      </w:r>
      <w:r>
        <w:rPr>
          <w:spacing w:val="7"/>
        </w:rPr>
        <w:t> </w:t>
      </w:r>
      <w:r>
        <w:rPr/>
        <w:t>Otros</w:t>
      </w:r>
      <w:r>
        <w:rPr>
          <w:spacing w:val="1"/>
        </w:rPr>
        <w:t> </w:t>
      </w:r>
      <w:r>
        <w:rPr/>
        <w:t>motivos,</w:t>
      </w:r>
      <w:r>
        <w:rPr>
          <w:spacing w:val="4"/>
        </w:rPr>
        <w:t> </w:t>
      </w:r>
      <w:r>
        <w:rPr/>
        <w:t>2.</w:t>
      </w:r>
      <w:r>
        <w:rPr>
          <w:spacing w:val="4"/>
        </w:rPr>
        <w:t> </w:t>
      </w:r>
      <w:r>
        <w:rPr/>
        <w:t>No</w:t>
      </w:r>
      <w:r>
        <w:rPr>
          <w:spacing w:val="5"/>
        </w:rPr>
        <w:t> </w:t>
      </w:r>
      <w:r>
        <w:rPr/>
        <w:t>le</w:t>
      </w:r>
      <w:r>
        <w:rPr>
          <w:spacing w:val="5"/>
        </w:rPr>
        <w:t> </w:t>
      </w:r>
      <w:r>
        <w:rPr/>
        <w:t>interesa.</w:t>
      </w:r>
    </w:p>
    <w:p>
      <w:pPr>
        <w:pStyle w:val="BodyText"/>
        <w:spacing w:line="268" w:lineRule="exact"/>
        <w:ind w:left="278"/>
        <w:jc w:val="both"/>
      </w:pPr>
      <w:r>
        <w:rPr/>
        <w:t>3.</w:t>
      </w:r>
      <w:r>
        <w:rPr>
          <w:spacing w:val="-2"/>
        </w:rPr>
        <w:t> </w:t>
      </w:r>
      <w:r>
        <w:rPr/>
        <w:t>Falta de</w:t>
      </w:r>
      <w:r>
        <w:rPr>
          <w:spacing w:val="-3"/>
        </w:rPr>
        <w:t> </w:t>
      </w:r>
      <w:r>
        <w:rPr/>
        <w:t>Dinero.</w:t>
      </w:r>
    </w:p>
    <w:p>
      <w:pPr>
        <w:pStyle w:val="BodyText"/>
      </w:pPr>
    </w:p>
    <w:p>
      <w:pPr>
        <w:pStyle w:val="BodyText"/>
        <w:ind w:left="278" w:right="1073"/>
        <w:jc w:val="both"/>
      </w:pPr>
      <w:r>
        <w:rPr/>
        <w:t>De</w:t>
      </w:r>
      <w:r>
        <w:rPr>
          <w:spacing w:val="-7"/>
        </w:rPr>
        <w:t> </w:t>
      </w:r>
      <w:r>
        <w:rPr/>
        <w:t>acuerdo,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motivos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abandono</w:t>
      </w:r>
      <w:r>
        <w:rPr>
          <w:spacing w:val="-7"/>
        </w:rPr>
        <w:t> </w:t>
      </w:r>
      <w:r>
        <w:rPr/>
        <w:t>escolar</w:t>
      </w:r>
      <w:r>
        <w:rPr>
          <w:spacing w:val="-8"/>
        </w:rPr>
        <w:t> </w:t>
      </w:r>
      <w:r>
        <w:rPr/>
        <w:t>reportados</w:t>
      </w:r>
      <w:r>
        <w:rPr>
          <w:spacing w:val="-6"/>
        </w:rPr>
        <w:t> </w:t>
      </w:r>
      <w:r>
        <w:rPr/>
        <w:t>para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2020</w:t>
      </w:r>
      <w:r>
        <w:rPr>
          <w:spacing w:val="-7"/>
        </w:rPr>
        <w:t> </w:t>
      </w:r>
      <w:r>
        <w:rPr/>
        <w:t>para</w:t>
      </w:r>
      <w:r>
        <w:rPr>
          <w:spacing w:val="-9"/>
        </w:rPr>
        <w:t> </w:t>
      </w:r>
      <w:r>
        <w:rPr/>
        <w:t>este</w:t>
      </w:r>
      <w:r>
        <w:rPr>
          <w:spacing w:val="-7"/>
        </w:rPr>
        <w:t> </w:t>
      </w:r>
      <w:r>
        <w:rPr/>
        <w:t>departamento</w:t>
      </w:r>
      <w:r>
        <w:rPr>
          <w:spacing w:val="-6"/>
        </w:rPr>
        <w:t> </w:t>
      </w:r>
      <w:r>
        <w:rPr/>
        <w:t>los</w:t>
      </w:r>
      <w:r>
        <w:rPr>
          <w:spacing w:val="-8"/>
        </w:rPr>
        <w:t> </w:t>
      </w:r>
      <w:r>
        <w:rPr/>
        <w:t>datos</w:t>
      </w:r>
      <w:r>
        <w:rPr>
          <w:spacing w:val="-48"/>
        </w:rPr>
        <w:t> </w:t>
      </w:r>
      <w:r>
        <w:rPr/>
        <w:t>podrían</w:t>
      </w:r>
      <w:r>
        <w:rPr>
          <w:spacing w:val="-2"/>
        </w:rPr>
        <w:t> </w:t>
      </w:r>
      <w:r>
        <w:rPr/>
        <w:t>explicarse</w:t>
      </w:r>
      <w:r>
        <w:rPr>
          <w:spacing w:val="1"/>
        </w:rPr>
        <w:t> </w:t>
      </w:r>
      <w:r>
        <w:rPr/>
        <w:t>por:</w:t>
      </w:r>
      <w:r>
        <w:rPr>
          <w:spacing w:val="-1"/>
        </w:rPr>
        <w:t> </w:t>
      </w:r>
      <w:r>
        <w:rPr/>
        <w:t>1.</w:t>
      </w:r>
      <w:r>
        <w:rPr>
          <w:spacing w:val="-3"/>
        </w:rPr>
        <w:t> </w:t>
      </w:r>
      <w:r>
        <w:rPr/>
        <w:t>No le</w:t>
      </w:r>
      <w:r>
        <w:rPr>
          <w:spacing w:val="1"/>
        </w:rPr>
        <w:t> </w:t>
      </w:r>
      <w:r>
        <w:rPr/>
        <w:t>interesa. 2.</w:t>
      </w:r>
      <w:r>
        <w:rPr>
          <w:spacing w:val="-3"/>
        </w:rPr>
        <w:t> </w:t>
      </w:r>
      <w:r>
        <w:rPr/>
        <w:t>Retiro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traslado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3.</w:t>
      </w:r>
      <w:r>
        <w:rPr>
          <w:spacing w:val="-1"/>
        </w:rPr>
        <w:t> </w:t>
      </w:r>
      <w:r>
        <w:rPr/>
        <w:t>Falta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dinero.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pict>
          <v:rect style="position:absolute;margin-left:563.880005pt;margin-top:19.774387pt;width:25.44pt;height:1.4399pt;mso-position-horizontal-relative:page;mso-position-vertical-relative:paragraph;z-index:-1547059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128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72800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6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2"/>
          <w:numId w:val="32"/>
        </w:numPr>
        <w:tabs>
          <w:tab w:pos="998" w:val="left" w:leader="none"/>
          <w:tab w:pos="999" w:val="left" w:leader="none"/>
        </w:tabs>
        <w:spacing w:line="240" w:lineRule="auto" w:before="52" w:after="0"/>
        <w:ind w:left="998" w:right="0" w:hanging="721"/>
        <w:jc w:val="left"/>
      </w:pPr>
      <w:bookmarkStart w:name="_bookmark143" w:id="219"/>
      <w:bookmarkEnd w:id="219"/>
      <w:r>
        <w:rPr>
          <w:b w:val="0"/>
        </w:rPr>
      </w:r>
      <w:bookmarkStart w:name="_bookmark143" w:id="220"/>
      <w:bookmarkEnd w:id="220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Cobertura:</w:t>
      </w:r>
      <w:r>
        <w:rPr>
          <w:spacing w:val="-3"/>
        </w:rPr>
        <w:t> </w:t>
      </w:r>
      <w:r>
        <w:rPr/>
        <w:t>Tasa</w:t>
      </w:r>
      <w:r>
        <w:rPr>
          <w:spacing w:val="-3"/>
        </w:rPr>
        <w:t> </w:t>
      </w:r>
      <w:r>
        <w:rPr/>
        <w:t>Bruta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Déficit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departamento,</w:t>
      </w:r>
      <w:r>
        <w:rPr>
          <w:spacing w:val="-1"/>
        </w:rPr>
        <w:t> </w:t>
      </w:r>
      <w:r>
        <w:rPr/>
        <w:t>sexo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etnia.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8"/>
        <w:jc w:val="both"/>
      </w:pPr>
      <w:r>
        <w:rPr/>
        <w:pict>
          <v:group style="position:absolute;margin-left:68.689026pt;margin-top:31.59971pt;width:475.3pt;height:178.2pt;mso-position-horizontal-relative:page;mso-position-vertical-relative:paragraph;z-index:-15469056;mso-wrap-distance-left:0;mso-wrap-distance-right:0" coordorigin="1374,632" coordsize="9506,3564">
            <v:line style="position:absolute" from="1848,3649" to="2301,3649" stroked="true" strokeweight=".544713pt" strokecolor="#888888">
              <v:stroke dashstyle="solid"/>
            </v:line>
            <v:line style="position:absolute" from="2467,3649" to="2497,3649" stroked="true" strokeweight=".544713pt" strokecolor="#888888">
              <v:stroke dashstyle="solid"/>
            </v:line>
            <v:rect style="position:absolute;left:2300;top:3593;width:167;height:311" filled="true" fillcolor="#497eaf" stroked="false">
              <v:fill type="solid"/>
            </v:rect>
            <v:rect style="position:absolute;left:2406;top:3762;width:91;height:142" filled="true" fillcolor="#5b8e39" stroked="false">
              <v:fill type="solid"/>
            </v:rect>
            <v:shape style="position:absolute;left:1847;top:2397;width:2009;height:1005" coordorigin="1848,2397" coordsize="2009,1005" path="m1848,3401l2497,3401m1848,3154l2497,3154m1848,2894l2497,2894m1848,2646l2497,2646m2663,2646l3856,2646m1848,2397l2497,2397e" filled="false" stroked="true" strokeweight=".544713pt" strokecolor="#888888">
              <v:path arrowok="t"/>
              <v:stroke dashstyle="solid"/>
            </v:shape>
            <v:shape style="position:absolute;left:2662;top:2394;width:2553;height:6" coordorigin="2663,2395" coordsize="2553,6" path="m2663,2400l5215,2400m2663,2395l5215,2395e" filled="false" stroked="true" strokeweight=".272364pt" strokecolor="#888888">
              <v:path arrowok="t"/>
              <v:stroke dashstyle="solid"/>
            </v:shape>
            <v:shape style="position:absolute;left:1847;top:2138;width:6807;height:2" coordorigin="1848,2139" coordsize="6807,0" path="m1848,2139l2497,2139m2663,2139l8654,2139e" filled="false" stroked="true" strokeweight=".544713pt" strokecolor="#888888">
              <v:path arrowok="t"/>
              <v:stroke dashstyle="solid"/>
            </v:shape>
            <v:shape style="position:absolute;left:1847;top:1889;width:6807;height:2" coordorigin="1848,1890" coordsize="6807,0" path="m1848,1890l1848,1890,8654,1890e" filled="false" stroked="true" strokeweight=".544674pt" strokecolor="#888888">
              <v:path arrowok="t"/>
              <v:stroke dashstyle="solid"/>
            </v:shape>
            <v:rect style="position:absolute;left:2497;top:1946;width:166;height:1958" filled="true" fillcolor="#4471c4" stroked="false">
              <v:fill type="solid"/>
            </v:rect>
            <v:line style="position:absolute" from="2769,3649" to="3659,3649" stroked="true" strokeweight=".544713pt" strokecolor="#888888">
              <v:stroke dashstyle="solid"/>
            </v:line>
            <v:shape style="position:absolute;left:3825;top:3646;width:31;height:6" coordorigin="3826,3647" coordsize="31,6" path="m3826,3652l3856,3652m3826,3647l3856,3647e" filled="false" stroked="true" strokeweight=".272350pt" strokecolor="#888888">
              <v:path arrowok="t"/>
              <v:stroke dashstyle="solid"/>
            </v:shape>
            <v:rect style="position:absolute;left:3568;top:3898;width:91;height:6" filled="true" fillcolor="#d29e00" stroked="false">
              <v:fill type="solid"/>
            </v:rect>
            <v:rect style="position:absolute;left:3658;top:3638;width:167;height:266" filled="true" fillcolor="#497eaf" stroked="false">
              <v:fill type="solid"/>
            </v:rect>
            <v:rect style="position:absolute;left:3765;top:3717;width:91;height:187" filled="true" fillcolor="#5b8e39" stroked="false">
              <v:fill type="solid"/>
            </v:rect>
            <v:shape style="position:absolute;left:2769;top:2646;width:2447;height:756" coordorigin="2769,2646" coordsize="2447,756" path="m2769,3401l3856,3401m2769,3154l3856,3154m2769,2894l3856,2894m4021,2646l5215,2646e" filled="false" stroked="true" strokeweight=".544713pt" strokecolor="#888888">
              <v:path arrowok="t"/>
              <v:stroke dashstyle="solid"/>
            </v:shape>
            <v:rect style="position:absolute;left:3856;top:2397;width:165;height:1507" filled="true" fillcolor="#4471c4" stroked="false">
              <v:fill type="solid"/>
            </v:rect>
            <v:shape style="position:absolute;left:4128;top:3646;width:1088;height:6" coordorigin="4128,3647" coordsize="1088,6" path="m4128,3652l5215,3652m4128,3647l5215,3647e" filled="false" stroked="true" strokeweight=".272350pt" strokecolor="#888888">
              <v:path arrowok="t"/>
              <v:stroke dashstyle="solid"/>
            </v:shape>
            <v:rect style="position:absolute;left:4731;top:3898;width:167;height:6" filled="true" fillcolor="#c46627" stroked="false">
              <v:fill type="solid"/>
            </v:rect>
            <v:rect style="position:absolute;left:4927;top:3898;width:107;height:6" filled="true" fillcolor="#d29e00" stroked="false">
              <v:fill type="solid"/>
            </v:rect>
            <v:rect style="position:absolute;left:5033;top:3672;width:151;height:232" filled="true" fillcolor="#497eaf" stroked="false">
              <v:fill type="solid"/>
            </v:rect>
            <v:rect style="position:absolute;left:5124;top:3773;width:91;height:131" filled="true" fillcolor="#5b8e39" stroked="false">
              <v:fill type="solid"/>
            </v:rect>
            <v:shape style="position:absolute;left:4128;top:2893;width:1088;height:508" coordorigin="4128,2894" coordsize="1088,508" path="m4128,3401l5215,3401m4128,3154l5215,3154m4128,2894l5215,2894e" filled="false" stroked="true" strokeweight=".544713pt" strokecolor="#888888">
              <v:path arrowok="t"/>
              <v:stroke dashstyle="solid"/>
            </v:shape>
            <v:rect style="position:absolute;left:5215;top:2341;width:166;height:1563" filled="true" fillcolor="#4471c4" stroked="false">
              <v:fill type="solid"/>
            </v:rect>
            <v:shape style="position:absolute;left:5486;top:3646;width:1102;height:6" coordorigin="5487,3647" coordsize="1102,6" path="m5487,3652l6589,3652m5487,3647l6589,3647e" filled="false" stroked="true" strokeweight=".272350pt" strokecolor="#888888">
              <v:path arrowok="t"/>
              <v:stroke dashstyle="solid"/>
            </v:shape>
            <v:rect style="position:absolute;left:6392;top:3649;width:151;height:255" filled="true" fillcolor="#497eaf" stroked="false">
              <v:fill type="solid"/>
            </v:rect>
            <v:rect style="position:absolute;left:6483;top:3672;width:106;height:232" filled="true" fillcolor="#5b8e39" stroked="false">
              <v:fill type="solid"/>
            </v:rect>
            <v:shape style="position:absolute;left:5486;top:2893;width:3168;height:508" coordorigin="5487,2894" coordsize="3168,508" path="m5487,3401l6589,3401m5487,3154l6589,3154m5487,2894l6589,2894m6739,2894l8654,2894e" filled="false" stroked="true" strokeweight=".544713pt" strokecolor="#888888">
              <v:path arrowok="t"/>
              <v:stroke dashstyle="solid"/>
            </v:shape>
            <v:rect style="position:absolute;left:6588;top:2837;width:151;height:1067" filled="true" fillcolor="#4471c4" stroked="false">
              <v:fill type="solid"/>
            </v:rect>
            <v:shape style="position:absolute;left:6845;top:3646;width:1102;height:6" coordorigin="6846,3647" coordsize="1102,6" path="m6846,3652l7948,3652m6846,3647l7948,3647e" filled="false" stroked="true" strokeweight=".272350pt" strokecolor="#888888">
              <v:path arrowok="t"/>
              <v:stroke dashstyle="solid"/>
            </v:shape>
            <v:rect style="position:absolute;left:7751;top:3717;width:151;height:187" filled="true" fillcolor="#497eaf" stroked="false">
              <v:fill type="solid"/>
            </v:rect>
            <v:rect style="position:absolute;left:7842;top:3728;width:106;height:176" filled="true" fillcolor="#5b8e39" stroked="false">
              <v:fill type="solid"/>
            </v:rect>
            <v:line style="position:absolute" from="6846,3401" to="7948,3401" stroked="true" strokeweight=".544713pt" strokecolor="#888888">
              <v:stroke dashstyle="solid"/>
            </v:line>
            <v:rect style="position:absolute;left:7947;top:3300;width:151;height:604" filled="true" fillcolor="#4471c4" stroked="false">
              <v:fill type="solid"/>
            </v:rect>
            <v:shape style="position:absolute;left:2602;top:2690;width:1526;height:1214" coordorigin="2603,2691" coordsize="1526,1214" path="m2769,2691l2603,2691,2603,3904,2769,3904,2769,2691xm4128,2871l3961,2871,3961,3904,4128,3904,4128,2871xe" filled="true" fillcolor="#ec7c30" stroked="false">
              <v:path arrowok="t"/>
              <v:fill type="solid"/>
            </v:shape>
            <v:line style="position:absolute" from="5487,2646" to="8654,2646" stroked="true" strokeweight=".544713pt" strokecolor="#888888">
              <v:stroke dashstyle="solid"/>
            </v:line>
            <v:shape style="position:absolute;left:5320;top:2589;width:1526;height:1315" coordorigin="5320,2589" coordsize="1526,1315" path="m5487,2589l5320,2589,5320,3904,5487,3904,5487,2589xm6846,3289l6679,3289,6679,3904,6846,3904,6846,3289xe" filled="true" fillcolor="#ec7c30" stroked="false">
              <v:path arrowok="t"/>
              <v:fill type="solid"/>
            </v:shape>
            <v:shape style="position:absolute;left:8204;top:3646;width:450;height:6" coordorigin="8204,3647" coordsize="450,6" path="m8204,3652l8654,3652m8204,3647l8654,3647e" filled="false" stroked="true" strokeweight=".272350pt" strokecolor="#888888">
              <v:path arrowok="t"/>
              <v:stroke dashstyle="solid"/>
            </v:shape>
            <v:rect style="position:absolute;left:8038;top:3503;width:167;height:401" filled="true" fillcolor="#ec7c30" stroked="false">
              <v:fill type="solid"/>
            </v:rect>
            <v:shape style="position:absolute;left:2693;top:3898;width:4243;height:6" coordorigin="2693,3898" coordsize="4243,6" path="m2860,3898l2693,3898,2693,3904,2860,3904,2860,3898xm4219,3898l4052,3898,4052,3904,4219,3904,4219,3898xm5578,3898l5411,3898,5411,3904,5578,3904,5578,3898xm6936,3898l6770,3898,6770,3904,6936,3904,6936,3898xe" filled="true" fillcolor="#a4a4a4" stroked="false">
              <v:path arrowok="t"/>
              <v:fill type="solid"/>
            </v:shape>
            <v:rect style="position:absolute;left:5606;top:3898;width:167;height:6" filled="true" fillcolor="#5b9bd4" stroked="false">
              <v:fill type="solid"/>
            </v:rect>
            <v:shape style="position:absolute;left:1847;top:1639;width:6807;height:2265" coordorigin="1848,1639" coordsize="6807,2265" path="m1848,1642l1848,1642,8654,1642m1855,3904l1855,3904,1855,1639e" filled="false" stroked="true" strokeweight=".637330pt" strokecolor="#888888">
              <v:path arrowok="t"/>
              <v:stroke dashstyle="solid"/>
            </v:shape>
            <v:rect style="position:absolute;left:6090;top:3898;width:167;height:6" filled="true" fillcolor="#c46627" stroked="false">
              <v:fill type="solid"/>
            </v:rect>
            <v:shape style="position:absolute;left:1855;top:3903;width:6799;height:2" coordorigin="1855,3904" coordsize="6799,0" path="m1855,3904l1855,3904,8654,3904e" filled="false" stroked="true" strokeweight=".544674pt" strokecolor="#888888">
              <v:path arrowok="t"/>
              <v:stroke dashstyle="solid"/>
            </v:shape>
            <v:rect style="position:absolute;left:8929;top:1724;width:68;height:49" filled="true" fillcolor="#375da0" stroked="false">
              <v:fill type="solid"/>
            </v:rect>
            <v:rect style="position:absolute;left:8929;top:1923;width:68;height:51" filled="true" fillcolor="#c46627" stroked="false">
              <v:fill type="solid"/>
            </v:rect>
            <v:rect style="position:absolute;left:8929;top:2123;width:68;height:51" filled="true" fillcolor="#878787" stroked="false">
              <v:fill type="solid"/>
            </v:rect>
            <v:rect style="position:absolute;left:8929;top:2322;width:68;height:51" filled="true" fillcolor="#d29e00" stroked="false">
              <v:fill type="solid"/>
            </v:rect>
            <v:rect style="position:absolute;left:8929;top:2522;width:68;height:50" filled="true" fillcolor="#497eaf" stroked="false">
              <v:fill type="solid"/>
            </v:rect>
            <v:rect style="position:absolute;left:8929;top:2722;width:68;height:50" filled="true" fillcolor="#5b8e39" stroked="false">
              <v:fill type="solid"/>
            </v:rect>
            <v:rect style="position:absolute;left:8929;top:2921;width:68;height:50" filled="true" fillcolor="#4471c4" stroked="false">
              <v:fill type="solid"/>
            </v:rect>
            <v:rect style="position:absolute;left:8929;top:3121;width:68;height:50" filled="true" fillcolor="#ec7c30" stroked="false">
              <v:fill type="solid"/>
            </v:rect>
            <v:rect style="position:absolute;left:8929;top:3321;width:68;height:50" filled="true" fillcolor="#a4a4a4" stroked="false">
              <v:fill type="solid"/>
            </v:rect>
            <v:rect style="position:absolute;left:8929;top:3520;width:68;height:50" filled="true" fillcolor="#ffc000" stroked="false">
              <v:fill type="solid"/>
            </v:rect>
            <v:rect style="position:absolute;left:8929;top:3721;width:68;height:50" filled="true" fillcolor="#5b9bd4" stroked="false">
              <v:fill type="solid"/>
            </v:rect>
            <v:rect style="position:absolute;left:8929;top:3920;width:68;height:49" filled="true" fillcolor="#6fac46" stroked="false">
              <v:fill type="solid"/>
            </v:rect>
            <v:rect style="position:absolute;left:1379;top:637;width:9494;height:3553" filled="false" stroked="true" strokeweight=".567429pt" strokecolor="#888888">
              <v:stroke dashstyle="solid"/>
            </v:rect>
            <v:shape style="position:absolute;left:1486;top:796;width:8385;height:305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914" w:right="17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35"/>
                        <w:sz w:val="20"/>
                      </w:rPr>
                      <w:t>Alta</w:t>
                    </w:r>
                    <w:r>
                      <w:rPr>
                        <w:b/>
                        <w:spacing w:val="2"/>
                        <w:w w:val="135"/>
                        <w:sz w:val="20"/>
                      </w:rPr>
                      <w:t> </w:t>
                    </w:r>
                    <w:r>
                      <w:rPr>
                        <w:b/>
                        <w:w w:val="135"/>
                        <w:sz w:val="20"/>
                      </w:rPr>
                      <w:t>Verapaz</w:t>
                    </w:r>
                  </w:p>
                  <w:p>
                    <w:pPr>
                      <w:spacing w:line="244" w:lineRule="auto" w:before="0"/>
                      <w:ind w:left="914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35"/>
                        <w:sz w:val="20"/>
                      </w:rPr>
                      <w:t>Total</w:t>
                    </w:r>
                    <w:r>
                      <w:rPr>
                        <w:b/>
                        <w:spacing w:val="1"/>
                        <w:w w:val="135"/>
                        <w:sz w:val="20"/>
                      </w:rPr>
                      <w:t> </w:t>
                    </w:r>
                    <w:r>
                      <w:rPr>
                        <w:b/>
                        <w:w w:val="135"/>
                        <w:sz w:val="20"/>
                      </w:rPr>
                      <w:t>de</w:t>
                    </w:r>
                    <w:r>
                      <w:rPr>
                        <w:b/>
                        <w:spacing w:val="1"/>
                        <w:w w:val="135"/>
                        <w:sz w:val="20"/>
                      </w:rPr>
                      <w:t> </w:t>
                    </w:r>
                    <w:r>
                      <w:rPr>
                        <w:b/>
                        <w:w w:val="135"/>
                        <w:sz w:val="20"/>
                      </w:rPr>
                      <w:t>población</w:t>
                    </w:r>
                    <w:r>
                      <w:rPr>
                        <w:b/>
                        <w:spacing w:val="1"/>
                        <w:w w:val="135"/>
                        <w:sz w:val="20"/>
                      </w:rPr>
                      <w:t> </w:t>
                    </w:r>
                    <w:r>
                      <w:rPr>
                        <w:b/>
                        <w:w w:val="135"/>
                        <w:sz w:val="20"/>
                      </w:rPr>
                      <w:t>estudiantil</w:t>
                    </w:r>
                    <w:r>
                      <w:rPr>
                        <w:b/>
                        <w:spacing w:val="2"/>
                        <w:w w:val="135"/>
                        <w:sz w:val="20"/>
                      </w:rPr>
                      <w:t> </w:t>
                    </w:r>
                    <w:r>
                      <w:rPr>
                        <w:b/>
                        <w:w w:val="135"/>
                        <w:sz w:val="20"/>
                      </w:rPr>
                      <w:t>por</w:t>
                    </w:r>
                    <w:r>
                      <w:rPr>
                        <w:b/>
                        <w:spacing w:val="1"/>
                        <w:w w:val="135"/>
                        <w:sz w:val="20"/>
                      </w:rPr>
                      <w:t> </w:t>
                    </w:r>
                    <w:r>
                      <w:rPr>
                        <w:b/>
                        <w:w w:val="135"/>
                        <w:sz w:val="20"/>
                      </w:rPr>
                      <w:t>Niveles</w:t>
                    </w:r>
                    <w:r>
                      <w:rPr>
                        <w:b/>
                        <w:spacing w:val="1"/>
                        <w:w w:val="135"/>
                        <w:sz w:val="20"/>
                      </w:rPr>
                      <w:t> </w:t>
                    </w:r>
                    <w:r>
                      <w:rPr>
                        <w:b/>
                        <w:w w:val="135"/>
                        <w:sz w:val="20"/>
                      </w:rPr>
                      <w:t>educativos,</w:t>
                    </w:r>
                    <w:r>
                      <w:rPr>
                        <w:b/>
                        <w:spacing w:val="3"/>
                        <w:w w:val="135"/>
                        <w:sz w:val="20"/>
                      </w:rPr>
                      <w:t> </w:t>
                    </w:r>
                    <w:r>
                      <w:rPr>
                        <w:b/>
                        <w:w w:val="135"/>
                        <w:sz w:val="20"/>
                      </w:rPr>
                      <w:t>etnia</w:t>
                    </w:r>
                    <w:r>
                      <w:rPr>
                        <w:b/>
                        <w:spacing w:val="2"/>
                        <w:w w:val="135"/>
                        <w:sz w:val="20"/>
                      </w:rPr>
                      <w:t> </w:t>
                    </w:r>
                    <w:r>
                      <w:rPr>
                        <w:b/>
                        <w:w w:val="135"/>
                        <w:sz w:val="20"/>
                      </w:rPr>
                      <w:t>y</w:t>
                    </w:r>
                    <w:r>
                      <w:rPr>
                        <w:b/>
                        <w:spacing w:val="3"/>
                        <w:w w:val="135"/>
                        <w:sz w:val="20"/>
                      </w:rPr>
                      <w:t> </w:t>
                    </w:r>
                    <w:r>
                      <w:rPr>
                        <w:b/>
                        <w:w w:val="135"/>
                        <w:sz w:val="20"/>
                      </w:rPr>
                      <w:t>sexo</w:t>
                    </w:r>
                    <w:r>
                      <w:rPr>
                        <w:b/>
                        <w:spacing w:val="-59"/>
                        <w:w w:val="135"/>
                        <w:sz w:val="20"/>
                      </w:rPr>
                      <w:t> </w:t>
                    </w:r>
                    <w:r>
                      <w:rPr>
                        <w:b/>
                        <w:w w:val="135"/>
                        <w:sz w:val="20"/>
                      </w:rPr>
                      <w:t>2017-2021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450</w:t>
                    </w:r>
                  </w:p>
                  <w:p>
                    <w:pPr>
                      <w:spacing w:line="240" w:lineRule="auto" w:before="8"/>
                      <w:rPr>
                        <w:sz w:val="9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400</w:t>
                    </w:r>
                  </w:p>
                  <w:p>
                    <w:pPr>
                      <w:spacing w:line="240" w:lineRule="auto" w:before="6"/>
                      <w:rPr>
                        <w:sz w:val="9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350</w:t>
                    </w:r>
                  </w:p>
                  <w:p>
                    <w:pPr>
                      <w:spacing w:line="240" w:lineRule="auto" w:before="7"/>
                      <w:rPr>
                        <w:sz w:val="9"/>
                      </w:rPr>
                    </w:pPr>
                  </w:p>
                  <w:p>
                    <w:pPr>
                      <w:tabs>
                        <w:tab w:pos="3893" w:val="left" w:leader="none"/>
                        <w:tab w:pos="7196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9"/>
                      </w:rPr>
                    </w:pPr>
                    <w:r>
                      <w:rPr>
                        <w:w w:val="135"/>
                        <w:sz w:val="11"/>
                      </w:rPr>
                      <w:t>300</w:t>
                    </w:r>
                    <w:r>
                      <w:rPr>
                        <w:sz w:val="11"/>
                      </w:rPr>
                      <w:tab/>
                    </w:r>
                    <w:r>
                      <w:rPr>
                        <w:rFonts w:ascii="Verdana"/>
                        <w:w w:val="105"/>
                        <w:position w:val="6"/>
                        <w:sz w:val="9"/>
                        <w:u w:val="single" w:color="888888"/>
                      </w:rPr>
                      <w:t> </w:t>
                    </w:r>
                    <w:r>
                      <w:rPr>
                        <w:rFonts w:ascii="Verdana"/>
                        <w:position w:val="6"/>
                        <w:sz w:val="9"/>
                        <w:u w:val="single" w:color="888888"/>
                      </w:rPr>
                      <w:tab/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250</w:t>
                    </w:r>
                  </w:p>
                  <w:p>
                    <w:pPr>
                      <w:spacing w:line="240" w:lineRule="auto" w:before="7"/>
                      <w:rPr>
                        <w:sz w:val="9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200</w:t>
                    </w:r>
                  </w:p>
                  <w:p>
                    <w:pPr>
                      <w:spacing w:line="240" w:lineRule="auto" w:before="7"/>
                      <w:rPr>
                        <w:sz w:val="9"/>
                      </w:rPr>
                    </w:pPr>
                  </w:p>
                  <w:p>
                    <w:pPr>
                      <w:tabs>
                        <w:tab w:pos="5252" w:val="left" w:leader="none"/>
                        <w:tab w:pos="7196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9"/>
                      </w:rPr>
                    </w:pPr>
                    <w:r>
                      <w:rPr>
                        <w:w w:val="135"/>
                        <w:sz w:val="11"/>
                      </w:rPr>
                      <w:t>150</w:t>
                    </w:r>
                    <w:r>
                      <w:rPr>
                        <w:sz w:val="11"/>
                      </w:rPr>
                      <w:tab/>
                    </w:r>
                    <w:r>
                      <w:rPr>
                        <w:rFonts w:ascii="Verdana"/>
                        <w:w w:val="105"/>
                        <w:position w:val="1"/>
                        <w:sz w:val="9"/>
                        <w:u w:val="single" w:color="888888"/>
                      </w:rPr>
                      <w:t> </w:t>
                    </w:r>
                    <w:r>
                      <w:rPr>
                        <w:rFonts w:ascii="Verdana"/>
                        <w:position w:val="1"/>
                        <w:sz w:val="9"/>
                        <w:u w:val="single" w:color="888888"/>
                      </w:rPr>
                      <w:tab/>
                    </w:r>
                  </w:p>
                  <w:p>
                    <w:pPr>
                      <w:spacing w:line="240" w:lineRule="auto" w:before="8"/>
                      <w:rPr>
                        <w:rFonts w:ascii="Verdana"/>
                        <w:sz w:val="9"/>
                      </w:rPr>
                    </w:pPr>
                  </w:p>
                  <w:p>
                    <w:pPr>
                      <w:tabs>
                        <w:tab w:pos="6611" w:val="left" w:leader="none"/>
                        <w:tab w:pos="7196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9"/>
                      </w:rPr>
                    </w:pPr>
                    <w:r>
                      <w:rPr>
                        <w:w w:val="135"/>
                        <w:sz w:val="11"/>
                      </w:rPr>
                      <w:t>100</w:t>
                    </w:r>
                    <w:r>
                      <w:rPr>
                        <w:sz w:val="11"/>
                      </w:rPr>
                      <w:tab/>
                    </w:r>
                    <w:r>
                      <w:rPr>
                        <w:rFonts w:ascii="Verdana"/>
                        <w:w w:val="105"/>
                        <w:position w:val="6"/>
                        <w:sz w:val="9"/>
                        <w:u w:val="single" w:color="888888"/>
                      </w:rPr>
                      <w:t> </w:t>
                    </w:r>
                    <w:r>
                      <w:rPr>
                        <w:rFonts w:ascii="Verdana"/>
                        <w:position w:val="6"/>
                        <w:sz w:val="9"/>
                        <w:u w:val="single" w:color="888888"/>
                      </w:rPr>
                      <w:tab/>
                    </w:r>
                  </w:p>
                  <w:p>
                    <w:pPr>
                      <w:spacing w:line="128" w:lineRule="exact" w:before="117"/>
                      <w:ind w:left="75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50</w:t>
                    </w:r>
                  </w:p>
                  <w:p>
                    <w:pPr>
                      <w:spacing w:line="127" w:lineRule="exact" w:before="0"/>
                      <w:ind w:left="222" w:right="0" w:firstLine="0"/>
                      <w:jc w:val="center"/>
                      <w:rPr>
                        <w:sz w:val="11"/>
                      </w:rPr>
                    </w:pPr>
                    <w:r>
                      <w:rPr>
                        <w:w w:val="137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639;top:3865;width:97;height:113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7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022;top:1693;width:1639;height:2307" type="#_x0000_t202" filled="false" stroked="false">
              <v:textbox inset="0,0,0,0">
                <w:txbxContent>
                  <w:p>
                    <w:pPr>
                      <w:spacing w:line="436" w:lineRule="auto" w:before="0"/>
                      <w:ind w:left="0" w:right="220" w:firstLine="0"/>
                      <w:jc w:val="lef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120"/>
                        <w:sz w:val="9"/>
                      </w:rPr>
                      <w:t>EXTRANJERO</w:t>
                    </w:r>
                    <w:r>
                      <w:rPr>
                        <w:rFonts w:ascii="Verdana"/>
                        <w:spacing w:val="6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7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HOMBRES</w:t>
                    </w:r>
                    <w:r>
                      <w:rPr>
                        <w:rFonts w:ascii="Verdana"/>
                        <w:spacing w:val="-35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EXTRANJERO - MUJERES</w:t>
                    </w:r>
                    <w:r>
                      <w:rPr>
                        <w:rFonts w:ascii="Verdana"/>
                        <w:spacing w:val="1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50"/>
                        <w:sz w:val="9"/>
                      </w:rPr>
                      <w:t>G</w:t>
                    </w:r>
                    <w:r>
                      <w:rPr>
                        <w:rFonts w:ascii="Verdana"/>
                        <w:w w:val="144"/>
                        <w:sz w:val="9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116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1"/>
                        <w:w w:val="71"/>
                        <w:sz w:val="9"/>
                      </w:rPr>
                      <w:t>I</w:t>
                    </w:r>
                    <w:r>
                      <w:rPr>
                        <w:rFonts w:ascii="Verdana"/>
                        <w:spacing w:val="-1"/>
                        <w:w w:val="112"/>
                        <w:sz w:val="9"/>
                      </w:rPr>
                      <w:t>F</w:t>
                    </w:r>
                    <w:r>
                      <w:rPr>
                        <w:rFonts w:ascii="Verdana"/>
                        <w:w w:val="119"/>
                        <w:sz w:val="9"/>
                      </w:rPr>
                      <w:t>U</w:t>
                    </w:r>
                    <w:r>
                      <w:rPr>
                        <w:rFonts w:ascii="Verdana"/>
                        <w:w w:val="132"/>
                        <w:sz w:val="9"/>
                      </w:rPr>
                      <w:t>N</w:t>
                    </w:r>
                    <w:r>
                      <w:rPr>
                        <w:rFonts w:ascii="Verdana"/>
                        <w:w w:val="144"/>
                        <w:sz w:val="9"/>
                      </w:rPr>
                      <w:t>A</w:t>
                    </w:r>
                    <w:r>
                      <w:rPr>
                        <w:rFonts w:ascii="Verdana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97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1"/>
                        <w:sz w:val="9"/>
                      </w:rPr>
                      <w:t>H</w:t>
                    </w:r>
                    <w:r>
                      <w:rPr>
                        <w:rFonts w:ascii="Verdana"/>
                        <w:w w:val="147"/>
                        <w:sz w:val="9"/>
                      </w:rPr>
                      <w:t>O</w:t>
                    </w:r>
                    <w:r>
                      <w:rPr>
                        <w:rFonts w:ascii="Verdana"/>
                        <w:w w:val="145"/>
                        <w:sz w:val="9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111"/>
                        <w:sz w:val="9"/>
                      </w:rPr>
                      <w:t>B</w:t>
                    </w:r>
                    <w:r>
                      <w:rPr>
                        <w:rFonts w:ascii="Verdana"/>
                        <w:w w:val="116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13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97"/>
                        <w:sz w:val="9"/>
                      </w:rPr>
                      <w:t>S </w:t>
                    </w:r>
                    <w:r>
                      <w:rPr>
                        <w:rFonts w:ascii="Verdana"/>
                        <w:w w:val="150"/>
                        <w:sz w:val="9"/>
                      </w:rPr>
                      <w:t>G</w:t>
                    </w:r>
                    <w:r>
                      <w:rPr>
                        <w:rFonts w:ascii="Verdana"/>
                        <w:w w:val="144"/>
                        <w:sz w:val="9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116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1"/>
                        <w:w w:val="71"/>
                        <w:sz w:val="9"/>
                      </w:rPr>
                      <w:t>I</w:t>
                    </w:r>
                    <w:r>
                      <w:rPr>
                        <w:rFonts w:ascii="Verdana"/>
                        <w:spacing w:val="-1"/>
                        <w:w w:val="112"/>
                        <w:sz w:val="9"/>
                      </w:rPr>
                      <w:t>F</w:t>
                    </w:r>
                    <w:r>
                      <w:rPr>
                        <w:rFonts w:ascii="Verdana"/>
                        <w:w w:val="119"/>
                        <w:sz w:val="9"/>
                      </w:rPr>
                      <w:t>U</w:t>
                    </w:r>
                    <w:r>
                      <w:rPr>
                        <w:rFonts w:ascii="Verdana"/>
                        <w:w w:val="132"/>
                        <w:sz w:val="9"/>
                      </w:rPr>
                      <w:t>N</w:t>
                    </w:r>
                    <w:r>
                      <w:rPr>
                        <w:rFonts w:ascii="Verdana"/>
                        <w:w w:val="144"/>
                        <w:sz w:val="9"/>
                      </w:rPr>
                      <w:t>A</w:t>
                    </w:r>
                    <w:r>
                      <w:rPr>
                        <w:rFonts w:ascii="Verdana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97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45"/>
                        <w:sz w:val="9"/>
                      </w:rPr>
                      <w:t>M</w:t>
                    </w:r>
                    <w:r>
                      <w:rPr>
                        <w:rFonts w:ascii="Verdana"/>
                        <w:w w:val="119"/>
                        <w:sz w:val="9"/>
                      </w:rPr>
                      <w:t>U</w:t>
                    </w:r>
                    <w:r>
                      <w:rPr>
                        <w:rFonts w:ascii="Verdana"/>
                        <w:spacing w:val="1"/>
                        <w:w w:val="141"/>
                        <w:sz w:val="9"/>
                      </w:rPr>
                      <w:t>J</w:t>
                    </w:r>
                    <w:r>
                      <w:rPr>
                        <w:rFonts w:ascii="Verdana"/>
                        <w:spacing w:val="-1"/>
                        <w:w w:val="113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116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13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97"/>
                        <w:sz w:val="9"/>
                      </w:rPr>
                      <w:t>S </w:t>
                    </w:r>
                    <w:r>
                      <w:rPr>
                        <w:rFonts w:ascii="Verdana"/>
                        <w:w w:val="110"/>
                        <w:sz w:val="9"/>
                      </w:rPr>
                      <w:t>L</w:t>
                    </w:r>
                    <w:r>
                      <w:rPr>
                        <w:rFonts w:ascii="Verdana"/>
                        <w:w w:val="144"/>
                        <w:sz w:val="9"/>
                      </w:rPr>
                      <w:t>A</w:t>
                    </w:r>
                    <w:r>
                      <w:rPr>
                        <w:rFonts w:ascii="Verdana"/>
                        <w:w w:val="128"/>
                        <w:sz w:val="9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w w:val="71"/>
                        <w:sz w:val="9"/>
                      </w:rPr>
                      <w:t>I</w:t>
                    </w:r>
                    <w:r>
                      <w:rPr>
                        <w:rFonts w:ascii="Verdana"/>
                        <w:w w:val="132"/>
                        <w:sz w:val="9"/>
                      </w:rPr>
                      <w:t>N</w:t>
                    </w:r>
                    <w:r>
                      <w:rPr>
                        <w:rFonts w:ascii="Verdana"/>
                        <w:w w:val="147"/>
                        <w:sz w:val="9"/>
                      </w:rPr>
                      <w:t>O</w:t>
                    </w:r>
                    <w:r>
                      <w:rPr>
                        <w:rFonts w:ascii="Verdana"/>
                        <w:spacing w:val="3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97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21"/>
                        <w:sz w:val="9"/>
                      </w:rPr>
                      <w:t>H</w:t>
                    </w:r>
                    <w:r>
                      <w:rPr>
                        <w:rFonts w:ascii="Verdana"/>
                        <w:w w:val="147"/>
                        <w:sz w:val="9"/>
                      </w:rPr>
                      <w:t>O</w:t>
                    </w:r>
                    <w:r>
                      <w:rPr>
                        <w:rFonts w:ascii="Verdana"/>
                        <w:w w:val="145"/>
                        <w:sz w:val="9"/>
                      </w:rPr>
                      <w:t>M</w:t>
                    </w:r>
                    <w:r>
                      <w:rPr>
                        <w:rFonts w:ascii="Verdana"/>
                        <w:w w:val="111"/>
                        <w:sz w:val="9"/>
                      </w:rPr>
                      <w:t>B</w:t>
                    </w:r>
                    <w:r>
                      <w:rPr>
                        <w:rFonts w:ascii="Verdana"/>
                        <w:w w:val="116"/>
                        <w:sz w:val="9"/>
                      </w:rPr>
                      <w:t>R</w:t>
                    </w:r>
                    <w:r>
                      <w:rPr>
                        <w:rFonts w:ascii="Verdana"/>
                        <w:w w:val="113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97"/>
                        <w:sz w:val="9"/>
                      </w:rPr>
                      <w:t>S </w:t>
                    </w:r>
                    <w:r>
                      <w:rPr>
                        <w:rFonts w:ascii="Verdana"/>
                        <w:w w:val="110"/>
                        <w:sz w:val="9"/>
                      </w:rPr>
                      <w:t>L</w:t>
                    </w:r>
                    <w:r>
                      <w:rPr>
                        <w:rFonts w:ascii="Verdana"/>
                        <w:w w:val="144"/>
                        <w:sz w:val="9"/>
                      </w:rPr>
                      <w:t>A</w:t>
                    </w:r>
                    <w:r>
                      <w:rPr>
                        <w:rFonts w:ascii="Verdana"/>
                        <w:w w:val="128"/>
                        <w:sz w:val="9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w w:val="71"/>
                        <w:sz w:val="9"/>
                      </w:rPr>
                      <w:t>I</w:t>
                    </w:r>
                    <w:r>
                      <w:rPr>
                        <w:rFonts w:ascii="Verdana"/>
                        <w:w w:val="132"/>
                        <w:sz w:val="9"/>
                      </w:rPr>
                      <w:t>N</w:t>
                    </w:r>
                    <w:r>
                      <w:rPr>
                        <w:rFonts w:ascii="Verdana"/>
                        <w:w w:val="147"/>
                        <w:sz w:val="9"/>
                      </w:rPr>
                      <w:t>O</w:t>
                    </w:r>
                    <w:r>
                      <w:rPr>
                        <w:rFonts w:ascii="Verdana"/>
                        <w:spacing w:val="3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97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45"/>
                        <w:sz w:val="9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119"/>
                        <w:sz w:val="9"/>
                      </w:rPr>
                      <w:t>U</w:t>
                    </w:r>
                    <w:r>
                      <w:rPr>
                        <w:rFonts w:ascii="Verdana"/>
                        <w:w w:val="141"/>
                        <w:sz w:val="9"/>
                      </w:rPr>
                      <w:t>J</w:t>
                    </w:r>
                    <w:r>
                      <w:rPr>
                        <w:rFonts w:ascii="Verdana"/>
                        <w:w w:val="113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116"/>
                        <w:sz w:val="9"/>
                      </w:rPr>
                      <w:t>R</w:t>
                    </w:r>
                    <w:r>
                      <w:rPr>
                        <w:rFonts w:ascii="Verdana"/>
                        <w:w w:val="113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97"/>
                        <w:sz w:val="9"/>
                      </w:rPr>
                      <w:t>S 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MAYA</w:t>
                    </w:r>
                    <w:r>
                      <w:rPr>
                        <w:rFonts w:ascii="Verdana"/>
                        <w:spacing w:val="-4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-2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HOMBRES</w:t>
                    </w:r>
                  </w:p>
                  <w:p>
                    <w:pPr>
                      <w:spacing w:line="436" w:lineRule="auto" w:before="4"/>
                      <w:ind w:left="0" w:right="349" w:firstLine="0"/>
                      <w:jc w:val="lef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120"/>
                        <w:sz w:val="9"/>
                      </w:rPr>
                      <w:t>MAYA - MUJERES</w:t>
                    </w:r>
                    <w:r>
                      <w:rPr>
                        <w:rFonts w:ascii="Verdana"/>
                        <w:spacing w:val="1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18"/>
                        <w:sz w:val="9"/>
                      </w:rPr>
                      <w:t>X</w:t>
                    </w:r>
                    <w:r>
                      <w:rPr>
                        <w:rFonts w:ascii="Verdana"/>
                        <w:w w:val="71"/>
                        <w:sz w:val="9"/>
                      </w:rPr>
                      <w:t>I</w:t>
                    </w:r>
                    <w:r>
                      <w:rPr>
                        <w:rFonts w:ascii="Verdana"/>
                        <w:w w:val="132"/>
                        <w:sz w:val="9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w w:val="150"/>
                        <w:sz w:val="9"/>
                      </w:rPr>
                      <w:t>C</w:t>
                    </w:r>
                    <w:r>
                      <w:rPr>
                        <w:rFonts w:ascii="Verdana"/>
                        <w:w w:val="150"/>
                        <w:sz w:val="9"/>
                      </w:rPr>
                      <w:t>A</w:t>
                    </w:r>
                    <w:r>
                      <w:rPr>
                        <w:rFonts w:ascii="Verdana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97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Verdana"/>
                        <w:spacing w:val="-2"/>
                        <w:w w:val="121"/>
                        <w:sz w:val="9"/>
                      </w:rPr>
                      <w:t>H</w:t>
                    </w:r>
                    <w:r>
                      <w:rPr>
                        <w:rFonts w:ascii="Verdana"/>
                        <w:spacing w:val="-3"/>
                        <w:w w:val="147"/>
                        <w:sz w:val="9"/>
                      </w:rPr>
                      <w:t>O</w:t>
                    </w:r>
                    <w:r>
                      <w:rPr>
                        <w:rFonts w:ascii="Verdana"/>
                        <w:spacing w:val="-2"/>
                        <w:w w:val="145"/>
                        <w:sz w:val="9"/>
                      </w:rPr>
                      <w:t>M</w:t>
                    </w:r>
                    <w:r>
                      <w:rPr>
                        <w:rFonts w:ascii="Verdana"/>
                        <w:spacing w:val="-2"/>
                        <w:w w:val="111"/>
                        <w:sz w:val="9"/>
                      </w:rPr>
                      <w:t>B</w:t>
                    </w:r>
                    <w:r>
                      <w:rPr>
                        <w:rFonts w:ascii="Verdana"/>
                        <w:spacing w:val="-3"/>
                        <w:w w:val="116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13"/>
                        <w:sz w:val="9"/>
                      </w:rPr>
                      <w:t>E</w:t>
                    </w:r>
                    <w:r>
                      <w:rPr>
                        <w:rFonts w:ascii="Verdana"/>
                        <w:spacing w:val="-2"/>
                        <w:w w:val="97"/>
                        <w:sz w:val="9"/>
                      </w:rPr>
                      <w:t>S</w:t>
                    </w:r>
                    <w:r>
                      <w:rPr>
                        <w:rFonts w:ascii="Verdana"/>
                        <w:w w:val="97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18"/>
                        <w:sz w:val="9"/>
                      </w:rPr>
                      <w:t>X</w:t>
                    </w:r>
                    <w:r>
                      <w:rPr>
                        <w:rFonts w:ascii="Verdana"/>
                        <w:w w:val="71"/>
                        <w:sz w:val="9"/>
                      </w:rPr>
                      <w:t>I</w:t>
                    </w:r>
                    <w:r>
                      <w:rPr>
                        <w:rFonts w:ascii="Verdana"/>
                        <w:w w:val="132"/>
                        <w:sz w:val="9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w w:val="150"/>
                        <w:sz w:val="9"/>
                      </w:rPr>
                      <w:t>C</w:t>
                    </w:r>
                    <w:r>
                      <w:rPr>
                        <w:rFonts w:ascii="Verdana"/>
                        <w:w w:val="150"/>
                        <w:sz w:val="9"/>
                      </w:rPr>
                      <w:t>A</w:t>
                    </w:r>
                    <w:r>
                      <w:rPr>
                        <w:rFonts w:ascii="Verdana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97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45"/>
                        <w:sz w:val="9"/>
                      </w:rPr>
                      <w:t>M</w:t>
                    </w:r>
                    <w:r>
                      <w:rPr>
                        <w:rFonts w:ascii="Verdana"/>
                        <w:w w:val="119"/>
                        <w:sz w:val="9"/>
                      </w:rPr>
                      <w:t>U</w:t>
                    </w:r>
                    <w:r>
                      <w:rPr>
                        <w:rFonts w:ascii="Verdana"/>
                        <w:spacing w:val="-1"/>
                        <w:w w:val="141"/>
                        <w:sz w:val="9"/>
                      </w:rPr>
                      <w:t>J</w:t>
                    </w:r>
                    <w:r>
                      <w:rPr>
                        <w:rFonts w:ascii="Verdana"/>
                        <w:w w:val="113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116"/>
                        <w:sz w:val="9"/>
                      </w:rPr>
                      <w:t>R</w:t>
                    </w:r>
                    <w:r>
                      <w:rPr>
                        <w:rFonts w:ascii="Verdana"/>
                        <w:w w:val="113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97"/>
                        <w:sz w:val="9"/>
                      </w:rPr>
                      <w:t>S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Verdana" w:hAnsi="Verdana"/>
                        <w:sz w:val="9"/>
                      </w:rPr>
                    </w:pPr>
                    <w:r>
                      <w:rPr>
                        <w:rFonts w:ascii="Verdana" w:hAnsi="Verdana"/>
                        <w:w w:val="115"/>
                        <w:sz w:val="9"/>
                      </w:rPr>
                      <w:t>Sin</w:t>
                    </w:r>
                    <w:r>
                      <w:rPr>
                        <w:rFonts w:ascii="Verdana" w:hAnsi="Verdana"/>
                        <w:spacing w:val="32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15"/>
                        <w:sz w:val="9"/>
                      </w:rPr>
                      <w:t>Clasificación</w:t>
                    </w:r>
                    <w:r>
                      <w:rPr>
                        <w:rFonts w:ascii="Verdana" w:hAnsi="Verdana"/>
                        <w:spacing w:val="30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15"/>
                        <w:sz w:val="9"/>
                      </w:rPr>
                      <w:t>-</w:t>
                    </w:r>
                    <w:r>
                      <w:rPr>
                        <w:rFonts w:ascii="Verdana" w:hAnsi="Verdana"/>
                        <w:spacing w:val="30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15"/>
                        <w:sz w:val="9"/>
                      </w:rPr>
                      <w:t>HOMBRES</w:t>
                    </w:r>
                  </w:p>
                  <w:p>
                    <w:pPr>
                      <w:spacing w:line="240" w:lineRule="auto" w:before="5"/>
                      <w:rPr>
                        <w:rFonts w:ascii="Verdana"/>
                        <w:sz w:val="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 w:hAnsi="Verdana"/>
                        <w:sz w:val="9"/>
                      </w:rPr>
                    </w:pPr>
                    <w:r>
                      <w:rPr>
                        <w:rFonts w:ascii="Verdana" w:hAnsi="Verdana"/>
                        <w:w w:val="115"/>
                        <w:sz w:val="9"/>
                      </w:rPr>
                      <w:t>Sin</w:t>
                    </w:r>
                    <w:r>
                      <w:rPr>
                        <w:rFonts w:ascii="Verdana" w:hAnsi="Verdana"/>
                        <w:spacing w:val="27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15"/>
                        <w:sz w:val="9"/>
                      </w:rPr>
                      <w:t>Clasificación</w:t>
                    </w:r>
                    <w:r>
                      <w:rPr>
                        <w:rFonts w:ascii="Verdana" w:hAnsi="Verdana"/>
                        <w:spacing w:val="26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15"/>
                        <w:sz w:val="9"/>
                      </w:rPr>
                      <w:t>-</w:t>
                    </w:r>
                    <w:r>
                      <w:rPr>
                        <w:rFonts w:ascii="Verdana" w:hAnsi="Verdana"/>
                        <w:spacing w:val="25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15"/>
                        <w:sz w:val="9"/>
                      </w:rPr>
                      <w:t>MUJERES</w:t>
                    </w:r>
                  </w:p>
                </w:txbxContent>
              </v:textbox>
              <w10:wrap type="none"/>
            </v:shape>
            <v:shape style="position:absolute;left:2382;top:4003;width:5766;height:113" type="#_x0000_t202" filled="false" stroked="false">
              <v:textbox inset="0,0,0,0">
                <w:txbxContent>
                  <w:p>
                    <w:pPr>
                      <w:tabs>
                        <w:tab w:pos="1358" w:val="left" w:leader="none"/>
                        <w:tab w:pos="2718" w:val="left" w:leader="none"/>
                        <w:tab w:pos="4078" w:val="left" w:leader="none"/>
                        <w:tab w:pos="5438" w:val="left" w:leader="none"/>
                      </w:tabs>
                      <w:spacing w:line="11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2017</w:t>
                      <w:tab/>
                      <w:t>2018</w:t>
                      <w:tab/>
                      <w:t>2019</w:t>
                      <w:tab/>
                      <w:t>2020</w:t>
                      <w:tab/>
                      <w:t>2021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Gráfico Nº. Total de población estudiantil por niveles educativos, etnia y sexo para el Departamento de</w:t>
      </w:r>
      <w:r>
        <w:rPr>
          <w:spacing w:val="1"/>
        </w:rPr>
        <w:t> </w:t>
      </w:r>
      <w:r>
        <w:rPr/>
        <w:t>Alta</w:t>
      </w:r>
      <w:r>
        <w:rPr>
          <w:spacing w:val="-1"/>
        </w:rPr>
        <w:t> </w:t>
      </w:r>
      <w:r>
        <w:rPr/>
        <w:t>Verapaz</w:t>
      </w:r>
      <w:r>
        <w:rPr>
          <w:spacing w:val="-1"/>
        </w:rPr>
        <w:t> </w:t>
      </w:r>
      <w:r>
        <w:rPr/>
        <w:t>(2017-2021)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ind w:left="278" w:right="1072"/>
        <w:jc w:val="both"/>
      </w:pP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gráfico</w:t>
      </w:r>
      <w:r>
        <w:rPr>
          <w:spacing w:val="-4"/>
        </w:rPr>
        <w:t> </w:t>
      </w:r>
      <w:r>
        <w:rPr/>
        <w:t>anterior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observa</w:t>
      </w:r>
      <w:r>
        <w:rPr>
          <w:spacing w:val="-8"/>
        </w:rPr>
        <w:t> </w:t>
      </w:r>
      <w:r>
        <w:rPr/>
        <w:t>el</w:t>
      </w:r>
      <w:r>
        <w:rPr>
          <w:spacing w:val="-5"/>
        </w:rPr>
        <w:t> </w:t>
      </w:r>
      <w:r>
        <w:rPr/>
        <w:t>total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población</w:t>
      </w:r>
      <w:r>
        <w:rPr>
          <w:spacing w:val="-6"/>
        </w:rPr>
        <w:t> </w:t>
      </w:r>
      <w:r>
        <w:rPr/>
        <w:t>estudiantil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niveles</w:t>
      </w:r>
      <w:r>
        <w:rPr>
          <w:spacing w:val="-6"/>
        </w:rPr>
        <w:t> </w:t>
      </w:r>
      <w:r>
        <w:rPr/>
        <w:t>educativos,</w:t>
      </w:r>
      <w:r>
        <w:rPr>
          <w:spacing w:val="-6"/>
        </w:rPr>
        <w:t> </w:t>
      </w:r>
      <w:r>
        <w:rPr/>
        <w:t>etnia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sexo.</w:t>
      </w:r>
      <w:r>
        <w:rPr>
          <w:spacing w:val="-6"/>
        </w:rPr>
        <w:t> </w:t>
      </w:r>
      <w:r>
        <w:rPr/>
        <w:t>Se</w:t>
      </w:r>
      <w:r>
        <w:rPr>
          <w:spacing w:val="-47"/>
        </w:rPr>
        <w:t> </w:t>
      </w:r>
      <w:r>
        <w:rPr/>
        <w:t>observa que para el Departamento de Alta Verapaz, la mayoría de la población corresponde a la etnia</w:t>
      </w:r>
      <w:r>
        <w:rPr>
          <w:spacing w:val="1"/>
        </w:rPr>
        <w:t> </w:t>
      </w:r>
      <w:r>
        <w:rPr/>
        <w:t>maya, seguido de la Ladina. Según DIPLAN, 2021 cantidad total de población estudiantil considerando</w:t>
      </w:r>
      <w:r>
        <w:rPr>
          <w:spacing w:val="1"/>
        </w:rPr>
        <w:t> </w:t>
      </w:r>
      <w:r>
        <w:rPr/>
        <w:t>todos los niveles educativos fue en total de atención por sexo es de 6% de atención a hombres ladinos y</w:t>
      </w:r>
      <w:r>
        <w:rPr>
          <w:spacing w:val="1"/>
        </w:rPr>
        <w:t> </w:t>
      </w:r>
      <w:r>
        <w:rPr/>
        <w:t>6.2% a mujeres ladinas. Mientras que el 47.8% son hombres Mayas y el 40% son mujeres de la misma</w:t>
      </w:r>
      <w:r>
        <w:rPr>
          <w:spacing w:val="1"/>
        </w:rPr>
        <w:t> </w:t>
      </w:r>
      <w:r>
        <w:rPr/>
        <w:t>etnia.</w:t>
      </w:r>
    </w:p>
    <w:p>
      <w:pPr>
        <w:pStyle w:val="BodyText"/>
      </w:pPr>
    </w:p>
    <w:p>
      <w:pPr>
        <w:pStyle w:val="BodyText"/>
        <w:ind w:left="278" w:right="1071"/>
        <w:jc w:val="both"/>
      </w:pPr>
      <w:r>
        <w:rPr>
          <w:spacing w:val="-1"/>
        </w:rPr>
        <w:t>Al</w:t>
      </w:r>
      <w:r>
        <w:rPr>
          <w:spacing w:val="-10"/>
        </w:rPr>
        <w:t> </w:t>
      </w:r>
      <w:r>
        <w:rPr>
          <w:spacing w:val="-1"/>
        </w:rPr>
        <w:t>comparar</w:t>
      </w:r>
      <w:r>
        <w:rPr>
          <w:spacing w:val="-13"/>
        </w:rPr>
        <w:t> </w:t>
      </w:r>
      <w:r>
        <w:rPr>
          <w:spacing w:val="-1"/>
        </w:rPr>
        <w:t>estas</w:t>
      </w:r>
      <w:r>
        <w:rPr>
          <w:spacing w:val="-10"/>
        </w:rPr>
        <w:t> </w:t>
      </w:r>
      <w:r>
        <w:rPr>
          <w:spacing w:val="-1"/>
        </w:rPr>
        <w:t>cifras</w:t>
      </w:r>
      <w:r>
        <w:rPr>
          <w:spacing w:val="-9"/>
        </w:rPr>
        <w:t> </w:t>
      </w:r>
      <w:r>
        <w:rPr/>
        <w:t>con</w:t>
      </w:r>
      <w:r>
        <w:rPr>
          <w:spacing w:val="-10"/>
        </w:rPr>
        <w:t> </w:t>
      </w:r>
      <w:r>
        <w:rPr/>
        <w:t>las</w:t>
      </w:r>
      <w:r>
        <w:rPr>
          <w:spacing w:val="-9"/>
        </w:rPr>
        <w:t> </w:t>
      </w:r>
      <w:r>
        <w:rPr/>
        <w:t>con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información</w:t>
      </w:r>
      <w:r>
        <w:rPr>
          <w:spacing w:val="-10"/>
        </w:rPr>
        <w:t> </w:t>
      </w:r>
      <w:r>
        <w:rPr/>
        <w:t>del</w:t>
      </w:r>
      <w:r>
        <w:rPr>
          <w:spacing w:val="-14"/>
        </w:rPr>
        <w:t> </w:t>
      </w:r>
      <w:r>
        <w:rPr/>
        <w:t>INE,</w:t>
      </w:r>
      <w:r>
        <w:rPr>
          <w:spacing w:val="-9"/>
        </w:rPr>
        <w:t> </w:t>
      </w:r>
      <w:r>
        <w:rPr/>
        <w:t>2018</w:t>
      </w:r>
      <w:r>
        <w:rPr>
          <w:spacing w:val="-10"/>
        </w:rPr>
        <w:t> </w:t>
      </w:r>
      <w:r>
        <w:rPr/>
        <w:t>es</w:t>
      </w:r>
      <w:r>
        <w:rPr>
          <w:spacing w:val="-9"/>
        </w:rPr>
        <w:t> </w:t>
      </w:r>
      <w:r>
        <w:rPr/>
        <w:t>posible</w:t>
      </w:r>
      <w:r>
        <w:rPr>
          <w:spacing w:val="-12"/>
        </w:rPr>
        <w:t> </w:t>
      </w:r>
      <w:r>
        <w:rPr/>
        <w:t>evidenciar</w:t>
      </w:r>
      <w:r>
        <w:rPr>
          <w:spacing w:val="-9"/>
        </w:rPr>
        <w:t> </w:t>
      </w:r>
      <w:r>
        <w:rPr/>
        <w:t>que,</w:t>
      </w:r>
      <w:r>
        <w:rPr>
          <w:spacing w:val="-11"/>
        </w:rPr>
        <w:t> </w:t>
      </w:r>
      <w:r>
        <w:rPr/>
        <w:t>si</w:t>
      </w:r>
      <w:r>
        <w:rPr>
          <w:spacing w:val="-10"/>
        </w:rPr>
        <w:t> </w:t>
      </w:r>
      <w:r>
        <w:rPr/>
        <w:t>bien</w:t>
      </w:r>
      <w:r>
        <w:rPr>
          <w:spacing w:val="-11"/>
        </w:rPr>
        <w:t> </w:t>
      </w:r>
      <w:r>
        <w:rPr/>
        <w:t>es</w:t>
      </w:r>
      <w:r>
        <w:rPr>
          <w:spacing w:val="-11"/>
        </w:rPr>
        <w:t> </w:t>
      </w:r>
      <w:r>
        <w:rPr/>
        <w:t>cierto,</w:t>
      </w:r>
      <w:r>
        <w:rPr>
          <w:spacing w:val="-47"/>
        </w:rPr>
        <w:t> </w:t>
      </w:r>
      <w:r>
        <w:rPr/>
        <w:t>si hay participación no hay representatividad por etnia en los niveles educativos del Departamento (93%</w:t>
      </w:r>
      <w:r>
        <w:rPr>
          <w:spacing w:val="1"/>
        </w:rPr>
        <w:t> </w:t>
      </w:r>
      <w:r>
        <w:rPr/>
        <w:t>Maya</w:t>
      </w:r>
      <w:r>
        <w:rPr>
          <w:spacing w:val="-10"/>
        </w:rPr>
        <w:t> </w:t>
      </w:r>
      <w:r>
        <w:rPr/>
        <w:t>y</w:t>
      </w:r>
      <w:r>
        <w:rPr>
          <w:spacing w:val="-7"/>
        </w:rPr>
        <w:t> </w:t>
      </w:r>
      <w:r>
        <w:rPr/>
        <w:t>7%</w:t>
      </w:r>
      <w:r>
        <w:rPr>
          <w:spacing w:val="-7"/>
        </w:rPr>
        <w:t> </w:t>
      </w:r>
      <w:r>
        <w:rPr/>
        <w:t>Ladina).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nivel</w:t>
      </w:r>
      <w:r>
        <w:rPr>
          <w:spacing w:val="-11"/>
        </w:rPr>
        <w:t> </w:t>
      </w:r>
      <w:r>
        <w:rPr/>
        <w:t>de</w:t>
      </w:r>
      <w:r>
        <w:rPr>
          <w:spacing w:val="-6"/>
        </w:rPr>
        <w:t> </w:t>
      </w:r>
      <w:r>
        <w:rPr/>
        <w:t>sexo</w:t>
      </w:r>
      <w:r>
        <w:rPr>
          <w:spacing w:val="-7"/>
        </w:rPr>
        <w:t> </w:t>
      </w:r>
      <w:r>
        <w:rPr/>
        <w:t>se</w:t>
      </w:r>
      <w:r>
        <w:rPr>
          <w:spacing w:val="-10"/>
        </w:rPr>
        <w:t> </w:t>
      </w:r>
      <w:r>
        <w:rPr/>
        <w:t>sigue</w:t>
      </w:r>
      <w:r>
        <w:rPr>
          <w:spacing w:val="-6"/>
        </w:rPr>
        <w:t> </w:t>
      </w:r>
      <w:r>
        <w:rPr/>
        <w:t>presentando</w:t>
      </w:r>
      <w:r>
        <w:rPr>
          <w:spacing w:val="-7"/>
        </w:rPr>
        <w:t> </w:t>
      </w:r>
      <w:r>
        <w:rPr/>
        <w:t>una</w:t>
      </w:r>
      <w:r>
        <w:rPr>
          <w:spacing w:val="-8"/>
        </w:rPr>
        <w:t> </w:t>
      </w:r>
      <w:r>
        <w:rPr/>
        <w:t>brecha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atención</w:t>
      </w:r>
      <w:r>
        <w:rPr>
          <w:spacing w:val="-11"/>
        </w:rPr>
        <w:t> </w:t>
      </w:r>
      <w:r>
        <w:rPr/>
        <w:t>en</w:t>
      </w:r>
      <w:r>
        <w:rPr>
          <w:spacing w:val="-7"/>
        </w:rPr>
        <w:t> </w:t>
      </w:r>
      <w:r>
        <w:rPr/>
        <w:t>dónde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participación</w:t>
      </w:r>
      <w:r>
        <w:rPr>
          <w:spacing w:val="-47"/>
        </w:rPr>
        <w:t> </w:t>
      </w:r>
      <w:r>
        <w:rPr/>
        <w:t>del</w:t>
      </w:r>
      <w:r>
        <w:rPr>
          <w:spacing w:val="-8"/>
        </w:rPr>
        <w:t> </w:t>
      </w:r>
      <w:r>
        <w:rPr/>
        <w:t>hombre</w:t>
      </w:r>
      <w:r>
        <w:rPr>
          <w:spacing w:val="-9"/>
        </w:rPr>
        <w:t> </w:t>
      </w:r>
      <w:r>
        <w:rPr/>
        <w:t>maya</w:t>
      </w:r>
      <w:r>
        <w:rPr>
          <w:spacing w:val="-10"/>
        </w:rPr>
        <w:t> </w:t>
      </w:r>
      <w:r>
        <w:rPr/>
        <w:t>es</w:t>
      </w:r>
      <w:r>
        <w:rPr>
          <w:spacing w:val="-9"/>
        </w:rPr>
        <w:t> </w:t>
      </w:r>
      <w:r>
        <w:rPr/>
        <w:t>mayor</w:t>
      </w:r>
      <w:r>
        <w:rPr>
          <w:spacing w:val="-10"/>
        </w:rPr>
        <w:t> </w:t>
      </w:r>
      <w:r>
        <w:rPr/>
        <w:t>que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11"/>
        </w:rPr>
        <w:t> </w:t>
      </w:r>
      <w:r>
        <w:rPr/>
        <w:t>mujer;</w:t>
      </w:r>
      <w:r>
        <w:rPr>
          <w:spacing w:val="-9"/>
        </w:rPr>
        <w:t> </w:t>
      </w:r>
      <w:r>
        <w:rPr/>
        <w:t>sobre</w:t>
      </w:r>
      <w:r>
        <w:rPr>
          <w:spacing w:val="-9"/>
        </w:rPr>
        <w:t> </w:t>
      </w:r>
      <w:r>
        <w:rPr/>
        <w:t>todo</w:t>
      </w:r>
      <w:r>
        <w:rPr>
          <w:spacing w:val="-7"/>
        </w:rPr>
        <w:t> </w:t>
      </w:r>
      <w:r>
        <w:rPr/>
        <w:t>considerando</w:t>
      </w:r>
      <w:r>
        <w:rPr>
          <w:spacing w:val="-6"/>
        </w:rPr>
        <w:t> </w:t>
      </w:r>
      <w:r>
        <w:rPr/>
        <w:t>que</w:t>
      </w:r>
      <w:r>
        <w:rPr>
          <w:spacing w:val="-10"/>
        </w:rPr>
        <w:t> </w:t>
      </w:r>
      <w:r>
        <w:rPr/>
        <w:t>en</w:t>
      </w:r>
      <w:r>
        <w:rPr>
          <w:spacing w:val="-7"/>
        </w:rPr>
        <w:t> </w:t>
      </w:r>
      <w:r>
        <w:rPr/>
        <w:t>este</w:t>
      </w:r>
      <w:r>
        <w:rPr>
          <w:spacing w:val="-7"/>
        </w:rPr>
        <w:t> </w:t>
      </w:r>
      <w:r>
        <w:rPr/>
        <w:t>departamento</w:t>
      </w:r>
      <w:r>
        <w:rPr>
          <w:spacing w:val="-6"/>
        </w:rPr>
        <w:t> </w:t>
      </w:r>
      <w:r>
        <w:rPr/>
        <w:t>el</w:t>
      </w:r>
      <w:r>
        <w:rPr>
          <w:spacing w:val="-10"/>
        </w:rPr>
        <w:t> </w:t>
      </w:r>
      <w:r>
        <w:rPr/>
        <w:t>51%</w:t>
      </w:r>
      <w:r>
        <w:rPr>
          <w:spacing w:val="-47"/>
        </w:rPr>
        <w:t> </w:t>
      </w:r>
      <w:r>
        <w:rPr/>
        <w:t>es mujer. Es decir, durante el período evaluado la cobertura educativa para la mujer Maya sigue siendo</w:t>
      </w:r>
      <w:r>
        <w:rPr>
          <w:spacing w:val="1"/>
        </w:rPr>
        <w:t> </w:t>
      </w:r>
      <w:r>
        <w:rPr/>
        <w:t>una</w:t>
      </w:r>
      <w:r>
        <w:rPr>
          <w:spacing w:val="-1"/>
        </w:rPr>
        <w:t> </w:t>
      </w:r>
      <w:r>
        <w:rPr/>
        <w:t>tarea pendiente.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rect style="position:absolute;margin-left:563.880005pt;margin-top:19.850727pt;width:25.44pt;height:1.4399pt;mso-position-horizontal-relative:page;mso-position-vertical-relative:paragraph;z-index:-1546854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129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7433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7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1"/>
          <w:numId w:val="32"/>
        </w:numPr>
        <w:tabs>
          <w:tab w:pos="854" w:val="left" w:leader="none"/>
          <w:tab w:pos="855" w:val="left" w:leader="none"/>
        </w:tabs>
        <w:spacing w:line="240" w:lineRule="auto" w:before="52" w:after="0"/>
        <w:ind w:left="854" w:right="0" w:hanging="577"/>
        <w:jc w:val="left"/>
      </w:pPr>
      <w:bookmarkStart w:name="_bookmark144" w:id="221"/>
      <w:bookmarkEnd w:id="221"/>
      <w:r>
        <w:rPr>
          <w:b w:val="0"/>
        </w:rPr>
      </w:r>
      <w:bookmarkStart w:name="_bookmark144" w:id="222"/>
      <w:bookmarkEnd w:id="222"/>
      <w:r>
        <w:rPr>
          <w:color w:val="1F4E79"/>
        </w:rPr>
        <w:t>B</w:t>
      </w:r>
      <w:r>
        <w:rPr>
          <w:color w:val="1F4E79"/>
        </w:rPr>
        <w:t>aja</w:t>
      </w:r>
      <w:r>
        <w:rPr>
          <w:color w:val="1F4E79"/>
          <w:spacing w:val="-8"/>
        </w:rPr>
        <w:t> </w:t>
      </w:r>
      <w:r>
        <w:rPr>
          <w:color w:val="1F4E79"/>
        </w:rPr>
        <w:t>Verapaz</w:t>
      </w:r>
    </w:p>
    <w:p>
      <w:pPr>
        <w:pStyle w:val="BodyText"/>
        <w:rPr>
          <w:b/>
          <w:sz w:val="24"/>
        </w:rPr>
      </w:pPr>
    </w:p>
    <w:p>
      <w:pPr>
        <w:pStyle w:val="Heading3"/>
        <w:numPr>
          <w:ilvl w:val="2"/>
          <w:numId w:val="32"/>
        </w:numPr>
        <w:tabs>
          <w:tab w:pos="998" w:val="left" w:leader="none"/>
          <w:tab w:pos="999" w:val="left" w:leader="none"/>
        </w:tabs>
        <w:spacing w:line="240" w:lineRule="auto" w:before="187" w:after="0"/>
        <w:ind w:left="998" w:right="0" w:hanging="721"/>
        <w:jc w:val="left"/>
      </w:pPr>
      <w:bookmarkStart w:name="_bookmark145" w:id="223"/>
      <w:bookmarkEnd w:id="223"/>
      <w:r>
        <w:rPr>
          <w:b w:val="0"/>
        </w:rPr>
      </w:r>
      <w:bookmarkStart w:name="_bookmark145" w:id="224"/>
      <w:bookmarkEnd w:id="224"/>
      <w:r>
        <w:rPr/>
        <w:t>Inf</w:t>
      </w:r>
      <w:r>
        <w:rPr/>
        <w:t>ormación</w:t>
      </w:r>
      <w:r>
        <w:rPr>
          <w:spacing w:val="-8"/>
        </w:rPr>
        <w:t> </w:t>
      </w:r>
      <w:r>
        <w:rPr/>
        <w:t>General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2"/>
        <w:jc w:val="both"/>
      </w:pPr>
      <w:r>
        <w:rPr/>
        <w:t>De</w:t>
      </w:r>
      <w:r>
        <w:rPr>
          <w:spacing w:val="-1"/>
        </w:rPr>
        <w:t> </w:t>
      </w:r>
      <w:r>
        <w:rPr/>
        <w:t>acuerdo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INE</w:t>
      </w:r>
      <w:r>
        <w:rPr>
          <w:spacing w:val="-2"/>
        </w:rPr>
        <w:t> </w:t>
      </w:r>
      <w:r>
        <w:rPr/>
        <w:t>(2018),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total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población</w:t>
      </w:r>
      <w:r>
        <w:rPr>
          <w:spacing w:val="-5"/>
        </w:rPr>
        <w:t> </w:t>
      </w:r>
      <w:r>
        <w:rPr/>
        <w:t>del</w:t>
      </w:r>
      <w:r>
        <w:rPr>
          <w:spacing w:val="-3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299,476</w:t>
      </w:r>
      <w:r>
        <w:rPr>
          <w:spacing w:val="-1"/>
        </w:rPr>
        <w:t> </w:t>
      </w:r>
      <w:r>
        <w:rPr/>
        <w:t>habitantes de los</w:t>
      </w:r>
      <w:r>
        <w:rPr>
          <w:spacing w:val="-48"/>
        </w:rPr>
        <w:t> </w:t>
      </w:r>
      <w:r>
        <w:rPr/>
        <w:t>cuales; 47.9% son hombres y 52.1% son mujeres. A nivel nacional el porcentaje de población que se</w:t>
      </w:r>
      <w:r>
        <w:rPr>
          <w:spacing w:val="1"/>
        </w:rPr>
        <w:t> </w:t>
      </w:r>
      <w:r>
        <w:rPr/>
        <w:t>identifica como procedencia Maya es del 60% mientras que el 40% como Ladino. Un 60% reside en área</w:t>
      </w:r>
      <w:r>
        <w:rPr>
          <w:spacing w:val="1"/>
        </w:rPr>
        <w:t> </w:t>
      </w:r>
      <w:r>
        <w:rPr/>
        <w:t>rural,</w:t>
      </w:r>
      <w:r>
        <w:rPr>
          <w:spacing w:val="-1"/>
        </w:rPr>
        <w:t> </w:t>
      </w:r>
      <w:r>
        <w:rPr/>
        <w:t>mientras que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40%</w:t>
      </w:r>
      <w:r>
        <w:rPr>
          <w:spacing w:val="-2"/>
        </w:rPr>
        <w:t> </w:t>
      </w:r>
      <w:r>
        <w:rPr/>
        <w:t>se</w:t>
      </w:r>
      <w:r>
        <w:rPr>
          <w:spacing w:val="1"/>
        </w:rPr>
        <w:t> </w:t>
      </w:r>
      <w:r>
        <w:rPr/>
        <w:t>ubica en</w:t>
      </w:r>
      <w:r>
        <w:rPr>
          <w:spacing w:val="-3"/>
        </w:rPr>
        <w:t> </w:t>
      </w:r>
      <w:r>
        <w:rPr/>
        <w:t>el área</w:t>
      </w:r>
      <w:r>
        <w:rPr>
          <w:spacing w:val="1"/>
        </w:rPr>
        <w:t> </w:t>
      </w:r>
      <w:r>
        <w:rPr/>
        <w:t>urbana.</w:t>
      </w:r>
    </w:p>
    <w:p>
      <w:pPr>
        <w:pStyle w:val="BodyText"/>
        <w:spacing w:before="9"/>
        <w:rPr>
          <w:sz w:val="19"/>
        </w:rPr>
      </w:pPr>
    </w:p>
    <w:p>
      <w:pPr>
        <w:pStyle w:val="Heading3"/>
        <w:numPr>
          <w:ilvl w:val="2"/>
          <w:numId w:val="32"/>
        </w:numPr>
        <w:tabs>
          <w:tab w:pos="998" w:val="left" w:leader="none"/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146" w:id="225"/>
      <w:bookmarkEnd w:id="225"/>
      <w:r>
        <w:rPr>
          <w:b w:val="0"/>
        </w:rPr>
      </w:r>
      <w:bookmarkStart w:name="_bookmark146" w:id="226"/>
      <w:bookmarkEnd w:id="226"/>
      <w:r>
        <w:rPr/>
        <w:t>Situ</w:t>
      </w:r>
      <w:r>
        <w:rPr/>
        <w:t>ación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Sistema</w:t>
      </w:r>
      <w:r>
        <w:rPr>
          <w:spacing w:val="-4"/>
        </w:rPr>
        <w:t> </w:t>
      </w:r>
      <w:r>
        <w:rPr/>
        <w:t>Nacional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Educación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278" w:right="1071"/>
        <w:jc w:val="both"/>
      </w:pP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población</w:t>
      </w:r>
      <w:r>
        <w:rPr>
          <w:spacing w:val="-13"/>
        </w:rPr>
        <w:t> </w:t>
      </w:r>
      <w:r>
        <w:rPr>
          <w:spacing w:val="-1"/>
        </w:rPr>
        <w:t>estudiantil</w:t>
      </w:r>
      <w:r>
        <w:rPr>
          <w:spacing w:val="-12"/>
        </w:rPr>
        <w:t> </w:t>
      </w:r>
      <w:r>
        <w:rPr/>
        <w:t>del</w:t>
      </w:r>
      <w:r>
        <w:rPr>
          <w:spacing w:val="-14"/>
        </w:rPr>
        <w:t> </w:t>
      </w:r>
      <w:r>
        <w:rPr/>
        <w:t>Departamento</w:t>
      </w:r>
      <w:r>
        <w:rPr>
          <w:spacing w:val="-9"/>
        </w:rPr>
        <w:t> </w:t>
      </w:r>
      <w:r>
        <w:rPr/>
        <w:t>ha</w:t>
      </w:r>
      <w:r>
        <w:rPr>
          <w:spacing w:val="-12"/>
        </w:rPr>
        <w:t> </w:t>
      </w:r>
      <w:r>
        <w:rPr/>
        <w:t>presentado</w:t>
      </w:r>
      <w:r>
        <w:rPr>
          <w:spacing w:val="-11"/>
        </w:rPr>
        <w:t> </w:t>
      </w:r>
      <w:r>
        <w:rPr/>
        <w:t>un</w:t>
      </w:r>
      <w:r>
        <w:rPr>
          <w:spacing w:val="-13"/>
        </w:rPr>
        <w:t> </w:t>
      </w:r>
      <w:r>
        <w:rPr/>
        <w:t>comportamiento</w:t>
      </w:r>
      <w:r>
        <w:rPr>
          <w:spacing w:val="-10"/>
        </w:rPr>
        <w:t> </w:t>
      </w:r>
      <w:r>
        <w:rPr/>
        <w:t>similar</w:t>
      </w:r>
      <w:r>
        <w:rPr>
          <w:spacing w:val="-13"/>
        </w:rPr>
        <w:t> </w:t>
      </w:r>
      <w:r>
        <w:rPr/>
        <w:t>al</w:t>
      </w:r>
      <w:r>
        <w:rPr>
          <w:spacing w:val="-12"/>
        </w:rPr>
        <w:t> </w:t>
      </w:r>
      <w:r>
        <w:rPr/>
        <w:t>presentado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nivel</w:t>
      </w:r>
      <w:r>
        <w:rPr>
          <w:spacing w:val="-48"/>
        </w:rPr>
        <w:t> </w:t>
      </w:r>
      <w:r>
        <w:rPr/>
        <w:t>nacional. El nivel primaria es el que reporta mayor crecimiento con la mayor cantidad de estudiantes</w:t>
      </w:r>
      <w:r>
        <w:rPr>
          <w:spacing w:val="1"/>
        </w:rPr>
        <w:t> </w:t>
      </w:r>
      <w:r>
        <w:rPr/>
        <w:t>registrados, seguido por el ciclo básico y diversificado. A manera de referencia, se presentan los datos</w:t>
      </w:r>
      <w:r>
        <w:rPr>
          <w:spacing w:val="1"/>
        </w:rPr>
        <w:t> </w:t>
      </w:r>
      <w:r>
        <w:rPr/>
        <w:t>absolutos para</w:t>
      </w:r>
      <w:r>
        <w:rPr>
          <w:spacing w:val="-4"/>
        </w:rPr>
        <w:t> </w:t>
      </w:r>
      <w:r>
        <w:rPr/>
        <w:t>este</w:t>
      </w:r>
      <w:r>
        <w:rPr>
          <w:spacing w:val="-2"/>
        </w:rPr>
        <w:t> </w:t>
      </w:r>
      <w:r>
        <w:rPr/>
        <w:t>Departamento.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1" w:after="6"/>
        <w:ind w:left="278"/>
        <w:jc w:val="both"/>
      </w:pPr>
      <w:r>
        <w:rPr/>
        <w:t>Tabla</w:t>
      </w:r>
      <w:r>
        <w:rPr>
          <w:spacing w:val="-2"/>
        </w:rPr>
        <w:t> </w:t>
      </w:r>
      <w:r>
        <w:rPr/>
        <w:t>Nº.</w:t>
      </w:r>
      <w:r>
        <w:rPr>
          <w:spacing w:val="-1"/>
        </w:rPr>
        <w:t> </w:t>
      </w:r>
      <w:r>
        <w:rPr/>
        <w:t>Total</w:t>
      </w:r>
      <w:r>
        <w:rPr>
          <w:spacing w:val="-2"/>
        </w:rPr>
        <w:t> </w:t>
      </w:r>
      <w:r>
        <w:rPr/>
        <w:t>de estudiantes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Nivel</w:t>
      </w:r>
      <w:r>
        <w:rPr>
          <w:spacing w:val="-1"/>
        </w:rPr>
        <w:t> </w:t>
      </w:r>
      <w:r>
        <w:rPr/>
        <w:t>Educativo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Baja</w:t>
      </w:r>
      <w:r>
        <w:rPr>
          <w:spacing w:val="-6"/>
        </w:rPr>
        <w:t> </w:t>
      </w:r>
      <w:r>
        <w:rPr/>
        <w:t>Verapaz</w:t>
      </w:r>
      <w:r>
        <w:rPr>
          <w:spacing w:val="-3"/>
        </w:rPr>
        <w:t> </w:t>
      </w:r>
      <w:r>
        <w:rPr/>
        <w:t>(2017</w:t>
      </w:r>
      <w:r>
        <w:rPr>
          <w:spacing w:val="-1"/>
        </w:rPr>
        <w:t> </w:t>
      </w:r>
      <w:r>
        <w:rPr/>
        <w:t>al</w:t>
      </w:r>
      <w:r>
        <w:rPr>
          <w:spacing w:val="-3"/>
        </w:rPr>
        <w:t> </w:t>
      </w:r>
      <w:r>
        <w:rPr/>
        <w:t>2021)</w:t>
      </w:r>
    </w:p>
    <w:tbl>
      <w:tblPr>
        <w:tblW w:w="0" w:type="auto"/>
        <w:jc w:val="left"/>
        <w:tblInd w:w="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9"/>
        <w:gridCol w:w="1595"/>
        <w:gridCol w:w="1062"/>
        <w:gridCol w:w="2041"/>
        <w:gridCol w:w="767"/>
        <w:gridCol w:w="1431"/>
        <w:gridCol w:w="1253"/>
      </w:tblGrid>
      <w:tr>
        <w:trPr>
          <w:trHeight w:val="480" w:hRule="atLeast"/>
        </w:trPr>
        <w:tc>
          <w:tcPr>
            <w:tcW w:w="1229" w:type="dxa"/>
            <w:tcBorders>
              <w:bottom w:val="single" w:sz="8" w:space="0" w:color="8EA9DB"/>
            </w:tcBorders>
            <w:shd w:val="clear" w:color="auto" w:fill="D9E0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5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line="206" w:lineRule="exact" w:before="1"/>
              <w:ind w:left="170" w:right="5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z w:val="19"/>
              </w:rPr>
              <w:t>PREPRIMARIA</w:t>
            </w:r>
          </w:p>
        </w:tc>
        <w:tc>
          <w:tcPr>
            <w:tcW w:w="1062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line="206" w:lineRule="exact" w:before="1"/>
              <w:ind w:left="116" w:right="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sz w:val="19"/>
              </w:rPr>
              <w:t>PRIMARIA</w:t>
            </w:r>
          </w:p>
        </w:tc>
        <w:tc>
          <w:tcPr>
            <w:tcW w:w="2041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line="206" w:lineRule="exact" w:before="1"/>
              <w:ind w:left="49" w:right="3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90"/>
                <w:sz w:val="19"/>
              </w:rPr>
              <w:t>PRIMARIA</w:t>
            </w:r>
            <w:r>
              <w:rPr>
                <w:rFonts w:ascii="Arial"/>
                <w:b/>
                <w:color w:val="FFFFFF"/>
                <w:spacing w:val="5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FFFFFF"/>
                <w:spacing w:val="-4"/>
                <w:w w:val="90"/>
                <w:sz w:val="19"/>
              </w:rPr>
              <w:t>DE</w:t>
            </w:r>
            <w:r>
              <w:rPr>
                <w:rFonts w:ascii="Arial"/>
                <w:b/>
                <w:color w:val="FFFFFF"/>
                <w:spacing w:val="-24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FFFFFF"/>
                <w:spacing w:val="-4"/>
                <w:w w:val="90"/>
                <w:sz w:val="19"/>
              </w:rPr>
              <w:t>ADULTOS</w:t>
            </w:r>
          </w:p>
        </w:tc>
        <w:tc>
          <w:tcPr>
            <w:tcW w:w="767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line="206" w:lineRule="exact" w:before="1"/>
              <w:ind w:right="2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sz w:val="19"/>
              </w:rPr>
              <w:t>BASICO</w:t>
            </w:r>
          </w:p>
        </w:tc>
        <w:tc>
          <w:tcPr>
            <w:tcW w:w="1431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line="206" w:lineRule="exact" w:before="1"/>
              <w:ind w:left="3" w:right="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8"/>
                <w:sz w:val="19"/>
              </w:rPr>
              <w:t>DIVERSIFICADO</w:t>
            </w:r>
          </w:p>
        </w:tc>
        <w:tc>
          <w:tcPr>
            <w:tcW w:w="1253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line="206" w:lineRule="exact" w:before="1"/>
              <w:ind w:right="80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90"/>
                <w:sz w:val="19"/>
              </w:rPr>
              <w:t>Total</w:t>
            </w:r>
            <w:r>
              <w:rPr>
                <w:rFonts w:ascii="Arial"/>
                <w:b/>
                <w:color w:val="FFFFFF"/>
                <w:spacing w:val="12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19"/>
              </w:rPr>
              <w:t>general</w:t>
            </w:r>
          </w:p>
        </w:tc>
      </w:tr>
      <w:tr>
        <w:trPr>
          <w:trHeight w:val="213" w:hRule="atLeast"/>
        </w:trPr>
        <w:tc>
          <w:tcPr>
            <w:tcW w:w="1229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91" w:lineRule="exact"/>
              <w:ind w:left="401" w:right="397"/>
              <w:jc w:val="center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2017</w:t>
            </w:r>
          </w:p>
        </w:tc>
        <w:tc>
          <w:tcPr>
            <w:tcW w:w="1595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91" w:lineRule="exact"/>
              <w:ind w:left="170" w:right="51"/>
              <w:jc w:val="center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12,890</w:t>
            </w:r>
          </w:p>
        </w:tc>
        <w:tc>
          <w:tcPr>
            <w:tcW w:w="1062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91" w:lineRule="exact"/>
              <w:ind w:left="139" w:right="6"/>
              <w:jc w:val="center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45,475</w:t>
            </w:r>
          </w:p>
        </w:tc>
        <w:tc>
          <w:tcPr>
            <w:tcW w:w="2041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91" w:lineRule="exact"/>
              <w:ind w:left="38" w:right="34"/>
              <w:jc w:val="center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156</w:t>
            </w:r>
          </w:p>
        </w:tc>
        <w:tc>
          <w:tcPr>
            <w:tcW w:w="767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91" w:lineRule="exact"/>
              <w:ind w:right="18"/>
              <w:jc w:val="center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12,945</w:t>
            </w:r>
          </w:p>
        </w:tc>
        <w:tc>
          <w:tcPr>
            <w:tcW w:w="1431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91" w:lineRule="exact"/>
              <w:ind w:left="14" w:right="3"/>
              <w:jc w:val="center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5,653</w:t>
            </w:r>
          </w:p>
        </w:tc>
        <w:tc>
          <w:tcPr>
            <w:tcW w:w="1253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91" w:lineRule="exact"/>
              <w:ind w:right="40"/>
              <w:jc w:val="right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77,119</w:t>
            </w:r>
          </w:p>
        </w:tc>
      </w:tr>
      <w:tr>
        <w:trPr>
          <w:trHeight w:val="232" w:hRule="atLeast"/>
        </w:trPr>
        <w:tc>
          <w:tcPr>
            <w:tcW w:w="1229" w:type="dxa"/>
          </w:tcPr>
          <w:p>
            <w:pPr>
              <w:pStyle w:val="TableParagraph"/>
              <w:spacing w:line="198" w:lineRule="exact" w:before="14"/>
              <w:ind w:left="401" w:right="397"/>
              <w:jc w:val="center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2018</w:t>
            </w:r>
          </w:p>
        </w:tc>
        <w:tc>
          <w:tcPr>
            <w:tcW w:w="1595" w:type="dxa"/>
          </w:tcPr>
          <w:p>
            <w:pPr>
              <w:pStyle w:val="TableParagraph"/>
              <w:spacing w:line="198" w:lineRule="exact" w:before="14"/>
              <w:ind w:left="170" w:right="51"/>
              <w:jc w:val="center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13,220</w:t>
            </w:r>
          </w:p>
        </w:tc>
        <w:tc>
          <w:tcPr>
            <w:tcW w:w="1062" w:type="dxa"/>
          </w:tcPr>
          <w:p>
            <w:pPr>
              <w:pStyle w:val="TableParagraph"/>
              <w:spacing w:line="198" w:lineRule="exact" w:before="14"/>
              <w:ind w:left="139" w:right="6"/>
              <w:jc w:val="center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46,513</w:t>
            </w:r>
          </w:p>
        </w:tc>
        <w:tc>
          <w:tcPr>
            <w:tcW w:w="2041" w:type="dxa"/>
          </w:tcPr>
          <w:p>
            <w:pPr>
              <w:pStyle w:val="TableParagraph"/>
              <w:spacing w:line="198" w:lineRule="exact" w:before="14"/>
              <w:ind w:left="38" w:right="34"/>
              <w:jc w:val="center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169</w:t>
            </w:r>
          </w:p>
        </w:tc>
        <w:tc>
          <w:tcPr>
            <w:tcW w:w="767" w:type="dxa"/>
          </w:tcPr>
          <w:p>
            <w:pPr>
              <w:pStyle w:val="TableParagraph"/>
              <w:spacing w:line="198" w:lineRule="exact" w:before="14"/>
              <w:ind w:right="18"/>
              <w:jc w:val="center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12,760</w:t>
            </w:r>
          </w:p>
        </w:tc>
        <w:tc>
          <w:tcPr>
            <w:tcW w:w="1431" w:type="dxa"/>
          </w:tcPr>
          <w:p>
            <w:pPr>
              <w:pStyle w:val="TableParagraph"/>
              <w:spacing w:line="198" w:lineRule="exact" w:before="14"/>
              <w:ind w:left="14" w:right="3"/>
              <w:jc w:val="center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5,813</w:t>
            </w:r>
          </w:p>
        </w:tc>
        <w:tc>
          <w:tcPr>
            <w:tcW w:w="1253" w:type="dxa"/>
          </w:tcPr>
          <w:p>
            <w:pPr>
              <w:pStyle w:val="TableParagraph"/>
              <w:spacing w:line="198" w:lineRule="exact" w:before="14"/>
              <w:ind w:right="40"/>
              <w:jc w:val="right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78,475</w:t>
            </w:r>
          </w:p>
        </w:tc>
      </w:tr>
      <w:tr>
        <w:trPr>
          <w:trHeight w:val="232" w:hRule="atLeast"/>
        </w:trPr>
        <w:tc>
          <w:tcPr>
            <w:tcW w:w="1229" w:type="dxa"/>
          </w:tcPr>
          <w:p>
            <w:pPr>
              <w:pStyle w:val="TableParagraph"/>
              <w:spacing w:line="198" w:lineRule="exact" w:before="14"/>
              <w:ind w:left="401" w:right="397"/>
              <w:jc w:val="center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2019</w:t>
            </w:r>
          </w:p>
        </w:tc>
        <w:tc>
          <w:tcPr>
            <w:tcW w:w="1595" w:type="dxa"/>
          </w:tcPr>
          <w:p>
            <w:pPr>
              <w:pStyle w:val="TableParagraph"/>
              <w:spacing w:line="198" w:lineRule="exact" w:before="14"/>
              <w:ind w:left="170" w:right="51"/>
              <w:jc w:val="center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12,892</w:t>
            </w:r>
          </w:p>
        </w:tc>
        <w:tc>
          <w:tcPr>
            <w:tcW w:w="1062" w:type="dxa"/>
          </w:tcPr>
          <w:p>
            <w:pPr>
              <w:pStyle w:val="TableParagraph"/>
              <w:spacing w:line="198" w:lineRule="exact" w:before="14"/>
              <w:ind w:left="139" w:right="6"/>
              <w:jc w:val="center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46,387</w:t>
            </w:r>
          </w:p>
        </w:tc>
        <w:tc>
          <w:tcPr>
            <w:tcW w:w="2041" w:type="dxa"/>
          </w:tcPr>
          <w:p>
            <w:pPr>
              <w:pStyle w:val="TableParagraph"/>
              <w:spacing w:line="198" w:lineRule="exact" w:before="14"/>
              <w:ind w:left="38" w:right="34"/>
              <w:jc w:val="center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119</w:t>
            </w:r>
          </w:p>
        </w:tc>
        <w:tc>
          <w:tcPr>
            <w:tcW w:w="767" w:type="dxa"/>
          </w:tcPr>
          <w:p>
            <w:pPr>
              <w:pStyle w:val="TableParagraph"/>
              <w:spacing w:line="198" w:lineRule="exact" w:before="14"/>
              <w:ind w:right="18"/>
              <w:jc w:val="center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12,248</w:t>
            </w:r>
          </w:p>
        </w:tc>
        <w:tc>
          <w:tcPr>
            <w:tcW w:w="1431" w:type="dxa"/>
          </w:tcPr>
          <w:p>
            <w:pPr>
              <w:pStyle w:val="TableParagraph"/>
              <w:spacing w:line="198" w:lineRule="exact" w:before="14"/>
              <w:ind w:left="14" w:right="3"/>
              <w:jc w:val="center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5,678</w:t>
            </w:r>
          </w:p>
        </w:tc>
        <w:tc>
          <w:tcPr>
            <w:tcW w:w="1253" w:type="dxa"/>
          </w:tcPr>
          <w:p>
            <w:pPr>
              <w:pStyle w:val="TableParagraph"/>
              <w:spacing w:line="198" w:lineRule="exact" w:before="14"/>
              <w:ind w:right="40"/>
              <w:jc w:val="right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77,324</w:t>
            </w:r>
          </w:p>
        </w:tc>
      </w:tr>
      <w:tr>
        <w:trPr>
          <w:trHeight w:val="232" w:hRule="atLeast"/>
        </w:trPr>
        <w:tc>
          <w:tcPr>
            <w:tcW w:w="1229" w:type="dxa"/>
          </w:tcPr>
          <w:p>
            <w:pPr>
              <w:pStyle w:val="TableParagraph"/>
              <w:spacing w:line="198" w:lineRule="exact" w:before="14"/>
              <w:ind w:left="401" w:right="397"/>
              <w:jc w:val="center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2020</w:t>
            </w:r>
          </w:p>
        </w:tc>
        <w:tc>
          <w:tcPr>
            <w:tcW w:w="1595" w:type="dxa"/>
          </w:tcPr>
          <w:p>
            <w:pPr>
              <w:pStyle w:val="TableParagraph"/>
              <w:spacing w:line="198" w:lineRule="exact" w:before="14"/>
              <w:ind w:left="170" w:right="51"/>
              <w:jc w:val="center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12,486</w:t>
            </w:r>
          </w:p>
        </w:tc>
        <w:tc>
          <w:tcPr>
            <w:tcW w:w="1062" w:type="dxa"/>
          </w:tcPr>
          <w:p>
            <w:pPr>
              <w:pStyle w:val="TableParagraph"/>
              <w:spacing w:line="198" w:lineRule="exact" w:before="14"/>
              <w:ind w:left="139" w:right="6"/>
              <w:jc w:val="center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45,912</w:t>
            </w:r>
          </w:p>
        </w:tc>
        <w:tc>
          <w:tcPr>
            <w:tcW w:w="2041" w:type="dxa"/>
          </w:tcPr>
          <w:p>
            <w:pPr>
              <w:pStyle w:val="TableParagraph"/>
              <w:spacing w:line="198" w:lineRule="exact" w:before="14"/>
              <w:ind w:left="24" w:right="34"/>
              <w:jc w:val="center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75</w:t>
            </w:r>
          </w:p>
        </w:tc>
        <w:tc>
          <w:tcPr>
            <w:tcW w:w="767" w:type="dxa"/>
          </w:tcPr>
          <w:p>
            <w:pPr>
              <w:pStyle w:val="TableParagraph"/>
              <w:spacing w:line="198" w:lineRule="exact" w:before="14"/>
              <w:ind w:right="18"/>
              <w:jc w:val="center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11,628</w:t>
            </w:r>
          </w:p>
        </w:tc>
        <w:tc>
          <w:tcPr>
            <w:tcW w:w="1431" w:type="dxa"/>
          </w:tcPr>
          <w:p>
            <w:pPr>
              <w:pStyle w:val="TableParagraph"/>
              <w:spacing w:line="198" w:lineRule="exact" w:before="14"/>
              <w:ind w:left="14" w:right="3"/>
              <w:jc w:val="center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5,667</w:t>
            </w:r>
          </w:p>
        </w:tc>
        <w:tc>
          <w:tcPr>
            <w:tcW w:w="1253" w:type="dxa"/>
          </w:tcPr>
          <w:p>
            <w:pPr>
              <w:pStyle w:val="TableParagraph"/>
              <w:spacing w:line="198" w:lineRule="exact" w:before="14"/>
              <w:ind w:right="40"/>
              <w:jc w:val="right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75,768</w:t>
            </w:r>
          </w:p>
        </w:tc>
      </w:tr>
      <w:tr>
        <w:trPr>
          <w:trHeight w:val="223" w:hRule="atLeast"/>
        </w:trPr>
        <w:tc>
          <w:tcPr>
            <w:tcW w:w="1229" w:type="dxa"/>
          </w:tcPr>
          <w:p>
            <w:pPr>
              <w:pStyle w:val="TableParagraph"/>
              <w:spacing w:line="190" w:lineRule="exact" w:before="14"/>
              <w:ind w:left="401" w:right="397"/>
              <w:jc w:val="center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2021</w:t>
            </w:r>
          </w:p>
        </w:tc>
        <w:tc>
          <w:tcPr>
            <w:tcW w:w="1595" w:type="dxa"/>
          </w:tcPr>
          <w:p>
            <w:pPr>
              <w:pStyle w:val="TableParagraph"/>
              <w:spacing w:line="190" w:lineRule="exact" w:before="14"/>
              <w:ind w:left="170" w:right="51"/>
              <w:jc w:val="center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15,094</w:t>
            </w:r>
          </w:p>
        </w:tc>
        <w:tc>
          <w:tcPr>
            <w:tcW w:w="1062" w:type="dxa"/>
          </w:tcPr>
          <w:p>
            <w:pPr>
              <w:pStyle w:val="TableParagraph"/>
              <w:spacing w:line="190" w:lineRule="exact" w:before="14"/>
              <w:ind w:left="139" w:right="6"/>
              <w:jc w:val="center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46,819</w:t>
            </w:r>
          </w:p>
        </w:tc>
        <w:tc>
          <w:tcPr>
            <w:tcW w:w="2041" w:type="dxa"/>
          </w:tcPr>
          <w:p>
            <w:pPr>
              <w:pStyle w:val="TableParagraph"/>
              <w:spacing w:line="190" w:lineRule="exact" w:before="14"/>
              <w:ind w:left="24" w:right="34"/>
              <w:jc w:val="center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56</w:t>
            </w:r>
          </w:p>
        </w:tc>
        <w:tc>
          <w:tcPr>
            <w:tcW w:w="767" w:type="dxa"/>
          </w:tcPr>
          <w:p>
            <w:pPr>
              <w:pStyle w:val="TableParagraph"/>
              <w:spacing w:line="190" w:lineRule="exact" w:before="14"/>
              <w:ind w:right="18"/>
              <w:jc w:val="center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11,486</w:t>
            </w:r>
          </w:p>
        </w:tc>
        <w:tc>
          <w:tcPr>
            <w:tcW w:w="1431" w:type="dxa"/>
          </w:tcPr>
          <w:p>
            <w:pPr>
              <w:pStyle w:val="TableParagraph"/>
              <w:spacing w:line="190" w:lineRule="exact" w:before="14"/>
              <w:ind w:left="14" w:right="3"/>
              <w:jc w:val="center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5,247</w:t>
            </w:r>
          </w:p>
        </w:tc>
        <w:tc>
          <w:tcPr>
            <w:tcW w:w="1253" w:type="dxa"/>
          </w:tcPr>
          <w:p>
            <w:pPr>
              <w:pStyle w:val="TableParagraph"/>
              <w:spacing w:line="190" w:lineRule="exact" w:before="14"/>
              <w:ind w:right="40"/>
              <w:jc w:val="right"/>
              <w:rPr>
                <w:rFonts w:ascii="Verdana"/>
                <w:sz w:val="17"/>
              </w:rPr>
            </w:pPr>
            <w:r>
              <w:rPr>
                <w:rFonts w:ascii="Verdana"/>
                <w:w w:val="90"/>
                <w:sz w:val="17"/>
              </w:rPr>
              <w:t>78,702</w:t>
            </w:r>
          </w:p>
        </w:tc>
      </w:tr>
    </w:tbl>
    <w:tbl>
      <w:tblPr>
        <w:tblW w:w="0" w:type="auto"/>
        <w:jc w:val="left"/>
        <w:tblInd w:w="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9"/>
        <w:gridCol w:w="1502"/>
        <w:gridCol w:w="1524"/>
        <w:gridCol w:w="1285"/>
        <w:gridCol w:w="1317"/>
        <w:gridCol w:w="1334"/>
        <w:gridCol w:w="1183"/>
      </w:tblGrid>
      <w:tr>
        <w:trPr>
          <w:trHeight w:val="249" w:hRule="atLeast"/>
        </w:trPr>
        <w:tc>
          <w:tcPr>
            <w:tcW w:w="1229" w:type="dxa"/>
            <w:tcBorders>
              <w:top w:val="single" w:sz="8" w:space="0" w:color="8EA9DB"/>
            </w:tcBorders>
            <w:shd w:val="clear" w:color="auto" w:fill="D9E0F1"/>
          </w:tcPr>
          <w:p>
            <w:pPr>
              <w:pStyle w:val="TableParagraph"/>
              <w:spacing w:before="23"/>
              <w:ind w:left="4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95"/>
                <w:sz w:val="17"/>
              </w:rPr>
              <w:t>Tota</w:t>
            </w:r>
            <w:r>
              <w:rPr>
                <w:rFonts w:ascii="Arial"/>
                <w:b/>
                <w:spacing w:val="-30"/>
                <w:w w:val="95"/>
                <w:sz w:val="17"/>
              </w:rPr>
              <w:t> </w:t>
            </w:r>
            <w:r>
              <w:rPr>
                <w:rFonts w:ascii="Arial"/>
                <w:b/>
                <w:spacing w:val="-1"/>
                <w:w w:val="95"/>
                <w:sz w:val="17"/>
              </w:rPr>
              <w:t>l</w:t>
            </w:r>
            <w:r>
              <w:rPr>
                <w:rFonts w:ascii="Arial"/>
                <w:b/>
                <w:spacing w:val="-6"/>
                <w:w w:val="95"/>
                <w:sz w:val="17"/>
              </w:rPr>
              <w:t> </w:t>
            </w:r>
            <w:r>
              <w:rPr>
                <w:rFonts w:ascii="Arial"/>
                <w:b/>
                <w:spacing w:val="-1"/>
                <w:w w:val="95"/>
                <w:sz w:val="17"/>
              </w:rPr>
              <w:t>general</w:t>
            </w:r>
          </w:p>
        </w:tc>
        <w:tc>
          <w:tcPr>
            <w:tcW w:w="1502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4"/>
              <w:ind w:left="5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z w:val="19"/>
              </w:rPr>
              <w:t>66,582</w:t>
            </w:r>
          </w:p>
        </w:tc>
        <w:tc>
          <w:tcPr>
            <w:tcW w:w="1524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4"/>
              <w:ind w:left="38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z w:val="19"/>
              </w:rPr>
              <w:t>231,106</w:t>
            </w:r>
          </w:p>
        </w:tc>
        <w:tc>
          <w:tcPr>
            <w:tcW w:w="1285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4"/>
              <w:ind w:left="483" w:right="44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z w:val="19"/>
              </w:rPr>
              <w:t>575</w:t>
            </w:r>
          </w:p>
        </w:tc>
        <w:tc>
          <w:tcPr>
            <w:tcW w:w="1317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4"/>
              <w:ind w:left="49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z w:val="19"/>
              </w:rPr>
              <w:t>61,067</w:t>
            </w:r>
          </w:p>
        </w:tc>
        <w:tc>
          <w:tcPr>
            <w:tcW w:w="1334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4"/>
              <w:ind w:left="29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z w:val="19"/>
              </w:rPr>
              <w:t>28,058</w:t>
            </w:r>
          </w:p>
        </w:tc>
        <w:tc>
          <w:tcPr>
            <w:tcW w:w="1183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4"/>
              <w:ind w:left="50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95"/>
                <w:sz w:val="19"/>
              </w:rPr>
              <w:t>387,388</w:t>
            </w:r>
          </w:p>
        </w:tc>
      </w:tr>
    </w:tbl>
    <w:p>
      <w:pPr>
        <w:spacing w:before="3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2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3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4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278" w:right="1072"/>
        <w:jc w:val="both"/>
      </w:pPr>
      <w:r>
        <w:rPr>
          <w:spacing w:val="-1"/>
        </w:rPr>
        <w:t>En</w:t>
      </w:r>
      <w:r>
        <w:rPr>
          <w:spacing w:val="-9"/>
        </w:rPr>
        <w:t> </w:t>
      </w:r>
      <w:r>
        <w:rPr>
          <w:spacing w:val="-1"/>
        </w:rPr>
        <w:t>esta</w:t>
      </w:r>
      <w:r>
        <w:rPr>
          <w:spacing w:val="-9"/>
        </w:rPr>
        <w:t> </w:t>
      </w:r>
      <w:r>
        <w:rPr/>
        <w:t>tabla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muestran</w:t>
      </w:r>
      <w:r>
        <w:rPr>
          <w:spacing w:val="-10"/>
        </w:rPr>
        <w:t> </w:t>
      </w:r>
      <w:r>
        <w:rPr/>
        <w:t>las</w:t>
      </w:r>
      <w:r>
        <w:rPr>
          <w:spacing w:val="-8"/>
        </w:rPr>
        <w:t> </w:t>
      </w:r>
      <w:r>
        <w:rPr/>
        <w:t>cifras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Total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población</w:t>
      </w:r>
      <w:r>
        <w:rPr>
          <w:spacing w:val="-11"/>
        </w:rPr>
        <w:t> </w:t>
      </w:r>
      <w:r>
        <w:rPr/>
        <w:t>estudiantil</w:t>
      </w:r>
      <w:r>
        <w:rPr>
          <w:spacing w:val="-10"/>
        </w:rPr>
        <w:t> </w:t>
      </w:r>
      <w:r>
        <w:rPr/>
        <w:t>por</w:t>
      </w:r>
      <w:r>
        <w:rPr>
          <w:spacing w:val="-10"/>
        </w:rPr>
        <w:t> </w:t>
      </w:r>
      <w:r>
        <w:rPr/>
        <w:t>Nivel</w:t>
      </w:r>
      <w:r>
        <w:rPr>
          <w:spacing w:val="-10"/>
        </w:rPr>
        <w:t> </w:t>
      </w:r>
      <w:r>
        <w:rPr/>
        <w:t>Educativo</w:t>
      </w:r>
      <w:r>
        <w:rPr>
          <w:spacing w:val="-6"/>
        </w:rPr>
        <w:t> </w:t>
      </w:r>
      <w:r>
        <w:rPr/>
        <w:t>para</w:t>
      </w:r>
      <w:r>
        <w:rPr>
          <w:spacing w:val="-12"/>
        </w:rPr>
        <w:t> </w:t>
      </w:r>
      <w:r>
        <w:rPr/>
        <w:t>el</w:t>
      </w:r>
      <w:r>
        <w:rPr>
          <w:spacing w:val="-8"/>
        </w:rPr>
        <w:t> </w:t>
      </w:r>
      <w:r>
        <w:rPr/>
        <w:t>período</w:t>
      </w:r>
      <w:r>
        <w:rPr>
          <w:spacing w:val="-47"/>
        </w:rPr>
        <w:t> </w:t>
      </w:r>
      <w:r>
        <w:rPr/>
        <w:t>del 2017-2020. Durante el 2017 se tuvo una población estudiantil total de 77,119. El 2018, mostró un</w:t>
      </w:r>
      <w:r>
        <w:rPr>
          <w:spacing w:val="1"/>
        </w:rPr>
        <w:t> </w:t>
      </w:r>
      <w:r>
        <w:rPr/>
        <w:t>pequeño incremento de 1,356 alumnos, lo cual, representó un 1.75% con respecto al año anterior. En el</w:t>
      </w:r>
      <w:r>
        <w:rPr>
          <w:spacing w:val="1"/>
        </w:rPr>
        <w:t> </w:t>
      </w:r>
      <w:r>
        <w:rPr/>
        <w:t>2019, se redujo a 77,324 estudiantes. La tendencia se continuó reduciendo presentando para el 2020 la</w:t>
      </w:r>
      <w:r>
        <w:rPr>
          <w:spacing w:val="1"/>
        </w:rPr>
        <w:t> </w:t>
      </w:r>
      <w:r>
        <w:rPr/>
        <w:t>cifra más baja con 75,768 alumnos. Incrementando al 2021 con 78,702 siendo el dato más alto registrado</w:t>
      </w:r>
      <w:r>
        <w:rPr>
          <w:spacing w:val="-47"/>
        </w:rPr>
        <w:t> </w:t>
      </w:r>
      <w:r>
        <w:rPr/>
        <w:t>durante</w:t>
      </w:r>
      <w:r>
        <w:rPr>
          <w:spacing w:val="-1"/>
        </w:rPr>
        <w:t> </w:t>
      </w:r>
      <w:r>
        <w:rPr/>
        <w:t>el período</w:t>
      </w:r>
      <w:r>
        <w:rPr>
          <w:spacing w:val="1"/>
        </w:rPr>
        <w:t> </w:t>
      </w:r>
      <w:r>
        <w:rPr/>
        <w:t>evaluado.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1"/>
        <w:jc w:val="both"/>
      </w:pPr>
      <w:r>
        <w:rPr/>
        <w:t>Como se muestra, el nivel que presentó más crecimiento fue la Primaria representando el 60% de 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período.</w:t>
      </w:r>
      <w:r>
        <w:rPr>
          <w:spacing w:val="1"/>
        </w:rPr>
        <w:t> </w:t>
      </w:r>
      <w:r>
        <w:rPr/>
        <w:t>Seguido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Preprimaria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17%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básico</w:t>
      </w:r>
      <w:r>
        <w:rPr>
          <w:spacing w:val="1"/>
        </w:rPr>
        <w:t> </w:t>
      </w:r>
      <w:r>
        <w:rPr/>
        <w:t>16%.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participación</w:t>
      </w:r>
      <w:r>
        <w:rPr>
          <w:spacing w:val="-9"/>
        </w:rPr>
        <w:t> </w:t>
      </w:r>
      <w:r>
        <w:rPr/>
        <w:t>de</w:t>
      </w:r>
      <w:r>
        <w:rPr>
          <w:spacing w:val="-5"/>
        </w:rPr>
        <w:t> </w:t>
      </w:r>
      <w:r>
        <w:rPr/>
        <w:t>alumnos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Nivel</w:t>
      </w:r>
      <w:r>
        <w:rPr>
          <w:spacing w:val="-8"/>
        </w:rPr>
        <w:t> </w:t>
      </w:r>
      <w:r>
        <w:rPr/>
        <w:t>Diversificado</w:t>
      </w:r>
      <w:r>
        <w:rPr>
          <w:spacing w:val="-7"/>
        </w:rPr>
        <w:t> </w:t>
      </w:r>
      <w:r>
        <w:rPr/>
        <w:t>cae</w:t>
      </w:r>
      <w:r>
        <w:rPr>
          <w:spacing w:val="-10"/>
        </w:rPr>
        <w:t> </w:t>
      </w:r>
      <w:r>
        <w:rPr/>
        <w:t>drásticamente</w:t>
      </w:r>
      <w:r>
        <w:rPr>
          <w:spacing w:val="-6"/>
        </w:rPr>
        <w:t> </w:t>
      </w:r>
      <w:r>
        <w:rPr/>
        <w:t>reportando</w:t>
      </w:r>
      <w:r>
        <w:rPr>
          <w:spacing w:val="-7"/>
        </w:rPr>
        <w:t> </w:t>
      </w:r>
      <w:r>
        <w:rPr/>
        <w:t>un</w:t>
      </w:r>
      <w:r>
        <w:rPr>
          <w:spacing w:val="-6"/>
        </w:rPr>
        <w:t> </w:t>
      </w:r>
      <w:r>
        <w:rPr/>
        <w:t>7%.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finalizando,</w:t>
      </w:r>
      <w:r>
        <w:rPr>
          <w:spacing w:val="-5"/>
        </w:rPr>
        <w:t> </w:t>
      </w:r>
      <w:r>
        <w:rPr/>
        <w:t>con</w:t>
      </w:r>
      <w:r>
        <w:rPr>
          <w:spacing w:val="-47"/>
        </w:rPr>
        <w:t> </w:t>
      </w:r>
      <w:r>
        <w:rPr/>
        <w:t>la</w:t>
      </w:r>
      <w:r>
        <w:rPr>
          <w:spacing w:val="-1"/>
        </w:rPr>
        <w:t> </w:t>
      </w:r>
      <w:r>
        <w:rPr/>
        <w:t>Primaria para</w:t>
      </w:r>
      <w:r>
        <w:rPr>
          <w:spacing w:val="-3"/>
        </w:rPr>
        <w:t> </w:t>
      </w:r>
      <w:r>
        <w:rPr/>
        <w:t>Adultos,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cual posee</w:t>
      </w:r>
      <w:r>
        <w:rPr>
          <w:spacing w:val="-1"/>
        </w:rPr>
        <w:t> </w:t>
      </w:r>
      <w:r>
        <w:rPr/>
        <w:t>una participación</w:t>
      </w:r>
      <w:r>
        <w:rPr>
          <w:spacing w:val="-1"/>
        </w:rPr>
        <w:t> </w:t>
      </w:r>
      <w:r>
        <w:rPr/>
        <w:t>ínfima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0.14%</w:t>
      </w:r>
      <w:r>
        <w:rPr>
          <w:spacing w:val="1"/>
        </w:rPr>
        <w:t> </w:t>
      </w:r>
      <w:r>
        <w:rPr/>
        <w:t>de la población.</w:t>
      </w:r>
    </w:p>
    <w:p>
      <w:pPr>
        <w:pStyle w:val="BodyText"/>
        <w:spacing w:before="7"/>
        <w:rPr>
          <w:sz w:val="15"/>
        </w:rPr>
      </w:pPr>
    </w:p>
    <w:p>
      <w:pPr>
        <w:pStyle w:val="Heading3"/>
        <w:numPr>
          <w:ilvl w:val="2"/>
          <w:numId w:val="32"/>
        </w:numPr>
        <w:tabs>
          <w:tab w:pos="998" w:val="left" w:leader="none"/>
          <w:tab w:pos="999" w:val="left" w:leader="none"/>
        </w:tabs>
        <w:spacing w:line="240" w:lineRule="auto" w:before="52" w:after="0"/>
        <w:ind w:left="998" w:right="0" w:hanging="721"/>
        <w:jc w:val="left"/>
      </w:pPr>
      <w:bookmarkStart w:name="_bookmark147" w:id="227"/>
      <w:bookmarkEnd w:id="227"/>
      <w:r>
        <w:rPr>
          <w:b w:val="0"/>
        </w:rPr>
      </w:r>
      <w:bookmarkStart w:name="_bookmark147" w:id="228"/>
      <w:bookmarkEnd w:id="228"/>
      <w:r>
        <w:rPr>
          <w:shd w:fill="FFFFFF" w:color="auto" w:val="clear"/>
        </w:rPr>
        <w:t>I</w:t>
      </w:r>
      <w:r>
        <w:rPr>
          <w:shd w:fill="FFFFFF" w:color="auto" w:val="clear"/>
        </w:rPr>
        <w:t>ndicador: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Tasa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Neta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-5"/>
          <w:shd w:fill="FFFFFF" w:color="auto" w:val="clear"/>
        </w:rPr>
        <w:t> </w:t>
      </w:r>
      <w:r>
        <w:rPr>
          <w:shd w:fill="FFFFFF" w:color="auto" w:val="clear"/>
        </w:rPr>
        <w:t>Cobertura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278" w:right="1071"/>
        <w:jc w:val="both"/>
      </w:pPr>
      <w:r>
        <w:rPr/>
        <w:t>Considerando particularmente, la cobertura educativa (TNE) para Baja Verapaz durante el período del</w:t>
      </w:r>
      <w:r>
        <w:rPr>
          <w:spacing w:val="1"/>
        </w:rPr>
        <w:t> </w:t>
      </w:r>
      <w:r>
        <w:rPr/>
        <w:t>2017 al 2020, es posible evidenciar un aumento promedio considerable en la cobertura de nivel primaria</w:t>
      </w:r>
      <w:r>
        <w:rPr>
          <w:spacing w:val="1"/>
        </w:rPr>
        <w:t> </w:t>
      </w:r>
      <w:r>
        <w:rPr/>
        <w:t>(86.90%),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comparación</w:t>
      </w:r>
      <w:r>
        <w:rPr>
          <w:spacing w:val="5"/>
        </w:rPr>
        <w:t> </w:t>
      </w:r>
      <w:r>
        <w:rPr/>
        <w:t>con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TNE</w:t>
      </w:r>
      <w:r>
        <w:rPr>
          <w:spacing w:val="8"/>
        </w:rPr>
        <w:t> </w:t>
      </w:r>
      <w:r>
        <w:rPr/>
        <w:t>nacional</w:t>
      </w:r>
      <w:r>
        <w:rPr>
          <w:spacing w:val="8"/>
        </w:rPr>
        <w:t> </w:t>
      </w:r>
      <w:r>
        <w:rPr/>
        <w:t>promedio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período</w:t>
      </w:r>
      <w:r>
        <w:rPr>
          <w:spacing w:val="10"/>
        </w:rPr>
        <w:t> </w:t>
      </w:r>
      <w:r>
        <w:rPr/>
        <w:t>(2017-2019)</w:t>
      </w:r>
      <w:r>
        <w:rPr>
          <w:spacing w:val="9"/>
        </w:rPr>
        <w:t> </w:t>
      </w:r>
      <w:r>
        <w:rPr/>
        <w:t>al</w:t>
      </w:r>
      <w:r>
        <w:rPr>
          <w:spacing w:val="8"/>
        </w:rPr>
        <w:t> </w:t>
      </w:r>
      <w:r>
        <w:rPr/>
        <w:t>registrar</w:t>
      </w:r>
      <w:r>
        <w:rPr>
          <w:spacing w:val="8"/>
        </w:rPr>
        <w:t> </w:t>
      </w:r>
      <w:r>
        <w:rPr/>
        <w:t>el</w:t>
      </w:r>
      <w:r>
        <w:rPr>
          <w:spacing w:val="6"/>
        </w:rPr>
        <w:t> </w:t>
      </w:r>
      <w:r>
        <w:rPr/>
        <w:t>77.50%.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  <w:r>
        <w:rPr/>
        <w:pict>
          <v:rect style="position:absolute;margin-left:563.880005pt;margin-top:10.846922pt;width:25.44pt;height:1.4399pt;mso-position-horizontal-relative:page;mso-position-vertical-relative:paragraph;z-index:-1546700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130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75872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7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2"/>
        <w:jc w:val="both"/>
      </w:pPr>
      <w:r>
        <w:rPr/>
        <w:t>Pero</w:t>
      </w:r>
      <w:r>
        <w:rPr>
          <w:spacing w:val="-1"/>
        </w:rPr>
        <w:t> </w:t>
      </w:r>
      <w:r>
        <w:rPr/>
        <w:t>presenta</w:t>
      </w:r>
      <w:r>
        <w:rPr>
          <w:spacing w:val="-4"/>
        </w:rPr>
        <w:t> </w:t>
      </w:r>
      <w:r>
        <w:rPr/>
        <w:t>cantidades reducidas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participación</w:t>
      </w:r>
      <w:r>
        <w:rPr>
          <w:spacing w:val="-1"/>
        </w:rPr>
        <w:t> </w:t>
      </w:r>
      <w:r>
        <w:rPr/>
        <w:t>de los</w:t>
      </w:r>
      <w:r>
        <w:rPr>
          <w:spacing w:val="-3"/>
        </w:rPr>
        <w:t> </w:t>
      </w:r>
      <w:r>
        <w:rPr/>
        <w:t>jóvenes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ciclo</w:t>
      </w:r>
      <w:r>
        <w:rPr>
          <w:spacing w:val="-5"/>
        </w:rPr>
        <w:t> </w:t>
      </w:r>
      <w:r>
        <w:rPr/>
        <w:t>básico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diversificado.</w:t>
      </w:r>
      <w:r>
        <w:rPr>
          <w:spacing w:val="-4"/>
        </w:rPr>
        <w:t> </w:t>
      </w:r>
      <w:r>
        <w:rPr/>
        <w:t>En</w:t>
      </w:r>
      <w:r>
        <w:rPr>
          <w:spacing w:val="-48"/>
        </w:rPr>
        <w:t> </w:t>
      </w:r>
      <w:r>
        <w:rPr/>
        <w:t>la</w:t>
      </w:r>
      <w:r>
        <w:rPr>
          <w:spacing w:val="-1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tabla, se</w:t>
      </w:r>
      <w:r>
        <w:rPr>
          <w:spacing w:val="-2"/>
        </w:rPr>
        <w:t> </w:t>
      </w:r>
      <w:r>
        <w:rPr/>
        <w:t>observan</w:t>
      </w:r>
      <w:r>
        <w:rPr>
          <w:spacing w:val="-1"/>
        </w:rPr>
        <w:t> </w:t>
      </w:r>
      <w:r>
        <w:rPr/>
        <w:t>las cifras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TNE para</w:t>
      </w:r>
      <w:r>
        <w:rPr>
          <w:spacing w:val="-3"/>
        </w:rPr>
        <w:t> </w:t>
      </w:r>
      <w:r>
        <w:rPr/>
        <w:t>el período</w:t>
      </w:r>
      <w:r>
        <w:rPr>
          <w:spacing w:val="-1"/>
        </w:rPr>
        <w:t> </w:t>
      </w:r>
      <w:r>
        <w:rPr/>
        <w:t>2017-2020.</w:t>
      </w:r>
    </w:p>
    <w:p>
      <w:pPr>
        <w:pStyle w:val="BodyText"/>
        <w:spacing w:before="195"/>
        <w:ind w:left="278" w:right="1075"/>
        <w:jc w:val="both"/>
      </w:pPr>
      <w:r>
        <w:rPr/>
        <w:t>Tabla</w:t>
      </w:r>
      <w:r>
        <w:rPr>
          <w:spacing w:val="1"/>
        </w:rPr>
        <w:t> </w:t>
      </w:r>
      <w:r>
        <w:rPr/>
        <w:t>Nº.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Cobertura: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Bruta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Académico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47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de Baja</w:t>
      </w:r>
      <w:r>
        <w:rPr>
          <w:spacing w:val="-3"/>
        </w:rPr>
        <w:t> </w:t>
      </w:r>
      <w:r>
        <w:rPr/>
        <w:t>Verapaz</w:t>
      </w:r>
    </w:p>
    <w:tbl>
      <w:tblPr>
        <w:tblW w:w="0" w:type="auto"/>
        <w:jc w:val="left"/>
        <w:tblInd w:w="2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5"/>
        <w:gridCol w:w="2548"/>
        <w:gridCol w:w="1933"/>
        <w:gridCol w:w="1175"/>
        <w:gridCol w:w="1175"/>
        <w:gridCol w:w="1404"/>
      </w:tblGrid>
      <w:tr>
        <w:trPr>
          <w:trHeight w:val="424" w:hRule="atLeast"/>
        </w:trPr>
        <w:tc>
          <w:tcPr>
            <w:tcW w:w="9410" w:type="dxa"/>
            <w:gridSpan w:val="6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before="82"/>
              <w:ind w:left="2759" w:right="277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10"/>
                <w:sz w:val="22"/>
              </w:rPr>
              <w:t>Departamento</w:t>
            </w:r>
            <w:r>
              <w:rPr>
                <w:rFonts w:ascii="Arial"/>
                <w:b/>
                <w:spacing w:val="41"/>
                <w:w w:val="110"/>
                <w:sz w:val="22"/>
              </w:rPr>
              <w:t> </w:t>
            </w:r>
            <w:r>
              <w:rPr>
                <w:rFonts w:ascii="Arial"/>
                <w:b/>
                <w:w w:val="110"/>
                <w:sz w:val="22"/>
              </w:rPr>
              <w:t>de</w:t>
            </w:r>
            <w:r>
              <w:rPr>
                <w:rFonts w:ascii="Arial"/>
                <w:b/>
                <w:spacing w:val="61"/>
                <w:w w:val="110"/>
                <w:sz w:val="22"/>
              </w:rPr>
              <w:t> </w:t>
            </w:r>
            <w:r>
              <w:rPr>
                <w:rFonts w:ascii="Arial"/>
                <w:b/>
                <w:w w:val="110"/>
                <w:sz w:val="22"/>
              </w:rPr>
              <w:t>Ba</w:t>
            </w:r>
            <w:r>
              <w:rPr>
                <w:rFonts w:ascii="Arial"/>
                <w:b/>
                <w:spacing w:val="-31"/>
                <w:w w:val="110"/>
                <w:sz w:val="22"/>
              </w:rPr>
              <w:t> </w:t>
            </w:r>
            <w:r>
              <w:rPr>
                <w:rFonts w:ascii="Arial"/>
                <w:b/>
                <w:w w:val="110"/>
                <w:sz w:val="22"/>
              </w:rPr>
              <w:t>ja </w:t>
            </w:r>
            <w:r>
              <w:rPr>
                <w:rFonts w:ascii="Arial"/>
                <w:b/>
                <w:spacing w:val="3"/>
                <w:w w:val="110"/>
                <w:sz w:val="22"/>
              </w:rPr>
              <w:t> </w:t>
            </w:r>
            <w:r>
              <w:rPr>
                <w:rFonts w:ascii="Arial"/>
                <w:b/>
                <w:spacing w:val="10"/>
                <w:w w:val="110"/>
                <w:sz w:val="22"/>
              </w:rPr>
              <w:t>Verapaz</w:t>
            </w:r>
          </w:p>
        </w:tc>
      </w:tr>
      <w:tr>
        <w:trPr>
          <w:trHeight w:val="424" w:hRule="atLeast"/>
        </w:trPr>
        <w:tc>
          <w:tcPr>
            <w:tcW w:w="1175" w:type="dxa"/>
            <w:shd w:val="clear" w:color="auto" w:fill="F1F1F1"/>
          </w:tcPr>
          <w:p>
            <w:pPr>
              <w:pStyle w:val="TableParagraph"/>
              <w:spacing w:before="102"/>
              <w:ind w:left="352"/>
              <w:rPr>
                <w:rFonts w:ascii="Verdana" w:hAnsi="Verdana"/>
                <w:sz w:val="17"/>
              </w:rPr>
            </w:pPr>
            <w:r>
              <w:rPr>
                <w:rFonts w:ascii="Verdana" w:hAnsi="Verdana"/>
                <w:w w:val="115"/>
                <w:sz w:val="17"/>
              </w:rPr>
              <w:t>Años</w:t>
            </w:r>
          </w:p>
        </w:tc>
        <w:tc>
          <w:tcPr>
            <w:tcW w:w="2548" w:type="dxa"/>
            <w:shd w:val="clear" w:color="auto" w:fill="F1F1F1"/>
          </w:tcPr>
          <w:p>
            <w:pPr>
              <w:pStyle w:val="TableParagraph"/>
              <w:spacing w:line="198" w:lineRule="exact"/>
              <w:ind w:left="515" w:right="515"/>
              <w:jc w:val="center"/>
              <w:rPr>
                <w:rFonts w:ascii="Verdana" w:hAnsi="Verdana"/>
                <w:sz w:val="17"/>
              </w:rPr>
            </w:pPr>
            <w:r>
              <w:rPr>
                <w:rFonts w:ascii="Verdana" w:hAnsi="Verdana"/>
                <w:spacing w:val="-1"/>
                <w:w w:val="62"/>
                <w:sz w:val="17"/>
              </w:rPr>
              <w:t>Í</w:t>
            </w:r>
            <w:r>
              <w:rPr>
                <w:rFonts w:ascii="Verdana" w:hAnsi="Verdana"/>
                <w:w w:val="113"/>
                <w:sz w:val="17"/>
              </w:rPr>
              <w:t>n</w:t>
            </w:r>
            <w:r>
              <w:rPr>
                <w:rFonts w:ascii="Verdana" w:hAnsi="Verdana"/>
                <w:w w:val="128"/>
                <w:sz w:val="17"/>
              </w:rPr>
              <w:t>d</w:t>
            </w:r>
            <w:r>
              <w:rPr>
                <w:rFonts w:ascii="Verdana" w:hAnsi="Verdana"/>
                <w:spacing w:val="-1"/>
                <w:w w:val="85"/>
                <w:sz w:val="17"/>
              </w:rPr>
              <w:t>i</w:t>
            </w:r>
            <w:r>
              <w:rPr>
                <w:rFonts w:ascii="Verdana" w:hAnsi="Verdana"/>
                <w:spacing w:val="-1"/>
                <w:w w:val="139"/>
                <w:sz w:val="17"/>
              </w:rPr>
              <w:t>c</w:t>
            </w:r>
            <w:r>
              <w:rPr>
                <w:rFonts w:ascii="Verdana" w:hAnsi="Verdana"/>
                <w:w w:val="139"/>
                <w:sz w:val="17"/>
              </w:rPr>
              <w:t>a</w:t>
            </w:r>
            <w:r>
              <w:rPr>
                <w:rFonts w:ascii="Verdana" w:hAnsi="Verdana"/>
                <w:w w:val="128"/>
                <w:sz w:val="17"/>
              </w:rPr>
              <w:t>d</w:t>
            </w:r>
            <w:r>
              <w:rPr>
                <w:rFonts w:ascii="Verdana" w:hAnsi="Verdana"/>
                <w:spacing w:val="-1"/>
                <w:w w:val="126"/>
                <w:sz w:val="17"/>
              </w:rPr>
              <w:t>o</w:t>
            </w:r>
            <w:r>
              <w:rPr>
                <w:rFonts w:ascii="Verdana" w:hAnsi="Verdana"/>
                <w:spacing w:val="-1"/>
                <w:w w:val="82"/>
                <w:sz w:val="17"/>
              </w:rPr>
              <w:t>r</w:t>
            </w:r>
            <w:r>
              <w:rPr>
                <w:rFonts w:ascii="Verdana" w:hAnsi="Verdana"/>
                <w:spacing w:val="-2"/>
                <w:w w:val="127"/>
                <w:sz w:val="17"/>
              </w:rPr>
              <w:t>e</w:t>
            </w:r>
            <w:r>
              <w:rPr>
                <w:rFonts w:ascii="Verdana" w:hAnsi="Verdana"/>
                <w:w w:val="87"/>
                <w:sz w:val="17"/>
              </w:rPr>
              <w:t>s</w:t>
            </w:r>
            <w:r>
              <w:rPr>
                <w:rFonts w:ascii="Verdana" w:hAnsi="Verdana"/>
                <w:spacing w:val="-5"/>
                <w:sz w:val="17"/>
              </w:rPr>
              <w:t> </w:t>
            </w:r>
            <w:r>
              <w:rPr>
                <w:rFonts w:ascii="Verdana" w:hAnsi="Verdana"/>
                <w:w w:val="128"/>
                <w:sz w:val="17"/>
              </w:rPr>
              <w:t>d</w:t>
            </w:r>
            <w:r>
              <w:rPr>
                <w:rFonts w:ascii="Verdana" w:hAnsi="Verdana"/>
                <w:w w:val="127"/>
                <w:sz w:val="17"/>
              </w:rPr>
              <w:t>e</w:t>
            </w:r>
          </w:p>
          <w:p>
            <w:pPr>
              <w:pStyle w:val="TableParagraph"/>
              <w:spacing w:line="191" w:lineRule="exact" w:before="16"/>
              <w:ind w:left="515" w:right="502"/>
              <w:jc w:val="center"/>
              <w:rPr>
                <w:rFonts w:ascii="Verdana"/>
                <w:sz w:val="17"/>
              </w:rPr>
            </w:pPr>
            <w:r>
              <w:rPr>
                <w:rFonts w:ascii="Verdana"/>
                <w:w w:val="115"/>
                <w:sz w:val="17"/>
              </w:rPr>
              <w:t>Cobertura</w:t>
            </w:r>
          </w:p>
        </w:tc>
        <w:tc>
          <w:tcPr>
            <w:tcW w:w="1933" w:type="dxa"/>
            <w:shd w:val="clear" w:color="auto" w:fill="F1F1F1"/>
          </w:tcPr>
          <w:p>
            <w:pPr>
              <w:pStyle w:val="TableParagraph"/>
              <w:spacing w:before="113"/>
              <w:ind w:left="426" w:right="36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3"/>
                <w:w w:val="115"/>
                <w:sz w:val="17"/>
              </w:rPr>
              <w:t>Preprima</w:t>
            </w:r>
            <w:r>
              <w:rPr>
                <w:rFonts w:ascii="Arial"/>
                <w:b/>
                <w:spacing w:val="-33"/>
                <w:w w:val="115"/>
                <w:sz w:val="17"/>
              </w:rPr>
              <w:t> </w:t>
            </w:r>
            <w:r>
              <w:rPr>
                <w:rFonts w:ascii="Arial"/>
                <w:b/>
                <w:spacing w:val="-2"/>
                <w:w w:val="115"/>
                <w:sz w:val="17"/>
              </w:rPr>
              <w:t>ria</w:t>
            </w:r>
          </w:p>
        </w:tc>
        <w:tc>
          <w:tcPr>
            <w:tcW w:w="1175" w:type="dxa"/>
            <w:shd w:val="clear" w:color="auto" w:fill="F1F1F1"/>
          </w:tcPr>
          <w:p>
            <w:pPr>
              <w:pStyle w:val="TableParagraph"/>
              <w:spacing w:before="113"/>
              <w:ind w:left="24" w:right="3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6"/>
                <w:w w:val="115"/>
                <w:sz w:val="17"/>
              </w:rPr>
              <w:t>Prima</w:t>
            </w:r>
            <w:r>
              <w:rPr>
                <w:rFonts w:ascii="Arial"/>
                <w:b/>
                <w:spacing w:val="-34"/>
                <w:w w:val="115"/>
                <w:sz w:val="17"/>
              </w:rPr>
              <w:t> </w:t>
            </w:r>
            <w:r>
              <w:rPr>
                <w:rFonts w:ascii="Arial"/>
                <w:b/>
                <w:spacing w:val="-5"/>
                <w:w w:val="115"/>
                <w:sz w:val="17"/>
              </w:rPr>
              <w:t>ria</w:t>
            </w:r>
          </w:p>
        </w:tc>
        <w:tc>
          <w:tcPr>
            <w:tcW w:w="1175" w:type="dxa"/>
            <w:shd w:val="clear" w:color="auto" w:fill="F1F1F1"/>
          </w:tcPr>
          <w:p>
            <w:pPr>
              <w:pStyle w:val="TableParagraph"/>
              <w:spacing w:before="113"/>
              <w:ind w:left="34" w:right="34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6"/>
                <w:w w:val="115"/>
                <w:sz w:val="17"/>
              </w:rPr>
              <w:t>Bá</w:t>
            </w:r>
            <w:r>
              <w:rPr>
                <w:rFonts w:ascii="Arial" w:hAnsi="Arial"/>
                <w:b/>
                <w:spacing w:val="-34"/>
                <w:w w:val="115"/>
                <w:sz w:val="17"/>
              </w:rPr>
              <w:t> </w:t>
            </w:r>
            <w:r>
              <w:rPr>
                <w:rFonts w:ascii="Arial" w:hAnsi="Arial"/>
                <w:b/>
                <w:spacing w:val="-6"/>
                <w:w w:val="115"/>
                <w:sz w:val="17"/>
              </w:rPr>
              <w:t>sico</w:t>
            </w:r>
          </w:p>
        </w:tc>
        <w:tc>
          <w:tcPr>
            <w:tcW w:w="1404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before="113"/>
              <w:ind w:left="62" w:right="5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"/>
                <w:w w:val="115"/>
                <w:sz w:val="17"/>
              </w:rPr>
              <w:t>Diversifica</w:t>
            </w:r>
            <w:r>
              <w:rPr>
                <w:rFonts w:ascii="Arial"/>
                <w:b/>
                <w:spacing w:val="-34"/>
                <w:w w:val="115"/>
                <w:sz w:val="17"/>
              </w:rPr>
              <w:t> </w:t>
            </w:r>
            <w:r>
              <w:rPr>
                <w:rFonts w:ascii="Arial"/>
                <w:b/>
                <w:w w:val="115"/>
                <w:sz w:val="17"/>
              </w:rPr>
              <w:t>do</w:t>
            </w:r>
          </w:p>
        </w:tc>
      </w:tr>
      <w:tr>
        <w:trPr>
          <w:trHeight w:val="425" w:hRule="atLeast"/>
        </w:trPr>
        <w:tc>
          <w:tcPr>
            <w:tcW w:w="1175" w:type="dxa"/>
            <w:vMerge w:val="restart"/>
            <w:shd w:val="clear" w:color="auto" w:fill="F1F1F1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370"/>
              <w:rPr>
                <w:rFonts w:ascii="Verdana"/>
                <w:sz w:val="17"/>
              </w:rPr>
            </w:pPr>
            <w:r>
              <w:rPr>
                <w:rFonts w:ascii="Verdana"/>
                <w:sz w:val="17"/>
              </w:rPr>
              <w:t>2017</w:t>
            </w:r>
          </w:p>
        </w:tc>
        <w:tc>
          <w:tcPr>
            <w:tcW w:w="2548" w:type="dxa"/>
          </w:tcPr>
          <w:p>
            <w:pPr>
              <w:pStyle w:val="TableParagraph"/>
              <w:spacing w:before="126"/>
              <w:ind w:left="3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D7CB3"/>
                <w:spacing w:val="-3"/>
                <w:w w:val="115"/>
                <w:sz w:val="14"/>
              </w:rPr>
              <w:t>Ta</w:t>
            </w:r>
            <w:r>
              <w:rPr>
                <w:rFonts w:ascii="Arial"/>
                <w:b/>
                <w:color w:val="1D7CB3"/>
                <w:spacing w:val="-29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15"/>
                <w:sz w:val="14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15"/>
                <w:sz w:val="14"/>
              </w:rPr>
              <w:t>Bruta</w:t>
            </w:r>
            <w:r>
              <w:rPr>
                <w:rFonts w:ascii="Arial"/>
                <w:b/>
                <w:color w:val="1D7CB3"/>
                <w:spacing w:val="18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15"/>
                <w:sz w:val="14"/>
              </w:rPr>
              <w:t>de</w:t>
            </w:r>
            <w:r>
              <w:rPr>
                <w:rFonts w:ascii="Arial"/>
                <w:b/>
                <w:color w:val="1D7CB3"/>
                <w:spacing w:val="13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15"/>
                <w:sz w:val="14"/>
              </w:rPr>
              <w:t>Cobertura</w:t>
            </w:r>
          </w:p>
        </w:tc>
        <w:tc>
          <w:tcPr>
            <w:tcW w:w="1933" w:type="dxa"/>
          </w:tcPr>
          <w:p>
            <w:pPr>
              <w:pStyle w:val="TableParagraph"/>
              <w:spacing w:before="116"/>
              <w:ind w:left="381" w:right="367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sz w:val="14"/>
              </w:rPr>
              <w:t>83,94%</w:t>
            </w:r>
          </w:p>
        </w:tc>
        <w:tc>
          <w:tcPr>
            <w:tcW w:w="1175" w:type="dxa"/>
          </w:tcPr>
          <w:p>
            <w:pPr>
              <w:pStyle w:val="TableParagraph"/>
              <w:spacing w:before="116"/>
              <w:ind w:left="67" w:right="34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sz w:val="14"/>
              </w:rPr>
              <w:t>103,52%</w:t>
            </w:r>
          </w:p>
        </w:tc>
        <w:tc>
          <w:tcPr>
            <w:tcW w:w="1175" w:type="dxa"/>
          </w:tcPr>
          <w:p>
            <w:pPr>
              <w:pStyle w:val="TableParagraph"/>
              <w:spacing w:before="116"/>
              <w:ind w:left="47" w:right="34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sz w:val="14"/>
              </w:rPr>
              <w:t>59,89%</w:t>
            </w:r>
          </w:p>
        </w:tc>
        <w:tc>
          <w:tcPr>
            <w:tcW w:w="1404" w:type="dxa"/>
            <w:tcBorders>
              <w:right w:val="nil"/>
            </w:tcBorders>
          </w:tcPr>
          <w:p>
            <w:pPr>
              <w:pStyle w:val="TableParagraph"/>
              <w:spacing w:before="116"/>
              <w:ind w:left="62" w:right="36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sz w:val="14"/>
              </w:rPr>
              <w:t>24,63%</w:t>
            </w:r>
          </w:p>
        </w:tc>
      </w:tr>
      <w:tr>
        <w:trPr>
          <w:trHeight w:val="424" w:hRule="atLeast"/>
        </w:trPr>
        <w:tc>
          <w:tcPr>
            <w:tcW w:w="117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8" w:type="dxa"/>
            <w:shd w:val="clear" w:color="auto" w:fill="DAEDF3"/>
          </w:tcPr>
          <w:p>
            <w:pPr>
              <w:pStyle w:val="TableParagraph"/>
              <w:spacing w:before="126"/>
              <w:ind w:left="3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D7CB3"/>
                <w:spacing w:val="-1"/>
                <w:w w:val="115"/>
                <w:sz w:val="14"/>
              </w:rPr>
              <w:t>Ta</w:t>
            </w:r>
            <w:r>
              <w:rPr>
                <w:rFonts w:ascii="Arial"/>
                <w:b/>
                <w:color w:val="1D7CB3"/>
                <w:spacing w:val="-29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15"/>
                <w:sz w:val="14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15"/>
                <w:sz w:val="14"/>
              </w:rPr>
              <w:t>Neta</w:t>
            </w:r>
            <w:r>
              <w:rPr>
                <w:rFonts w:ascii="Arial"/>
                <w:b/>
                <w:color w:val="1D7CB3"/>
                <w:spacing w:val="18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w w:val="115"/>
                <w:sz w:val="14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w w:val="115"/>
                <w:sz w:val="14"/>
              </w:rPr>
              <w:t>Cobertura</w:t>
            </w:r>
          </w:p>
        </w:tc>
        <w:tc>
          <w:tcPr>
            <w:tcW w:w="1933" w:type="dxa"/>
            <w:shd w:val="clear" w:color="auto" w:fill="DAEDF3"/>
          </w:tcPr>
          <w:p>
            <w:pPr>
              <w:pStyle w:val="TableParagraph"/>
              <w:spacing w:before="116"/>
              <w:ind w:left="381" w:right="367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sz w:val="14"/>
              </w:rPr>
              <w:t>58,06%</w:t>
            </w:r>
          </w:p>
        </w:tc>
        <w:tc>
          <w:tcPr>
            <w:tcW w:w="1175" w:type="dxa"/>
            <w:shd w:val="clear" w:color="auto" w:fill="DAEDF3"/>
          </w:tcPr>
          <w:p>
            <w:pPr>
              <w:pStyle w:val="TableParagraph"/>
              <w:spacing w:before="116"/>
              <w:ind w:left="47" w:right="34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sz w:val="14"/>
              </w:rPr>
              <w:t>86,43%</w:t>
            </w:r>
          </w:p>
        </w:tc>
        <w:tc>
          <w:tcPr>
            <w:tcW w:w="1175" w:type="dxa"/>
            <w:shd w:val="clear" w:color="auto" w:fill="DAEDF3"/>
          </w:tcPr>
          <w:p>
            <w:pPr>
              <w:pStyle w:val="TableParagraph"/>
              <w:spacing w:before="116"/>
              <w:ind w:left="47" w:right="34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sz w:val="14"/>
              </w:rPr>
              <w:t>38,01%</w:t>
            </w:r>
          </w:p>
        </w:tc>
        <w:tc>
          <w:tcPr>
            <w:tcW w:w="1404" w:type="dxa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spacing w:before="116"/>
              <w:ind w:left="62" w:right="36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sz w:val="14"/>
              </w:rPr>
              <w:t>17,12%</w:t>
            </w:r>
          </w:p>
        </w:tc>
      </w:tr>
      <w:tr>
        <w:trPr>
          <w:trHeight w:val="424" w:hRule="atLeast"/>
        </w:trPr>
        <w:tc>
          <w:tcPr>
            <w:tcW w:w="1175" w:type="dxa"/>
            <w:vMerge w:val="restart"/>
            <w:shd w:val="clear" w:color="auto" w:fill="F1F1F1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370"/>
              <w:rPr>
                <w:rFonts w:ascii="Verdana"/>
                <w:sz w:val="17"/>
              </w:rPr>
            </w:pPr>
            <w:r>
              <w:rPr>
                <w:rFonts w:ascii="Verdana"/>
                <w:sz w:val="17"/>
              </w:rPr>
              <w:t>2018</w:t>
            </w:r>
          </w:p>
        </w:tc>
        <w:tc>
          <w:tcPr>
            <w:tcW w:w="2548" w:type="dxa"/>
          </w:tcPr>
          <w:p>
            <w:pPr>
              <w:pStyle w:val="TableParagraph"/>
              <w:spacing w:before="126"/>
              <w:ind w:left="3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D7CB3"/>
                <w:spacing w:val="-3"/>
                <w:w w:val="115"/>
                <w:sz w:val="14"/>
              </w:rPr>
              <w:t>Ta</w:t>
            </w:r>
            <w:r>
              <w:rPr>
                <w:rFonts w:ascii="Arial"/>
                <w:b/>
                <w:color w:val="1D7CB3"/>
                <w:spacing w:val="-29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15"/>
                <w:sz w:val="14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15"/>
                <w:sz w:val="14"/>
              </w:rPr>
              <w:t>Bruta</w:t>
            </w:r>
            <w:r>
              <w:rPr>
                <w:rFonts w:ascii="Arial"/>
                <w:b/>
                <w:color w:val="1D7CB3"/>
                <w:spacing w:val="18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15"/>
                <w:sz w:val="14"/>
              </w:rPr>
              <w:t>de</w:t>
            </w:r>
            <w:r>
              <w:rPr>
                <w:rFonts w:ascii="Arial"/>
                <w:b/>
                <w:color w:val="1D7CB3"/>
                <w:spacing w:val="13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15"/>
                <w:sz w:val="14"/>
              </w:rPr>
              <w:t>Cobertura</w:t>
            </w:r>
          </w:p>
        </w:tc>
        <w:tc>
          <w:tcPr>
            <w:tcW w:w="1933" w:type="dxa"/>
          </w:tcPr>
          <w:p>
            <w:pPr>
              <w:pStyle w:val="TableParagraph"/>
              <w:spacing w:before="116"/>
              <w:ind w:left="381" w:right="367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sz w:val="14"/>
              </w:rPr>
              <w:t>86,18%</w:t>
            </w:r>
          </w:p>
        </w:tc>
        <w:tc>
          <w:tcPr>
            <w:tcW w:w="1175" w:type="dxa"/>
          </w:tcPr>
          <w:p>
            <w:pPr>
              <w:pStyle w:val="TableParagraph"/>
              <w:spacing w:before="116"/>
              <w:ind w:left="67" w:right="34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sz w:val="14"/>
              </w:rPr>
              <w:t>104,69%</w:t>
            </w:r>
          </w:p>
        </w:tc>
        <w:tc>
          <w:tcPr>
            <w:tcW w:w="1175" w:type="dxa"/>
          </w:tcPr>
          <w:p>
            <w:pPr>
              <w:pStyle w:val="TableParagraph"/>
              <w:spacing w:before="116"/>
              <w:ind w:left="47" w:right="34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sz w:val="14"/>
              </w:rPr>
              <w:t>60,31%</w:t>
            </w:r>
          </w:p>
        </w:tc>
        <w:tc>
          <w:tcPr>
            <w:tcW w:w="1404" w:type="dxa"/>
            <w:tcBorders>
              <w:right w:val="nil"/>
            </w:tcBorders>
          </w:tcPr>
          <w:p>
            <w:pPr>
              <w:pStyle w:val="TableParagraph"/>
              <w:spacing w:before="116"/>
              <w:ind w:left="62" w:right="36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sz w:val="14"/>
              </w:rPr>
              <w:t>25,48%</w:t>
            </w:r>
          </w:p>
        </w:tc>
      </w:tr>
      <w:tr>
        <w:trPr>
          <w:trHeight w:val="425" w:hRule="atLeast"/>
        </w:trPr>
        <w:tc>
          <w:tcPr>
            <w:tcW w:w="117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8" w:type="dxa"/>
            <w:shd w:val="clear" w:color="auto" w:fill="DAEDF3"/>
          </w:tcPr>
          <w:p>
            <w:pPr>
              <w:pStyle w:val="TableParagraph"/>
              <w:spacing w:before="126"/>
              <w:ind w:left="3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D7CB3"/>
                <w:spacing w:val="-1"/>
                <w:w w:val="115"/>
                <w:sz w:val="14"/>
              </w:rPr>
              <w:t>Ta</w:t>
            </w:r>
            <w:r>
              <w:rPr>
                <w:rFonts w:ascii="Arial"/>
                <w:b/>
                <w:color w:val="1D7CB3"/>
                <w:spacing w:val="-29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15"/>
                <w:sz w:val="14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15"/>
                <w:sz w:val="14"/>
              </w:rPr>
              <w:t>Neta</w:t>
            </w:r>
            <w:r>
              <w:rPr>
                <w:rFonts w:ascii="Arial"/>
                <w:b/>
                <w:color w:val="1D7CB3"/>
                <w:spacing w:val="18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w w:val="115"/>
                <w:sz w:val="14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w w:val="115"/>
                <w:sz w:val="14"/>
              </w:rPr>
              <w:t>Cobertura</w:t>
            </w:r>
          </w:p>
        </w:tc>
        <w:tc>
          <w:tcPr>
            <w:tcW w:w="1933" w:type="dxa"/>
            <w:shd w:val="clear" w:color="auto" w:fill="DAEDF3"/>
          </w:tcPr>
          <w:p>
            <w:pPr>
              <w:pStyle w:val="TableParagraph"/>
              <w:spacing w:before="126"/>
              <w:ind w:left="405" w:right="36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333333"/>
                <w:w w:val="115"/>
                <w:sz w:val="14"/>
              </w:rPr>
              <w:t>60,22%</w:t>
            </w:r>
          </w:p>
        </w:tc>
        <w:tc>
          <w:tcPr>
            <w:tcW w:w="1175" w:type="dxa"/>
            <w:shd w:val="clear" w:color="auto" w:fill="DAEDF3"/>
          </w:tcPr>
          <w:p>
            <w:pPr>
              <w:pStyle w:val="TableParagraph"/>
              <w:spacing w:before="116"/>
              <w:ind w:left="47" w:right="34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sz w:val="14"/>
              </w:rPr>
              <w:t>87,33%</w:t>
            </w:r>
          </w:p>
        </w:tc>
        <w:tc>
          <w:tcPr>
            <w:tcW w:w="1175" w:type="dxa"/>
            <w:shd w:val="clear" w:color="auto" w:fill="DAEDF3"/>
          </w:tcPr>
          <w:p>
            <w:pPr>
              <w:pStyle w:val="TableParagraph"/>
              <w:spacing w:before="126"/>
              <w:ind w:left="72" w:right="3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333333"/>
                <w:w w:val="115"/>
                <w:sz w:val="14"/>
              </w:rPr>
              <w:t>39,61%</w:t>
            </w:r>
          </w:p>
        </w:tc>
        <w:tc>
          <w:tcPr>
            <w:tcW w:w="1404" w:type="dxa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spacing w:before="116"/>
              <w:ind w:left="62" w:right="36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sz w:val="14"/>
              </w:rPr>
              <w:t>17,47%</w:t>
            </w:r>
          </w:p>
        </w:tc>
      </w:tr>
      <w:tr>
        <w:trPr>
          <w:trHeight w:val="424" w:hRule="atLeast"/>
        </w:trPr>
        <w:tc>
          <w:tcPr>
            <w:tcW w:w="1175" w:type="dxa"/>
            <w:vMerge w:val="restart"/>
            <w:shd w:val="clear" w:color="auto" w:fill="F1F1F1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370"/>
              <w:rPr>
                <w:rFonts w:ascii="Verdana"/>
                <w:sz w:val="17"/>
              </w:rPr>
            </w:pPr>
            <w:r>
              <w:rPr>
                <w:rFonts w:ascii="Verdana"/>
                <w:sz w:val="17"/>
              </w:rPr>
              <w:t>2019</w:t>
            </w:r>
          </w:p>
        </w:tc>
        <w:tc>
          <w:tcPr>
            <w:tcW w:w="2548" w:type="dxa"/>
          </w:tcPr>
          <w:p>
            <w:pPr>
              <w:pStyle w:val="TableParagraph"/>
              <w:spacing w:before="126"/>
              <w:ind w:left="3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D7CB3"/>
                <w:spacing w:val="-3"/>
                <w:w w:val="115"/>
                <w:sz w:val="14"/>
              </w:rPr>
              <w:t>Ta</w:t>
            </w:r>
            <w:r>
              <w:rPr>
                <w:rFonts w:ascii="Arial"/>
                <w:b/>
                <w:color w:val="1D7CB3"/>
                <w:spacing w:val="-29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15"/>
                <w:sz w:val="14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15"/>
                <w:sz w:val="14"/>
              </w:rPr>
              <w:t>Bruta</w:t>
            </w:r>
            <w:r>
              <w:rPr>
                <w:rFonts w:ascii="Arial"/>
                <w:b/>
                <w:color w:val="1D7CB3"/>
                <w:spacing w:val="18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15"/>
                <w:sz w:val="14"/>
              </w:rPr>
              <w:t>de</w:t>
            </w:r>
            <w:r>
              <w:rPr>
                <w:rFonts w:ascii="Arial"/>
                <w:b/>
                <w:color w:val="1D7CB3"/>
                <w:spacing w:val="13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15"/>
                <w:sz w:val="14"/>
              </w:rPr>
              <w:t>Cobertura</w:t>
            </w:r>
          </w:p>
        </w:tc>
        <w:tc>
          <w:tcPr>
            <w:tcW w:w="1933" w:type="dxa"/>
          </w:tcPr>
          <w:p>
            <w:pPr>
              <w:pStyle w:val="TableParagraph"/>
              <w:spacing w:before="116"/>
              <w:ind w:left="381" w:right="367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sz w:val="14"/>
              </w:rPr>
              <w:t>83,98%</w:t>
            </w:r>
          </w:p>
        </w:tc>
        <w:tc>
          <w:tcPr>
            <w:tcW w:w="1175" w:type="dxa"/>
          </w:tcPr>
          <w:p>
            <w:pPr>
              <w:pStyle w:val="TableParagraph"/>
              <w:spacing w:before="116"/>
              <w:ind w:left="67" w:right="34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sz w:val="14"/>
              </w:rPr>
              <w:t>103,50%</w:t>
            </w:r>
          </w:p>
        </w:tc>
        <w:tc>
          <w:tcPr>
            <w:tcW w:w="1175" w:type="dxa"/>
          </w:tcPr>
          <w:p>
            <w:pPr>
              <w:pStyle w:val="TableParagraph"/>
              <w:spacing w:before="116"/>
              <w:ind w:left="47" w:right="34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sz w:val="14"/>
              </w:rPr>
              <w:t>57,42%</w:t>
            </w:r>
          </w:p>
        </w:tc>
        <w:tc>
          <w:tcPr>
            <w:tcW w:w="1404" w:type="dxa"/>
            <w:tcBorders>
              <w:right w:val="nil"/>
            </w:tcBorders>
          </w:tcPr>
          <w:p>
            <w:pPr>
              <w:pStyle w:val="TableParagraph"/>
              <w:spacing w:before="116"/>
              <w:ind w:left="62" w:right="36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sz w:val="14"/>
              </w:rPr>
              <w:t>25,92%</w:t>
            </w:r>
          </w:p>
        </w:tc>
      </w:tr>
      <w:tr>
        <w:trPr>
          <w:trHeight w:val="424" w:hRule="atLeast"/>
        </w:trPr>
        <w:tc>
          <w:tcPr>
            <w:tcW w:w="117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8" w:type="dxa"/>
            <w:shd w:val="clear" w:color="auto" w:fill="DAEDF3"/>
          </w:tcPr>
          <w:p>
            <w:pPr>
              <w:pStyle w:val="TableParagraph"/>
              <w:spacing w:before="126"/>
              <w:ind w:left="3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D7CB3"/>
                <w:spacing w:val="-1"/>
                <w:w w:val="115"/>
                <w:sz w:val="14"/>
              </w:rPr>
              <w:t>Ta</w:t>
            </w:r>
            <w:r>
              <w:rPr>
                <w:rFonts w:ascii="Arial"/>
                <w:b/>
                <w:color w:val="1D7CB3"/>
                <w:spacing w:val="-29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15"/>
                <w:sz w:val="14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15"/>
                <w:sz w:val="14"/>
              </w:rPr>
              <w:t>Neta</w:t>
            </w:r>
            <w:r>
              <w:rPr>
                <w:rFonts w:ascii="Arial"/>
                <w:b/>
                <w:color w:val="1D7CB3"/>
                <w:spacing w:val="18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w w:val="115"/>
                <w:sz w:val="14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w w:val="115"/>
                <w:sz w:val="14"/>
              </w:rPr>
              <w:t>Cobertura</w:t>
            </w:r>
          </w:p>
        </w:tc>
        <w:tc>
          <w:tcPr>
            <w:tcW w:w="1933" w:type="dxa"/>
            <w:shd w:val="clear" w:color="auto" w:fill="DAEDF3"/>
          </w:tcPr>
          <w:p>
            <w:pPr>
              <w:pStyle w:val="TableParagraph"/>
              <w:spacing w:before="116"/>
              <w:ind w:left="381" w:right="367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sz w:val="14"/>
              </w:rPr>
              <w:t>58,88%</w:t>
            </w:r>
          </w:p>
        </w:tc>
        <w:tc>
          <w:tcPr>
            <w:tcW w:w="1175" w:type="dxa"/>
            <w:shd w:val="clear" w:color="auto" w:fill="DAEDF3"/>
          </w:tcPr>
          <w:p>
            <w:pPr>
              <w:pStyle w:val="TableParagraph"/>
              <w:spacing w:before="126"/>
              <w:ind w:left="72" w:right="3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333333"/>
                <w:w w:val="115"/>
                <w:sz w:val="14"/>
              </w:rPr>
              <w:t>87,46%</w:t>
            </w:r>
          </w:p>
        </w:tc>
        <w:tc>
          <w:tcPr>
            <w:tcW w:w="1175" w:type="dxa"/>
            <w:shd w:val="clear" w:color="auto" w:fill="DAEDF3"/>
          </w:tcPr>
          <w:p>
            <w:pPr>
              <w:pStyle w:val="TableParagraph"/>
              <w:spacing w:before="116"/>
              <w:ind w:left="47" w:right="34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sz w:val="14"/>
              </w:rPr>
              <w:t>38,66%</w:t>
            </w:r>
          </w:p>
        </w:tc>
        <w:tc>
          <w:tcPr>
            <w:tcW w:w="1404" w:type="dxa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spacing w:before="116"/>
              <w:ind w:left="62" w:right="36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sz w:val="14"/>
              </w:rPr>
              <w:t>17,65%</w:t>
            </w:r>
          </w:p>
        </w:tc>
      </w:tr>
      <w:tr>
        <w:trPr>
          <w:trHeight w:val="425" w:hRule="atLeast"/>
        </w:trPr>
        <w:tc>
          <w:tcPr>
            <w:tcW w:w="1175" w:type="dxa"/>
            <w:vMerge w:val="restart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370"/>
              <w:rPr>
                <w:rFonts w:ascii="Verdana"/>
                <w:sz w:val="17"/>
              </w:rPr>
            </w:pPr>
            <w:r>
              <w:rPr>
                <w:rFonts w:ascii="Verdana"/>
                <w:sz w:val="17"/>
              </w:rPr>
              <w:t>2020</w:t>
            </w:r>
          </w:p>
        </w:tc>
        <w:tc>
          <w:tcPr>
            <w:tcW w:w="2548" w:type="dxa"/>
          </w:tcPr>
          <w:p>
            <w:pPr>
              <w:pStyle w:val="TableParagraph"/>
              <w:spacing w:before="126"/>
              <w:ind w:left="3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D7CB3"/>
                <w:spacing w:val="-3"/>
                <w:w w:val="115"/>
                <w:sz w:val="14"/>
              </w:rPr>
              <w:t>Ta</w:t>
            </w:r>
            <w:r>
              <w:rPr>
                <w:rFonts w:ascii="Arial"/>
                <w:b/>
                <w:color w:val="1D7CB3"/>
                <w:spacing w:val="-29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15"/>
                <w:sz w:val="14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15"/>
                <w:sz w:val="14"/>
              </w:rPr>
              <w:t>Bruta</w:t>
            </w:r>
            <w:r>
              <w:rPr>
                <w:rFonts w:ascii="Arial"/>
                <w:b/>
                <w:color w:val="1D7CB3"/>
                <w:spacing w:val="18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15"/>
                <w:sz w:val="14"/>
              </w:rPr>
              <w:t>de</w:t>
            </w:r>
            <w:r>
              <w:rPr>
                <w:rFonts w:ascii="Arial"/>
                <w:b/>
                <w:color w:val="1D7CB3"/>
                <w:spacing w:val="13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15"/>
                <w:sz w:val="14"/>
              </w:rPr>
              <w:t>Cobertura</w:t>
            </w:r>
          </w:p>
        </w:tc>
        <w:tc>
          <w:tcPr>
            <w:tcW w:w="1933" w:type="dxa"/>
          </w:tcPr>
          <w:p>
            <w:pPr>
              <w:pStyle w:val="TableParagraph"/>
              <w:spacing w:before="116"/>
              <w:ind w:left="381" w:right="367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sz w:val="14"/>
              </w:rPr>
              <w:t>81,25%</w:t>
            </w:r>
          </w:p>
        </w:tc>
        <w:tc>
          <w:tcPr>
            <w:tcW w:w="1175" w:type="dxa"/>
          </w:tcPr>
          <w:p>
            <w:pPr>
              <w:pStyle w:val="TableParagraph"/>
              <w:spacing w:before="116"/>
              <w:ind w:left="67" w:right="34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sz w:val="14"/>
              </w:rPr>
              <w:t>101,69%</w:t>
            </w:r>
          </w:p>
        </w:tc>
        <w:tc>
          <w:tcPr>
            <w:tcW w:w="1175" w:type="dxa"/>
          </w:tcPr>
          <w:p>
            <w:pPr>
              <w:pStyle w:val="TableParagraph"/>
              <w:spacing w:before="116"/>
              <w:ind w:left="47" w:right="34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sz w:val="14"/>
              </w:rPr>
              <w:t>54,06%</w:t>
            </w:r>
          </w:p>
        </w:tc>
        <w:tc>
          <w:tcPr>
            <w:tcW w:w="1404" w:type="dxa"/>
            <w:tcBorders>
              <w:right w:val="nil"/>
            </w:tcBorders>
          </w:tcPr>
          <w:p>
            <w:pPr>
              <w:pStyle w:val="TableParagraph"/>
              <w:spacing w:before="116"/>
              <w:ind w:left="62" w:right="36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sz w:val="14"/>
              </w:rPr>
              <w:t>26,64%</w:t>
            </w:r>
          </w:p>
        </w:tc>
      </w:tr>
      <w:tr>
        <w:trPr>
          <w:trHeight w:val="430" w:hRule="atLeast"/>
        </w:trPr>
        <w:tc>
          <w:tcPr>
            <w:tcW w:w="1175" w:type="dxa"/>
            <w:vMerge/>
            <w:tcBorders>
              <w:top w:val="nil"/>
              <w:bottom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8" w:type="dxa"/>
            <w:tcBorders>
              <w:bottom w:val="nil"/>
            </w:tcBorders>
            <w:shd w:val="clear" w:color="auto" w:fill="DAEDF3"/>
          </w:tcPr>
          <w:p>
            <w:pPr>
              <w:pStyle w:val="TableParagraph"/>
              <w:spacing w:before="126"/>
              <w:ind w:left="3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D7CB3"/>
                <w:spacing w:val="-1"/>
                <w:w w:val="115"/>
                <w:sz w:val="14"/>
              </w:rPr>
              <w:t>Ta</w:t>
            </w:r>
            <w:r>
              <w:rPr>
                <w:rFonts w:ascii="Arial"/>
                <w:b/>
                <w:color w:val="1D7CB3"/>
                <w:spacing w:val="-29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15"/>
                <w:sz w:val="14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15"/>
                <w:sz w:val="14"/>
              </w:rPr>
              <w:t>Neta</w:t>
            </w:r>
            <w:r>
              <w:rPr>
                <w:rFonts w:ascii="Arial"/>
                <w:b/>
                <w:color w:val="1D7CB3"/>
                <w:spacing w:val="18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w w:val="115"/>
                <w:sz w:val="14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w w:val="115"/>
                <w:sz w:val="14"/>
              </w:rPr>
              <w:t>Cobertura</w:t>
            </w:r>
          </w:p>
        </w:tc>
        <w:tc>
          <w:tcPr>
            <w:tcW w:w="1933" w:type="dxa"/>
            <w:tcBorders>
              <w:bottom w:val="nil"/>
            </w:tcBorders>
            <w:shd w:val="clear" w:color="auto" w:fill="DAEDF3"/>
          </w:tcPr>
          <w:p>
            <w:pPr>
              <w:pStyle w:val="TableParagraph"/>
              <w:spacing w:before="116"/>
              <w:ind w:left="381" w:right="367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sz w:val="14"/>
              </w:rPr>
              <w:t>57,26%</w:t>
            </w:r>
          </w:p>
        </w:tc>
        <w:tc>
          <w:tcPr>
            <w:tcW w:w="1175" w:type="dxa"/>
            <w:tcBorders>
              <w:bottom w:val="nil"/>
            </w:tcBorders>
            <w:shd w:val="clear" w:color="auto" w:fill="DAEDF3"/>
          </w:tcPr>
          <w:p>
            <w:pPr>
              <w:pStyle w:val="TableParagraph"/>
              <w:spacing w:before="116"/>
              <w:ind w:left="47" w:right="34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sz w:val="14"/>
              </w:rPr>
              <w:t>86,12%</w:t>
            </w:r>
          </w:p>
        </w:tc>
        <w:tc>
          <w:tcPr>
            <w:tcW w:w="1175" w:type="dxa"/>
            <w:tcBorders>
              <w:bottom w:val="nil"/>
            </w:tcBorders>
            <w:shd w:val="clear" w:color="auto" w:fill="DAEDF3"/>
          </w:tcPr>
          <w:p>
            <w:pPr>
              <w:pStyle w:val="TableParagraph"/>
              <w:spacing w:before="116"/>
              <w:ind w:left="47" w:right="34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333333"/>
                <w:sz w:val="14"/>
              </w:rPr>
              <w:t>38,17%</w:t>
            </w:r>
          </w:p>
        </w:tc>
        <w:tc>
          <w:tcPr>
            <w:tcW w:w="1404" w:type="dxa"/>
            <w:tcBorders>
              <w:bottom w:val="nil"/>
              <w:right w:val="nil"/>
            </w:tcBorders>
            <w:shd w:val="clear" w:color="auto" w:fill="DAEDF3"/>
          </w:tcPr>
          <w:p>
            <w:pPr>
              <w:pStyle w:val="TableParagraph"/>
              <w:spacing w:before="126"/>
              <w:ind w:left="62" w:right="4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333333"/>
                <w:w w:val="115"/>
                <w:sz w:val="14"/>
              </w:rPr>
              <w:t>18,08%</w:t>
            </w:r>
          </w:p>
        </w:tc>
      </w:tr>
    </w:tbl>
    <w:p>
      <w:pPr>
        <w:spacing w:before="0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3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2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2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2"/>
          <w:sz w:val="14"/>
        </w:rPr>
        <w:t> </w:t>
      </w:r>
      <w:r>
        <w:rPr>
          <w:sz w:val="14"/>
        </w:rPr>
        <w:t>la</w:t>
      </w:r>
      <w:r>
        <w:rPr>
          <w:spacing w:val="-3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5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3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Educación</w:t>
      </w:r>
      <w:r>
        <w:rPr>
          <w:spacing w:val="6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278" w:right="1074"/>
        <w:jc w:val="both"/>
      </w:pPr>
      <w:r>
        <w:rPr/>
        <w:t>A nivel Preprimaria Baja Verapaz, reporta un incremento en la cobertura durante el periodo 2017‐2020,</w:t>
      </w:r>
      <w:r>
        <w:rPr>
          <w:spacing w:val="1"/>
        </w:rPr>
        <w:t> </w:t>
      </w:r>
      <w:r>
        <w:rPr/>
        <w:t>con una TNE de (58.06%), (60.22%), (58.88%) y (57.26%) respectivamente durante los años indicados. Lo</w:t>
      </w:r>
      <w:r>
        <w:rPr>
          <w:spacing w:val="1"/>
        </w:rPr>
        <w:t> </w:t>
      </w:r>
      <w:r>
        <w:rPr/>
        <w:t>cual,</w:t>
      </w:r>
      <w:r>
        <w:rPr>
          <w:spacing w:val="-1"/>
        </w:rPr>
        <w:t> </w:t>
      </w:r>
      <w:r>
        <w:rPr/>
        <w:t>significa que</w:t>
      </w:r>
      <w:r>
        <w:rPr>
          <w:spacing w:val="1"/>
        </w:rPr>
        <w:t> </w:t>
      </w:r>
      <w:r>
        <w:rPr/>
        <w:t>solo uno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cada dos</w:t>
      </w:r>
      <w:r>
        <w:rPr>
          <w:spacing w:val="-1"/>
        </w:rPr>
        <w:t> </w:t>
      </w:r>
      <w:r>
        <w:rPr/>
        <w:t>niños</w:t>
      </w:r>
      <w:r>
        <w:rPr>
          <w:spacing w:val="-3"/>
        </w:rPr>
        <w:t> </w:t>
      </w:r>
      <w:r>
        <w:rPr/>
        <w:t>asiste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este nivel</w:t>
      </w:r>
      <w:r>
        <w:rPr>
          <w:spacing w:val="-3"/>
        </w:rPr>
        <w:t> </w:t>
      </w:r>
      <w:r>
        <w:rPr/>
        <w:t>(TNE: 47%).</w:t>
      </w:r>
    </w:p>
    <w:p>
      <w:pPr>
        <w:pStyle w:val="BodyText"/>
        <w:spacing w:before="1"/>
      </w:pPr>
    </w:p>
    <w:p>
      <w:pPr>
        <w:pStyle w:val="BodyText"/>
        <w:ind w:left="278" w:right="1073"/>
        <w:jc w:val="both"/>
        <w:rPr>
          <w:sz w:val="20"/>
        </w:rPr>
      </w:pPr>
      <w:r>
        <w:rPr/>
        <w:t>En</w:t>
      </w:r>
      <w:r>
        <w:rPr>
          <w:spacing w:val="1"/>
        </w:rPr>
        <w:t> </w:t>
      </w:r>
      <w:r>
        <w:rPr/>
        <w:t>primaria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registran mayores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van de</w:t>
      </w:r>
      <w:r>
        <w:rPr>
          <w:spacing w:val="1"/>
        </w:rPr>
        <w:t> </w:t>
      </w:r>
      <w:r>
        <w:rPr/>
        <w:t>(86.43%),</w:t>
      </w:r>
      <w:r>
        <w:rPr>
          <w:spacing w:val="1"/>
        </w:rPr>
        <w:t> </w:t>
      </w:r>
      <w:r>
        <w:rPr/>
        <w:t>(87.33%),</w:t>
      </w:r>
      <w:r>
        <w:rPr>
          <w:spacing w:val="1"/>
        </w:rPr>
        <w:t> </w:t>
      </w:r>
      <w:r>
        <w:rPr/>
        <w:t>(87.46%) y</w:t>
      </w:r>
      <w:r>
        <w:rPr>
          <w:spacing w:val="1"/>
        </w:rPr>
        <w:t> </w:t>
      </w:r>
      <w:r>
        <w:rPr/>
        <w:t>(86.12%), registrando el mayor dato durante el 2019. De acuerdo con dato promedio de la TNE de Baja</w:t>
      </w:r>
      <w:r>
        <w:rPr>
          <w:spacing w:val="1"/>
        </w:rPr>
        <w:t> </w:t>
      </w:r>
      <w:r>
        <w:rPr/>
        <w:t>Verapaz</w:t>
      </w:r>
      <w:r>
        <w:rPr>
          <w:spacing w:val="1"/>
        </w:rPr>
        <w:t> </w:t>
      </w:r>
      <w:r>
        <w:rPr/>
        <w:t>(86.83%)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periodo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comparación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TNE</w:t>
      </w:r>
      <w:r>
        <w:rPr>
          <w:spacing w:val="1"/>
        </w:rPr>
        <w:t> </w:t>
      </w:r>
      <w:r>
        <w:rPr/>
        <w:t>Nacional,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departamento</w:t>
      </w:r>
      <w:r>
        <w:rPr>
          <w:spacing w:val="-3"/>
        </w:rPr>
        <w:t> </w:t>
      </w:r>
      <w:r>
        <w:rPr/>
        <w:t>registró</w:t>
      </w:r>
      <w:r>
        <w:rPr>
          <w:spacing w:val="-2"/>
        </w:rPr>
        <w:t> </w:t>
      </w:r>
      <w:r>
        <w:rPr/>
        <w:t>un</w:t>
      </w:r>
      <w:r>
        <w:rPr>
          <w:spacing w:val="-6"/>
        </w:rPr>
        <w:t> </w:t>
      </w:r>
      <w:r>
        <w:rPr/>
        <w:t>valor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arriba</w:t>
      </w:r>
      <w:r>
        <w:rPr>
          <w:spacing w:val="-3"/>
        </w:rPr>
        <w:t> </w:t>
      </w:r>
      <w:r>
        <w:rPr/>
        <w:t>con</w:t>
      </w:r>
      <w:r>
        <w:rPr>
          <w:spacing w:val="-4"/>
        </w:rPr>
        <w:t> </w:t>
      </w:r>
      <w:r>
        <w:rPr/>
        <w:t>9.33%.</w:t>
      </w:r>
      <w:r>
        <w:rPr>
          <w:spacing w:val="-5"/>
        </w:rPr>
        <w:t> </w:t>
      </w:r>
      <w:r>
        <w:rPr/>
        <w:t>Es</w:t>
      </w:r>
      <w:r>
        <w:rPr>
          <w:spacing w:val="-3"/>
        </w:rPr>
        <w:t> </w:t>
      </w:r>
      <w:r>
        <w:rPr/>
        <w:t>decir,</w:t>
      </w:r>
      <w:r>
        <w:rPr>
          <w:spacing w:val="-3"/>
        </w:rPr>
        <w:t> </w:t>
      </w:r>
      <w:r>
        <w:rPr/>
        <w:t>nueve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cada</w:t>
      </w:r>
      <w:r>
        <w:rPr>
          <w:spacing w:val="-3"/>
        </w:rPr>
        <w:t> </w:t>
      </w:r>
      <w:r>
        <w:rPr/>
        <w:t>diez</w:t>
      </w:r>
      <w:r>
        <w:rPr>
          <w:spacing w:val="-4"/>
        </w:rPr>
        <w:t> </w:t>
      </w:r>
      <w:r>
        <w:rPr/>
        <w:t>están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primaria</w:t>
      </w:r>
      <w:r>
        <w:rPr>
          <w:spacing w:val="-3"/>
        </w:rPr>
        <w:t> </w:t>
      </w:r>
      <w:r>
        <w:rPr>
          <w:sz w:val="20"/>
        </w:rPr>
        <w:t>(TNE:</w:t>
      </w:r>
      <w:r>
        <w:rPr>
          <w:spacing w:val="-43"/>
          <w:sz w:val="20"/>
        </w:rPr>
        <w:t> </w:t>
      </w:r>
      <w:r>
        <w:rPr>
          <w:sz w:val="20"/>
        </w:rPr>
        <w:t>90%).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ind w:left="278" w:right="1069"/>
        <w:jc w:val="both"/>
      </w:pPr>
      <w:r>
        <w:rPr/>
        <w:t>Los valores en el Ciclo básico reportan una tendencia a la baja similar a los datos Nacionales, aunque por</w:t>
      </w:r>
      <w:r>
        <w:rPr>
          <w:spacing w:val="1"/>
        </w:rPr>
        <w:t> </w:t>
      </w:r>
      <w:r>
        <w:rPr/>
        <w:t>debajo del mejor dato reportado en el 2015 (45.9%). Para el período analizado las cantidades que van</w:t>
      </w:r>
      <w:r>
        <w:rPr>
          <w:spacing w:val="1"/>
        </w:rPr>
        <w:t> </w:t>
      </w:r>
      <w:r>
        <w:rPr/>
        <w:t>desde (38.1%), (34.61%), (38.66%) y (38.17%). Mostrando una reducción de 10 puntos porcentuales. Esto</w:t>
      </w:r>
      <w:r>
        <w:rPr>
          <w:spacing w:val="-47"/>
        </w:rPr>
        <w:t> </w:t>
      </w:r>
      <w:r>
        <w:rPr/>
        <w:t>significa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una tercera</w:t>
      </w:r>
      <w:r>
        <w:rPr>
          <w:spacing w:val="-1"/>
        </w:rPr>
        <w:t> </w:t>
      </w:r>
      <w:r>
        <w:rPr/>
        <w:t>parte asiste al</w:t>
      </w:r>
      <w:r>
        <w:rPr>
          <w:spacing w:val="-3"/>
        </w:rPr>
        <w:t> </w:t>
      </w:r>
      <w:r>
        <w:rPr/>
        <w:t>ciclo básico</w:t>
      </w:r>
      <w:r>
        <w:rPr>
          <w:spacing w:val="1"/>
        </w:rPr>
        <w:t> </w:t>
      </w:r>
      <w:r>
        <w:rPr/>
        <w:t>(TNE: 34%).</w:t>
      </w:r>
    </w:p>
    <w:p>
      <w:pPr>
        <w:pStyle w:val="BodyText"/>
        <w:spacing w:before="2"/>
      </w:pPr>
    </w:p>
    <w:p>
      <w:pPr>
        <w:pStyle w:val="BodyText"/>
        <w:ind w:left="278" w:right="1072"/>
        <w:jc w:val="both"/>
      </w:pPr>
      <w:r>
        <w:rPr/>
        <w:t>Una vez más, el nivel más bajo de participación en el Sistema Nacional de Educación, lo representa el</w:t>
      </w:r>
      <w:r>
        <w:rPr>
          <w:spacing w:val="1"/>
        </w:rPr>
        <w:t> </w:t>
      </w:r>
      <w:r>
        <w:rPr/>
        <w:t>diversificado. Incluso en Baja Verapaz solamente 1 de cada 10 jóvenes tiene acceso a educación en este</w:t>
      </w:r>
      <w:r>
        <w:rPr>
          <w:spacing w:val="1"/>
        </w:rPr>
        <w:t> </w:t>
      </w:r>
      <w:r>
        <w:rPr/>
        <w:t>nivel, estado por debajo de la</w:t>
      </w:r>
      <w:r>
        <w:rPr>
          <w:spacing w:val="1"/>
        </w:rPr>
        <w:t> </w:t>
      </w:r>
      <w:r>
        <w:rPr/>
        <w:t>TNE a nivel nacional cuya tasa de cobertura en educación media es del</w:t>
      </w:r>
      <w:r>
        <w:rPr>
          <w:spacing w:val="1"/>
        </w:rPr>
        <w:t> </w:t>
      </w:r>
      <w:r>
        <w:rPr/>
        <w:t>24.57%.</w:t>
      </w:r>
      <w:r>
        <w:rPr>
          <w:spacing w:val="1"/>
        </w:rPr>
        <w:t> </w:t>
      </w:r>
      <w:r>
        <w:rPr/>
        <w:t>En este nivel se reportan criterios de deserción similares a los del ciclo básico, pero se suma la</w:t>
      </w:r>
      <w:r>
        <w:rPr>
          <w:spacing w:val="1"/>
        </w:rPr>
        <w:t> </w:t>
      </w:r>
      <w:r>
        <w:rPr/>
        <w:t>migración</w:t>
      </w:r>
      <w:r>
        <w:rPr>
          <w:spacing w:val="-2"/>
        </w:rPr>
        <w:t> </w:t>
      </w:r>
      <w:r>
        <w:rPr/>
        <w:t>temporal</w:t>
      </w:r>
      <w:r>
        <w:rPr>
          <w:spacing w:val="-1"/>
        </w:rPr>
        <w:t> </w:t>
      </w:r>
      <w:r>
        <w:rPr/>
        <w:t>por trabajo.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rect style="position:absolute;margin-left:563.880005pt;margin-top:18.43149pt;width:25.44pt;height:1.4399pt;mso-position-horizontal-relative:page;mso-position-vertical-relative:paragraph;z-index:-1546547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131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77920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7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2"/>
          <w:numId w:val="32"/>
        </w:numPr>
        <w:tabs>
          <w:tab w:pos="998" w:val="left" w:leader="none"/>
          <w:tab w:pos="999" w:val="left" w:leader="none"/>
        </w:tabs>
        <w:spacing w:line="240" w:lineRule="auto" w:before="52" w:after="0"/>
        <w:ind w:left="998" w:right="0" w:hanging="721"/>
        <w:jc w:val="left"/>
      </w:pPr>
      <w:bookmarkStart w:name="_bookmark148" w:id="229"/>
      <w:bookmarkEnd w:id="229"/>
      <w:r>
        <w:rPr>
          <w:b w:val="0"/>
        </w:rPr>
      </w:r>
      <w:bookmarkStart w:name="_bookmark148" w:id="230"/>
      <w:bookmarkEnd w:id="230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Cobertura:</w:t>
      </w:r>
      <w:r>
        <w:rPr>
          <w:spacing w:val="-4"/>
        </w:rPr>
        <w:t> </w:t>
      </w:r>
      <w:r>
        <w:rPr/>
        <w:t>Tasa</w:t>
      </w:r>
      <w:r>
        <w:rPr>
          <w:spacing w:val="-3"/>
        </w:rPr>
        <w:t> </w:t>
      </w:r>
      <w:r>
        <w:rPr/>
        <w:t>Bruta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Déficit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departamento,</w:t>
      </w:r>
      <w:r>
        <w:rPr>
          <w:spacing w:val="-2"/>
        </w:rPr>
        <w:t> </w:t>
      </w:r>
      <w:r>
        <w:rPr/>
        <w:t>sexo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etnia.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8"/>
        <w:jc w:val="both"/>
      </w:pPr>
      <w:r>
        <w:rPr/>
        <w:t>Gráfico Nº. Total de población estudiantil por niveles educativos, etnia y sexo para el Departamento de</w:t>
      </w:r>
      <w:r>
        <w:rPr>
          <w:spacing w:val="1"/>
        </w:rPr>
        <w:t> </w:t>
      </w:r>
      <w:r>
        <w:rPr/>
        <w:t>Baja</w:t>
      </w:r>
      <w:r>
        <w:rPr>
          <w:spacing w:val="-1"/>
        </w:rPr>
        <w:t> </w:t>
      </w:r>
      <w:r>
        <w:rPr/>
        <w:t>Verapaz</w:t>
      </w:r>
      <w:r>
        <w:rPr>
          <w:spacing w:val="-1"/>
        </w:rPr>
        <w:t> </w:t>
      </w:r>
      <w:r>
        <w:rPr/>
        <w:t>(2017-2021)</w:t>
      </w:r>
    </w:p>
    <w:p>
      <w:pPr>
        <w:pStyle w:val="BodyText"/>
        <w:ind w:left="285"/>
        <w:rPr>
          <w:sz w:val="20"/>
        </w:rPr>
      </w:pPr>
      <w:r>
        <w:rPr>
          <w:sz w:val="20"/>
        </w:rPr>
        <w:pict>
          <v:group style="width:473pt;height:171.6pt;mso-position-horizontal-relative:char;mso-position-vertical-relative:line" coordorigin="0,0" coordsize="9460,3432">
            <v:shape style="position:absolute;left:451;top:2884;width:664;height:2" coordorigin="452,2884" coordsize="664,0" path="m452,2884l913,2884m1086,2884l1115,2884e" filled="false" stroked="true" strokeweight=".524533pt" strokecolor="#888888">
              <v:path arrowok="t"/>
              <v:stroke dashstyle="solid"/>
            </v:shape>
            <v:rect style="position:absolute;left:912;top:2829;width:173;height:321" filled="true" fillcolor="#497eaf" stroked="false">
              <v:fill type="solid"/>
            </v:rect>
            <v:rect style="position:absolute;left:1013;top:3003;width:102;height:148" filled="true" fillcolor="#5b8e39" stroked="false">
              <v:fill type="solid"/>
            </v:rect>
            <v:line style="position:absolute" from="452,2624" to="1115,2624" stroked="true" strokeweight=".524533pt" strokecolor="#888888">
              <v:stroke dashstyle="solid"/>
            </v:line>
            <v:shape style="position:absolute;left:451;top:1841;width:664;height:522" coordorigin="452,1842" coordsize="664,522" path="m452,2363l1115,2363m452,2102l1115,2102m452,1842l1115,1842e" filled="false" stroked="true" strokeweight=".524533pt" strokecolor="#888888">
              <v:path arrowok="t"/>
              <v:stroke dashstyle="solid"/>
            </v:shape>
            <v:line style="position:absolute" from="1272,1842" to="2482,1842" stroked="true" strokeweight=".524533pt" strokecolor="#888888">
              <v:stroke dashstyle="solid"/>
            </v:line>
            <v:line style="position:absolute" from="452,1581" to="1115,1581" stroked="true" strokeweight=".524533pt" strokecolor="#888888">
              <v:stroke dashstyle="solid"/>
            </v:line>
            <v:shape style="position:absolute;left:1272;top:1578;width:2593;height:6" coordorigin="1272,1578" coordsize="2593,6" path="m1272,1583l3865,1583m1272,1578l3865,1578e" filled="false" stroked="true" strokeweight=".262275pt" strokecolor="#888888">
              <v:path arrowok="t"/>
              <v:stroke dashstyle="solid"/>
            </v:shape>
            <v:shape style="position:absolute;left:451;top:1309;width:6885;height:2" coordorigin="452,1309" coordsize="6885,0" path="m452,1309l1115,1309m1272,1309l7336,1309e" filled="false" stroked="true" strokeweight=".524533pt" strokecolor="#888888">
              <v:path arrowok="t"/>
              <v:stroke dashstyle="solid"/>
            </v:shape>
            <v:shape style="position:absolute;left:451;top:1048;width:6885;height:2" coordorigin="452,1048" coordsize="6885,0" path="m452,1048l452,1048,7336,1048e" filled="false" stroked="true" strokeweight=".524493pt" strokecolor="#888888">
              <v:path arrowok="t"/>
              <v:stroke dashstyle="solid"/>
            </v:shape>
            <v:rect style="position:absolute;left:1115;top:1102;width:158;height:2048" filled="true" fillcolor="#4471c4" stroked="false">
              <v:fill type="solid"/>
            </v:rect>
            <v:line style="position:absolute" from="1374,2884" to="2296,2884" stroked="true" strokeweight=".524533pt" strokecolor="#888888">
              <v:stroke dashstyle="solid"/>
            </v:line>
            <v:shape style="position:absolute;left:2454;top:2881;width:29;height:6" coordorigin="2454,2882" coordsize="29,6" path="m2454,2887l2482,2887m2454,2882l2482,2882e" filled="false" stroked="true" strokeweight=".26226pt" strokecolor="#888888">
              <v:path arrowok="t"/>
              <v:stroke dashstyle="solid"/>
            </v:shape>
            <v:rect style="position:absolute;left:2194;top:3144;width:101;height:6" filled="true" fillcolor="#d29e00" stroked="false">
              <v:fill type="solid"/>
            </v:rect>
            <v:rect style="position:absolute;left:2295;top:2872;width:159;height:278" filled="true" fillcolor="#497eaf" stroked="false">
              <v:fill type="solid"/>
            </v:rect>
            <v:rect style="position:absolute;left:2395;top:2959;width:87;height:191" filled="true" fillcolor="#5b8e39" stroked="false">
              <v:fill type="solid"/>
            </v:rect>
            <v:line style="position:absolute" from="1374,2624" to="2482,2624" stroked="true" strokeweight=".524533pt" strokecolor="#888888">
              <v:stroke dashstyle="solid"/>
            </v:line>
            <v:shape style="position:absolute;left:1374;top:1841;width:2491;height:522" coordorigin="1374,1842" coordsize="2491,522" path="m1374,2363l2482,2363m1374,2102l2482,2102m2655,1842l3865,1842e" filled="false" stroked="true" strokeweight=".524533pt" strokecolor="#888888">
              <v:path arrowok="t"/>
              <v:stroke dashstyle="solid"/>
            </v:shape>
            <v:rect style="position:absolute;left:2482;top:1580;width:173;height:1570" filled="true" fillcolor="#4471c4" stroked="false">
              <v:fill type="solid"/>
            </v:rect>
            <v:shape style="position:absolute;left:2756;top:2881;width:1108;height:6" coordorigin="2757,2882" coordsize="1108,6" path="m2757,2887l3865,2887m2757,2882l3865,2882e" filled="false" stroked="true" strokeweight=".26226pt" strokecolor="#888888">
              <v:path arrowok="t"/>
              <v:stroke dashstyle="solid"/>
            </v:shape>
            <v:rect style="position:absolute;left:3375;top:3144;width:159;height:6" filled="true" fillcolor="#c46627" stroked="false">
              <v:fill type="solid"/>
            </v:rect>
            <v:rect style="position:absolute;left:3562;top:3144;width:102;height:6" filled="true" fillcolor="#d29e00" stroked="false">
              <v:fill type="solid"/>
            </v:rect>
            <v:rect style="position:absolute;left:3663;top:2905;width:173;height:246" filled="true" fillcolor="#497eaf" stroked="false">
              <v:fill type="solid"/>
            </v:rect>
            <v:rect style="position:absolute;left:3764;top:3014;width:101;height:137" filled="true" fillcolor="#5b8e39" stroked="false">
              <v:fill type="solid"/>
            </v:rect>
            <v:line style="position:absolute" from="2757,2624" to="3865,2624" stroked="true" strokeweight=".524533pt" strokecolor="#888888">
              <v:stroke dashstyle="solid"/>
            </v:line>
            <v:shape style="position:absolute;left:2756;top:2102;width:1108;height:261" coordorigin="2757,2102" coordsize="1108,261" path="m2757,2363l3865,2363m2757,2102l3865,2102e" filled="false" stroked="true" strokeweight=".524533pt" strokecolor="#888888">
              <v:path arrowok="t"/>
              <v:stroke dashstyle="solid"/>
            </v:shape>
            <v:rect style="position:absolute;left:3864;top:1526;width:159;height:1625" filled="true" fillcolor="#4471c4" stroked="false">
              <v:fill type="solid"/>
            </v:rect>
            <v:shape style="position:absolute;left:4123;top:2881;width:1124;height:6" coordorigin="4124,2882" coordsize="1124,6" path="m4124,2887l5247,2887m4124,2882l5247,2882e" filled="false" stroked="true" strokeweight=".26226pt" strokecolor="#888888">
              <v:path arrowok="t"/>
              <v:stroke dashstyle="solid"/>
            </v:shape>
            <v:rect style="position:absolute;left:5046;top:2884;width:158;height:267" filled="true" fillcolor="#497eaf" stroked="false">
              <v:fill type="solid"/>
            </v:rect>
            <v:rect style="position:absolute;left:5146;top:2905;width:101;height:246" filled="true" fillcolor="#5b8e39" stroked="false">
              <v:fill type="solid"/>
            </v:rect>
            <v:line style="position:absolute" from="4124,2624" to="5247,2624" stroked="true" strokeweight=".524533pt" strokecolor="#888888">
              <v:stroke dashstyle="solid"/>
            </v:line>
            <v:shape style="position:absolute;left:4123;top:2102;width:3213;height:261" coordorigin="4124,2102" coordsize="3213,261" path="m4124,2363l5247,2363m4124,2102l5247,2102m5406,2102l7336,2102e" filled="false" stroked="true" strokeweight=".524533pt" strokecolor="#888888">
              <v:path arrowok="t"/>
              <v:stroke dashstyle="solid"/>
            </v:shape>
            <v:rect style="position:absolute;left:5247;top:2037;width:159;height:1114" filled="true" fillcolor="#4471c4" stroked="false">
              <v:fill type="solid"/>
            </v:rect>
            <v:shape style="position:absolute;left:5506;top:2881;width:1110;height:6" coordorigin="5506,2882" coordsize="1110,6" path="m5506,2887l6615,2887m5506,2882l6615,2882e" filled="false" stroked="true" strokeweight=".26226pt" strokecolor="#888888">
              <v:path arrowok="t"/>
              <v:stroke dashstyle="solid"/>
            </v:shape>
            <v:shape style="position:absolute;left:5506;top:2623;width:1830;height:2" coordorigin="5506,2624" coordsize="1830,0" path="m5506,2624l6615,2624m6774,2624l7336,2624e" filled="false" stroked="true" strokeweight=".524533pt" strokecolor="#888888">
              <v:path arrowok="t"/>
              <v:stroke dashstyle="solid"/>
            </v:shape>
            <v:rect style="position:absolute;left:6413;top:2959;width:173;height:191" filled="true" fillcolor="#497eaf" stroked="false">
              <v:fill type="solid"/>
            </v:rect>
            <v:rect style="position:absolute;left:6515;top:2970;width:101;height:180" filled="true" fillcolor="#5b8e39" stroked="false">
              <v:fill type="solid"/>
            </v:rect>
            <v:rect style="position:absolute;left:6615;top:2525;width:159;height:625" filled="true" fillcolor="#4471c4" stroked="false">
              <v:fill type="solid"/>
            </v:rect>
            <v:shape style="position:absolute;left:1215;top:1884;width:1542;height:1266" coordorigin="1215,1885" coordsize="1542,1266" path="m1374,1885l1215,1885,1215,3151,1374,3151,1374,1885xm2757,2070l2584,2070,2584,3151,2757,3151,2757,2070xe" filled="true" fillcolor="#ec7c30" stroked="false">
              <v:path arrowok="t"/>
              <v:fill type="solid"/>
            </v:shape>
            <v:line style="position:absolute" from="4124,1842" to="7336,1842" stroked="true" strokeweight=".524533pt" strokecolor="#888888">
              <v:stroke dashstyle="solid"/>
            </v:line>
            <v:shape style="position:absolute;left:3966;top:1776;width:1541;height:1375" coordorigin="3966,1776" coordsize="1541,1375" path="m4124,1776l3966,1776,3966,3151,4124,3151,4124,1776xm5506,2504l5333,2504,5333,3151,5506,3151,5506,2504xe" filled="true" fillcolor="#ec7c30" stroked="false">
              <v:path arrowok="t"/>
              <v:fill type="solid"/>
            </v:shape>
            <v:shape style="position:absolute;left:6874;top:2881;width:462;height:6" coordorigin="6875,2882" coordsize="462,6" path="m6875,2887l7336,2887m6875,2882l7336,2882e" filled="false" stroked="true" strokeweight=".26226pt" strokecolor="#888888">
              <v:path arrowok="t"/>
              <v:stroke dashstyle="solid"/>
            </v:shape>
            <v:rect style="position:absolute;left:6716;top:2732;width:159;height:419" filled="true" fillcolor="#ec7c30" stroked="false">
              <v:fill type="solid"/>
            </v:rect>
            <v:shape style="position:absolute;left:1315;top:3145;width:4293;height:6" coordorigin="1316,3145" coordsize="4293,6" path="m1475,3145l1316,3145,1316,3151,1475,3151,1475,3145xm2857,3145l2684,3145,2684,3151,2857,3151,2857,3145xm4225,3145l4067,3145,4067,3151,4225,3151,4225,3145xm5608,3145l5435,3145,5435,3151,5608,3151,5608,3145xe" filled="true" fillcolor="#a4a4a4" stroked="false">
              <v:path arrowok="t"/>
              <v:fill type="solid"/>
            </v:shape>
            <v:rect style="position:absolute;left:4253;top:3144;width:173;height:6" filled="true" fillcolor="#5b9bd4" stroked="false">
              <v:fill type="solid"/>
            </v:rect>
            <v:shape style="position:absolute;left:451;top:787;width:6885;height:2363" coordorigin="452,788" coordsize="6885,2363" path="m452,788l452,788,7336,788m459,3151l459,3151,459,788e" filled="false" stroked="true" strokeweight=".610397pt" strokecolor="#888888">
              <v:path arrowok="t"/>
              <v:stroke dashstyle="solid"/>
            </v:shape>
            <v:rect style="position:absolute;left:4744;top:3144;width:173;height:6" filled="true" fillcolor="#c46627" stroked="false">
              <v:fill type="solid"/>
            </v:rect>
            <v:shape style="position:absolute;left:459;top:3150;width:6878;height:2" coordorigin="459,3151" coordsize="6878,0" path="m459,3151l459,3151,7337,3151e" filled="false" stroked="true" strokeweight=".524493pt" strokecolor="#888888">
              <v:path arrowok="t"/>
              <v:stroke dashstyle="solid"/>
            </v:shape>
            <v:rect style="position:absolute;left:7598;top:960;width:64;height:48" filled="true" fillcolor="#375da0" stroked="false">
              <v:fill type="solid"/>
            </v:rect>
            <v:rect style="position:absolute;left:7598;top:1152;width:64;height:49" filled="true" fillcolor="#c46627" stroked="false">
              <v:fill type="solid"/>
            </v:rect>
            <v:rect style="position:absolute;left:7598;top:1344;width:64;height:49" filled="true" fillcolor="#878787" stroked="false">
              <v:fill type="solid"/>
            </v:rect>
            <v:rect style="position:absolute;left:7598;top:1537;width:64;height:48" filled="true" fillcolor="#d29e00" stroked="false">
              <v:fill type="solid"/>
            </v:rect>
            <v:rect style="position:absolute;left:7598;top:1729;width:64;height:49" filled="true" fillcolor="#497eaf" stroked="false">
              <v:fill type="solid"/>
            </v:rect>
            <v:rect style="position:absolute;left:7598;top:1921;width:64;height:49" filled="true" fillcolor="#5b8e39" stroked="false">
              <v:fill type="solid"/>
            </v:rect>
            <v:rect style="position:absolute;left:7598;top:2113;width:64;height:49" filled="true" fillcolor="#4471c4" stroked="false">
              <v:fill type="solid"/>
            </v:rect>
            <v:rect style="position:absolute;left:7598;top:2306;width:64;height:48" filled="true" fillcolor="#ec7c30" stroked="false">
              <v:fill type="solid"/>
            </v:rect>
            <v:rect style="position:absolute;left:7598;top:2498;width:64;height:49" filled="true" fillcolor="#a4a4a4" stroked="false">
              <v:fill type="solid"/>
            </v:rect>
            <v:rect style="position:absolute;left:7598;top:2690;width:64;height:49" filled="true" fillcolor="#ffc000" stroked="false">
              <v:fill type="solid"/>
            </v:rect>
            <v:rect style="position:absolute;left:7598;top:2883;width:64;height:48" filled="true" fillcolor="#5b9bd4" stroked="false">
              <v:fill type="solid"/>
            </v:rect>
            <v:rect style="position:absolute;left:7598;top:3075;width:64;height:48" filled="true" fillcolor="#6fac46" stroked="false">
              <v:fill type="solid"/>
            </v:rect>
            <v:rect style="position:absolute;left:5;top:5;width:9449;height:3421" filled="false" stroked="true" strokeweight=".544401pt" strokecolor="#888888">
              <v:stroke dashstyle="solid"/>
            </v:rect>
            <v:shape style="position:absolute;left:107;top:107;width:7277;height:1801" type="#_x0000_t202" filled="false" stroked="false">
              <v:textbox inset="0,0,0,0">
                <w:txbxContent>
                  <w:p>
                    <w:pPr>
                      <w:spacing w:line="227" w:lineRule="exact" w:before="5"/>
                      <w:ind w:left="2093" w:right="123" w:firstLine="0"/>
                      <w:jc w:val="center"/>
                      <w:rPr>
                        <w:rFonts w:ascii="Verdana"/>
                        <w:sz w:val="19"/>
                      </w:rPr>
                    </w:pPr>
                    <w:r>
                      <w:rPr>
                        <w:rFonts w:ascii="Verdana"/>
                        <w:spacing w:val="-2"/>
                        <w:w w:val="135"/>
                        <w:sz w:val="19"/>
                      </w:rPr>
                      <w:t>Baja</w:t>
                    </w:r>
                    <w:r>
                      <w:rPr>
                        <w:rFonts w:ascii="Verdana"/>
                        <w:spacing w:val="-20"/>
                        <w:w w:val="135"/>
                        <w:sz w:val="19"/>
                      </w:rPr>
                      <w:t> </w:t>
                    </w:r>
                    <w:r>
                      <w:rPr>
                        <w:rFonts w:ascii="Verdana"/>
                        <w:spacing w:val="-2"/>
                        <w:w w:val="135"/>
                        <w:sz w:val="19"/>
                      </w:rPr>
                      <w:t>Verapaz</w:t>
                    </w:r>
                  </w:p>
                  <w:p>
                    <w:pPr>
                      <w:spacing w:line="232" w:lineRule="auto" w:before="0"/>
                      <w:ind w:left="2098" w:right="123" w:firstLine="0"/>
                      <w:jc w:val="center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w w:val="125"/>
                        <w:sz w:val="12"/>
                      </w:rPr>
                      <w:t>Total</w:t>
                    </w:r>
                    <w:r>
                      <w:rPr>
                        <w:rFonts w:ascii="Verdana" w:hAnsi="Verdana"/>
                        <w:spacing w:val="2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12"/>
                      </w:rPr>
                      <w:t>de</w:t>
                    </w:r>
                    <w:r>
                      <w:rPr>
                        <w:rFonts w:ascii="Verdana" w:hAnsi="Verdana"/>
                        <w:spacing w:val="4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12"/>
                      </w:rPr>
                      <w:t>población</w:t>
                    </w:r>
                    <w:r>
                      <w:rPr>
                        <w:rFonts w:ascii="Verdana" w:hAnsi="Verdana"/>
                        <w:spacing w:val="2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12"/>
                      </w:rPr>
                      <w:t>estudiantil</w:t>
                    </w:r>
                    <w:r>
                      <w:rPr>
                        <w:rFonts w:ascii="Verdana" w:hAnsi="Verdana"/>
                        <w:spacing w:val="3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12"/>
                      </w:rPr>
                      <w:t>por</w:t>
                    </w:r>
                    <w:r>
                      <w:rPr>
                        <w:rFonts w:ascii="Verdana" w:hAnsi="Verdana"/>
                        <w:spacing w:val="1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12"/>
                      </w:rPr>
                      <w:t>Niveles</w:t>
                    </w:r>
                    <w:r>
                      <w:rPr>
                        <w:rFonts w:ascii="Verdana" w:hAnsi="Verdana"/>
                        <w:spacing w:val="3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12"/>
                      </w:rPr>
                      <w:t>educativos,</w:t>
                    </w:r>
                    <w:r>
                      <w:rPr>
                        <w:rFonts w:ascii="Verdana" w:hAnsi="Verdana"/>
                        <w:spacing w:val="4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12"/>
                      </w:rPr>
                      <w:t>etnia</w:t>
                    </w:r>
                    <w:r>
                      <w:rPr>
                        <w:rFonts w:ascii="Verdana" w:hAnsi="Verdana"/>
                        <w:spacing w:val="4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12"/>
                      </w:rPr>
                      <w:t>y</w:t>
                    </w:r>
                    <w:r>
                      <w:rPr>
                        <w:rFonts w:ascii="Verdana" w:hAnsi="Verdana"/>
                        <w:spacing w:val="2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12"/>
                      </w:rPr>
                      <w:t>sexo</w:t>
                    </w:r>
                    <w:r>
                      <w:rPr>
                        <w:rFonts w:ascii="Verdana" w:hAnsi="Verdana"/>
                        <w:spacing w:val="-50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12"/>
                      </w:rPr>
                      <w:t>2017-2021</w:t>
                    </w:r>
                  </w:p>
                  <w:p>
                    <w:pPr>
                      <w:spacing w:before="104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0"/>
                        <w:sz w:val="11"/>
                      </w:rPr>
                      <w:t>450</w:t>
                    </w:r>
                  </w:p>
                  <w:p>
                    <w:pPr>
                      <w:spacing w:line="240" w:lineRule="auto" w:before="6"/>
                      <w:rPr>
                        <w:sz w:val="1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0"/>
                        <w:sz w:val="11"/>
                      </w:rPr>
                      <w:t>400</w:t>
                    </w:r>
                  </w:p>
                  <w:p>
                    <w:pPr>
                      <w:spacing w:line="240" w:lineRule="auto" w:before="6"/>
                      <w:rPr>
                        <w:sz w:val="10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0"/>
                        <w:sz w:val="11"/>
                      </w:rPr>
                      <w:t>350</w:t>
                    </w:r>
                  </w:p>
                  <w:p>
                    <w:pPr>
                      <w:spacing w:line="240" w:lineRule="auto" w:before="5"/>
                      <w:rPr>
                        <w:sz w:val="10"/>
                      </w:rPr>
                    </w:pPr>
                  </w:p>
                  <w:p>
                    <w:pPr>
                      <w:tabs>
                        <w:tab w:pos="3915" w:val="left" w:leader="none"/>
                        <w:tab w:pos="7256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rFonts w:ascii="Verdana"/>
                        <w:sz w:val="8"/>
                      </w:rPr>
                    </w:pPr>
                    <w:r>
                      <w:rPr>
                        <w:w w:val="130"/>
                        <w:sz w:val="11"/>
                      </w:rPr>
                      <w:t>300</w:t>
                    </w:r>
                    <w:r>
                      <w:rPr>
                        <w:sz w:val="11"/>
                      </w:rPr>
                      <w:tab/>
                    </w:r>
                    <w:r>
                      <w:rPr>
                        <w:rFonts w:ascii="Verdana"/>
                        <w:w w:val="112"/>
                        <w:position w:val="2"/>
                        <w:sz w:val="8"/>
                        <w:u w:val="single" w:color="888888"/>
                      </w:rPr>
                      <w:t> </w:t>
                    </w:r>
                    <w:r>
                      <w:rPr>
                        <w:rFonts w:ascii="Verdana"/>
                        <w:position w:val="2"/>
                        <w:sz w:val="8"/>
                        <w:u w:val="single" w:color="888888"/>
                      </w:rPr>
                      <w:tab/>
                    </w:r>
                  </w:p>
                  <w:p>
                    <w:pPr>
                      <w:spacing w:line="240" w:lineRule="auto" w:before="6"/>
                      <w:rPr>
                        <w:rFonts w:ascii="Verdana"/>
                        <w:sz w:val="10"/>
                      </w:rPr>
                    </w:pPr>
                  </w:p>
                  <w:p>
                    <w:pPr>
                      <w:spacing w:line="13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0"/>
                        <w:sz w:val="11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107;top:2063;width:239;height:37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0"/>
                        <w:sz w:val="11"/>
                      </w:rPr>
                      <w:t>200</w:t>
                    </w:r>
                  </w:p>
                  <w:p>
                    <w:pPr>
                      <w:spacing w:line="240" w:lineRule="auto" w:before="5"/>
                      <w:rPr>
                        <w:sz w:val="10"/>
                      </w:rPr>
                    </w:pPr>
                  </w:p>
                  <w:p>
                    <w:pPr>
                      <w:spacing w:line="132" w:lineRule="exact"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0"/>
                        <w:sz w:val="11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5405;top:2277;width:1978;height:106" type="#_x0000_t202" filled="false" stroked="false">
              <v:textbox inset="0,0,0,0">
                <w:txbxContent>
                  <w:p>
                    <w:pPr>
                      <w:tabs>
                        <w:tab w:pos="1957" w:val="left" w:leader="none"/>
                      </w:tabs>
                      <w:spacing w:before="6"/>
                      <w:ind w:left="0" w:right="0" w:firstLine="0"/>
                      <w:jc w:val="left"/>
                      <w:rPr>
                        <w:rFonts w:ascii="Verdana"/>
                        <w:sz w:val="8"/>
                      </w:rPr>
                    </w:pPr>
                    <w:r>
                      <w:rPr>
                        <w:rFonts w:ascii="Verdana"/>
                        <w:w w:val="112"/>
                        <w:sz w:val="8"/>
                        <w:u w:val="single" w:color="888888"/>
                      </w:rPr>
                      <w:t> </w:t>
                    </w:r>
                    <w:r>
                      <w:rPr>
                        <w:rFonts w:ascii="Verdana"/>
                        <w:sz w:val="8"/>
                        <w:u w:val="single" w:color="888888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07;top:2587;width:239;height:37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0"/>
                        <w:sz w:val="11"/>
                      </w:rPr>
                      <w:t>100</w:t>
                    </w:r>
                  </w:p>
                  <w:p>
                    <w:pPr>
                      <w:spacing w:line="240" w:lineRule="auto" w:before="6"/>
                      <w:rPr>
                        <w:sz w:val="10"/>
                      </w:rPr>
                    </w:pPr>
                  </w:p>
                  <w:p>
                    <w:pPr>
                      <w:spacing w:line="132" w:lineRule="exact" w:before="0"/>
                      <w:ind w:left="72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0"/>
                        <w:sz w:val="11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4408;top:2987;width:93;height:109" type="#_x0000_t202" filled="false" stroked="false">
              <v:textbox inset="0,0,0,0">
                <w:txbxContent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0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687;top:931;width:1564;height:2222" type="#_x0000_t202" filled="false" stroked="false">
              <v:textbox inset="0,0,0,0">
                <w:txbxContent>
                  <w:p>
                    <w:pPr>
                      <w:spacing w:line="475" w:lineRule="auto" w:before="6"/>
                      <w:ind w:left="0" w:right="210" w:firstLine="0"/>
                      <w:jc w:val="left"/>
                      <w:rPr>
                        <w:rFonts w:ascii="Verdana"/>
                        <w:sz w:val="8"/>
                      </w:rPr>
                    </w:pPr>
                    <w:r>
                      <w:rPr>
                        <w:rFonts w:ascii="Verdana"/>
                        <w:w w:val="125"/>
                        <w:sz w:val="8"/>
                      </w:rPr>
                      <w:t>EXTRANJERO</w:t>
                    </w:r>
                    <w:r>
                      <w:rPr>
                        <w:rFonts w:ascii="Verdana"/>
                        <w:spacing w:val="21"/>
                        <w:w w:val="125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25"/>
                        <w:sz w:val="8"/>
                      </w:rPr>
                      <w:t>-</w:t>
                    </w:r>
                    <w:r>
                      <w:rPr>
                        <w:rFonts w:ascii="Verdana"/>
                        <w:spacing w:val="21"/>
                        <w:w w:val="125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25"/>
                        <w:sz w:val="8"/>
                      </w:rPr>
                      <w:t>HOMBRES</w:t>
                    </w:r>
                    <w:r>
                      <w:rPr>
                        <w:rFonts w:ascii="Verdana"/>
                        <w:spacing w:val="-32"/>
                        <w:w w:val="125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25"/>
                        <w:sz w:val="8"/>
                      </w:rPr>
                      <w:t>EXTRANJERO</w:t>
                    </w:r>
                    <w:r>
                      <w:rPr>
                        <w:rFonts w:ascii="Verdana"/>
                        <w:spacing w:val="1"/>
                        <w:w w:val="125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25"/>
                        <w:sz w:val="8"/>
                      </w:rPr>
                      <w:t>-</w:t>
                    </w:r>
                    <w:r>
                      <w:rPr>
                        <w:rFonts w:ascii="Verdana"/>
                        <w:spacing w:val="1"/>
                        <w:w w:val="125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25"/>
                        <w:sz w:val="8"/>
                      </w:rPr>
                      <w:t>MUJERES</w:t>
                    </w:r>
                    <w:r>
                      <w:rPr>
                        <w:rFonts w:ascii="Verdana"/>
                        <w:spacing w:val="1"/>
                        <w:w w:val="125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61"/>
                        <w:sz w:val="8"/>
                      </w:rPr>
                      <w:t>G</w:t>
                    </w:r>
                    <w:r>
                      <w:rPr>
                        <w:rFonts w:ascii="Verdana"/>
                        <w:w w:val="155"/>
                        <w:sz w:val="8"/>
                      </w:rPr>
                      <w:t>A</w:t>
                    </w:r>
                    <w:r>
                      <w:rPr>
                        <w:rFonts w:ascii="Verdana"/>
                        <w:w w:val="125"/>
                        <w:sz w:val="8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76"/>
                        <w:sz w:val="8"/>
                      </w:rPr>
                      <w:t>I</w:t>
                    </w:r>
                    <w:r>
                      <w:rPr>
                        <w:rFonts w:ascii="Verdana"/>
                        <w:w w:val="120"/>
                        <w:sz w:val="8"/>
                      </w:rPr>
                      <w:t>F</w:t>
                    </w:r>
                    <w:r>
                      <w:rPr>
                        <w:rFonts w:ascii="Verdana"/>
                        <w:w w:val="128"/>
                        <w:sz w:val="8"/>
                      </w:rPr>
                      <w:t>U</w:t>
                    </w:r>
                    <w:r>
                      <w:rPr>
                        <w:rFonts w:ascii="Verdana"/>
                        <w:w w:val="141"/>
                        <w:sz w:val="8"/>
                      </w:rPr>
                      <w:t>N</w:t>
                    </w:r>
                    <w:r>
                      <w:rPr>
                        <w:rFonts w:ascii="Verdana"/>
                        <w:w w:val="155"/>
                        <w:sz w:val="8"/>
                      </w:rPr>
                      <w:t>A</w:t>
                    </w:r>
                    <w:r>
                      <w:rPr>
                        <w:rFonts w:ascii="Verdana"/>
                        <w:spacing w:val="3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04"/>
                        <w:sz w:val="8"/>
                      </w:rPr>
                      <w:t>-</w:t>
                    </w:r>
                    <w:r>
                      <w:rPr>
                        <w:rFonts w:ascii="Verdana"/>
                        <w:spacing w:val="3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30"/>
                        <w:sz w:val="8"/>
                      </w:rPr>
                      <w:t>H</w:t>
                    </w:r>
                    <w:r>
                      <w:rPr>
                        <w:rFonts w:ascii="Verdana"/>
                        <w:spacing w:val="1"/>
                        <w:w w:val="158"/>
                        <w:sz w:val="8"/>
                      </w:rPr>
                      <w:t>O</w:t>
                    </w:r>
                    <w:r>
                      <w:rPr>
                        <w:rFonts w:ascii="Verdana"/>
                        <w:w w:val="156"/>
                        <w:sz w:val="8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120"/>
                        <w:sz w:val="8"/>
                      </w:rPr>
                      <w:t>B</w:t>
                    </w:r>
                    <w:r>
                      <w:rPr>
                        <w:rFonts w:ascii="Verdana"/>
                        <w:w w:val="125"/>
                        <w:sz w:val="8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21"/>
                        <w:sz w:val="8"/>
                      </w:rPr>
                      <w:t>E</w:t>
                    </w:r>
                    <w:r>
                      <w:rPr>
                        <w:rFonts w:ascii="Verdana"/>
                        <w:w w:val="104"/>
                        <w:sz w:val="8"/>
                      </w:rPr>
                      <w:t>S </w:t>
                    </w:r>
                    <w:r>
                      <w:rPr>
                        <w:rFonts w:ascii="Verdana"/>
                        <w:w w:val="161"/>
                        <w:sz w:val="8"/>
                      </w:rPr>
                      <w:t>G</w:t>
                    </w:r>
                    <w:r>
                      <w:rPr>
                        <w:rFonts w:ascii="Verdana"/>
                        <w:w w:val="155"/>
                        <w:sz w:val="8"/>
                      </w:rPr>
                      <w:t>A</w:t>
                    </w:r>
                    <w:r>
                      <w:rPr>
                        <w:rFonts w:ascii="Verdana"/>
                        <w:w w:val="125"/>
                        <w:sz w:val="8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76"/>
                        <w:sz w:val="8"/>
                      </w:rPr>
                      <w:t>I</w:t>
                    </w:r>
                    <w:r>
                      <w:rPr>
                        <w:rFonts w:ascii="Verdana"/>
                        <w:w w:val="120"/>
                        <w:sz w:val="8"/>
                      </w:rPr>
                      <w:t>F</w:t>
                    </w:r>
                    <w:r>
                      <w:rPr>
                        <w:rFonts w:ascii="Verdana"/>
                        <w:w w:val="128"/>
                        <w:sz w:val="8"/>
                      </w:rPr>
                      <w:t>U</w:t>
                    </w:r>
                    <w:r>
                      <w:rPr>
                        <w:rFonts w:ascii="Verdana"/>
                        <w:w w:val="141"/>
                        <w:sz w:val="8"/>
                      </w:rPr>
                      <w:t>N</w:t>
                    </w:r>
                    <w:r>
                      <w:rPr>
                        <w:rFonts w:ascii="Verdana"/>
                        <w:w w:val="155"/>
                        <w:sz w:val="8"/>
                      </w:rPr>
                      <w:t>A</w:t>
                    </w:r>
                    <w:r>
                      <w:rPr>
                        <w:rFonts w:ascii="Verdana"/>
                        <w:spacing w:val="3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04"/>
                        <w:sz w:val="8"/>
                      </w:rPr>
                      <w:t>-</w:t>
                    </w:r>
                    <w:r>
                      <w:rPr>
                        <w:rFonts w:ascii="Verdana"/>
                        <w:spacing w:val="3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56"/>
                        <w:sz w:val="8"/>
                      </w:rPr>
                      <w:t>M</w:t>
                    </w:r>
                    <w:r>
                      <w:rPr>
                        <w:rFonts w:ascii="Verdana"/>
                        <w:w w:val="128"/>
                        <w:sz w:val="8"/>
                      </w:rPr>
                      <w:t>U</w:t>
                    </w:r>
                    <w:r>
                      <w:rPr>
                        <w:rFonts w:ascii="Verdana"/>
                        <w:spacing w:val="-1"/>
                        <w:w w:val="151"/>
                        <w:sz w:val="8"/>
                      </w:rPr>
                      <w:t>J</w:t>
                    </w:r>
                    <w:r>
                      <w:rPr>
                        <w:rFonts w:ascii="Verdana"/>
                        <w:spacing w:val="1"/>
                        <w:w w:val="121"/>
                        <w:sz w:val="8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w w:val="125"/>
                        <w:sz w:val="8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21"/>
                        <w:sz w:val="8"/>
                      </w:rPr>
                      <w:t>E</w:t>
                    </w:r>
                    <w:r>
                      <w:rPr>
                        <w:rFonts w:ascii="Verdana"/>
                        <w:w w:val="104"/>
                        <w:sz w:val="8"/>
                      </w:rPr>
                      <w:t>S </w:t>
                    </w:r>
                    <w:r>
                      <w:rPr>
                        <w:rFonts w:ascii="Verdana"/>
                        <w:spacing w:val="1"/>
                        <w:w w:val="118"/>
                        <w:sz w:val="8"/>
                      </w:rPr>
                      <w:t>L</w:t>
                    </w:r>
                    <w:r>
                      <w:rPr>
                        <w:rFonts w:ascii="Verdana"/>
                        <w:w w:val="155"/>
                        <w:sz w:val="8"/>
                      </w:rPr>
                      <w:t>A</w:t>
                    </w:r>
                    <w:r>
                      <w:rPr>
                        <w:rFonts w:ascii="Verdana"/>
                        <w:w w:val="138"/>
                        <w:sz w:val="8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w w:val="76"/>
                        <w:sz w:val="8"/>
                      </w:rPr>
                      <w:t>I</w:t>
                    </w:r>
                    <w:r>
                      <w:rPr>
                        <w:rFonts w:ascii="Verdana"/>
                        <w:w w:val="141"/>
                        <w:sz w:val="8"/>
                      </w:rPr>
                      <w:t>N</w:t>
                    </w:r>
                    <w:r>
                      <w:rPr>
                        <w:rFonts w:ascii="Verdana"/>
                        <w:w w:val="158"/>
                        <w:sz w:val="8"/>
                      </w:rPr>
                      <w:t>O</w:t>
                    </w:r>
                    <w:r>
                      <w:rPr>
                        <w:rFonts w:ascii="Verdana"/>
                        <w:spacing w:val="4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04"/>
                        <w:sz w:val="8"/>
                      </w:rPr>
                      <w:t>-</w:t>
                    </w:r>
                    <w:r>
                      <w:rPr>
                        <w:rFonts w:ascii="Verdana"/>
                        <w:spacing w:val="4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30"/>
                        <w:sz w:val="8"/>
                      </w:rPr>
                      <w:t>H</w:t>
                    </w:r>
                    <w:r>
                      <w:rPr>
                        <w:rFonts w:ascii="Verdana"/>
                        <w:w w:val="158"/>
                        <w:sz w:val="8"/>
                      </w:rPr>
                      <w:t>O</w:t>
                    </w:r>
                    <w:r>
                      <w:rPr>
                        <w:rFonts w:ascii="Verdana"/>
                        <w:w w:val="156"/>
                        <w:sz w:val="8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120"/>
                        <w:sz w:val="8"/>
                      </w:rPr>
                      <w:t>B</w:t>
                    </w:r>
                    <w:r>
                      <w:rPr>
                        <w:rFonts w:ascii="Verdana"/>
                        <w:w w:val="125"/>
                        <w:sz w:val="8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21"/>
                        <w:sz w:val="8"/>
                      </w:rPr>
                      <w:t>E</w:t>
                    </w:r>
                    <w:r>
                      <w:rPr>
                        <w:rFonts w:ascii="Verdana"/>
                        <w:w w:val="104"/>
                        <w:sz w:val="8"/>
                      </w:rPr>
                      <w:t>S </w:t>
                    </w:r>
                    <w:r>
                      <w:rPr>
                        <w:rFonts w:ascii="Verdana"/>
                        <w:spacing w:val="1"/>
                        <w:w w:val="118"/>
                        <w:sz w:val="8"/>
                      </w:rPr>
                      <w:t>L</w:t>
                    </w:r>
                    <w:r>
                      <w:rPr>
                        <w:rFonts w:ascii="Verdana"/>
                        <w:w w:val="155"/>
                        <w:sz w:val="8"/>
                      </w:rPr>
                      <w:t>A</w:t>
                    </w:r>
                    <w:r>
                      <w:rPr>
                        <w:rFonts w:ascii="Verdana"/>
                        <w:w w:val="138"/>
                        <w:sz w:val="8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w w:val="76"/>
                        <w:sz w:val="8"/>
                      </w:rPr>
                      <w:t>I</w:t>
                    </w:r>
                    <w:r>
                      <w:rPr>
                        <w:rFonts w:ascii="Verdana"/>
                        <w:w w:val="141"/>
                        <w:sz w:val="8"/>
                      </w:rPr>
                      <w:t>N</w:t>
                    </w:r>
                    <w:r>
                      <w:rPr>
                        <w:rFonts w:ascii="Verdana"/>
                        <w:w w:val="158"/>
                        <w:sz w:val="8"/>
                      </w:rPr>
                      <w:t>O</w:t>
                    </w:r>
                    <w:r>
                      <w:rPr>
                        <w:rFonts w:ascii="Verdana"/>
                        <w:spacing w:val="4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04"/>
                        <w:sz w:val="8"/>
                      </w:rPr>
                      <w:t>-</w:t>
                    </w:r>
                    <w:r>
                      <w:rPr>
                        <w:rFonts w:ascii="Verdana"/>
                        <w:spacing w:val="4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56"/>
                        <w:sz w:val="8"/>
                      </w:rPr>
                      <w:t>M</w:t>
                    </w:r>
                    <w:r>
                      <w:rPr>
                        <w:rFonts w:ascii="Verdana"/>
                        <w:w w:val="128"/>
                        <w:sz w:val="8"/>
                      </w:rPr>
                      <w:t>U</w:t>
                    </w:r>
                    <w:r>
                      <w:rPr>
                        <w:rFonts w:ascii="Verdana"/>
                        <w:spacing w:val="-1"/>
                        <w:w w:val="151"/>
                        <w:sz w:val="8"/>
                      </w:rPr>
                      <w:t>J</w:t>
                    </w:r>
                    <w:r>
                      <w:rPr>
                        <w:rFonts w:ascii="Verdana"/>
                        <w:spacing w:val="1"/>
                        <w:w w:val="121"/>
                        <w:sz w:val="8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w w:val="125"/>
                        <w:sz w:val="8"/>
                      </w:rPr>
                      <w:t>R</w:t>
                    </w:r>
                    <w:r>
                      <w:rPr>
                        <w:rFonts w:ascii="Verdana"/>
                        <w:spacing w:val="1"/>
                        <w:w w:val="121"/>
                        <w:sz w:val="8"/>
                      </w:rPr>
                      <w:t>E</w:t>
                    </w:r>
                    <w:r>
                      <w:rPr>
                        <w:rFonts w:ascii="Verdana"/>
                        <w:w w:val="104"/>
                        <w:sz w:val="8"/>
                      </w:rPr>
                      <w:t>S </w:t>
                    </w:r>
                    <w:r>
                      <w:rPr>
                        <w:rFonts w:ascii="Verdana"/>
                        <w:w w:val="130"/>
                        <w:sz w:val="8"/>
                      </w:rPr>
                      <w:t>MAYA</w:t>
                    </w:r>
                    <w:r>
                      <w:rPr>
                        <w:rFonts w:ascii="Verdana"/>
                        <w:spacing w:val="-3"/>
                        <w:w w:val="130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25"/>
                        <w:sz w:val="8"/>
                      </w:rPr>
                      <w:t>-</w:t>
                    </w:r>
                    <w:r>
                      <w:rPr>
                        <w:rFonts w:ascii="Verdana"/>
                        <w:spacing w:val="-2"/>
                        <w:w w:val="125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25"/>
                        <w:sz w:val="8"/>
                      </w:rPr>
                      <w:t>HOMBRES</w:t>
                    </w:r>
                  </w:p>
                  <w:p>
                    <w:pPr>
                      <w:spacing w:line="475" w:lineRule="auto" w:before="0"/>
                      <w:ind w:left="0" w:right="550" w:firstLine="0"/>
                      <w:jc w:val="left"/>
                      <w:rPr>
                        <w:rFonts w:ascii="Verdana"/>
                        <w:sz w:val="8"/>
                      </w:rPr>
                    </w:pPr>
                    <w:r>
                      <w:rPr>
                        <w:rFonts w:ascii="Verdana"/>
                        <w:w w:val="125"/>
                        <w:sz w:val="8"/>
                      </w:rPr>
                      <w:t>MAYA</w:t>
                    </w:r>
                    <w:r>
                      <w:rPr>
                        <w:rFonts w:ascii="Verdana"/>
                        <w:spacing w:val="7"/>
                        <w:w w:val="125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25"/>
                        <w:sz w:val="8"/>
                      </w:rPr>
                      <w:t>-</w:t>
                    </w:r>
                    <w:r>
                      <w:rPr>
                        <w:rFonts w:ascii="Verdana"/>
                        <w:spacing w:val="8"/>
                        <w:w w:val="125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25"/>
                        <w:sz w:val="8"/>
                      </w:rPr>
                      <w:t>MUJERES</w:t>
                    </w:r>
                    <w:r>
                      <w:rPr>
                        <w:rFonts w:ascii="Verdana"/>
                        <w:spacing w:val="1"/>
                        <w:w w:val="125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27"/>
                        <w:sz w:val="8"/>
                      </w:rPr>
                      <w:t>X</w:t>
                    </w:r>
                    <w:r>
                      <w:rPr>
                        <w:rFonts w:ascii="Verdana"/>
                        <w:w w:val="76"/>
                        <w:sz w:val="8"/>
                      </w:rPr>
                      <w:t>I</w:t>
                    </w:r>
                    <w:r>
                      <w:rPr>
                        <w:rFonts w:ascii="Verdana"/>
                        <w:w w:val="141"/>
                        <w:sz w:val="8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w w:val="160"/>
                        <w:sz w:val="8"/>
                      </w:rPr>
                      <w:t>C</w:t>
                    </w:r>
                    <w:r>
                      <w:rPr>
                        <w:rFonts w:ascii="Verdana"/>
                        <w:w w:val="160"/>
                        <w:sz w:val="8"/>
                      </w:rPr>
                      <w:t>A</w:t>
                    </w:r>
                    <w:r>
                      <w:rPr>
                        <w:rFonts w:ascii="Verdana"/>
                        <w:spacing w:val="5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04"/>
                        <w:sz w:val="8"/>
                      </w:rPr>
                      <w:t>-</w:t>
                    </w:r>
                    <w:r>
                      <w:rPr>
                        <w:rFonts w:ascii="Verdana"/>
                        <w:spacing w:val="3"/>
                        <w:sz w:val="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30"/>
                        <w:sz w:val="8"/>
                      </w:rPr>
                      <w:t>H</w:t>
                    </w:r>
                    <w:r>
                      <w:rPr>
                        <w:rFonts w:ascii="Verdana"/>
                        <w:w w:val="158"/>
                        <w:sz w:val="8"/>
                      </w:rPr>
                      <w:t>O</w:t>
                    </w:r>
                    <w:r>
                      <w:rPr>
                        <w:rFonts w:ascii="Verdana"/>
                        <w:w w:val="156"/>
                        <w:sz w:val="8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120"/>
                        <w:sz w:val="8"/>
                      </w:rPr>
                      <w:t>B</w:t>
                    </w:r>
                    <w:r>
                      <w:rPr>
                        <w:rFonts w:ascii="Verdana"/>
                        <w:w w:val="125"/>
                        <w:sz w:val="8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21"/>
                        <w:sz w:val="8"/>
                      </w:rPr>
                      <w:t>E</w:t>
                    </w:r>
                    <w:r>
                      <w:rPr>
                        <w:rFonts w:ascii="Verdana"/>
                        <w:w w:val="104"/>
                        <w:sz w:val="8"/>
                      </w:rPr>
                      <w:t>S </w:t>
                    </w:r>
                    <w:r>
                      <w:rPr>
                        <w:rFonts w:ascii="Verdana"/>
                        <w:w w:val="127"/>
                        <w:sz w:val="8"/>
                      </w:rPr>
                      <w:t>X</w:t>
                    </w:r>
                    <w:r>
                      <w:rPr>
                        <w:rFonts w:ascii="Verdana"/>
                        <w:w w:val="76"/>
                        <w:sz w:val="8"/>
                      </w:rPr>
                      <w:t>I</w:t>
                    </w:r>
                    <w:r>
                      <w:rPr>
                        <w:rFonts w:ascii="Verdana"/>
                        <w:w w:val="141"/>
                        <w:sz w:val="8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w w:val="160"/>
                        <w:sz w:val="8"/>
                      </w:rPr>
                      <w:t>C</w:t>
                    </w:r>
                    <w:r>
                      <w:rPr>
                        <w:rFonts w:ascii="Verdana"/>
                        <w:w w:val="160"/>
                        <w:sz w:val="8"/>
                      </w:rPr>
                      <w:t>A</w:t>
                    </w:r>
                    <w:r>
                      <w:rPr>
                        <w:rFonts w:ascii="Verdana"/>
                        <w:spacing w:val="5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04"/>
                        <w:sz w:val="8"/>
                      </w:rPr>
                      <w:t>-</w:t>
                    </w:r>
                    <w:r>
                      <w:rPr>
                        <w:rFonts w:ascii="Verdana"/>
                        <w:spacing w:val="3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56"/>
                        <w:sz w:val="8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128"/>
                        <w:sz w:val="8"/>
                      </w:rPr>
                      <w:t>U</w:t>
                    </w:r>
                    <w:r>
                      <w:rPr>
                        <w:rFonts w:ascii="Verdana"/>
                        <w:spacing w:val="1"/>
                        <w:w w:val="151"/>
                        <w:sz w:val="8"/>
                      </w:rPr>
                      <w:t>J</w:t>
                    </w:r>
                    <w:r>
                      <w:rPr>
                        <w:rFonts w:ascii="Verdana"/>
                        <w:spacing w:val="-1"/>
                        <w:w w:val="121"/>
                        <w:sz w:val="8"/>
                      </w:rPr>
                      <w:t>E</w:t>
                    </w:r>
                    <w:r>
                      <w:rPr>
                        <w:rFonts w:ascii="Verdana"/>
                        <w:w w:val="125"/>
                        <w:sz w:val="8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21"/>
                        <w:sz w:val="8"/>
                      </w:rPr>
                      <w:t>E</w:t>
                    </w:r>
                    <w:r>
                      <w:rPr>
                        <w:rFonts w:ascii="Verdana"/>
                        <w:w w:val="104"/>
                        <w:sz w:val="8"/>
                      </w:rPr>
                      <w:t>S</w:t>
                    </w:r>
                  </w:p>
                  <w:p>
                    <w:pPr>
                      <w:spacing w:line="96" w:lineRule="exact" w:before="0"/>
                      <w:ind w:left="0" w:right="0" w:firstLine="0"/>
                      <w:jc w:val="left"/>
                      <w:rPr>
                        <w:rFonts w:ascii="Verdana" w:hAnsi="Verdana"/>
                        <w:sz w:val="8"/>
                      </w:rPr>
                    </w:pPr>
                    <w:r>
                      <w:rPr>
                        <w:rFonts w:ascii="Verdana" w:hAnsi="Verdana"/>
                        <w:w w:val="125"/>
                        <w:sz w:val="8"/>
                      </w:rPr>
                      <w:t>Sin</w:t>
                    </w:r>
                    <w:r>
                      <w:rPr>
                        <w:rFonts w:ascii="Verdana" w:hAnsi="Verdana"/>
                        <w:spacing w:val="24"/>
                        <w:w w:val="125"/>
                        <w:sz w:val="8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8"/>
                      </w:rPr>
                      <w:t>Clasificación</w:t>
                    </w:r>
                    <w:r>
                      <w:rPr>
                        <w:rFonts w:ascii="Verdana" w:hAnsi="Verdana"/>
                        <w:spacing w:val="25"/>
                        <w:w w:val="125"/>
                        <w:sz w:val="8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8"/>
                      </w:rPr>
                      <w:t>-</w:t>
                    </w:r>
                    <w:r>
                      <w:rPr>
                        <w:rFonts w:ascii="Verdana" w:hAnsi="Verdana"/>
                        <w:spacing w:val="26"/>
                        <w:w w:val="125"/>
                        <w:sz w:val="8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8"/>
                      </w:rPr>
                      <w:t>HOMBRES</w:t>
                    </w:r>
                  </w:p>
                  <w:p>
                    <w:pPr>
                      <w:spacing w:line="240" w:lineRule="auto" w:before="9"/>
                      <w:rPr>
                        <w:rFonts w:ascii="Verdana"/>
                        <w:sz w:val="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 w:hAnsi="Verdana"/>
                        <w:sz w:val="8"/>
                      </w:rPr>
                    </w:pPr>
                    <w:r>
                      <w:rPr>
                        <w:rFonts w:ascii="Verdana" w:hAnsi="Verdana"/>
                        <w:w w:val="125"/>
                        <w:sz w:val="8"/>
                      </w:rPr>
                      <w:t>Sin</w:t>
                    </w:r>
                    <w:r>
                      <w:rPr>
                        <w:rFonts w:ascii="Verdana" w:hAnsi="Verdana"/>
                        <w:spacing w:val="21"/>
                        <w:w w:val="125"/>
                        <w:sz w:val="8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8"/>
                      </w:rPr>
                      <w:t>Clasificación</w:t>
                    </w:r>
                    <w:r>
                      <w:rPr>
                        <w:rFonts w:ascii="Verdana" w:hAnsi="Verdana"/>
                        <w:spacing w:val="23"/>
                        <w:w w:val="125"/>
                        <w:sz w:val="8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8"/>
                      </w:rPr>
                      <w:t>-</w:t>
                    </w:r>
                    <w:r>
                      <w:rPr>
                        <w:rFonts w:ascii="Verdana" w:hAnsi="Verdana"/>
                        <w:spacing w:val="22"/>
                        <w:w w:val="125"/>
                        <w:sz w:val="8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8"/>
                      </w:rPr>
                      <w:t>MUJERES</w:t>
                    </w:r>
                  </w:p>
                </w:txbxContent>
              </v:textbox>
              <w10:wrap type="none"/>
            </v:shape>
            <v:shape style="position:absolute;left:253;top:3113;width:93;height:109" type="#_x0000_t202" filled="false" stroked="false">
              <v:textbox inset="0,0,0,0">
                <w:txbxContent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0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001;top:3246;width:313;height:109" type="#_x0000_t202" filled="false" stroked="false">
              <v:textbox inset="0,0,0,0">
                <w:txbxContent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0"/>
                        <w:sz w:val="11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2377;top:3246;width:311;height:109" type="#_x0000_t202" filled="false" stroked="false">
              <v:textbox inset="0,0,0,0">
                <w:txbxContent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0"/>
                        <w:sz w:val="11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3752;top:3246;width:313;height:109" type="#_x0000_t202" filled="false" stroked="false">
              <v:textbox inset="0,0,0,0">
                <w:txbxContent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0"/>
                        <w:sz w:val="11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5128;top:3246;width:312;height:109" type="#_x0000_t202" filled="false" stroked="false">
              <v:textbox inset="0,0,0,0">
                <w:txbxContent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0"/>
                        <w:sz w:val="11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6503;top:3246;width:313;height:109" type="#_x0000_t202" filled="false" stroked="false">
              <v:textbox inset="0,0,0,0">
                <w:txbxContent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0"/>
                        <w:sz w:val="11"/>
                      </w:rPr>
                      <w:t>2021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0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3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4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3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Educación</w:t>
      </w:r>
      <w:r>
        <w:rPr>
          <w:spacing w:val="-4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2021.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ind w:left="278" w:right="1072"/>
        <w:jc w:val="both"/>
      </w:pPr>
      <w:r>
        <w:rPr/>
        <w:t>En el gráfico anterior se observa el total de la población estudiantil por niveles educativos, etnia y sexo</w:t>
      </w:r>
      <w:r>
        <w:rPr>
          <w:spacing w:val="1"/>
        </w:rPr>
        <w:t> </w:t>
      </w:r>
      <w:r>
        <w:rPr/>
        <w:t>durante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período</w:t>
      </w:r>
      <w:r>
        <w:rPr>
          <w:spacing w:val="-3"/>
        </w:rPr>
        <w:t> </w:t>
      </w:r>
      <w:r>
        <w:rPr/>
        <w:t>2017-2021,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Departamento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Baja</w:t>
      </w:r>
      <w:r>
        <w:rPr>
          <w:spacing w:val="-4"/>
        </w:rPr>
        <w:t> </w:t>
      </w:r>
      <w:r>
        <w:rPr/>
        <w:t>Verapaz,</w:t>
      </w:r>
      <w:r>
        <w:rPr>
          <w:spacing w:val="-4"/>
        </w:rPr>
        <w:t> </w:t>
      </w:r>
      <w:r>
        <w:rPr/>
        <w:t>Según</w:t>
      </w:r>
      <w:r>
        <w:rPr>
          <w:spacing w:val="-6"/>
        </w:rPr>
        <w:t> </w:t>
      </w:r>
      <w:r>
        <w:rPr/>
        <w:t>DIPLAN,</w:t>
      </w:r>
      <w:r>
        <w:rPr>
          <w:spacing w:val="-4"/>
        </w:rPr>
        <w:t> </w:t>
      </w:r>
      <w:r>
        <w:rPr/>
        <w:t>(2021),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7"/>
        </w:rPr>
        <w:t> </w:t>
      </w:r>
      <w:r>
        <w:rPr/>
        <w:t>cifras</w:t>
      </w:r>
      <w:r>
        <w:rPr>
          <w:spacing w:val="-47"/>
        </w:rPr>
        <w:t> </w:t>
      </w:r>
      <w:r>
        <w:rPr/>
        <w:t>anteriores, la</w:t>
      </w:r>
      <w:r>
        <w:rPr>
          <w:spacing w:val="-3"/>
        </w:rPr>
        <w:t> </w:t>
      </w:r>
      <w:r>
        <w:rPr/>
        <w:t>proporción</w:t>
      </w:r>
      <w:r>
        <w:rPr>
          <w:spacing w:val="-4"/>
        </w:rPr>
        <w:t> </w:t>
      </w:r>
      <w:r>
        <w:rPr/>
        <w:t>de atención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 población</w:t>
      </w:r>
      <w:r>
        <w:rPr>
          <w:spacing w:val="-3"/>
        </w:rPr>
        <w:t> </w:t>
      </w:r>
      <w:r>
        <w:rPr/>
        <w:t>estudiantil</w:t>
      </w:r>
      <w:r>
        <w:rPr>
          <w:spacing w:val="-1"/>
        </w:rPr>
        <w:t> </w:t>
      </w:r>
      <w:r>
        <w:rPr/>
        <w:t>fue</w:t>
      </w:r>
      <w:r>
        <w:rPr>
          <w:spacing w:val="1"/>
        </w:rPr>
        <w:t> </w:t>
      </w:r>
      <w:r>
        <w:rPr/>
        <w:t>como</w:t>
      </w:r>
      <w:r>
        <w:rPr>
          <w:spacing w:val="-2"/>
        </w:rPr>
        <w:t> </w:t>
      </w:r>
      <w:r>
        <w:rPr/>
        <w:t>sigue: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5"/>
        </w:numPr>
        <w:tabs>
          <w:tab w:pos="999" w:val="left" w:leader="none"/>
        </w:tabs>
        <w:spacing w:line="272" w:lineRule="exact" w:before="0" w:after="0"/>
        <w:ind w:left="998" w:right="0" w:hanging="361"/>
        <w:jc w:val="left"/>
        <w:rPr>
          <w:sz w:val="22"/>
        </w:rPr>
      </w:pPr>
      <w:r>
        <w:rPr>
          <w:sz w:val="22"/>
        </w:rPr>
        <w:t>Ladinos:</w:t>
      </w:r>
      <w:r>
        <w:rPr>
          <w:spacing w:val="-4"/>
          <w:sz w:val="22"/>
        </w:rPr>
        <w:t> </w:t>
      </w:r>
      <w:r>
        <w:rPr>
          <w:sz w:val="22"/>
        </w:rPr>
        <w:t>24.2% de hombres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23% de</w:t>
      </w:r>
      <w:r>
        <w:rPr>
          <w:spacing w:val="-4"/>
          <w:sz w:val="22"/>
        </w:rPr>
        <w:t> </w:t>
      </w:r>
      <w:r>
        <w:rPr>
          <w:sz w:val="22"/>
        </w:rPr>
        <w:t>mujeres.</w:t>
      </w:r>
    </w:p>
    <w:p>
      <w:pPr>
        <w:pStyle w:val="ListParagraph"/>
        <w:numPr>
          <w:ilvl w:val="0"/>
          <w:numId w:val="35"/>
        </w:numPr>
        <w:tabs>
          <w:tab w:pos="999" w:val="left" w:leader="none"/>
        </w:tabs>
        <w:spacing w:line="272" w:lineRule="exact" w:before="0" w:after="0"/>
        <w:ind w:left="998" w:right="0" w:hanging="361"/>
        <w:jc w:val="left"/>
        <w:rPr>
          <w:sz w:val="22"/>
        </w:rPr>
      </w:pPr>
      <w:r>
        <w:rPr>
          <w:sz w:val="22"/>
        </w:rPr>
        <w:t>Mayas:</w:t>
      </w:r>
      <w:r>
        <w:rPr>
          <w:spacing w:val="-5"/>
          <w:sz w:val="22"/>
        </w:rPr>
        <w:t> </w:t>
      </w:r>
      <w:r>
        <w:rPr>
          <w:sz w:val="22"/>
        </w:rPr>
        <w:t>27.9%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hombres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24.8%</w:t>
      </w:r>
      <w:r>
        <w:rPr>
          <w:spacing w:val="-4"/>
          <w:sz w:val="22"/>
        </w:rPr>
        <w:t> </w:t>
      </w:r>
      <w:r>
        <w:rPr>
          <w:sz w:val="22"/>
        </w:rPr>
        <w:t>mujeres.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1"/>
        <w:ind w:left="278" w:right="1072"/>
        <w:jc w:val="both"/>
      </w:pPr>
      <w:r>
        <w:rPr/>
        <w:t>Contrastando estos resultados con la información del INE, (2018), es posible evidenciar que si bien es</w:t>
      </w:r>
      <w:r>
        <w:rPr>
          <w:spacing w:val="1"/>
        </w:rPr>
        <w:t> </w:t>
      </w:r>
      <w:r>
        <w:rPr/>
        <w:t>cierto, si hay representatividad de las etnias mayoritarias por Departamento (60% Maya y 39% Ladina),</w:t>
      </w:r>
      <w:r>
        <w:rPr>
          <w:spacing w:val="1"/>
        </w:rPr>
        <w:t> </w:t>
      </w:r>
      <w:r>
        <w:rPr/>
        <w:t>ésta</w:t>
      </w:r>
      <w:r>
        <w:rPr>
          <w:spacing w:val="-6"/>
        </w:rPr>
        <w:t> </w:t>
      </w:r>
      <w:r>
        <w:rPr/>
        <w:t>no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presenta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8"/>
        </w:rPr>
        <w:t> </w:t>
      </w:r>
      <w:r>
        <w:rPr/>
        <w:t>misma</w:t>
      </w:r>
      <w:r>
        <w:rPr>
          <w:spacing w:val="-6"/>
        </w:rPr>
        <w:t> </w:t>
      </w:r>
      <w:r>
        <w:rPr/>
        <w:t>proporción.</w:t>
      </w:r>
      <w:r>
        <w:rPr>
          <w:spacing w:val="-4"/>
        </w:rPr>
        <w:t> </w:t>
      </w:r>
      <w:r>
        <w:rPr/>
        <w:t>Es</w:t>
      </w:r>
      <w:r>
        <w:rPr>
          <w:spacing w:val="-5"/>
        </w:rPr>
        <w:t> </w:t>
      </w:r>
      <w:r>
        <w:rPr/>
        <w:t>decir,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cantidad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estudiantes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etnia</w:t>
      </w:r>
      <w:r>
        <w:rPr>
          <w:spacing w:val="-6"/>
        </w:rPr>
        <w:t> </w:t>
      </w:r>
      <w:r>
        <w:rPr/>
        <w:t>Maya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poseen</w:t>
      </w:r>
      <w:r>
        <w:rPr>
          <w:spacing w:val="-47"/>
        </w:rPr>
        <w:t> </w:t>
      </w:r>
      <w:r>
        <w:rPr/>
        <w:t>una</w:t>
      </w:r>
      <w:r>
        <w:rPr>
          <w:spacing w:val="-1"/>
        </w:rPr>
        <w:t> </w:t>
      </w:r>
      <w:r>
        <w:rPr/>
        <w:t>representatividad</w:t>
      </w:r>
      <w:r>
        <w:rPr>
          <w:spacing w:val="-3"/>
        </w:rPr>
        <w:t> </w:t>
      </w:r>
      <w:r>
        <w:rPr/>
        <w:t>en el sistema</w:t>
      </w:r>
      <w:r>
        <w:rPr>
          <w:spacing w:val="-2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del departamento.</w:t>
      </w:r>
    </w:p>
    <w:p>
      <w:pPr>
        <w:pStyle w:val="BodyText"/>
        <w:spacing w:before="1"/>
      </w:pPr>
    </w:p>
    <w:p>
      <w:pPr>
        <w:pStyle w:val="BodyText"/>
        <w:ind w:left="278" w:right="1074"/>
        <w:jc w:val="both"/>
      </w:pPr>
      <w:r>
        <w:rPr/>
        <w:t>A nivel de sexo se sigue presentando una brecha de atención en dónde la participación del hombre Maya</w:t>
      </w:r>
      <w:r>
        <w:rPr>
          <w:spacing w:val="-47"/>
        </w:rPr>
        <w:t> </w:t>
      </w:r>
      <w:r>
        <w:rPr/>
        <w:t>y</w:t>
      </w:r>
      <w:r>
        <w:rPr>
          <w:spacing w:val="1"/>
        </w:rPr>
        <w:t> </w:t>
      </w:r>
      <w:r>
        <w:rPr/>
        <w:t>Ladino,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mujer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ambas</w:t>
      </w:r>
      <w:r>
        <w:rPr>
          <w:spacing w:val="1"/>
        </w:rPr>
        <w:t> </w:t>
      </w:r>
      <w:r>
        <w:rPr/>
        <w:t>etnias;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departamento el 51% es mujer y el 48% es hombre. Es decir, durante el período evaluado la cobertura</w:t>
      </w:r>
      <w:r>
        <w:rPr>
          <w:spacing w:val="1"/>
        </w:rPr>
        <w:t> </w:t>
      </w:r>
      <w:r>
        <w:rPr/>
        <w:t>educativa</w:t>
      </w:r>
      <w:r>
        <w:rPr>
          <w:spacing w:val="-4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mujer</w:t>
      </w:r>
      <w:r>
        <w:rPr>
          <w:spacing w:val="-4"/>
        </w:rPr>
        <w:t> </w:t>
      </w:r>
      <w:r>
        <w:rPr/>
        <w:t>Maya y</w:t>
      </w:r>
      <w:r>
        <w:rPr>
          <w:spacing w:val="-2"/>
        </w:rPr>
        <w:t> </w:t>
      </w:r>
      <w:r>
        <w:rPr/>
        <w:t>Ladina,</w:t>
      </w:r>
      <w:r>
        <w:rPr>
          <w:spacing w:val="-1"/>
        </w:rPr>
        <w:t> </w:t>
      </w:r>
      <w:r>
        <w:rPr/>
        <w:t>presenta</w:t>
      </w:r>
      <w:r>
        <w:rPr>
          <w:spacing w:val="-3"/>
        </w:rPr>
        <w:t> </w:t>
      </w:r>
      <w:r>
        <w:rPr/>
        <w:t>una brecha</w:t>
      </w:r>
      <w:r>
        <w:rPr>
          <w:spacing w:val="-1"/>
        </w:rPr>
        <w:t> </w:t>
      </w:r>
      <w:r>
        <w:rPr/>
        <w:t>de género</w:t>
      </w:r>
      <w:r>
        <w:rPr>
          <w:spacing w:val="1"/>
        </w:rPr>
        <w:t> </w:t>
      </w:r>
      <w:r>
        <w:rPr/>
        <w:t>significativa.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pict>
          <v:rect style="position:absolute;margin-left:563.880005pt;margin-top:8.465625pt;width:25.44pt;height:1.4399pt;mso-position-horizontal-relative:page;mso-position-vertical-relative:paragraph;z-index:-1546342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132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7945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7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1"/>
          <w:numId w:val="32"/>
        </w:numPr>
        <w:tabs>
          <w:tab w:pos="854" w:val="left" w:leader="none"/>
          <w:tab w:pos="855" w:val="left" w:leader="none"/>
        </w:tabs>
        <w:spacing w:line="240" w:lineRule="auto" w:before="52" w:after="0"/>
        <w:ind w:left="854" w:right="0" w:hanging="577"/>
        <w:jc w:val="left"/>
      </w:pPr>
      <w:bookmarkStart w:name="_bookmark149" w:id="231"/>
      <w:bookmarkEnd w:id="231"/>
      <w:r>
        <w:rPr>
          <w:b w:val="0"/>
        </w:rPr>
      </w:r>
      <w:bookmarkStart w:name="_bookmark149" w:id="232"/>
      <w:bookmarkEnd w:id="232"/>
      <w:r>
        <w:rPr>
          <w:color w:val="1F4E79"/>
        </w:rPr>
        <w:t>C</w:t>
      </w:r>
      <w:r>
        <w:rPr>
          <w:color w:val="1F4E79"/>
        </w:rPr>
        <w:t>himaltenango</w:t>
      </w:r>
    </w:p>
    <w:p>
      <w:pPr>
        <w:pStyle w:val="BodyText"/>
        <w:rPr>
          <w:b/>
          <w:sz w:val="24"/>
        </w:rPr>
      </w:pPr>
    </w:p>
    <w:p>
      <w:pPr>
        <w:pStyle w:val="Heading3"/>
        <w:numPr>
          <w:ilvl w:val="2"/>
          <w:numId w:val="32"/>
        </w:numPr>
        <w:tabs>
          <w:tab w:pos="998" w:val="left" w:leader="none"/>
          <w:tab w:pos="999" w:val="left" w:leader="none"/>
        </w:tabs>
        <w:spacing w:line="240" w:lineRule="auto" w:before="187" w:after="0"/>
        <w:ind w:left="998" w:right="0" w:hanging="721"/>
        <w:jc w:val="left"/>
      </w:pPr>
      <w:bookmarkStart w:name="_bookmark150" w:id="233"/>
      <w:bookmarkEnd w:id="233"/>
      <w:r>
        <w:rPr>
          <w:b w:val="0"/>
        </w:rPr>
      </w:r>
      <w:bookmarkStart w:name="_bookmark150" w:id="234"/>
      <w:bookmarkEnd w:id="234"/>
      <w:r>
        <w:rPr/>
        <w:t>Inf</w:t>
      </w:r>
      <w:r>
        <w:rPr/>
        <w:t>ormación</w:t>
      </w:r>
      <w:r>
        <w:rPr>
          <w:spacing w:val="-8"/>
        </w:rPr>
        <w:t> </w:t>
      </w:r>
      <w:r>
        <w:rPr/>
        <w:t>General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3"/>
        <w:jc w:val="both"/>
      </w:pPr>
      <w:r>
        <w:rPr/>
        <w:t>El departamento de Chimaltenango, tiene una población, según datos del Censo de Población realizado</w:t>
      </w:r>
      <w:r>
        <w:rPr>
          <w:spacing w:val="1"/>
        </w:rPr>
        <w:t> </w:t>
      </w:r>
      <w:r>
        <w:rPr/>
        <w:t>por el Instituto Nacional de estadística -INE- para el 2018, de 615,776 habitantes, de los cuales 297,154</w:t>
      </w:r>
      <w:r>
        <w:rPr>
          <w:spacing w:val="1"/>
        </w:rPr>
        <w:t> </w:t>
      </w:r>
      <w:r>
        <w:rPr>
          <w:spacing w:val="-1"/>
        </w:rPr>
        <w:t>son</w:t>
      </w:r>
      <w:r>
        <w:rPr>
          <w:spacing w:val="-13"/>
        </w:rPr>
        <w:t> </w:t>
      </w:r>
      <w:r>
        <w:rPr>
          <w:spacing w:val="-1"/>
        </w:rPr>
        <w:t>hombres</w:t>
      </w:r>
      <w:r>
        <w:rPr>
          <w:spacing w:val="-14"/>
        </w:rPr>
        <w:t> </w:t>
      </w:r>
      <w:r>
        <w:rPr>
          <w:spacing w:val="-1"/>
        </w:rPr>
        <w:t>(48%)</w:t>
      </w:r>
      <w:r>
        <w:rPr>
          <w:spacing w:val="-12"/>
        </w:rPr>
        <w:t> </w:t>
      </w:r>
      <w:r>
        <w:rPr>
          <w:spacing w:val="-1"/>
        </w:rPr>
        <w:t>y</w:t>
      </w:r>
      <w:r>
        <w:rPr>
          <w:spacing w:val="-13"/>
        </w:rPr>
        <w:t> </w:t>
      </w:r>
      <w:r>
        <w:rPr>
          <w:spacing w:val="-1"/>
        </w:rPr>
        <w:t>318,622</w:t>
      </w:r>
      <w:r>
        <w:rPr>
          <w:spacing w:val="-10"/>
        </w:rPr>
        <w:t> </w:t>
      </w:r>
      <w:r>
        <w:rPr/>
        <w:t>(52%)</w:t>
      </w:r>
      <w:r>
        <w:rPr>
          <w:spacing w:val="-11"/>
        </w:rPr>
        <w:t> </w:t>
      </w:r>
      <w:r>
        <w:rPr/>
        <w:t>son</w:t>
      </w:r>
      <w:r>
        <w:rPr>
          <w:spacing w:val="-15"/>
        </w:rPr>
        <w:t> </w:t>
      </w:r>
      <w:r>
        <w:rPr/>
        <w:t>mujeres.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este</w:t>
      </w:r>
      <w:r>
        <w:rPr>
          <w:spacing w:val="-11"/>
        </w:rPr>
        <w:t> </w:t>
      </w:r>
      <w:r>
        <w:rPr/>
        <w:t>total,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50.8%</w:t>
      </w:r>
      <w:r>
        <w:rPr>
          <w:spacing w:val="-11"/>
        </w:rPr>
        <w:t> </w:t>
      </w:r>
      <w:r>
        <w:rPr/>
        <w:t>reside</w:t>
      </w:r>
      <w:r>
        <w:rPr>
          <w:spacing w:val="-11"/>
        </w:rPr>
        <w:t> </w:t>
      </w:r>
      <w:r>
        <w:rPr/>
        <w:t>en</w:t>
      </w:r>
      <w:r>
        <w:rPr>
          <w:spacing w:val="-14"/>
        </w:rPr>
        <w:t> </w:t>
      </w:r>
      <w:r>
        <w:rPr/>
        <w:t>área</w:t>
      </w:r>
      <w:r>
        <w:rPr>
          <w:spacing w:val="-12"/>
        </w:rPr>
        <w:t> </w:t>
      </w:r>
      <w:r>
        <w:rPr/>
        <w:t>urbana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restante</w:t>
      </w:r>
      <w:r>
        <w:rPr>
          <w:spacing w:val="-47"/>
        </w:rPr>
        <w:t> </w:t>
      </w:r>
      <w:r>
        <w:rPr/>
        <w:t>49.2% en el área rural, de los cuales el 78% es de etnia Maya y Ladino el 21%. El 54% reside en el área</w:t>
      </w:r>
      <w:r>
        <w:rPr>
          <w:spacing w:val="1"/>
        </w:rPr>
        <w:t> </w:t>
      </w:r>
      <w:r>
        <w:rPr/>
        <w:t>urbana, mientras que el restante 46% se ubica en el área rural. El idioma maya predominante en este</w:t>
      </w:r>
      <w:r>
        <w:rPr>
          <w:spacing w:val="1"/>
        </w:rPr>
        <w:t> </w:t>
      </w:r>
      <w:r>
        <w:rPr/>
        <w:t>departamento es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Kaqchikel,</w:t>
      </w:r>
      <w:r>
        <w:rPr>
          <w:spacing w:val="-1"/>
        </w:rPr>
        <w:t> </w:t>
      </w:r>
      <w:r>
        <w:rPr/>
        <w:t>pero, además, gran</w:t>
      </w:r>
      <w:r>
        <w:rPr>
          <w:spacing w:val="-2"/>
        </w:rPr>
        <w:t> </w:t>
      </w:r>
      <w:r>
        <w:rPr/>
        <w:t>parte de</w:t>
      </w:r>
      <w:r>
        <w:rPr>
          <w:spacing w:val="-2"/>
        </w:rPr>
        <w:t> </w:t>
      </w:r>
      <w:r>
        <w:rPr/>
        <w:t>sus</w:t>
      </w:r>
      <w:r>
        <w:rPr>
          <w:spacing w:val="-1"/>
        </w:rPr>
        <w:t> </w:t>
      </w:r>
      <w:r>
        <w:rPr/>
        <w:t>pobladores</w:t>
      </w:r>
      <w:r>
        <w:rPr>
          <w:spacing w:val="-2"/>
        </w:rPr>
        <w:t> </w:t>
      </w:r>
      <w:r>
        <w:rPr/>
        <w:t>hablan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español.</w:t>
      </w:r>
    </w:p>
    <w:p>
      <w:pPr>
        <w:pStyle w:val="BodyText"/>
        <w:spacing w:before="10"/>
        <w:rPr>
          <w:sz w:val="19"/>
        </w:rPr>
      </w:pPr>
    </w:p>
    <w:p>
      <w:pPr>
        <w:pStyle w:val="Heading3"/>
        <w:numPr>
          <w:ilvl w:val="2"/>
          <w:numId w:val="32"/>
        </w:numPr>
        <w:tabs>
          <w:tab w:pos="998" w:val="left" w:leader="none"/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151" w:id="235"/>
      <w:bookmarkEnd w:id="235"/>
      <w:r>
        <w:rPr>
          <w:b w:val="0"/>
        </w:rPr>
      </w:r>
      <w:bookmarkStart w:name="_bookmark151" w:id="236"/>
      <w:bookmarkEnd w:id="236"/>
      <w:r>
        <w:rPr/>
        <w:t>Situ</w:t>
      </w:r>
      <w:r>
        <w:rPr/>
        <w:t>ación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Sistema</w:t>
      </w:r>
      <w:r>
        <w:rPr>
          <w:spacing w:val="-4"/>
        </w:rPr>
        <w:t> </w:t>
      </w:r>
      <w:r>
        <w:rPr/>
        <w:t>Nacional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Educación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2"/>
        <w:jc w:val="both"/>
      </w:pPr>
      <w:r>
        <w:rPr/>
        <w:t>En términos geográficos, la cercanía que posee este departamento con la ciudad capital ha permitido La</w:t>
      </w:r>
      <w:r>
        <w:rPr>
          <w:spacing w:val="1"/>
        </w:rPr>
        <w:t> </w:t>
      </w:r>
      <w:r>
        <w:rPr/>
        <w:t>población estudiantil del Departamento ha presentado un comportamiento similar al presentado a nivel</w:t>
      </w:r>
      <w:r>
        <w:rPr>
          <w:spacing w:val="1"/>
        </w:rPr>
        <w:t> </w:t>
      </w:r>
      <w:r>
        <w:rPr/>
        <w:t>nacional. El nivel primario es el que reporta mayor crecimiento con la mayor cantidad de estudiantes</w:t>
      </w:r>
      <w:r>
        <w:rPr>
          <w:spacing w:val="1"/>
        </w:rPr>
        <w:t> </w:t>
      </w:r>
      <w:r>
        <w:rPr/>
        <w:t>registrados, seguido por el ciclo básico y diversificado. A manera de referencia, se presentan los datos</w:t>
      </w:r>
      <w:r>
        <w:rPr>
          <w:spacing w:val="1"/>
        </w:rPr>
        <w:t> </w:t>
      </w:r>
      <w:r>
        <w:rPr/>
        <w:t>absolutos para</w:t>
      </w:r>
      <w:r>
        <w:rPr>
          <w:spacing w:val="-4"/>
        </w:rPr>
        <w:t> </w:t>
      </w:r>
      <w:r>
        <w:rPr/>
        <w:t>este</w:t>
      </w:r>
      <w:r>
        <w:rPr>
          <w:spacing w:val="-2"/>
        </w:rPr>
        <w:t> </w:t>
      </w:r>
      <w:r>
        <w:rPr/>
        <w:t>Departamento.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after="5"/>
        <w:ind w:left="278"/>
        <w:jc w:val="both"/>
      </w:pPr>
      <w:r>
        <w:rPr/>
        <w:t>Tabla</w:t>
      </w:r>
      <w:r>
        <w:rPr>
          <w:spacing w:val="-2"/>
        </w:rPr>
        <w:t> </w:t>
      </w:r>
      <w:r>
        <w:rPr/>
        <w:t>Nº.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estudiantes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Nivel</w:t>
      </w:r>
      <w:r>
        <w:rPr>
          <w:spacing w:val="-2"/>
        </w:rPr>
        <w:t> </w:t>
      </w:r>
      <w:r>
        <w:rPr/>
        <w:t>Educativo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Chimaltenango</w:t>
      </w:r>
      <w:r>
        <w:rPr>
          <w:spacing w:val="-1"/>
        </w:rPr>
        <w:t> </w:t>
      </w:r>
      <w:r>
        <w:rPr/>
        <w:t>(2017</w:t>
      </w:r>
      <w:r>
        <w:rPr>
          <w:spacing w:val="-4"/>
        </w:rPr>
        <w:t> </w:t>
      </w:r>
      <w:r>
        <w:rPr/>
        <w:t>al</w:t>
      </w:r>
      <w:r>
        <w:rPr>
          <w:spacing w:val="-2"/>
        </w:rPr>
        <w:t> </w:t>
      </w:r>
      <w:r>
        <w:rPr/>
        <w:t>2021)</w:t>
      </w:r>
    </w:p>
    <w:tbl>
      <w:tblPr>
        <w:tblW w:w="0" w:type="auto"/>
        <w:jc w:val="left"/>
        <w:tblInd w:w="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6"/>
        <w:gridCol w:w="1732"/>
        <w:gridCol w:w="1092"/>
        <w:gridCol w:w="1984"/>
        <w:gridCol w:w="746"/>
        <w:gridCol w:w="1392"/>
        <w:gridCol w:w="1225"/>
      </w:tblGrid>
      <w:tr>
        <w:trPr>
          <w:trHeight w:val="400" w:hRule="atLeast"/>
        </w:trPr>
        <w:tc>
          <w:tcPr>
            <w:tcW w:w="1196" w:type="dxa"/>
            <w:tcBorders>
              <w:bottom w:val="single" w:sz="8" w:space="0" w:color="8EA9DB"/>
            </w:tcBorders>
            <w:shd w:val="clear" w:color="auto" w:fill="D9E0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2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169" w:lineRule="exact"/>
              <w:ind w:left="319" w:right="1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PREPRIMARIA</w:t>
            </w:r>
          </w:p>
        </w:tc>
        <w:tc>
          <w:tcPr>
            <w:tcW w:w="1092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169" w:lineRule="exact"/>
              <w:ind w:left="17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PRIMARIA</w:t>
            </w:r>
          </w:p>
        </w:tc>
        <w:tc>
          <w:tcPr>
            <w:tcW w:w="1984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169" w:lineRule="exact"/>
              <w:ind w:left="51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6"/>
              </w:rPr>
              <w:t>PRIMARIA</w:t>
            </w:r>
            <w:r>
              <w:rPr>
                <w:rFonts w:ascii="Arial"/>
                <w:b/>
                <w:color w:val="FFFFFF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6"/>
              </w:rPr>
              <w:t>DE</w:t>
            </w:r>
            <w:r>
              <w:rPr>
                <w:rFonts w:ascii="Arial"/>
                <w:b/>
                <w:color w:val="FFFFFF"/>
                <w:spacing w:val="-25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6"/>
              </w:rPr>
              <w:t>ADULTOS</w:t>
            </w:r>
          </w:p>
        </w:tc>
        <w:tc>
          <w:tcPr>
            <w:tcW w:w="746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169" w:lineRule="exact"/>
              <w:ind w:left="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2"/>
                <w:w w:val="110"/>
                <w:sz w:val="16"/>
              </w:rPr>
              <w:t>BASICO</w:t>
            </w:r>
          </w:p>
        </w:tc>
        <w:tc>
          <w:tcPr>
            <w:tcW w:w="1392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169" w:lineRule="exact"/>
              <w:ind w:left="21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4"/>
                <w:w w:val="110"/>
                <w:sz w:val="16"/>
              </w:rPr>
              <w:t>DIVERSIFICADO</w:t>
            </w:r>
          </w:p>
        </w:tc>
        <w:tc>
          <w:tcPr>
            <w:tcW w:w="1225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169" w:lineRule="exact"/>
              <w:ind w:right="7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Tota</w:t>
            </w:r>
            <w:r>
              <w:rPr>
                <w:rFonts w:ascii="Arial"/>
                <w:b/>
                <w:color w:val="FFFFFF"/>
                <w:spacing w:val="-29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l</w:t>
            </w:r>
            <w:r>
              <w:rPr>
                <w:rFonts w:ascii="Arial"/>
                <w:b/>
                <w:color w:val="FFFFFF"/>
                <w:spacing w:val="2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general</w:t>
            </w:r>
          </w:p>
        </w:tc>
      </w:tr>
      <w:tr>
        <w:trPr>
          <w:trHeight w:val="194" w:hRule="atLeast"/>
        </w:trPr>
        <w:tc>
          <w:tcPr>
            <w:tcW w:w="1196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73" w:lineRule="exact"/>
              <w:ind w:left="377" w:right="37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2017</w:t>
            </w:r>
          </w:p>
        </w:tc>
        <w:tc>
          <w:tcPr>
            <w:tcW w:w="1732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73" w:lineRule="exact"/>
              <w:ind w:left="319" w:right="125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20,135</w:t>
            </w:r>
          </w:p>
        </w:tc>
        <w:tc>
          <w:tcPr>
            <w:tcW w:w="1092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73" w:lineRule="exact"/>
              <w:ind w:left="214" w:right="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93,584</w:t>
            </w:r>
          </w:p>
        </w:tc>
        <w:tc>
          <w:tcPr>
            <w:tcW w:w="1984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73" w:lineRule="exact"/>
              <w:ind w:left="33" w:right="2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637</w:t>
            </w:r>
          </w:p>
        </w:tc>
        <w:tc>
          <w:tcPr>
            <w:tcW w:w="746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73" w:lineRule="exact"/>
              <w:ind w:left="11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30,678</w:t>
            </w:r>
          </w:p>
        </w:tc>
        <w:tc>
          <w:tcPr>
            <w:tcW w:w="1392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73" w:lineRule="exact"/>
              <w:ind w:left="33" w:right="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15,862</w:t>
            </w:r>
          </w:p>
        </w:tc>
        <w:tc>
          <w:tcPr>
            <w:tcW w:w="1225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73" w:lineRule="exact"/>
              <w:ind w:right="4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160,896</w:t>
            </w:r>
          </w:p>
        </w:tc>
      </w:tr>
      <w:tr>
        <w:trPr>
          <w:trHeight w:val="209" w:hRule="atLeast"/>
        </w:trPr>
        <w:tc>
          <w:tcPr>
            <w:tcW w:w="1196" w:type="dxa"/>
          </w:tcPr>
          <w:p>
            <w:pPr>
              <w:pStyle w:val="TableParagraph"/>
              <w:spacing w:line="182" w:lineRule="exact" w:before="7"/>
              <w:ind w:left="377" w:right="37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2018</w:t>
            </w:r>
          </w:p>
        </w:tc>
        <w:tc>
          <w:tcPr>
            <w:tcW w:w="1732" w:type="dxa"/>
          </w:tcPr>
          <w:p>
            <w:pPr>
              <w:pStyle w:val="TableParagraph"/>
              <w:spacing w:line="182" w:lineRule="exact" w:before="7"/>
              <w:ind w:left="319" w:right="125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21,736</w:t>
            </w:r>
          </w:p>
        </w:tc>
        <w:tc>
          <w:tcPr>
            <w:tcW w:w="1092" w:type="dxa"/>
          </w:tcPr>
          <w:p>
            <w:pPr>
              <w:pStyle w:val="TableParagraph"/>
              <w:spacing w:line="182" w:lineRule="exact" w:before="7"/>
              <w:ind w:left="214" w:right="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95,306</w:t>
            </w:r>
          </w:p>
        </w:tc>
        <w:tc>
          <w:tcPr>
            <w:tcW w:w="1984" w:type="dxa"/>
          </w:tcPr>
          <w:p>
            <w:pPr>
              <w:pStyle w:val="TableParagraph"/>
              <w:spacing w:line="182" w:lineRule="exact" w:before="7"/>
              <w:ind w:left="33" w:right="2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556</w:t>
            </w:r>
          </w:p>
        </w:tc>
        <w:tc>
          <w:tcPr>
            <w:tcW w:w="746" w:type="dxa"/>
          </w:tcPr>
          <w:p>
            <w:pPr>
              <w:pStyle w:val="TableParagraph"/>
              <w:spacing w:line="182" w:lineRule="exact" w:before="7"/>
              <w:ind w:left="11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30,341</w:t>
            </w:r>
          </w:p>
        </w:tc>
        <w:tc>
          <w:tcPr>
            <w:tcW w:w="1392" w:type="dxa"/>
          </w:tcPr>
          <w:p>
            <w:pPr>
              <w:pStyle w:val="TableParagraph"/>
              <w:spacing w:line="182" w:lineRule="exact" w:before="7"/>
              <w:ind w:left="33" w:right="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16,321</w:t>
            </w:r>
          </w:p>
        </w:tc>
        <w:tc>
          <w:tcPr>
            <w:tcW w:w="1225" w:type="dxa"/>
          </w:tcPr>
          <w:p>
            <w:pPr>
              <w:pStyle w:val="TableParagraph"/>
              <w:spacing w:line="182" w:lineRule="exact" w:before="7"/>
              <w:ind w:right="4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164,260</w:t>
            </w:r>
          </w:p>
        </w:tc>
      </w:tr>
      <w:tr>
        <w:trPr>
          <w:trHeight w:val="209" w:hRule="atLeast"/>
        </w:trPr>
        <w:tc>
          <w:tcPr>
            <w:tcW w:w="1196" w:type="dxa"/>
          </w:tcPr>
          <w:p>
            <w:pPr>
              <w:pStyle w:val="TableParagraph"/>
              <w:spacing w:line="182" w:lineRule="exact" w:before="7"/>
              <w:ind w:left="377" w:right="37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2019</w:t>
            </w:r>
          </w:p>
        </w:tc>
        <w:tc>
          <w:tcPr>
            <w:tcW w:w="1732" w:type="dxa"/>
          </w:tcPr>
          <w:p>
            <w:pPr>
              <w:pStyle w:val="TableParagraph"/>
              <w:spacing w:line="182" w:lineRule="exact" w:before="7"/>
              <w:ind w:left="319" w:right="125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20,851</w:t>
            </w:r>
          </w:p>
        </w:tc>
        <w:tc>
          <w:tcPr>
            <w:tcW w:w="1092" w:type="dxa"/>
          </w:tcPr>
          <w:p>
            <w:pPr>
              <w:pStyle w:val="TableParagraph"/>
              <w:spacing w:line="182" w:lineRule="exact" w:before="7"/>
              <w:ind w:left="214" w:right="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94,344</w:t>
            </w:r>
          </w:p>
        </w:tc>
        <w:tc>
          <w:tcPr>
            <w:tcW w:w="1984" w:type="dxa"/>
          </w:tcPr>
          <w:p>
            <w:pPr>
              <w:pStyle w:val="TableParagraph"/>
              <w:spacing w:line="182" w:lineRule="exact" w:before="7"/>
              <w:ind w:left="33" w:right="2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500</w:t>
            </w:r>
          </w:p>
        </w:tc>
        <w:tc>
          <w:tcPr>
            <w:tcW w:w="746" w:type="dxa"/>
          </w:tcPr>
          <w:p>
            <w:pPr>
              <w:pStyle w:val="TableParagraph"/>
              <w:spacing w:line="182" w:lineRule="exact" w:before="7"/>
              <w:ind w:left="11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29,333</w:t>
            </w:r>
          </w:p>
        </w:tc>
        <w:tc>
          <w:tcPr>
            <w:tcW w:w="1392" w:type="dxa"/>
          </w:tcPr>
          <w:p>
            <w:pPr>
              <w:pStyle w:val="TableParagraph"/>
              <w:spacing w:line="182" w:lineRule="exact" w:before="7"/>
              <w:ind w:left="33" w:right="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16,514</w:t>
            </w:r>
          </w:p>
        </w:tc>
        <w:tc>
          <w:tcPr>
            <w:tcW w:w="1225" w:type="dxa"/>
          </w:tcPr>
          <w:p>
            <w:pPr>
              <w:pStyle w:val="TableParagraph"/>
              <w:spacing w:line="182" w:lineRule="exact" w:before="7"/>
              <w:ind w:right="4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161,542</w:t>
            </w:r>
          </w:p>
        </w:tc>
      </w:tr>
      <w:tr>
        <w:trPr>
          <w:trHeight w:val="209" w:hRule="atLeast"/>
        </w:trPr>
        <w:tc>
          <w:tcPr>
            <w:tcW w:w="1196" w:type="dxa"/>
          </w:tcPr>
          <w:p>
            <w:pPr>
              <w:pStyle w:val="TableParagraph"/>
              <w:spacing w:line="182" w:lineRule="exact" w:before="8"/>
              <w:ind w:left="377" w:right="37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2020</w:t>
            </w:r>
          </w:p>
        </w:tc>
        <w:tc>
          <w:tcPr>
            <w:tcW w:w="1732" w:type="dxa"/>
          </w:tcPr>
          <w:p>
            <w:pPr>
              <w:pStyle w:val="TableParagraph"/>
              <w:spacing w:line="182" w:lineRule="exact" w:before="8"/>
              <w:ind w:left="319" w:right="125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20,507</w:t>
            </w:r>
          </w:p>
        </w:tc>
        <w:tc>
          <w:tcPr>
            <w:tcW w:w="1092" w:type="dxa"/>
          </w:tcPr>
          <w:p>
            <w:pPr>
              <w:pStyle w:val="TableParagraph"/>
              <w:spacing w:line="182" w:lineRule="exact" w:before="8"/>
              <w:ind w:left="214" w:right="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94,917</w:t>
            </w:r>
          </w:p>
        </w:tc>
        <w:tc>
          <w:tcPr>
            <w:tcW w:w="1984" w:type="dxa"/>
          </w:tcPr>
          <w:p>
            <w:pPr>
              <w:pStyle w:val="TableParagraph"/>
              <w:spacing w:line="182" w:lineRule="exact" w:before="8"/>
              <w:ind w:left="33" w:right="2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347</w:t>
            </w:r>
          </w:p>
        </w:tc>
        <w:tc>
          <w:tcPr>
            <w:tcW w:w="746" w:type="dxa"/>
          </w:tcPr>
          <w:p>
            <w:pPr>
              <w:pStyle w:val="TableParagraph"/>
              <w:spacing w:line="182" w:lineRule="exact" w:before="8"/>
              <w:ind w:left="11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29,241</w:t>
            </w:r>
          </w:p>
        </w:tc>
        <w:tc>
          <w:tcPr>
            <w:tcW w:w="1392" w:type="dxa"/>
          </w:tcPr>
          <w:p>
            <w:pPr>
              <w:pStyle w:val="TableParagraph"/>
              <w:spacing w:line="182" w:lineRule="exact" w:before="8"/>
              <w:ind w:left="33" w:right="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16,617</w:t>
            </w:r>
          </w:p>
        </w:tc>
        <w:tc>
          <w:tcPr>
            <w:tcW w:w="1225" w:type="dxa"/>
          </w:tcPr>
          <w:p>
            <w:pPr>
              <w:pStyle w:val="TableParagraph"/>
              <w:spacing w:line="182" w:lineRule="exact" w:before="8"/>
              <w:ind w:right="4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161,629</w:t>
            </w:r>
          </w:p>
        </w:tc>
      </w:tr>
      <w:tr>
        <w:trPr>
          <w:trHeight w:val="204" w:hRule="atLeast"/>
        </w:trPr>
        <w:tc>
          <w:tcPr>
            <w:tcW w:w="1196" w:type="dxa"/>
          </w:tcPr>
          <w:p>
            <w:pPr>
              <w:pStyle w:val="TableParagraph"/>
              <w:spacing w:line="177" w:lineRule="exact" w:before="7"/>
              <w:ind w:left="377" w:right="37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2021</w:t>
            </w:r>
          </w:p>
        </w:tc>
        <w:tc>
          <w:tcPr>
            <w:tcW w:w="1732" w:type="dxa"/>
          </w:tcPr>
          <w:p>
            <w:pPr>
              <w:pStyle w:val="TableParagraph"/>
              <w:spacing w:line="177" w:lineRule="exact" w:before="7"/>
              <w:ind w:left="319" w:right="125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21,378</w:t>
            </w:r>
          </w:p>
        </w:tc>
        <w:tc>
          <w:tcPr>
            <w:tcW w:w="1092" w:type="dxa"/>
          </w:tcPr>
          <w:p>
            <w:pPr>
              <w:pStyle w:val="TableParagraph"/>
              <w:spacing w:line="177" w:lineRule="exact" w:before="7"/>
              <w:ind w:left="214" w:right="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98,867</w:t>
            </w:r>
          </w:p>
        </w:tc>
        <w:tc>
          <w:tcPr>
            <w:tcW w:w="1984" w:type="dxa"/>
          </w:tcPr>
          <w:p>
            <w:pPr>
              <w:pStyle w:val="TableParagraph"/>
              <w:spacing w:line="177" w:lineRule="exact" w:before="7"/>
              <w:ind w:left="33" w:right="2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114</w:t>
            </w:r>
          </w:p>
        </w:tc>
        <w:tc>
          <w:tcPr>
            <w:tcW w:w="746" w:type="dxa"/>
          </w:tcPr>
          <w:p>
            <w:pPr>
              <w:pStyle w:val="TableParagraph"/>
              <w:spacing w:line="177" w:lineRule="exact" w:before="7"/>
              <w:ind w:left="11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28,721</w:t>
            </w:r>
          </w:p>
        </w:tc>
        <w:tc>
          <w:tcPr>
            <w:tcW w:w="1392" w:type="dxa"/>
          </w:tcPr>
          <w:p>
            <w:pPr>
              <w:pStyle w:val="TableParagraph"/>
              <w:spacing w:line="177" w:lineRule="exact" w:before="7"/>
              <w:ind w:left="33" w:right="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15,584</w:t>
            </w:r>
          </w:p>
        </w:tc>
        <w:tc>
          <w:tcPr>
            <w:tcW w:w="1225" w:type="dxa"/>
          </w:tcPr>
          <w:p>
            <w:pPr>
              <w:pStyle w:val="TableParagraph"/>
              <w:spacing w:line="177" w:lineRule="exact" w:before="7"/>
              <w:ind w:right="4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164,664</w:t>
            </w:r>
          </w:p>
        </w:tc>
      </w:tr>
    </w:tbl>
    <w:tbl>
      <w:tblPr>
        <w:tblW w:w="0" w:type="auto"/>
        <w:jc w:val="left"/>
        <w:tblInd w:w="2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6"/>
        <w:gridCol w:w="1672"/>
        <w:gridCol w:w="1479"/>
        <w:gridCol w:w="1305"/>
        <w:gridCol w:w="1292"/>
        <w:gridCol w:w="1267"/>
        <w:gridCol w:w="1156"/>
      </w:tblGrid>
      <w:tr>
        <w:trPr>
          <w:trHeight w:val="207" w:hRule="atLeast"/>
        </w:trPr>
        <w:tc>
          <w:tcPr>
            <w:tcW w:w="1196" w:type="dxa"/>
            <w:tcBorders>
              <w:top w:val="single" w:sz="8" w:space="0" w:color="8EA9DB"/>
            </w:tcBorders>
            <w:shd w:val="clear" w:color="auto" w:fill="D9E0F1"/>
          </w:tcPr>
          <w:p>
            <w:pPr>
              <w:pStyle w:val="TableParagraph"/>
              <w:spacing w:before="1"/>
              <w:ind w:left="4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Tota</w:t>
            </w:r>
            <w:r>
              <w:rPr>
                <w:rFonts w:ascii="Arial"/>
                <w:b/>
                <w:spacing w:val="-29"/>
                <w:w w:val="105"/>
                <w:sz w:val="16"/>
              </w:rPr>
              <w:t> </w:t>
            </w:r>
            <w:r>
              <w:rPr>
                <w:rFonts w:ascii="Arial"/>
                <w:b/>
                <w:w w:val="105"/>
                <w:sz w:val="16"/>
              </w:rPr>
              <w:t>l</w:t>
            </w:r>
            <w:r>
              <w:rPr>
                <w:rFonts w:ascii="Arial"/>
                <w:b/>
                <w:spacing w:val="2"/>
                <w:w w:val="105"/>
                <w:sz w:val="16"/>
              </w:rPr>
              <w:t> </w:t>
            </w:r>
            <w:r>
              <w:rPr>
                <w:rFonts w:ascii="Arial"/>
                <w:b/>
                <w:w w:val="105"/>
                <w:sz w:val="16"/>
              </w:rPr>
              <w:t>general</w:t>
            </w:r>
          </w:p>
        </w:tc>
        <w:tc>
          <w:tcPr>
            <w:tcW w:w="1672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"/>
              <w:ind w:left="6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104,607</w:t>
            </w:r>
          </w:p>
        </w:tc>
        <w:tc>
          <w:tcPr>
            <w:tcW w:w="1479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"/>
              <w:ind w:left="4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477,018</w:t>
            </w:r>
          </w:p>
        </w:tc>
        <w:tc>
          <w:tcPr>
            <w:tcW w:w="1305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"/>
              <w:ind w:left="4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2,154</w:t>
            </w:r>
          </w:p>
        </w:tc>
        <w:tc>
          <w:tcPr>
            <w:tcW w:w="1292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"/>
              <w:ind w:left="4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148,314</w:t>
            </w:r>
          </w:p>
        </w:tc>
        <w:tc>
          <w:tcPr>
            <w:tcW w:w="1267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"/>
              <w:ind w:left="2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80,898</w:t>
            </w:r>
          </w:p>
        </w:tc>
        <w:tc>
          <w:tcPr>
            <w:tcW w:w="1156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"/>
              <w:ind w:left="5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812,991</w:t>
            </w:r>
          </w:p>
        </w:tc>
      </w:tr>
    </w:tbl>
    <w:p>
      <w:pPr>
        <w:pStyle w:val="BodyText"/>
      </w:pPr>
    </w:p>
    <w:p>
      <w:pPr>
        <w:spacing w:before="0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3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5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4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3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5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278" w:right="1072"/>
        <w:jc w:val="both"/>
      </w:pPr>
      <w:r>
        <w:rPr/>
        <w:t>Este</w:t>
      </w:r>
      <w:r>
        <w:rPr>
          <w:spacing w:val="-8"/>
        </w:rPr>
        <w:t> </w:t>
      </w:r>
      <w:r>
        <w:rPr/>
        <w:t>cuadro,</w:t>
      </w:r>
      <w:r>
        <w:rPr>
          <w:spacing w:val="-8"/>
        </w:rPr>
        <w:t> </w:t>
      </w:r>
      <w:r>
        <w:rPr/>
        <w:t>presenta</w:t>
      </w:r>
      <w:r>
        <w:rPr>
          <w:spacing w:val="-8"/>
        </w:rPr>
        <w:t> </w:t>
      </w:r>
      <w:r>
        <w:rPr/>
        <w:t>el</w:t>
      </w:r>
      <w:r>
        <w:rPr>
          <w:spacing w:val="-6"/>
        </w:rPr>
        <w:t> </w:t>
      </w:r>
      <w:r>
        <w:rPr/>
        <w:t>total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estudiantes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Nivel</w:t>
      </w:r>
      <w:r>
        <w:rPr>
          <w:spacing w:val="-9"/>
        </w:rPr>
        <w:t> </w:t>
      </w:r>
      <w:r>
        <w:rPr/>
        <w:t>Educativo</w:t>
      </w:r>
      <w:r>
        <w:rPr>
          <w:spacing w:val="-4"/>
        </w:rPr>
        <w:t> </w:t>
      </w:r>
      <w:r>
        <w:rPr/>
        <w:t>para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Departamento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Chimaltenango</w:t>
      </w:r>
      <w:r>
        <w:rPr>
          <w:spacing w:val="-47"/>
        </w:rPr>
        <w:t> </w:t>
      </w:r>
      <w:r>
        <w:rPr/>
        <w:t>durante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intervalo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5 años.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278" w:right="1071"/>
        <w:jc w:val="both"/>
      </w:pPr>
      <w:r>
        <w:rPr/>
        <w:t>El total de estudiantes atendidos durante este período fue de 812,991. El 2017 se tuvo una población</w:t>
      </w:r>
      <w:r>
        <w:rPr>
          <w:spacing w:val="1"/>
        </w:rPr>
        <w:t> </w:t>
      </w:r>
      <w:r>
        <w:rPr/>
        <w:t>estudiantil total de 160,896. Respecto de este año, el 2018, mostró un leve aumento un 2% al reportar</w:t>
      </w:r>
      <w:r>
        <w:rPr>
          <w:spacing w:val="1"/>
        </w:rPr>
        <w:t> </w:t>
      </w:r>
      <w:r>
        <w:rPr/>
        <w:t>3,364 alumnos, más en el Sistema.</w:t>
      </w:r>
      <w:r>
        <w:rPr>
          <w:spacing w:val="1"/>
        </w:rPr>
        <w:t> </w:t>
      </w:r>
      <w:r>
        <w:rPr/>
        <w:t>En el 2019, se redujo a 161,542, continuando con la tendencia</w:t>
      </w:r>
      <w:r>
        <w:rPr>
          <w:spacing w:val="1"/>
        </w:rPr>
        <w:t> </w:t>
      </w:r>
      <w:r>
        <w:rPr/>
        <w:t>decreciente al reportar 161,629 alumnos para el 2020. El 2021, aumentó en 3,035 estudiantes más En</w:t>
      </w:r>
      <w:r>
        <w:rPr>
          <w:spacing w:val="1"/>
        </w:rPr>
        <w:t> </w:t>
      </w:r>
      <w:r>
        <w:rPr/>
        <w:t>relación</w:t>
      </w:r>
      <w:r>
        <w:rPr>
          <w:spacing w:val="-3"/>
        </w:rPr>
        <w:t> </w:t>
      </w:r>
      <w:r>
        <w:rPr/>
        <w:t>con</w:t>
      </w:r>
      <w:r>
        <w:rPr>
          <w:spacing w:val="-1"/>
        </w:rPr>
        <w:t> </w:t>
      </w:r>
      <w:r>
        <w:rPr/>
        <w:t>l</w:t>
      </w:r>
      <w:r>
        <w:rPr>
          <w:spacing w:val="-3"/>
        </w:rPr>
        <w:t> </w:t>
      </w:r>
      <w:r>
        <w:rPr/>
        <w:t>año</w:t>
      </w:r>
      <w:r>
        <w:rPr>
          <w:spacing w:val="-2"/>
        </w:rPr>
        <w:t> </w:t>
      </w:r>
      <w:r>
        <w:rPr/>
        <w:t>anterior.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ind w:left="278" w:right="1072"/>
        <w:jc w:val="both"/>
      </w:pPr>
      <w:r>
        <w:rPr/>
        <w:t>Como se muestra, el nivel que presentó más crecimiento fue la Primaria representando el 59% de la</w:t>
      </w:r>
      <w:r>
        <w:rPr>
          <w:spacing w:val="1"/>
        </w:rPr>
        <w:t> </w:t>
      </w:r>
      <w:r>
        <w:rPr/>
        <w:t>población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este</w:t>
      </w:r>
      <w:r>
        <w:rPr>
          <w:spacing w:val="-8"/>
        </w:rPr>
        <w:t> </w:t>
      </w:r>
      <w:r>
        <w:rPr/>
        <w:t>período.</w:t>
      </w:r>
      <w:r>
        <w:rPr>
          <w:spacing w:val="-9"/>
        </w:rPr>
        <w:t> </w:t>
      </w:r>
      <w:r>
        <w:rPr/>
        <w:t>Seguido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ciclo</w:t>
      </w:r>
      <w:r>
        <w:rPr>
          <w:spacing w:val="-7"/>
        </w:rPr>
        <w:t> </w:t>
      </w:r>
      <w:r>
        <w:rPr/>
        <w:t>básico</w:t>
      </w:r>
      <w:r>
        <w:rPr>
          <w:spacing w:val="-6"/>
        </w:rPr>
        <w:t> </w:t>
      </w:r>
      <w:r>
        <w:rPr/>
        <w:t>con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18%,</w:t>
      </w:r>
      <w:r>
        <w:rPr>
          <w:spacing w:val="-7"/>
        </w:rPr>
        <w:t> </w:t>
      </w:r>
      <w:r>
        <w:rPr/>
        <w:t>seguido</w:t>
      </w:r>
      <w:r>
        <w:rPr>
          <w:spacing w:val="-7"/>
        </w:rPr>
        <w:t> </w:t>
      </w:r>
      <w:r>
        <w:rPr/>
        <w:t>por</w:t>
      </w:r>
      <w:r>
        <w:rPr>
          <w:spacing w:val="-10"/>
        </w:rPr>
        <w:t> </w:t>
      </w:r>
      <w:r>
        <w:rPr/>
        <w:t>el</w:t>
      </w:r>
      <w:r>
        <w:rPr>
          <w:spacing w:val="-8"/>
        </w:rPr>
        <w:t> </w:t>
      </w:r>
      <w:r>
        <w:rPr/>
        <w:t>13%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nivel</w:t>
      </w:r>
      <w:r>
        <w:rPr>
          <w:spacing w:val="-10"/>
        </w:rPr>
        <w:t> </w:t>
      </w:r>
      <w:r>
        <w:rPr/>
        <w:t>Preprimaria.</w:t>
      </w:r>
      <w:r>
        <w:rPr>
          <w:spacing w:val="-47"/>
        </w:rPr>
        <w:t> </w:t>
      </w:r>
      <w:r>
        <w:rPr/>
        <w:t>Ubicando en el penúltimo sitio al diversificado con un 10%. Y finalizando, con la Primaria para Adultos.</w:t>
      </w:r>
      <w:r>
        <w:rPr>
          <w:spacing w:val="1"/>
        </w:rPr>
        <w:t> </w:t>
      </w:r>
      <w:r>
        <w:rPr/>
        <w:t>Este es uno de los departamentos que ha conseguido, revertir la tendencia nacional presentando valores</w:t>
      </w:r>
      <w:r>
        <w:rPr>
          <w:spacing w:val="-47"/>
        </w:rPr>
        <w:t> </w:t>
      </w:r>
      <w:r>
        <w:rPr/>
        <w:t>mayores</w:t>
      </w:r>
      <w:r>
        <w:rPr>
          <w:spacing w:val="-1"/>
        </w:rPr>
        <w:t> </w:t>
      </w:r>
      <w:r>
        <w:rPr/>
        <w:t>de jóvenes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el diversificado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cercanía 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Guatemala.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  <w:r>
        <w:rPr/>
        <w:pict>
          <v:rect style="position:absolute;margin-left:563.880005pt;margin-top:19.849014pt;width:25.44pt;height:1.4399pt;mso-position-horizontal-relative:page;mso-position-vertical-relative:paragraph;z-index:-1546188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133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80992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7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2"/>
          <w:numId w:val="32"/>
        </w:numPr>
        <w:tabs>
          <w:tab w:pos="998" w:val="left" w:leader="none"/>
          <w:tab w:pos="999" w:val="left" w:leader="none"/>
        </w:tabs>
        <w:spacing w:line="240" w:lineRule="auto" w:before="52" w:after="0"/>
        <w:ind w:left="998" w:right="0" w:hanging="721"/>
        <w:jc w:val="left"/>
      </w:pPr>
      <w:bookmarkStart w:name="_bookmark152" w:id="237"/>
      <w:bookmarkEnd w:id="237"/>
      <w:r>
        <w:rPr>
          <w:b w:val="0"/>
        </w:rPr>
      </w:r>
      <w:bookmarkStart w:name="_bookmark152" w:id="238"/>
      <w:bookmarkEnd w:id="238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Cobertura:</w:t>
      </w:r>
      <w:r>
        <w:rPr>
          <w:spacing w:val="-4"/>
        </w:rPr>
        <w:t> </w:t>
      </w:r>
      <w:r>
        <w:rPr/>
        <w:t>Tasa</w:t>
      </w:r>
      <w:r>
        <w:rPr>
          <w:spacing w:val="-3"/>
        </w:rPr>
        <w:t> </w:t>
      </w:r>
      <w:r>
        <w:rPr/>
        <w:t>Neta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Cobertura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0"/>
        <w:jc w:val="both"/>
      </w:pPr>
      <w:r>
        <w:rPr/>
        <w:t>Por otra parte, a nivel específico, la cobertura educativa medida a través del (TNE) para Chimaltenango</w:t>
      </w:r>
      <w:r>
        <w:rPr>
          <w:spacing w:val="1"/>
        </w:rPr>
        <w:t> </w:t>
      </w:r>
      <w:r>
        <w:rPr/>
        <w:t>durante el período del 2017 al 2020, evidencia un aumento promedio considerable en la cobertura de</w:t>
      </w:r>
      <w:r>
        <w:rPr>
          <w:spacing w:val="1"/>
        </w:rPr>
        <w:t> </w:t>
      </w:r>
      <w:r>
        <w:rPr/>
        <w:t>nivel</w:t>
      </w:r>
      <w:r>
        <w:rPr>
          <w:spacing w:val="-4"/>
        </w:rPr>
        <w:t> </w:t>
      </w:r>
      <w:r>
        <w:rPr/>
        <w:t>primaria</w:t>
      </w:r>
      <w:r>
        <w:rPr>
          <w:spacing w:val="-6"/>
        </w:rPr>
        <w:t> </w:t>
      </w:r>
      <w:r>
        <w:rPr/>
        <w:t>(90.6%),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comparación</w:t>
      </w:r>
      <w:r>
        <w:rPr>
          <w:spacing w:val="-6"/>
        </w:rPr>
        <w:t> </w:t>
      </w:r>
      <w:r>
        <w:rPr/>
        <w:t>con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TNE</w:t>
      </w:r>
      <w:r>
        <w:rPr>
          <w:spacing w:val="-6"/>
        </w:rPr>
        <w:t> </w:t>
      </w:r>
      <w:r>
        <w:rPr/>
        <w:t>nacional</w:t>
      </w:r>
      <w:r>
        <w:rPr>
          <w:spacing w:val="-5"/>
        </w:rPr>
        <w:t> </w:t>
      </w:r>
      <w:r>
        <w:rPr/>
        <w:t>promedio</w:t>
      </w:r>
      <w:r>
        <w:rPr>
          <w:spacing w:val="-4"/>
        </w:rPr>
        <w:t> </w:t>
      </w:r>
      <w:r>
        <w:rPr/>
        <w:t>del</w:t>
      </w:r>
      <w:r>
        <w:rPr>
          <w:spacing w:val="-6"/>
        </w:rPr>
        <w:t> </w:t>
      </w:r>
      <w:r>
        <w:rPr/>
        <w:t>período</w:t>
      </w:r>
      <w:r>
        <w:rPr>
          <w:spacing w:val="-5"/>
        </w:rPr>
        <w:t> </w:t>
      </w:r>
      <w:r>
        <w:rPr/>
        <w:t>(2017-2019)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registrar</w:t>
      </w:r>
      <w:r>
        <w:rPr>
          <w:spacing w:val="-48"/>
        </w:rPr>
        <w:t> </w:t>
      </w:r>
      <w:r>
        <w:rPr/>
        <w:t>el 77.50%. Como sucede con los otros departamentos, presenta cantidades reducidas en la participación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jóvenes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ciclo</w:t>
      </w:r>
      <w:r>
        <w:rPr>
          <w:spacing w:val="-1"/>
        </w:rPr>
        <w:t> </w:t>
      </w:r>
      <w:r>
        <w:rPr/>
        <w:t>básico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diversificado.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</w:t>
      </w:r>
      <w:r>
        <w:rPr>
          <w:spacing w:val="-3"/>
        </w:rPr>
        <w:t> </w:t>
      </w:r>
      <w:r>
        <w:rPr/>
        <w:t>tabla,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observan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cifras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TNE</w:t>
      </w:r>
      <w:r>
        <w:rPr>
          <w:spacing w:val="-2"/>
        </w:rPr>
        <w:t> </w:t>
      </w:r>
      <w:r>
        <w:rPr/>
        <w:t>para</w:t>
      </w:r>
      <w:r>
        <w:rPr>
          <w:spacing w:val="-6"/>
        </w:rPr>
        <w:t> </w:t>
      </w:r>
      <w:r>
        <w:rPr/>
        <w:t>el</w:t>
      </w:r>
      <w:r>
        <w:rPr>
          <w:spacing w:val="-47"/>
        </w:rPr>
        <w:t> </w:t>
      </w:r>
      <w:r>
        <w:rPr/>
        <w:t>período</w:t>
      </w:r>
      <w:r>
        <w:rPr>
          <w:spacing w:val="-3"/>
        </w:rPr>
        <w:t> </w:t>
      </w:r>
      <w:r>
        <w:rPr/>
        <w:t>2017-2020.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1" w:after="7"/>
        <w:ind w:left="278" w:right="1075"/>
        <w:jc w:val="both"/>
      </w:pPr>
      <w:r>
        <w:rPr/>
        <w:t>Tabla</w:t>
      </w:r>
      <w:r>
        <w:rPr>
          <w:spacing w:val="1"/>
        </w:rPr>
        <w:t> </w:t>
      </w:r>
      <w:r>
        <w:rPr/>
        <w:t>Nº.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Cobertura: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Bruta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Académico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47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de Chimaltenango</w:t>
      </w:r>
    </w:p>
    <w:tbl>
      <w:tblPr>
        <w:tblW w:w="0" w:type="auto"/>
        <w:jc w:val="left"/>
        <w:tblInd w:w="2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6"/>
        <w:gridCol w:w="2449"/>
        <w:gridCol w:w="1833"/>
        <w:gridCol w:w="1215"/>
        <w:gridCol w:w="1214"/>
        <w:gridCol w:w="1540"/>
      </w:tblGrid>
      <w:tr>
        <w:trPr>
          <w:trHeight w:val="417" w:hRule="atLeast"/>
        </w:trPr>
        <w:tc>
          <w:tcPr>
            <w:tcW w:w="9467" w:type="dxa"/>
            <w:gridSpan w:val="6"/>
            <w:tcBorders>
              <w:top w:val="nil"/>
              <w:right w:val="nil"/>
            </w:tcBorders>
            <w:shd w:val="clear" w:color="auto" w:fill="F1F1F1"/>
          </w:tcPr>
          <w:p>
            <w:pPr>
              <w:pStyle w:val="TableParagraph"/>
              <w:spacing w:before="91"/>
              <w:ind w:left="2595" w:right="2592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25"/>
                <w:sz w:val="21"/>
              </w:rPr>
              <w:t>Departamento</w:t>
            </w:r>
            <w:r>
              <w:rPr>
                <w:rFonts w:ascii="Arial"/>
                <w:b/>
                <w:spacing w:val="46"/>
                <w:w w:val="125"/>
                <w:sz w:val="21"/>
              </w:rPr>
              <w:t> </w:t>
            </w:r>
            <w:r>
              <w:rPr>
                <w:rFonts w:ascii="Arial"/>
                <w:b/>
                <w:w w:val="125"/>
                <w:sz w:val="21"/>
              </w:rPr>
              <w:t>de</w:t>
            </w:r>
            <w:r>
              <w:rPr>
                <w:rFonts w:ascii="Arial"/>
                <w:b/>
                <w:spacing w:val="69"/>
                <w:w w:val="125"/>
                <w:sz w:val="21"/>
              </w:rPr>
              <w:t> </w:t>
            </w:r>
            <w:r>
              <w:rPr>
                <w:rFonts w:ascii="Arial"/>
                <w:b/>
                <w:w w:val="125"/>
                <w:sz w:val="21"/>
              </w:rPr>
              <w:t>Chimaltenango</w:t>
            </w:r>
          </w:p>
        </w:tc>
      </w:tr>
      <w:tr>
        <w:trPr>
          <w:trHeight w:val="634" w:hRule="atLeast"/>
        </w:trPr>
        <w:tc>
          <w:tcPr>
            <w:tcW w:w="1216" w:type="dxa"/>
            <w:shd w:val="clear" w:color="auto" w:fill="F1F1F1"/>
          </w:tcPr>
          <w:p>
            <w:pPr>
              <w:pStyle w:val="TableParagraph"/>
              <w:spacing w:before="100"/>
              <w:ind w:left="365"/>
              <w:rPr>
                <w:rFonts w:ascii="Verdana" w:hAnsi="Verdana"/>
                <w:sz w:val="17"/>
              </w:rPr>
            </w:pPr>
            <w:r>
              <w:rPr>
                <w:rFonts w:ascii="Verdana" w:hAnsi="Verdana"/>
                <w:w w:val="115"/>
                <w:sz w:val="17"/>
              </w:rPr>
              <w:t>Años</w:t>
            </w:r>
          </w:p>
        </w:tc>
        <w:tc>
          <w:tcPr>
            <w:tcW w:w="2449" w:type="dxa"/>
            <w:shd w:val="clear" w:color="auto" w:fill="F1F1F1"/>
          </w:tcPr>
          <w:p>
            <w:pPr>
              <w:pStyle w:val="TableParagraph"/>
              <w:spacing w:line="254" w:lineRule="auto"/>
              <w:ind w:left="702" w:right="452" w:hanging="244"/>
              <w:rPr>
                <w:rFonts w:ascii="Verdana" w:hAnsi="Verdana"/>
                <w:sz w:val="17"/>
              </w:rPr>
            </w:pPr>
            <w:r>
              <w:rPr>
                <w:rFonts w:ascii="Verdana" w:hAnsi="Verdana"/>
                <w:spacing w:val="-1"/>
                <w:w w:val="65"/>
                <w:sz w:val="17"/>
              </w:rPr>
              <w:t>Í</w:t>
            </w:r>
            <w:r>
              <w:rPr>
                <w:rFonts w:ascii="Verdana" w:hAnsi="Verdana"/>
                <w:w w:val="116"/>
                <w:sz w:val="17"/>
              </w:rPr>
              <w:t>n</w:t>
            </w:r>
            <w:r>
              <w:rPr>
                <w:rFonts w:ascii="Verdana" w:hAnsi="Verdana"/>
                <w:w w:val="133"/>
                <w:sz w:val="17"/>
              </w:rPr>
              <w:t>d</w:t>
            </w:r>
            <w:r>
              <w:rPr>
                <w:rFonts w:ascii="Verdana" w:hAnsi="Verdana"/>
                <w:spacing w:val="-1"/>
                <w:w w:val="88"/>
                <w:sz w:val="17"/>
              </w:rPr>
              <w:t>i</w:t>
            </w:r>
            <w:r>
              <w:rPr>
                <w:rFonts w:ascii="Verdana" w:hAnsi="Verdana"/>
                <w:spacing w:val="-1"/>
                <w:w w:val="143"/>
                <w:sz w:val="17"/>
              </w:rPr>
              <w:t>c</w:t>
            </w:r>
            <w:r>
              <w:rPr>
                <w:rFonts w:ascii="Verdana" w:hAnsi="Verdana"/>
                <w:w w:val="143"/>
                <w:sz w:val="17"/>
              </w:rPr>
              <w:t>a</w:t>
            </w:r>
            <w:r>
              <w:rPr>
                <w:rFonts w:ascii="Verdana" w:hAnsi="Verdana"/>
                <w:w w:val="133"/>
                <w:sz w:val="17"/>
              </w:rPr>
              <w:t>d</w:t>
            </w:r>
            <w:r>
              <w:rPr>
                <w:rFonts w:ascii="Verdana" w:hAnsi="Verdana"/>
                <w:spacing w:val="-1"/>
                <w:w w:val="130"/>
                <w:sz w:val="17"/>
              </w:rPr>
              <w:t>o</w:t>
            </w:r>
            <w:r>
              <w:rPr>
                <w:rFonts w:ascii="Verdana" w:hAnsi="Verdana"/>
                <w:spacing w:val="-1"/>
                <w:w w:val="85"/>
                <w:sz w:val="17"/>
              </w:rPr>
              <w:t>r</w:t>
            </w:r>
            <w:r>
              <w:rPr>
                <w:rFonts w:ascii="Verdana" w:hAnsi="Verdana"/>
                <w:w w:val="132"/>
                <w:sz w:val="17"/>
              </w:rPr>
              <w:t>e</w:t>
            </w:r>
            <w:r>
              <w:rPr>
                <w:rFonts w:ascii="Verdana" w:hAnsi="Verdana"/>
                <w:w w:val="90"/>
                <w:sz w:val="17"/>
              </w:rPr>
              <w:t>s</w:t>
            </w:r>
            <w:r>
              <w:rPr>
                <w:rFonts w:ascii="Verdana" w:hAnsi="Verdana"/>
                <w:spacing w:val="-3"/>
                <w:sz w:val="17"/>
              </w:rPr>
              <w:t> </w:t>
            </w:r>
            <w:r>
              <w:rPr>
                <w:rFonts w:ascii="Verdana" w:hAnsi="Verdana"/>
                <w:spacing w:val="-6"/>
                <w:w w:val="133"/>
                <w:sz w:val="17"/>
              </w:rPr>
              <w:t>d</w:t>
            </w:r>
            <w:r>
              <w:rPr>
                <w:rFonts w:ascii="Verdana" w:hAnsi="Verdana"/>
                <w:spacing w:val="-6"/>
                <w:w w:val="132"/>
                <w:sz w:val="17"/>
              </w:rPr>
              <w:t>e</w:t>
            </w:r>
            <w:r>
              <w:rPr>
                <w:rFonts w:ascii="Verdana" w:hAnsi="Verdana"/>
                <w:w w:val="132"/>
                <w:sz w:val="17"/>
              </w:rPr>
              <w:t> </w:t>
            </w:r>
            <w:r>
              <w:rPr>
                <w:rFonts w:ascii="Verdana" w:hAnsi="Verdana"/>
                <w:w w:val="120"/>
                <w:sz w:val="17"/>
              </w:rPr>
              <w:t>Cobertura</w:t>
            </w:r>
          </w:p>
        </w:tc>
        <w:tc>
          <w:tcPr>
            <w:tcW w:w="1833" w:type="dxa"/>
            <w:shd w:val="clear" w:color="auto" w:fill="F1F1F1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351" w:right="30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20"/>
                <w:sz w:val="17"/>
              </w:rPr>
              <w:t>Preprima</w:t>
            </w:r>
            <w:r>
              <w:rPr>
                <w:rFonts w:ascii="Arial"/>
                <w:b/>
                <w:spacing w:val="-35"/>
                <w:w w:val="120"/>
                <w:sz w:val="17"/>
              </w:rPr>
              <w:t> </w:t>
            </w:r>
            <w:r>
              <w:rPr>
                <w:rFonts w:ascii="Arial"/>
                <w:b/>
                <w:spacing w:val="-3"/>
                <w:w w:val="120"/>
                <w:sz w:val="17"/>
              </w:rPr>
              <w:t>ria</w:t>
            </w:r>
          </w:p>
        </w:tc>
        <w:tc>
          <w:tcPr>
            <w:tcW w:w="1215" w:type="dxa"/>
            <w:shd w:val="clear" w:color="auto" w:fill="F1F1F1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20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7"/>
                <w:w w:val="120"/>
                <w:sz w:val="17"/>
              </w:rPr>
              <w:t>Prima</w:t>
            </w:r>
            <w:r>
              <w:rPr>
                <w:rFonts w:ascii="Arial"/>
                <w:b/>
                <w:spacing w:val="-36"/>
                <w:w w:val="120"/>
                <w:sz w:val="17"/>
              </w:rPr>
              <w:t> </w:t>
            </w:r>
            <w:r>
              <w:rPr>
                <w:rFonts w:ascii="Arial"/>
                <w:b/>
                <w:spacing w:val="-6"/>
                <w:w w:val="120"/>
                <w:sz w:val="17"/>
              </w:rPr>
              <w:t>ria</w:t>
            </w:r>
          </w:p>
        </w:tc>
        <w:tc>
          <w:tcPr>
            <w:tcW w:w="1214" w:type="dxa"/>
            <w:shd w:val="clear" w:color="auto" w:fill="F1F1F1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27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7"/>
                <w:w w:val="120"/>
                <w:sz w:val="17"/>
              </w:rPr>
              <w:t>Bá</w:t>
            </w:r>
            <w:r>
              <w:rPr>
                <w:rFonts w:ascii="Arial" w:hAnsi="Arial"/>
                <w:b/>
                <w:spacing w:val="-35"/>
                <w:w w:val="120"/>
                <w:sz w:val="17"/>
              </w:rPr>
              <w:t> </w:t>
            </w:r>
            <w:r>
              <w:rPr>
                <w:rFonts w:ascii="Arial" w:hAnsi="Arial"/>
                <w:b/>
                <w:spacing w:val="-7"/>
                <w:w w:val="120"/>
                <w:sz w:val="17"/>
              </w:rPr>
              <w:t>sico</w:t>
            </w:r>
          </w:p>
        </w:tc>
        <w:tc>
          <w:tcPr>
            <w:tcW w:w="1540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09" w:right="10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20"/>
                <w:sz w:val="17"/>
              </w:rPr>
              <w:t>Diversifica</w:t>
            </w:r>
            <w:r>
              <w:rPr>
                <w:rFonts w:ascii="Arial"/>
                <w:b/>
                <w:spacing w:val="-36"/>
                <w:w w:val="120"/>
                <w:sz w:val="17"/>
              </w:rPr>
              <w:t> </w:t>
            </w:r>
            <w:r>
              <w:rPr>
                <w:rFonts w:ascii="Arial"/>
                <w:b/>
                <w:spacing w:val="-1"/>
                <w:w w:val="120"/>
                <w:sz w:val="17"/>
              </w:rPr>
              <w:t>do</w:t>
            </w:r>
          </w:p>
        </w:tc>
      </w:tr>
      <w:tr>
        <w:trPr>
          <w:trHeight w:val="417" w:hRule="atLeast"/>
        </w:trPr>
        <w:tc>
          <w:tcPr>
            <w:tcW w:w="1216" w:type="dxa"/>
            <w:vMerge w:val="restart"/>
            <w:shd w:val="clear" w:color="auto" w:fill="F1F1F1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left="383"/>
              <w:rPr>
                <w:rFonts w:ascii="Verdana"/>
                <w:sz w:val="17"/>
              </w:rPr>
            </w:pPr>
            <w:r>
              <w:rPr>
                <w:rFonts w:ascii="Verdana"/>
                <w:w w:val="105"/>
                <w:sz w:val="17"/>
              </w:rPr>
              <w:t>2017</w:t>
            </w:r>
          </w:p>
        </w:tc>
        <w:tc>
          <w:tcPr>
            <w:tcW w:w="2449" w:type="dxa"/>
          </w:tcPr>
          <w:p>
            <w:pPr>
              <w:pStyle w:val="TableParagraph"/>
              <w:spacing w:before="123"/>
              <w:ind w:left="2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D7CB3"/>
                <w:spacing w:val="-4"/>
                <w:w w:val="120"/>
                <w:sz w:val="14"/>
              </w:rPr>
              <w:t>Ta</w:t>
            </w:r>
            <w:r>
              <w:rPr>
                <w:rFonts w:ascii="Arial"/>
                <w:b/>
                <w:color w:val="1D7CB3"/>
                <w:spacing w:val="-30"/>
                <w:w w:val="120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120"/>
                <w:sz w:val="14"/>
              </w:rPr>
              <w:t>sa</w:t>
            </w:r>
            <w:r>
              <w:rPr>
                <w:rFonts w:ascii="Arial"/>
                <w:b/>
                <w:color w:val="1D7CB3"/>
                <w:spacing w:val="19"/>
                <w:w w:val="120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120"/>
                <w:sz w:val="14"/>
              </w:rPr>
              <w:t>Bruta</w:t>
            </w:r>
            <w:r>
              <w:rPr>
                <w:rFonts w:ascii="Arial"/>
                <w:b/>
                <w:color w:val="1D7CB3"/>
                <w:spacing w:val="19"/>
                <w:w w:val="120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120"/>
                <w:sz w:val="14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w w:val="120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120"/>
                <w:sz w:val="14"/>
              </w:rPr>
              <w:t>Cobertura</w:t>
            </w:r>
          </w:p>
        </w:tc>
        <w:tc>
          <w:tcPr>
            <w:tcW w:w="1833" w:type="dxa"/>
          </w:tcPr>
          <w:p>
            <w:pPr>
              <w:pStyle w:val="TableParagraph"/>
              <w:spacing w:before="108"/>
              <w:ind w:left="325" w:right="30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20"/>
                <w:sz w:val="14"/>
              </w:rPr>
              <w:t>65,69%</w:t>
            </w:r>
          </w:p>
        </w:tc>
        <w:tc>
          <w:tcPr>
            <w:tcW w:w="1215" w:type="dxa"/>
          </w:tcPr>
          <w:p>
            <w:pPr>
              <w:pStyle w:val="TableParagraph"/>
              <w:spacing w:before="108"/>
              <w:ind w:right="25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20"/>
                <w:sz w:val="14"/>
              </w:rPr>
              <w:t>101,38%</w:t>
            </w:r>
          </w:p>
        </w:tc>
        <w:tc>
          <w:tcPr>
            <w:tcW w:w="1214" w:type="dxa"/>
          </w:tcPr>
          <w:p>
            <w:pPr>
              <w:pStyle w:val="TableParagraph"/>
              <w:spacing w:before="108"/>
              <w:ind w:left="330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20"/>
                <w:sz w:val="14"/>
              </w:rPr>
              <w:t>64,36%</w:t>
            </w:r>
          </w:p>
        </w:tc>
        <w:tc>
          <w:tcPr>
            <w:tcW w:w="1540" w:type="dxa"/>
            <w:tcBorders>
              <w:right w:val="nil"/>
            </w:tcBorders>
          </w:tcPr>
          <w:p>
            <w:pPr>
              <w:pStyle w:val="TableParagraph"/>
              <w:spacing w:before="108"/>
              <w:ind w:left="109" w:right="6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20"/>
                <w:sz w:val="14"/>
              </w:rPr>
              <w:t>31,22%</w:t>
            </w:r>
          </w:p>
        </w:tc>
      </w:tr>
      <w:tr>
        <w:trPr>
          <w:trHeight w:val="415" w:hRule="atLeast"/>
        </w:trPr>
        <w:tc>
          <w:tcPr>
            <w:tcW w:w="1216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9" w:type="dxa"/>
            <w:shd w:val="clear" w:color="auto" w:fill="DAEDF3"/>
          </w:tcPr>
          <w:p>
            <w:pPr>
              <w:pStyle w:val="TableParagraph"/>
              <w:spacing w:before="123"/>
              <w:ind w:left="2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D7CB3"/>
                <w:spacing w:val="-1"/>
                <w:w w:val="120"/>
                <w:sz w:val="14"/>
              </w:rPr>
              <w:t>Ta</w:t>
            </w:r>
            <w:r>
              <w:rPr>
                <w:rFonts w:ascii="Arial"/>
                <w:b/>
                <w:color w:val="1D7CB3"/>
                <w:spacing w:val="-30"/>
                <w:w w:val="120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0"/>
                <w:sz w:val="14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120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0"/>
                <w:sz w:val="14"/>
              </w:rPr>
              <w:t>Neta</w:t>
            </w:r>
            <w:r>
              <w:rPr>
                <w:rFonts w:ascii="Arial"/>
                <w:b/>
                <w:color w:val="1D7CB3"/>
                <w:spacing w:val="17"/>
                <w:w w:val="120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0"/>
                <w:sz w:val="14"/>
              </w:rPr>
              <w:t>de</w:t>
            </w:r>
            <w:r>
              <w:rPr>
                <w:rFonts w:ascii="Arial"/>
                <w:b/>
                <w:color w:val="1D7CB3"/>
                <w:spacing w:val="13"/>
                <w:w w:val="120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0"/>
                <w:sz w:val="14"/>
              </w:rPr>
              <w:t>Cobertura</w:t>
            </w:r>
          </w:p>
        </w:tc>
        <w:tc>
          <w:tcPr>
            <w:tcW w:w="1833" w:type="dxa"/>
            <w:shd w:val="clear" w:color="auto" w:fill="DAEDF3"/>
          </w:tcPr>
          <w:p>
            <w:pPr>
              <w:pStyle w:val="TableParagraph"/>
              <w:spacing w:before="107"/>
              <w:ind w:left="325" w:right="30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20"/>
                <w:sz w:val="14"/>
              </w:rPr>
              <w:t>55,12%</w:t>
            </w:r>
          </w:p>
        </w:tc>
        <w:tc>
          <w:tcPr>
            <w:tcW w:w="1215" w:type="dxa"/>
            <w:shd w:val="clear" w:color="auto" w:fill="DAEDF3"/>
          </w:tcPr>
          <w:p>
            <w:pPr>
              <w:pStyle w:val="TableParagraph"/>
              <w:spacing w:before="107"/>
              <w:ind w:right="28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20"/>
                <w:sz w:val="14"/>
              </w:rPr>
              <w:t>89,23%</w:t>
            </w:r>
          </w:p>
        </w:tc>
        <w:tc>
          <w:tcPr>
            <w:tcW w:w="1214" w:type="dxa"/>
            <w:shd w:val="clear" w:color="auto" w:fill="DAEDF3"/>
          </w:tcPr>
          <w:p>
            <w:pPr>
              <w:pStyle w:val="TableParagraph"/>
              <w:spacing w:before="107"/>
              <w:ind w:left="330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20"/>
                <w:sz w:val="14"/>
              </w:rPr>
              <w:t>44,54%</w:t>
            </w:r>
          </w:p>
        </w:tc>
        <w:tc>
          <w:tcPr>
            <w:tcW w:w="1540" w:type="dxa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spacing w:before="107"/>
              <w:ind w:left="109" w:right="6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20"/>
                <w:sz w:val="14"/>
              </w:rPr>
              <w:t>21,57%</w:t>
            </w:r>
          </w:p>
        </w:tc>
      </w:tr>
      <w:tr>
        <w:trPr>
          <w:trHeight w:val="415" w:hRule="atLeast"/>
        </w:trPr>
        <w:tc>
          <w:tcPr>
            <w:tcW w:w="1216" w:type="dxa"/>
            <w:vMerge w:val="restart"/>
            <w:shd w:val="clear" w:color="auto" w:fill="F1F1F1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left="383"/>
              <w:rPr>
                <w:rFonts w:ascii="Verdana"/>
                <w:sz w:val="17"/>
              </w:rPr>
            </w:pPr>
            <w:r>
              <w:rPr>
                <w:rFonts w:ascii="Verdana"/>
                <w:w w:val="105"/>
                <w:sz w:val="17"/>
              </w:rPr>
              <w:t>2018</w:t>
            </w:r>
          </w:p>
        </w:tc>
        <w:tc>
          <w:tcPr>
            <w:tcW w:w="2449" w:type="dxa"/>
          </w:tcPr>
          <w:p>
            <w:pPr>
              <w:pStyle w:val="TableParagraph"/>
              <w:spacing w:before="123"/>
              <w:ind w:left="2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D7CB3"/>
                <w:spacing w:val="-4"/>
                <w:w w:val="120"/>
                <w:sz w:val="14"/>
              </w:rPr>
              <w:t>Ta</w:t>
            </w:r>
            <w:r>
              <w:rPr>
                <w:rFonts w:ascii="Arial"/>
                <w:b/>
                <w:color w:val="1D7CB3"/>
                <w:spacing w:val="-30"/>
                <w:w w:val="120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120"/>
                <w:sz w:val="14"/>
              </w:rPr>
              <w:t>sa</w:t>
            </w:r>
            <w:r>
              <w:rPr>
                <w:rFonts w:ascii="Arial"/>
                <w:b/>
                <w:color w:val="1D7CB3"/>
                <w:spacing w:val="19"/>
                <w:w w:val="120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120"/>
                <w:sz w:val="14"/>
              </w:rPr>
              <w:t>Bruta</w:t>
            </w:r>
            <w:r>
              <w:rPr>
                <w:rFonts w:ascii="Arial"/>
                <w:b/>
                <w:color w:val="1D7CB3"/>
                <w:spacing w:val="19"/>
                <w:w w:val="120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120"/>
                <w:sz w:val="14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w w:val="120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120"/>
                <w:sz w:val="14"/>
              </w:rPr>
              <w:t>Cobertura</w:t>
            </w:r>
          </w:p>
        </w:tc>
        <w:tc>
          <w:tcPr>
            <w:tcW w:w="1833" w:type="dxa"/>
          </w:tcPr>
          <w:p>
            <w:pPr>
              <w:pStyle w:val="TableParagraph"/>
              <w:spacing w:before="108"/>
              <w:ind w:left="325" w:right="30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20"/>
                <w:sz w:val="14"/>
              </w:rPr>
              <w:t>70,92%</w:t>
            </w:r>
          </w:p>
        </w:tc>
        <w:tc>
          <w:tcPr>
            <w:tcW w:w="1215" w:type="dxa"/>
          </w:tcPr>
          <w:p>
            <w:pPr>
              <w:pStyle w:val="TableParagraph"/>
              <w:spacing w:before="108"/>
              <w:ind w:right="25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20"/>
                <w:sz w:val="14"/>
              </w:rPr>
              <w:t>103,25%</w:t>
            </w:r>
          </w:p>
        </w:tc>
        <w:tc>
          <w:tcPr>
            <w:tcW w:w="1214" w:type="dxa"/>
          </w:tcPr>
          <w:p>
            <w:pPr>
              <w:pStyle w:val="TableParagraph"/>
              <w:spacing w:before="108"/>
              <w:ind w:left="330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20"/>
                <w:sz w:val="14"/>
              </w:rPr>
              <w:t>64,39%</w:t>
            </w:r>
          </w:p>
        </w:tc>
        <w:tc>
          <w:tcPr>
            <w:tcW w:w="1540" w:type="dxa"/>
            <w:tcBorders>
              <w:right w:val="nil"/>
            </w:tcBorders>
          </w:tcPr>
          <w:p>
            <w:pPr>
              <w:pStyle w:val="TableParagraph"/>
              <w:spacing w:before="108"/>
              <w:ind w:left="109" w:right="6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20"/>
                <w:sz w:val="14"/>
              </w:rPr>
              <w:t>32,54%</w:t>
            </w:r>
          </w:p>
        </w:tc>
      </w:tr>
      <w:tr>
        <w:trPr>
          <w:trHeight w:val="417" w:hRule="atLeast"/>
        </w:trPr>
        <w:tc>
          <w:tcPr>
            <w:tcW w:w="1216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9" w:type="dxa"/>
            <w:shd w:val="clear" w:color="auto" w:fill="DAEDF3"/>
          </w:tcPr>
          <w:p>
            <w:pPr>
              <w:pStyle w:val="TableParagraph"/>
              <w:spacing w:before="123"/>
              <w:ind w:left="2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D7CB3"/>
                <w:spacing w:val="-1"/>
                <w:w w:val="120"/>
                <w:sz w:val="14"/>
              </w:rPr>
              <w:t>Ta</w:t>
            </w:r>
            <w:r>
              <w:rPr>
                <w:rFonts w:ascii="Arial"/>
                <w:b/>
                <w:color w:val="1D7CB3"/>
                <w:spacing w:val="-30"/>
                <w:w w:val="120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0"/>
                <w:sz w:val="14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120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0"/>
                <w:sz w:val="14"/>
              </w:rPr>
              <w:t>Neta</w:t>
            </w:r>
            <w:r>
              <w:rPr>
                <w:rFonts w:ascii="Arial"/>
                <w:b/>
                <w:color w:val="1D7CB3"/>
                <w:spacing w:val="17"/>
                <w:w w:val="120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0"/>
                <w:sz w:val="14"/>
              </w:rPr>
              <w:t>de</w:t>
            </w:r>
            <w:r>
              <w:rPr>
                <w:rFonts w:ascii="Arial"/>
                <w:b/>
                <w:color w:val="1D7CB3"/>
                <w:spacing w:val="13"/>
                <w:w w:val="120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0"/>
                <w:sz w:val="14"/>
              </w:rPr>
              <w:t>Cobertura</w:t>
            </w:r>
          </w:p>
        </w:tc>
        <w:tc>
          <w:tcPr>
            <w:tcW w:w="1833" w:type="dxa"/>
            <w:shd w:val="clear" w:color="auto" w:fill="DAEDF3"/>
          </w:tcPr>
          <w:p>
            <w:pPr>
              <w:pStyle w:val="TableParagraph"/>
              <w:spacing w:before="114"/>
              <w:ind w:left="346" w:right="30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333333"/>
                <w:w w:val="125"/>
                <w:sz w:val="15"/>
              </w:rPr>
              <w:t>59,01%</w:t>
            </w:r>
          </w:p>
        </w:tc>
        <w:tc>
          <w:tcPr>
            <w:tcW w:w="1215" w:type="dxa"/>
            <w:shd w:val="clear" w:color="auto" w:fill="DAEDF3"/>
          </w:tcPr>
          <w:p>
            <w:pPr>
              <w:pStyle w:val="TableParagraph"/>
              <w:spacing w:before="108"/>
              <w:ind w:right="28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20"/>
                <w:sz w:val="14"/>
              </w:rPr>
              <w:t>90,87%</w:t>
            </w:r>
          </w:p>
        </w:tc>
        <w:tc>
          <w:tcPr>
            <w:tcW w:w="1214" w:type="dxa"/>
            <w:shd w:val="clear" w:color="auto" w:fill="DAEDF3"/>
          </w:tcPr>
          <w:p>
            <w:pPr>
              <w:pStyle w:val="TableParagraph"/>
              <w:spacing w:before="114"/>
              <w:ind w:left="29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333333"/>
                <w:w w:val="125"/>
                <w:sz w:val="15"/>
              </w:rPr>
              <w:t>45,59%</w:t>
            </w:r>
          </w:p>
        </w:tc>
        <w:tc>
          <w:tcPr>
            <w:tcW w:w="1540" w:type="dxa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spacing w:before="108"/>
              <w:ind w:left="109" w:right="6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20"/>
                <w:sz w:val="14"/>
              </w:rPr>
              <w:t>22,24%</w:t>
            </w:r>
          </w:p>
        </w:tc>
      </w:tr>
      <w:tr>
        <w:trPr>
          <w:trHeight w:val="415" w:hRule="atLeast"/>
        </w:trPr>
        <w:tc>
          <w:tcPr>
            <w:tcW w:w="1216" w:type="dxa"/>
            <w:vMerge w:val="restart"/>
            <w:shd w:val="clear" w:color="auto" w:fill="F1F1F1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left="383"/>
              <w:rPr>
                <w:rFonts w:ascii="Verdana"/>
                <w:sz w:val="17"/>
              </w:rPr>
            </w:pPr>
            <w:r>
              <w:rPr>
                <w:rFonts w:ascii="Verdana"/>
                <w:w w:val="105"/>
                <w:sz w:val="17"/>
              </w:rPr>
              <w:t>2019</w:t>
            </w:r>
          </w:p>
        </w:tc>
        <w:tc>
          <w:tcPr>
            <w:tcW w:w="2449" w:type="dxa"/>
          </w:tcPr>
          <w:p>
            <w:pPr>
              <w:pStyle w:val="TableParagraph"/>
              <w:spacing w:before="123"/>
              <w:ind w:left="2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D7CB3"/>
                <w:spacing w:val="-4"/>
                <w:w w:val="120"/>
                <w:sz w:val="14"/>
              </w:rPr>
              <w:t>Ta</w:t>
            </w:r>
            <w:r>
              <w:rPr>
                <w:rFonts w:ascii="Arial"/>
                <w:b/>
                <w:color w:val="1D7CB3"/>
                <w:spacing w:val="-30"/>
                <w:w w:val="120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120"/>
                <w:sz w:val="14"/>
              </w:rPr>
              <w:t>sa</w:t>
            </w:r>
            <w:r>
              <w:rPr>
                <w:rFonts w:ascii="Arial"/>
                <w:b/>
                <w:color w:val="1D7CB3"/>
                <w:spacing w:val="19"/>
                <w:w w:val="120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120"/>
                <w:sz w:val="14"/>
              </w:rPr>
              <w:t>Bruta</w:t>
            </w:r>
            <w:r>
              <w:rPr>
                <w:rFonts w:ascii="Arial"/>
                <w:b/>
                <w:color w:val="1D7CB3"/>
                <w:spacing w:val="19"/>
                <w:w w:val="120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120"/>
                <w:sz w:val="14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w w:val="120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120"/>
                <w:sz w:val="14"/>
              </w:rPr>
              <w:t>Cobertura</w:t>
            </w:r>
          </w:p>
        </w:tc>
        <w:tc>
          <w:tcPr>
            <w:tcW w:w="1833" w:type="dxa"/>
          </w:tcPr>
          <w:p>
            <w:pPr>
              <w:pStyle w:val="TableParagraph"/>
              <w:spacing w:before="107"/>
              <w:ind w:left="325" w:right="30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20"/>
                <w:sz w:val="14"/>
              </w:rPr>
              <w:t>67,87%</w:t>
            </w:r>
          </w:p>
        </w:tc>
        <w:tc>
          <w:tcPr>
            <w:tcW w:w="1215" w:type="dxa"/>
          </w:tcPr>
          <w:p>
            <w:pPr>
              <w:pStyle w:val="TableParagraph"/>
              <w:spacing w:before="107"/>
              <w:ind w:right="25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20"/>
                <w:sz w:val="14"/>
              </w:rPr>
              <w:t>102,03%</w:t>
            </w:r>
          </w:p>
        </w:tc>
        <w:tc>
          <w:tcPr>
            <w:tcW w:w="1214" w:type="dxa"/>
          </w:tcPr>
          <w:p>
            <w:pPr>
              <w:pStyle w:val="TableParagraph"/>
              <w:spacing w:before="107"/>
              <w:ind w:left="330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20"/>
                <w:sz w:val="14"/>
              </w:rPr>
              <w:t>62,75%</w:t>
            </w:r>
          </w:p>
        </w:tc>
        <w:tc>
          <w:tcPr>
            <w:tcW w:w="1540" w:type="dxa"/>
            <w:tcBorders>
              <w:right w:val="nil"/>
            </w:tcBorders>
          </w:tcPr>
          <w:p>
            <w:pPr>
              <w:pStyle w:val="TableParagraph"/>
              <w:spacing w:before="107"/>
              <w:ind w:left="109" w:right="6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20"/>
                <w:sz w:val="14"/>
              </w:rPr>
              <w:t>34,24%</w:t>
            </w:r>
          </w:p>
        </w:tc>
      </w:tr>
      <w:tr>
        <w:trPr>
          <w:trHeight w:val="415" w:hRule="atLeast"/>
        </w:trPr>
        <w:tc>
          <w:tcPr>
            <w:tcW w:w="1216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9" w:type="dxa"/>
            <w:shd w:val="clear" w:color="auto" w:fill="DAEDF3"/>
          </w:tcPr>
          <w:p>
            <w:pPr>
              <w:pStyle w:val="TableParagraph"/>
              <w:spacing w:before="124"/>
              <w:ind w:left="2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D7CB3"/>
                <w:spacing w:val="-1"/>
                <w:w w:val="120"/>
                <w:sz w:val="14"/>
              </w:rPr>
              <w:t>Ta</w:t>
            </w:r>
            <w:r>
              <w:rPr>
                <w:rFonts w:ascii="Arial"/>
                <w:b/>
                <w:color w:val="1D7CB3"/>
                <w:spacing w:val="-30"/>
                <w:w w:val="120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0"/>
                <w:sz w:val="14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120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0"/>
                <w:sz w:val="14"/>
              </w:rPr>
              <w:t>Neta</w:t>
            </w:r>
            <w:r>
              <w:rPr>
                <w:rFonts w:ascii="Arial"/>
                <w:b/>
                <w:color w:val="1D7CB3"/>
                <w:spacing w:val="17"/>
                <w:w w:val="120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0"/>
                <w:sz w:val="14"/>
              </w:rPr>
              <w:t>de</w:t>
            </w:r>
            <w:r>
              <w:rPr>
                <w:rFonts w:ascii="Arial"/>
                <w:b/>
                <w:color w:val="1D7CB3"/>
                <w:spacing w:val="13"/>
                <w:w w:val="120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0"/>
                <w:sz w:val="14"/>
              </w:rPr>
              <w:t>Cobertura</w:t>
            </w:r>
          </w:p>
        </w:tc>
        <w:tc>
          <w:tcPr>
            <w:tcW w:w="1833" w:type="dxa"/>
            <w:shd w:val="clear" w:color="auto" w:fill="DAEDF3"/>
          </w:tcPr>
          <w:p>
            <w:pPr>
              <w:pStyle w:val="TableParagraph"/>
              <w:spacing w:before="108"/>
              <w:ind w:left="325" w:right="30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20"/>
                <w:sz w:val="14"/>
              </w:rPr>
              <w:t>56,59%</w:t>
            </w:r>
          </w:p>
        </w:tc>
        <w:tc>
          <w:tcPr>
            <w:tcW w:w="1215" w:type="dxa"/>
            <w:shd w:val="clear" w:color="auto" w:fill="DAEDF3"/>
          </w:tcPr>
          <w:p>
            <w:pPr>
              <w:pStyle w:val="TableParagraph"/>
              <w:spacing w:before="108"/>
              <w:ind w:right="28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20"/>
                <w:sz w:val="14"/>
              </w:rPr>
              <w:t>90,80%</w:t>
            </w:r>
          </w:p>
        </w:tc>
        <w:tc>
          <w:tcPr>
            <w:tcW w:w="1214" w:type="dxa"/>
            <w:shd w:val="clear" w:color="auto" w:fill="DAEDF3"/>
          </w:tcPr>
          <w:p>
            <w:pPr>
              <w:pStyle w:val="TableParagraph"/>
              <w:spacing w:before="108"/>
              <w:ind w:left="330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20"/>
                <w:sz w:val="14"/>
              </w:rPr>
              <w:t>45,35%</w:t>
            </w:r>
          </w:p>
        </w:tc>
        <w:tc>
          <w:tcPr>
            <w:tcW w:w="1540" w:type="dxa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spacing w:before="108"/>
              <w:ind w:left="109" w:right="6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20"/>
                <w:sz w:val="14"/>
              </w:rPr>
              <w:t>23,68%</w:t>
            </w:r>
          </w:p>
        </w:tc>
      </w:tr>
      <w:tr>
        <w:trPr>
          <w:trHeight w:val="417" w:hRule="atLeast"/>
        </w:trPr>
        <w:tc>
          <w:tcPr>
            <w:tcW w:w="1216" w:type="dxa"/>
            <w:vMerge w:val="restart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left="383"/>
              <w:rPr>
                <w:rFonts w:ascii="Verdana"/>
                <w:sz w:val="17"/>
              </w:rPr>
            </w:pPr>
            <w:r>
              <w:rPr>
                <w:rFonts w:ascii="Verdana"/>
                <w:w w:val="105"/>
                <w:sz w:val="17"/>
              </w:rPr>
              <w:t>2020</w:t>
            </w:r>
          </w:p>
        </w:tc>
        <w:tc>
          <w:tcPr>
            <w:tcW w:w="2449" w:type="dxa"/>
          </w:tcPr>
          <w:p>
            <w:pPr>
              <w:pStyle w:val="TableParagraph"/>
              <w:spacing w:before="124"/>
              <w:ind w:left="2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D7CB3"/>
                <w:spacing w:val="-4"/>
                <w:w w:val="120"/>
                <w:sz w:val="14"/>
              </w:rPr>
              <w:t>Ta</w:t>
            </w:r>
            <w:r>
              <w:rPr>
                <w:rFonts w:ascii="Arial"/>
                <w:b/>
                <w:color w:val="1D7CB3"/>
                <w:spacing w:val="-30"/>
                <w:w w:val="120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120"/>
                <w:sz w:val="14"/>
              </w:rPr>
              <w:t>sa</w:t>
            </w:r>
            <w:r>
              <w:rPr>
                <w:rFonts w:ascii="Arial"/>
                <w:b/>
                <w:color w:val="1D7CB3"/>
                <w:spacing w:val="19"/>
                <w:w w:val="120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120"/>
                <w:sz w:val="14"/>
              </w:rPr>
              <w:t>Bruta</w:t>
            </w:r>
            <w:r>
              <w:rPr>
                <w:rFonts w:ascii="Arial"/>
                <w:b/>
                <w:color w:val="1D7CB3"/>
                <w:spacing w:val="19"/>
                <w:w w:val="120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120"/>
                <w:sz w:val="14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w w:val="120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120"/>
                <w:sz w:val="14"/>
              </w:rPr>
              <w:t>Cobertura</w:t>
            </w:r>
          </w:p>
        </w:tc>
        <w:tc>
          <w:tcPr>
            <w:tcW w:w="1833" w:type="dxa"/>
          </w:tcPr>
          <w:p>
            <w:pPr>
              <w:pStyle w:val="TableParagraph"/>
              <w:spacing w:before="108"/>
              <w:ind w:left="325" w:right="30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20"/>
                <w:sz w:val="14"/>
              </w:rPr>
              <w:t>66,58%</w:t>
            </w:r>
          </w:p>
        </w:tc>
        <w:tc>
          <w:tcPr>
            <w:tcW w:w="1215" w:type="dxa"/>
          </w:tcPr>
          <w:p>
            <w:pPr>
              <w:pStyle w:val="TableParagraph"/>
              <w:spacing w:before="108"/>
              <w:ind w:right="25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20"/>
                <w:sz w:val="14"/>
              </w:rPr>
              <w:t>102,49%</w:t>
            </w:r>
          </w:p>
        </w:tc>
        <w:tc>
          <w:tcPr>
            <w:tcW w:w="1214" w:type="dxa"/>
          </w:tcPr>
          <w:p>
            <w:pPr>
              <w:pStyle w:val="TableParagraph"/>
              <w:spacing w:before="108"/>
              <w:ind w:left="330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20"/>
                <w:sz w:val="14"/>
              </w:rPr>
              <w:t>62,98%</w:t>
            </w:r>
          </w:p>
        </w:tc>
        <w:tc>
          <w:tcPr>
            <w:tcW w:w="1540" w:type="dxa"/>
            <w:tcBorders>
              <w:right w:val="nil"/>
            </w:tcBorders>
          </w:tcPr>
          <w:p>
            <w:pPr>
              <w:pStyle w:val="TableParagraph"/>
              <w:spacing w:before="108"/>
              <w:ind w:left="109" w:right="6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20"/>
                <w:sz w:val="14"/>
              </w:rPr>
              <w:t>34,91%</w:t>
            </w:r>
          </w:p>
        </w:tc>
      </w:tr>
      <w:tr>
        <w:trPr>
          <w:trHeight w:val="422" w:hRule="atLeast"/>
        </w:trPr>
        <w:tc>
          <w:tcPr>
            <w:tcW w:w="1216" w:type="dxa"/>
            <w:vMerge/>
            <w:tcBorders>
              <w:top w:val="nil"/>
              <w:bottom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9" w:type="dxa"/>
            <w:tcBorders>
              <w:bottom w:val="nil"/>
            </w:tcBorders>
            <w:shd w:val="clear" w:color="auto" w:fill="DAEDF3"/>
          </w:tcPr>
          <w:p>
            <w:pPr>
              <w:pStyle w:val="TableParagraph"/>
              <w:spacing w:before="124"/>
              <w:ind w:left="2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D7CB3"/>
                <w:spacing w:val="-1"/>
                <w:w w:val="120"/>
                <w:sz w:val="14"/>
              </w:rPr>
              <w:t>Ta</w:t>
            </w:r>
            <w:r>
              <w:rPr>
                <w:rFonts w:ascii="Arial"/>
                <w:b/>
                <w:color w:val="1D7CB3"/>
                <w:spacing w:val="-30"/>
                <w:w w:val="120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0"/>
                <w:sz w:val="14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120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0"/>
                <w:sz w:val="14"/>
              </w:rPr>
              <w:t>Neta</w:t>
            </w:r>
            <w:r>
              <w:rPr>
                <w:rFonts w:ascii="Arial"/>
                <w:b/>
                <w:color w:val="1D7CB3"/>
                <w:spacing w:val="17"/>
                <w:w w:val="120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0"/>
                <w:sz w:val="14"/>
              </w:rPr>
              <w:t>de</w:t>
            </w:r>
            <w:r>
              <w:rPr>
                <w:rFonts w:ascii="Arial"/>
                <w:b/>
                <w:color w:val="1D7CB3"/>
                <w:spacing w:val="13"/>
                <w:w w:val="120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0"/>
                <w:sz w:val="14"/>
              </w:rPr>
              <w:t>Cobertura</w:t>
            </w:r>
          </w:p>
        </w:tc>
        <w:tc>
          <w:tcPr>
            <w:tcW w:w="1833" w:type="dxa"/>
            <w:tcBorders>
              <w:bottom w:val="nil"/>
            </w:tcBorders>
            <w:shd w:val="clear" w:color="auto" w:fill="DAEDF3"/>
          </w:tcPr>
          <w:p>
            <w:pPr>
              <w:pStyle w:val="TableParagraph"/>
              <w:spacing w:before="107"/>
              <w:ind w:left="325" w:right="30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20"/>
                <w:sz w:val="14"/>
              </w:rPr>
              <w:t>56,02%</w:t>
            </w:r>
          </w:p>
        </w:tc>
        <w:tc>
          <w:tcPr>
            <w:tcW w:w="1215" w:type="dxa"/>
            <w:tcBorders>
              <w:bottom w:val="nil"/>
            </w:tcBorders>
            <w:shd w:val="clear" w:color="auto" w:fill="DAEDF3"/>
          </w:tcPr>
          <w:p>
            <w:pPr>
              <w:pStyle w:val="TableParagraph"/>
              <w:spacing w:before="114"/>
              <w:ind w:right="26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333333"/>
                <w:w w:val="125"/>
                <w:sz w:val="15"/>
              </w:rPr>
              <w:t>91,50%</w:t>
            </w:r>
          </w:p>
        </w:tc>
        <w:tc>
          <w:tcPr>
            <w:tcW w:w="1214" w:type="dxa"/>
            <w:tcBorders>
              <w:bottom w:val="nil"/>
            </w:tcBorders>
            <w:shd w:val="clear" w:color="auto" w:fill="DAEDF3"/>
          </w:tcPr>
          <w:p>
            <w:pPr>
              <w:pStyle w:val="TableParagraph"/>
              <w:spacing w:before="107"/>
              <w:ind w:left="330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20"/>
                <w:sz w:val="14"/>
              </w:rPr>
              <w:t>46,24%</w:t>
            </w:r>
          </w:p>
        </w:tc>
        <w:tc>
          <w:tcPr>
            <w:tcW w:w="1540" w:type="dxa"/>
            <w:tcBorders>
              <w:bottom w:val="nil"/>
              <w:right w:val="nil"/>
            </w:tcBorders>
            <w:shd w:val="clear" w:color="auto" w:fill="DAEDF3"/>
          </w:tcPr>
          <w:p>
            <w:pPr>
              <w:pStyle w:val="TableParagraph"/>
              <w:spacing w:before="114"/>
              <w:ind w:left="109" w:right="7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333333"/>
                <w:w w:val="125"/>
                <w:sz w:val="15"/>
              </w:rPr>
              <w:t>24,45%</w:t>
            </w:r>
          </w:p>
        </w:tc>
      </w:tr>
    </w:tbl>
    <w:p>
      <w:pPr>
        <w:spacing w:before="18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3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3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3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4"/>
          <w:sz w:val="14"/>
        </w:rPr>
        <w:t> </w:t>
      </w:r>
      <w:r>
        <w:rPr>
          <w:sz w:val="14"/>
        </w:rPr>
        <w:t>2021.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278" w:right="1074"/>
        <w:jc w:val="both"/>
      </w:pPr>
      <w:r>
        <w:rPr/>
        <w:t>La educación preprimaria reporta una alta cobertura durante el periodo 2017‐2020, con una TNE de</w:t>
      </w:r>
      <w:r>
        <w:rPr>
          <w:spacing w:val="1"/>
        </w:rPr>
        <w:t> </w:t>
      </w:r>
      <w:r>
        <w:rPr/>
        <w:t>(55.12%), (59.01%), (56.59%) y (56.02%) respectivamente durante los años indicados. Esto denota que de</w:t>
      </w:r>
      <w:r>
        <w:rPr>
          <w:spacing w:val="-47"/>
        </w:rPr>
        <w:t> </w:t>
      </w:r>
      <w:r>
        <w:rPr/>
        <w:t>cada 10 niños, 6 están accediendo a este nivel. Además, de evidenciar un 10% más con respecto del TNE</w:t>
      </w:r>
      <w:r>
        <w:rPr>
          <w:spacing w:val="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(47%).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1"/>
        <w:ind w:left="278" w:right="1076"/>
        <w:jc w:val="both"/>
      </w:pPr>
      <w:r>
        <w:rPr/>
        <w:t>En el nivel primaria se registran mayores valores de cobertura, que van de (89.23%), (90.87%), (90.80%) y</w:t>
      </w:r>
      <w:r>
        <w:rPr>
          <w:spacing w:val="-47"/>
        </w:rPr>
        <w:t> </w:t>
      </w:r>
      <w:r>
        <w:rPr/>
        <w:t>(91.5%), registrando el valor mayor durante el 2020. El valor promedio de la TNE de Chimaltenango</w:t>
      </w:r>
      <w:r>
        <w:rPr>
          <w:spacing w:val="1"/>
        </w:rPr>
        <w:t> </w:t>
      </w:r>
      <w:r>
        <w:rPr/>
        <w:t>(90.60%) durante el periodo fue mayor al TNE Nacional (77.5%) del último valor registrado en el 2019. Es</w:t>
      </w:r>
      <w:r>
        <w:rPr>
          <w:spacing w:val="1"/>
        </w:rPr>
        <w:t> </w:t>
      </w:r>
      <w:r>
        <w:rPr/>
        <w:t>decir,</w:t>
      </w:r>
      <w:r>
        <w:rPr>
          <w:spacing w:val="-1"/>
        </w:rPr>
        <w:t> </w:t>
      </w:r>
      <w:r>
        <w:rPr/>
        <w:t>nueve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cada diez</w:t>
      </w:r>
      <w:r>
        <w:rPr>
          <w:spacing w:val="-1"/>
        </w:rPr>
        <w:t> </w:t>
      </w:r>
      <w:r>
        <w:rPr/>
        <w:t>niños en</w:t>
      </w:r>
      <w:r>
        <w:rPr>
          <w:spacing w:val="-1"/>
        </w:rPr>
        <w:t> </w:t>
      </w:r>
      <w:r>
        <w:rPr/>
        <w:t>Chimaltenango,</w:t>
      </w:r>
      <w:r>
        <w:rPr>
          <w:spacing w:val="-1"/>
        </w:rPr>
        <w:t> </w:t>
      </w:r>
      <w:r>
        <w:rPr/>
        <w:t>están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 nivel primario.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278" w:right="1072"/>
        <w:jc w:val="both"/>
      </w:pPr>
      <w:r>
        <w:rPr/>
        <w:t>En educación básica los valores promedio para el período presentan similitudes con los datos nacionales</w:t>
      </w:r>
      <w:r>
        <w:rPr>
          <w:spacing w:val="1"/>
        </w:rPr>
        <w:t> </w:t>
      </w:r>
      <w:r>
        <w:rPr/>
        <w:t>(TNE:45.49%), debido a que reportan valores que van desde (44.54%), (45.59%), (45.35%) y (46.24%),</w:t>
      </w:r>
      <w:r>
        <w:rPr>
          <w:spacing w:val="1"/>
        </w:rPr>
        <w:t> </w:t>
      </w:r>
      <w:r>
        <w:rPr/>
        <w:t>respectivamente para el período analizado. Esto significa que uno de cada 2 alumnos en Chimaltenango</w:t>
      </w:r>
      <w:r>
        <w:rPr>
          <w:spacing w:val="1"/>
        </w:rPr>
        <w:t> </w:t>
      </w:r>
      <w:r>
        <w:rPr/>
        <w:t>asiste</w:t>
      </w:r>
      <w:r>
        <w:rPr>
          <w:spacing w:val="-1"/>
        </w:rPr>
        <w:t> </w:t>
      </w:r>
      <w:r>
        <w:rPr/>
        <w:t>al</w:t>
      </w:r>
      <w:r>
        <w:rPr>
          <w:spacing w:val="-3"/>
        </w:rPr>
        <w:t> </w:t>
      </w:r>
      <w:r>
        <w:rPr/>
        <w:t>ciclo</w:t>
      </w:r>
      <w:r>
        <w:rPr>
          <w:spacing w:val="1"/>
        </w:rPr>
        <w:t> </w:t>
      </w:r>
      <w:r>
        <w:rPr/>
        <w:t>básico.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  <w:r>
        <w:rPr/>
        <w:pict>
          <v:rect style="position:absolute;margin-left:563.880005pt;margin-top:20.203545pt;width:25.44pt;height:1.4399pt;mso-position-horizontal-relative:page;mso-position-vertical-relative:paragraph;z-index:-1546035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134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83040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8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pStyle w:val="BodyText"/>
        <w:spacing w:before="56"/>
        <w:ind w:left="278" w:right="1061"/>
      </w:pPr>
      <w:r>
        <w:rPr/>
        <w:t>Para</w:t>
      </w:r>
      <w:r>
        <w:rPr>
          <w:spacing w:val="17"/>
        </w:rPr>
        <w:t> </w:t>
      </w:r>
      <w:r>
        <w:rPr/>
        <w:t>el</w:t>
      </w:r>
      <w:r>
        <w:rPr>
          <w:spacing w:val="18"/>
        </w:rPr>
        <w:t> </w:t>
      </w:r>
      <w:r>
        <w:rPr/>
        <w:t>nivel</w:t>
      </w:r>
      <w:r>
        <w:rPr>
          <w:spacing w:val="17"/>
        </w:rPr>
        <w:t> </w:t>
      </w:r>
      <w:r>
        <w:rPr/>
        <w:t>diversificado,</w:t>
      </w:r>
      <w:r>
        <w:rPr>
          <w:spacing w:val="16"/>
        </w:rPr>
        <w:t> </w:t>
      </w:r>
      <w:r>
        <w:rPr/>
        <w:t>Chimaltenango</w:t>
      </w:r>
      <w:r>
        <w:rPr>
          <w:spacing w:val="19"/>
        </w:rPr>
        <w:t> </w:t>
      </w:r>
      <w:r>
        <w:rPr/>
        <w:t>presenta</w:t>
      </w:r>
      <w:r>
        <w:rPr>
          <w:spacing w:val="17"/>
        </w:rPr>
        <w:t> </w:t>
      </w:r>
      <w:r>
        <w:rPr/>
        <w:t>niveles</w:t>
      </w:r>
      <w:r>
        <w:rPr>
          <w:spacing w:val="16"/>
        </w:rPr>
        <w:t> </w:t>
      </w:r>
      <w:r>
        <w:rPr/>
        <w:t>ligeramente</w:t>
      </w:r>
      <w:r>
        <w:rPr>
          <w:spacing w:val="19"/>
        </w:rPr>
        <w:t> </w:t>
      </w:r>
      <w:r>
        <w:rPr/>
        <w:t>más</w:t>
      </w:r>
      <w:r>
        <w:rPr>
          <w:spacing w:val="17"/>
        </w:rPr>
        <w:t> </w:t>
      </w:r>
      <w:r>
        <w:rPr/>
        <w:t>bajos</w:t>
      </w:r>
      <w:r>
        <w:rPr>
          <w:spacing w:val="18"/>
        </w:rPr>
        <w:t> </w:t>
      </w:r>
      <w:r>
        <w:rPr/>
        <w:t>que</w:t>
      </w:r>
      <w:r>
        <w:rPr>
          <w:spacing w:val="19"/>
        </w:rPr>
        <w:t> </w:t>
      </w:r>
      <w:r>
        <w:rPr/>
        <w:t>el</w:t>
      </w:r>
      <w:r>
        <w:rPr>
          <w:spacing w:val="15"/>
        </w:rPr>
        <w:t> </w:t>
      </w:r>
      <w:r>
        <w:rPr/>
        <w:t>TNE</w:t>
      </w:r>
      <w:r>
        <w:rPr>
          <w:spacing w:val="18"/>
        </w:rPr>
        <w:t> </w:t>
      </w:r>
      <w:r>
        <w:rPr/>
        <w:t>Nacional</w:t>
      </w:r>
      <w:r>
        <w:rPr>
          <w:spacing w:val="-47"/>
        </w:rPr>
        <w:t> </w:t>
      </w:r>
      <w:r>
        <w:rPr/>
        <w:t>(24%)</w:t>
      </w:r>
      <w:r>
        <w:rPr>
          <w:spacing w:val="-3"/>
        </w:rPr>
        <w:t> </w:t>
      </w:r>
      <w:r>
        <w:rPr/>
        <w:t>ya que</w:t>
      </w:r>
      <w:r>
        <w:rPr>
          <w:spacing w:val="1"/>
        </w:rPr>
        <w:t> </w:t>
      </w:r>
      <w:r>
        <w:rPr/>
        <w:t>posee</w:t>
      </w:r>
      <w:r>
        <w:rPr>
          <w:spacing w:val="1"/>
        </w:rPr>
        <w:t> </w:t>
      </w:r>
      <w:r>
        <w:rPr/>
        <w:t>una tasa</w:t>
      </w:r>
      <w:r>
        <w:rPr>
          <w:spacing w:val="-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del</w:t>
      </w:r>
      <w:r>
        <w:rPr>
          <w:spacing w:val="-2"/>
        </w:rPr>
        <w:t> </w:t>
      </w:r>
      <w:r>
        <w:rPr/>
        <w:t>22.98%.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278" w:right="1073"/>
        <w:jc w:val="both"/>
      </w:pPr>
      <w:r>
        <w:rPr/>
        <w:t>En</w:t>
      </w:r>
      <w:r>
        <w:rPr>
          <w:spacing w:val="1"/>
        </w:rPr>
        <w:t> </w:t>
      </w:r>
      <w:r>
        <w:rPr/>
        <w:t>Chimaltenango, la</w:t>
      </w:r>
      <w:r>
        <w:rPr>
          <w:spacing w:val="1"/>
        </w:rPr>
        <w:t> </w:t>
      </w:r>
      <w:r>
        <w:rPr/>
        <w:t>reducción</w:t>
      </w:r>
      <w:r>
        <w:rPr>
          <w:spacing w:val="1"/>
        </w:rPr>
        <w:t> </w:t>
      </w:r>
      <w:r>
        <w:rPr/>
        <w:t>de la población estudiantil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para el nivel diversificado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explica</w:t>
      </w:r>
      <w:r>
        <w:rPr>
          <w:spacing w:val="1"/>
        </w:rPr>
        <w:t> </w:t>
      </w:r>
      <w:r>
        <w:rPr/>
        <w:t>fundamentalmente 1.</w:t>
      </w:r>
      <w:r>
        <w:rPr>
          <w:spacing w:val="-3"/>
        </w:rPr>
        <w:t> </w:t>
      </w:r>
      <w:r>
        <w:rPr/>
        <w:t>No le interesa. 2.</w:t>
      </w:r>
      <w:r>
        <w:rPr>
          <w:spacing w:val="-3"/>
        </w:rPr>
        <w:t> </w:t>
      </w:r>
      <w:r>
        <w:rPr/>
        <w:t>Otros.</w:t>
      </w:r>
      <w:r>
        <w:rPr>
          <w:spacing w:val="-4"/>
        </w:rPr>
        <w:t> </w:t>
      </w:r>
      <w:r>
        <w:rPr/>
        <w:t>3.</w:t>
      </w:r>
      <w:r>
        <w:rPr>
          <w:spacing w:val="-1"/>
        </w:rPr>
        <w:t> </w:t>
      </w:r>
      <w:r>
        <w:rPr/>
        <w:t>Retiro por</w:t>
      </w:r>
      <w:r>
        <w:rPr>
          <w:spacing w:val="-1"/>
        </w:rPr>
        <w:t> </w:t>
      </w:r>
      <w:r>
        <w:rPr/>
        <w:t>Traslado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4.</w:t>
      </w:r>
      <w:r>
        <w:rPr>
          <w:spacing w:val="-2"/>
        </w:rPr>
        <w:t> </w:t>
      </w:r>
      <w:r>
        <w:rPr/>
        <w:t>Falta de</w:t>
      </w:r>
      <w:r>
        <w:rPr>
          <w:spacing w:val="1"/>
        </w:rPr>
        <w:t> </w:t>
      </w:r>
      <w:r>
        <w:rPr/>
        <w:t>dinero.</w:t>
      </w:r>
    </w:p>
    <w:p>
      <w:pPr>
        <w:pStyle w:val="BodyText"/>
        <w:spacing w:before="9"/>
        <w:rPr>
          <w:sz w:val="19"/>
        </w:rPr>
      </w:pPr>
    </w:p>
    <w:p>
      <w:pPr>
        <w:pStyle w:val="Heading3"/>
        <w:numPr>
          <w:ilvl w:val="2"/>
          <w:numId w:val="32"/>
        </w:numPr>
        <w:tabs>
          <w:tab w:pos="998" w:val="left" w:leader="none"/>
          <w:tab w:pos="999" w:val="left" w:leader="none"/>
        </w:tabs>
        <w:spacing w:line="240" w:lineRule="auto" w:before="1" w:after="0"/>
        <w:ind w:left="998" w:right="0" w:hanging="721"/>
        <w:jc w:val="left"/>
      </w:pPr>
      <w:bookmarkStart w:name="_bookmark153" w:id="239"/>
      <w:bookmarkEnd w:id="239"/>
      <w:r>
        <w:rPr>
          <w:b w:val="0"/>
        </w:rPr>
      </w:r>
      <w:bookmarkStart w:name="_bookmark153" w:id="240"/>
      <w:bookmarkEnd w:id="240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Cobertura:</w:t>
      </w:r>
      <w:r>
        <w:rPr>
          <w:spacing w:val="-3"/>
        </w:rPr>
        <w:t> </w:t>
      </w:r>
      <w:r>
        <w:rPr/>
        <w:t>Tasa</w:t>
      </w:r>
      <w:r>
        <w:rPr>
          <w:spacing w:val="-3"/>
        </w:rPr>
        <w:t> </w:t>
      </w:r>
      <w:r>
        <w:rPr/>
        <w:t>Bruta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Déficit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departamento,</w:t>
      </w:r>
      <w:r>
        <w:rPr>
          <w:spacing w:val="-1"/>
        </w:rPr>
        <w:t> </w:t>
      </w:r>
      <w:r>
        <w:rPr/>
        <w:t>sexo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etnia.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ind w:left="278" w:right="1061"/>
      </w:pPr>
      <w:r>
        <w:rPr/>
        <w:t>Gráfico</w:t>
      </w:r>
      <w:r>
        <w:rPr>
          <w:spacing w:val="11"/>
        </w:rPr>
        <w:t> </w:t>
      </w:r>
      <w:r>
        <w:rPr/>
        <w:t>Nº.</w:t>
      </w:r>
      <w:r>
        <w:rPr>
          <w:spacing w:val="13"/>
        </w:rPr>
        <w:t> </w:t>
      </w:r>
      <w:r>
        <w:rPr/>
        <w:t>Total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población</w:t>
      </w:r>
      <w:r>
        <w:rPr>
          <w:spacing w:val="9"/>
        </w:rPr>
        <w:t> </w:t>
      </w:r>
      <w:r>
        <w:rPr/>
        <w:t>estudiantil</w:t>
      </w:r>
      <w:r>
        <w:rPr>
          <w:spacing w:val="13"/>
        </w:rPr>
        <w:t> </w:t>
      </w:r>
      <w:r>
        <w:rPr/>
        <w:t>por</w:t>
      </w:r>
      <w:r>
        <w:rPr>
          <w:spacing w:val="12"/>
        </w:rPr>
        <w:t> </w:t>
      </w:r>
      <w:r>
        <w:rPr/>
        <w:t>niveles</w:t>
      </w:r>
      <w:r>
        <w:rPr>
          <w:spacing w:val="11"/>
        </w:rPr>
        <w:t> </w:t>
      </w:r>
      <w:r>
        <w:rPr/>
        <w:t>educativos,</w:t>
      </w:r>
      <w:r>
        <w:rPr>
          <w:spacing w:val="10"/>
        </w:rPr>
        <w:t> </w:t>
      </w:r>
      <w:r>
        <w:rPr/>
        <w:t>etnia</w:t>
      </w:r>
      <w:r>
        <w:rPr>
          <w:spacing w:val="11"/>
        </w:rPr>
        <w:t> </w:t>
      </w:r>
      <w:r>
        <w:rPr/>
        <w:t>y</w:t>
      </w:r>
      <w:r>
        <w:rPr>
          <w:spacing w:val="13"/>
        </w:rPr>
        <w:t> </w:t>
      </w:r>
      <w:r>
        <w:rPr/>
        <w:t>sexo</w:t>
      </w:r>
      <w:r>
        <w:rPr>
          <w:spacing w:val="14"/>
        </w:rPr>
        <w:t> </w:t>
      </w:r>
      <w:r>
        <w:rPr/>
        <w:t>para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Departamento</w:t>
      </w:r>
      <w:r>
        <w:rPr>
          <w:spacing w:val="13"/>
        </w:rPr>
        <w:t> </w:t>
      </w:r>
      <w:r>
        <w:rPr/>
        <w:t>de</w:t>
      </w:r>
      <w:r>
        <w:rPr>
          <w:spacing w:val="-47"/>
        </w:rPr>
        <w:t> </w:t>
      </w:r>
      <w:r>
        <w:rPr/>
        <w:t>Baja</w:t>
      </w:r>
      <w:r>
        <w:rPr>
          <w:spacing w:val="-1"/>
        </w:rPr>
        <w:t> </w:t>
      </w:r>
      <w:r>
        <w:rPr/>
        <w:t>Verapaz</w:t>
      </w:r>
      <w:r>
        <w:rPr>
          <w:spacing w:val="-1"/>
        </w:rPr>
        <w:t> </w:t>
      </w:r>
      <w:r>
        <w:rPr/>
        <w:t>(2017-2021)</w:t>
      </w:r>
    </w:p>
    <w:p>
      <w:pPr>
        <w:pStyle w:val="BodyText"/>
        <w:spacing w:before="12"/>
        <w:rPr>
          <w:sz w:val="8"/>
        </w:rPr>
      </w:pPr>
      <w:r>
        <w:rPr/>
        <w:pict>
          <v:group style="position:absolute;margin-left:71.669304pt;margin-top:7.450391pt;width:469.85pt;height:217.05pt;mso-position-horizontal-relative:page;mso-position-vertical-relative:paragraph;z-index:-15458816;mso-wrap-distance-left:0;mso-wrap-distance-right:0" coordorigin="1433,149" coordsize="9397,4341">
            <v:rect style="position:absolute;left:1440;top:155;width:9383;height:4328" filled="true" fillcolor="#ffffff" stroked="false">
              <v:fill type="solid"/>
            </v:rect>
            <v:line style="position:absolute" from="1892,3798" to="2345,3798" stroked="true" strokeweight=".663597pt" strokecolor="#888888">
              <v:stroke dashstyle="solid"/>
            </v:line>
            <v:shape style="position:absolute;left:2519;top:3797;width:1182;height:2" coordorigin="2520,3798" coordsize="1182,0" path="m2520,3798l2548,3798m2811,3798l3701,3798e" filled="false" stroked="true" strokeweight=".663597pt" strokecolor="#888888">
              <v:path arrowok="t"/>
              <v:stroke dashstyle="solid"/>
            </v:shape>
            <v:shape style="position:absolute;left:3861;top:3794;width:4813;height:7" coordorigin="3861,3795" coordsize="4813,7" path="m3861,3801l3905,3801m4167,3801l5261,3801m5509,3801l6617,3801m6866,3801l7974,3801m8222,3801l8674,3801m3861,3795l3905,3795m4167,3795l5261,3795m5509,3795l6617,3795m6866,3795l7974,3795m8222,3795l8674,3795e" filled="false" stroked="true" strokeweight=".331797pt" strokecolor="#888888">
              <v:path arrowok="t"/>
              <v:stroke dashstyle="solid"/>
            </v:shape>
            <v:line style="position:absolute" from="1892,3468" to="2548,3468" stroked="true" strokeweight=".663597pt" strokecolor="#888888">
              <v:stroke dashstyle="solid"/>
            </v:line>
            <v:shape style="position:absolute;left:1892;top:3138;width:6782;height:330" coordorigin="1892,3138" coordsize="6782,330" path="m2811,3468l3905,3468m4167,3468l5261,3468m5509,3468l6617,3468m6866,3468l7974,3468m8134,3468l8674,3468m1892,3138l2548,3138m2811,3138l3905,3138m4167,3138l5261,3138m5509,3138l6617,3138e" filled="false" stroked="true" strokeweight=".663597pt" strokecolor="#888888">
              <v:path arrowok="t"/>
              <v:stroke dashstyle="solid"/>
            </v:shape>
            <v:line style="position:absolute" from="1892,2809" to="2548,2809" stroked="true" strokeweight=".663597pt" strokecolor="#888888">
              <v:stroke dashstyle="solid"/>
            </v:line>
            <v:shape style="position:absolute;left:2810;top:2808;width:5863;height:2" coordorigin="2811,2809" coordsize="5863,0" path="m2811,2809l3905,2809m4167,2809l5261,2809m5509,2809l6617,2809m6778,2809l8674,2809e" filled="false" stroked="true" strokeweight=".663597pt" strokecolor="#888888">
              <v:path arrowok="t"/>
              <v:stroke dashstyle="solid"/>
            </v:shape>
            <v:line style="position:absolute" from="1892,2479" to="2548,2479" stroked="true" strokeweight=".663597pt" strokecolor="#888888">
              <v:stroke dashstyle="solid"/>
            </v:line>
            <v:shape style="position:absolute;left:2708;top:2478;width:5965;height:2" coordorigin="2709,2479" coordsize="5965,0" path="m2709,2479l3905,2479m4065,2479l5261,2479m5509,2479l8674,2479e" filled="false" stroked="true" strokeweight=".663597pt" strokecolor="#888888">
              <v:path arrowok="t"/>
              <v:stroke dashstyle="solid"/>
            </v:shape>
            <v:line style="position:absolute" from="1892,2149" to="2548,2149" stroked="true" strokeweight=".663597pt" strokecolor="#888888">
              <v:stroke dashstyle="solid"/>
            </v:line>
            <v:shape style="position:absolute;left:2708;top:2145;width:2552;height:7" coordorigin="2709,2145" coordsize="2552,7" path="m2709,2152l5261,2152m2709,2145l5261,2145e" filled="false" stroked="true" strokeweight=".331807pt" strokecolor="#888888">
              <v:path arrowok="t"/>
              <v:stroke dashstyle="solid"/>
            </v:shape>
            <v:shape style="position:absolute;left:1892;top:1804;width:6782;height:2" coordorigin="1892,1805" coordsize="6782,0" path="m1892,1805l2548,1805m2709,1805l8674,1805e" filled="false" stroked="true" strokeweight=".663597pt" strokecolor="#888888">
              <v:path arrowok="t"/>
              <v:stroke dashstyle="solid"/>
            </v:shape>
            <v:shape style="position:absolute;left:1892;top:1145;width:6782;height:330" coordorigin="1892,1145" coordsize="6782,330" path="m1892,1475l1892,1475,8674,1475m1892,1145l1892,1145,8674,1145e" filled="false" stroked="true" strokeweight=".684351pt" strokecolor="#888888">
              <v:path arrowok="t"/>
              <v:stroke dashstyle="solid"/>
            </v:shape>
            <v:shape style="position:absolute;left:4765;top:4127;width:1518;height:8" coordorigin="4765,4128" coordsize="1518,8" path="m4926,4128l4765,4128,4765,4135,4926,4135,4926,4128xm6283,4128l6122,4128,6122,4135,6283,4135,6283,4128xe" filled="true" fillcolor="#c46627" stroked="false">
              <v:path arrowok="t"/>
              <v:fill type="solid"/>
            </v:shape>
            <v:shape style="position:absolute;left:3613;top:4127;width:1444;height:8" coordorigin="3614,4128" coordsize="1444,8" path="m3701,4128l3614,4128,3614,4135,3701,4135,3701,4128xm5058,4128l4970,4128,4970,4135,5058,4135,5058,4128xe" filled="true" fillcolor="#d29e00" stroked="false">
              <v:path arrowok="t"/>
              <v:fill type="solid"/>
            </v:shape>
            <v:shape style="position:absolute;left:2344;top:3728;width:5585;height:406" coordorigin="2345,3729" coordsize="5585,406" path="m2520,3729l2345,3729,2345,4135,2520,4135,2520,3729xm3861,3783l3701,3783,3701,4135,3861,4135,3861,3783xm5217,3825l5058,3825,5058,4135,5217,4135,5217,3825xm6573,3798l6414,3798,6414,4135,6573,4135,6573,3798xm7930,3894l7770,3894,7770,4135,7930,4135,7930,3894xe" filled="true" fillcolor="#497eaf" stroked="false">
              <v:path arrowok="t"/>
              <v:fill type="solid"/>
            </v:shape>
            <v:shape style="position:absolute;left:2446;top:3824;width:5528;height:311" coordorigin="2446,3825" coordsize="5528,311" path="m2548,3948l2446,3948,2446,4135,2548,4135,2548,3948xm3905,3894l3803,3894,3803,4135,3905,4135,3905,3894xm5261,3963l5159,3963,5159,4135,5261,4135,5261,3963xm6617,3825l6516,3825,6516,4135,6617,4135,6617,3825xm7974,3907l7872,3907,7872,4135,7974,4135,7974,3907xe" filled="true" fillcolor="#5b8e39" stroked="false">
              <v:path arrowok="t"/>
              <v:fill type="solid"/>
            </v:shape>
            <v:shape style="position:absolute;left:2548;top:1544;width:5586;height:2591" coordorigin="2548,1544" coordsize="5586,2591" path="m2709,1544l2548,1544,2548,4135,2709,4135,2709,1544xm4065,2149l3905,2149,3905,4135,4065,4135,4065,2149xm5422,2080l5261,2080,5261,4135,5422,4135,5422,2080xm6778,2726l6617,2726,6617,4135,6778,4135,6778,2726xm8134,3344l7974,3344,7974,4135,8134,4135,8134,3344xe" filled="true" fillcolor="#4471c4" stroked="false">
              <v:path arrowok="t"/>
              <v:fill type="solid"/>
            </v:shape>
            <v:shape style="position:absolute;left:2635;top:2396;width:5587;height:1739" coordorigin="2636,2396" coordsize="5587,1739" path="m2811,2533l2636,2533,2636,4135,2811,4135,2811,2533xm4167,2767l3992,2767,3992,4135,4167,4135,4167,2767xm5509,2396l5348,2396,5348,4135,5509,4135,5509,2396xm6866,3317l6705,3317,6705,4135,6866,4135,6866,3317xm8222,3605l8061,3605,8061,4135,8222,4135,8222,3605xe" filled="true" fillcolor="#ec7c30" stroked="false">
              <v:path arrowok="t"/>
              <v:fill type="solid"/>
            </v:shape>
            <v:shape style="position:absolute;left:2738;top:4127;width:4229;height:8" coordorigin="2739,4128" coordsize="4229,8" path="m2899,4128l2739,4128,2739,4135,2899,4135,2899,4128xm4255,4128l4095,4128,4095,4135,4255,4135,4255,4128xm5611,4128l5451,4128,5451,4135,5611,4135,5611,4128xm6967,4128l6808,4128,6808,4135,6967,4135,6967,4128xe" filled="true" fillcolor="#a4a4a4" stroked="false">
              <v:path arrowok="t"/>
              <v:fill type="solid"/>
            </v:shape>
            <v:rect style="position:absolute;left:5640;top:4127;width:175;height:8" filled="true" fillcolor="#5b9bd4" stroked="false">
              <v:fill type="solid"/>
            </v:rect>
            <v:shape style="position:absolute;left:1899;top:1145;width:6780;height:2990" coordorigin="1900,1145" coordsize="6780,2990" path="m1900,4135l1900,4135,1900,1145m1900,4135l1900,4135,8679,4135e" filled="false" stroked="true" strokeweight=".684351pt" strokecolor="#888888">
              <v:path arrowok="t"/>
              <v:stroke dashstyle="solid"/>
            </v:shape>
            <v:rect style="position:absolute;left:8944;top:1363;width:64;height:60" filled="true" fillcolor="#375da0" stroked="false">
              <v:fill type="solid"/>
            </v:rect>
            <v:rect style="position:absolute;left:8944;top:1606;width:64;height:61" filled="true" fillcolor="#c46627" stroked="false">
              <v:fill type="solid"/>
            </v:rect>
            <v:rect style="position:absolute;left:8944;top:1850;width:64;height:61" filled="true" fillcolor="#878787" stroked="false">
              <v:fill type="solid"/>
            </v:rect>
            <v:rect style="position:absolute;left:8944;top:2093;width:64;height:61" filled="true" fillcolor="#d29e00" stroked="false">
              <v:fill type="solid"/>
            </v:rect>
            <v:rect style="position:absolute;left:8944;top:2336;width:64;height:61" filled="true" fillcolor="#497eaf" stroked="false">
              <v:fill type="solid"/>
            </v:rect>
            <v:rect style="position:absolute;left:8944;top:2579;width:64;height:61" filled="true" fillcolor="#5b8e39" stroked="false">
              <v:fill type="solid"/>
            </v:rect>
            <v:rect style="position:absolute;left:8944;top:2822;width:64;height:61" filled="true" fillcolor="#4471c4" stroked="false">
              <v:fill type="solid"/>
            </v:rect>
            <v:rect style="position:absolute;left:8944;top:3066;width:64;height:61" filled="true" fillcolor="#ec7c30" stroked="false">
              <v:fill type="solid"/>
            </v:rect>
            <v:rect style="position:absolute;left:8944;top:3309;width:64;height:61" filled="true" fillcolor="#a4a4a4" stroked="false">
              <v:fill type="solid"/>
            </v:rect>
            <v:rect style="position:absolute;left:8944;top:3552;width:64;height:61" filled="true" fillcolor="#ffc000" stroked="false">
              <v:fill type="solid"/>
            </v:rect>
            <v:rect style="position:absolute;left:8944;top:3796;width:64;height:60" filled="true" fillcolor="#5b9bd4" stroked="false">
              <v:fill type="solid"/>
            </v:rect>
            <v:rect style="position:absolute;left:8944;top:4040;width:64;height:60" filled="true" fillcolor="#6fac46" stroked="false">
              <v:fill type="solid"/>
            </v:rect>
            <v:rect style="position:absolute;left:1440;top:155;width:9383;height:4328" filled="false" stroked="true" strokeweight=".670865pt" strokecolor="#888888">
              <v:stroke dashstyle="solid"/>
            </v:rect>
            <v:shape style="position:absolute;left:1543;top:285;width:7179;height:2279" type="#_x0000_t202" filled="false" stroked="false">
              <v:textbox inset="0,0,0,0">
                <w:txbxContent>
                  <w:p>
                    <w:pPr>
                      <w:spacing w:line="287" w:lineRule="exact" w:before="7"/>
                      <w:ind w:left="2029" w:right="28" w:firstLine="0"/>
                      <w:jc w:val="center"/>
                      <w:rPr>
                        <w:rFonts w:ascii="Verdana"/>
                        <w:sz w:val="24"/>
                      </w:rPr>
                    </w:pPr>
                    <w:r>
                      <w:rPr>
                        <w:rFonts w:ascii="Verdana"/>
                        <w:w w:val="110"/>
                        <w:sz w:val="24"/>
                      </w:rPr>
                      <w:t>Chimaltenango</w:t>
                    </w:r>
                  </w:p>
                  <w:p>
                    <w:pPr>
                      <w:spacing w:line="235" w:lineRule="auto" w:before="0"/>
                      <w:ind w:left="2032" w:right="28" w:firstLine="0"/>
                      <w:jc w:val="center"/>
                      <w:rPr>
                        <w:rFonts w:ascii="Verdana" w:hAnsi="Verdana"/>
                        <w:sz w:val="15"/>
                      </w:rPr>
                    </w:pPr>
                    <w:r>
                      <w:rPr>
                        <w:rFonts w:ascii="Verdana" w:hAnsi="Verdana"/>
                        <w:sz w:val="15"/>
                      </w:rPr>
                      <w:t>Total</w:t>
                    </w:r>
                    <w:r>
                      <w:rPr>
                        <w:rFonts w:ascii="Verdana" w:hAnsi="Verdana"/>
                        <w:spacing w:val="9"/>
                        <w:sz w:val="15"/>
                      </w:rPr>
                      <w:t> </w:t>
                    </w:r>
                    <w:r>
                      <w:rPr>
                        <w:rFonts w:ascii="Verdana" w:hAnsi="Verdana"/>
                        <w:sz w:val="15"/>
                      </w:rPr>
                      <w:t>de</w:t>
                    </w:r>
                    <w:r>
                      <w:rPr>
                        <w:rFonts w:ascii="Verdana" w:hAnsi="Verdana"/>
                        <w:spacing w:val="9"/>
                        <w:sz w:val="15"/>
                      </w:rPr>
                      <w:t> </w:t>
                    </w:r>
                    <w:r>
                      <w:rPr>
                        <w:rFonts w:ascii="Verdana" w:hAnsi="Verdana"/>
                        <w:sz w:val="15"/>
                      </w:rPr>
                      <w:t>población</w:t>
                    </w:r>
                    <w:r>
                      <w:rPr>
                        <w:rFonts w:ascii="Verdana" w:hAnsi="Verdana"/>
                        <w:spacing w:val="10"/>
                        <w:sz w:val="15"/>
                      </w:rPr>
                      <w:t> </w:t>
                    </w:r>
                    <w:r>
                      <w:rPr>
                        <w:rFonts w:ascii="Verdana" w:hAnsi="Verdana"/>
                        <w:sz w:val="15"/>
                      </w:rPr>
                      <w:t>estudiantil</w:t>
                    </w:r>
                    <w:r>
                      <w:rPr>
                        <w:rFonts w:ascii="Verdana" w:hAnsi="Verdana"/>
                        <w:spacing w:val="9"/>
                        <w:sz w:val="15"/>
                      </w:rPr>
                      <w:t> </w:t>
                    </w:r>
                    <w:r>
                      <w:rPr>
                        <w:rFonts w:ascii="Verdana" w:hAnsi="Verdana"/>
                        <w:sz w:val="15"/>
                      </w:rPr>
                      <w:t>por</w:t>
                    </w:r>
                    <w:r>
                      <w:rPr>
                        <w:rFonts w:ascii="Verdana" w:hAnsi="Verdana"/>
                        <w:spacing w:val="10"/>
                        <w:sz w:val="15"/>
                      </w:rPr>
                      <w:t> </w:t>
                    </w:r>
                    <w:r>
                      <w:rPr>
                        <w:rFonts w:ascii="Verdana" w:hAnsi="Verdana"/>
                        <w:sz w:val="15"/>
                      </w:rPr>
                      <w:t>Niveles</w:t>
                    </w:r>
                    <w:r>
                      <w:rPr>
                        <w:rFonts w:ascii="Verdana" w:hAnsi="Verdana"/>
                        <w:spacing w:val="11"/>
                        <w:sz w:val="15"/>
                      </w:rPr>
                      <w:t> </w:t>
                    </w:r>
                    <w:r>
                      <w:rPr>
                        <w:rFonts w:ascii="Verdana" w:hAnsi="Verdana"/>
                        <w:sz w:val="15"/>
                      </w:rPr>
                      <w:t>educativos,</w:t>
                    </w:r>
                    <w:r>
                      <w:rPr>
                        <w:rFonts w:ascii="Verdana" w:hAnsi="Verdana"/>
                        <w:spacing w:val="9"/>
                        <w:sz w:val="15"/>
                      </w:rPr>
                      <w:t> </w:t>
                    </w:r>
                    <w:r>
                      <w:rPr>
                        <w:rFonts w:ascii="Verdana" w:hAnsi="Verdana"/>
                        <w:sz w:val="15"/>
                      </w:rPr>
                      <w:t>etnia</w:t>
                    </w:r>
                    <w:r>
                      <w:rPr>
                        <w:rFonts w:ascii="Verdana" w:hAnsi="Verdana"/>
                        <w:spacing w:val="10"/>
                        <w:sz w:val="15"/>
                      </w:rPr>
                      <w:t> </w:t>
                    </w:r>
                    <w:r>
                      <w:rPr>
                        <w:rFonts w:ascii="Verdana" w:hAnsi="Verdana"/>
                        <w:sz w:val="15"/>
                      </w:rPr>
                      <w:t>y</w:t>
                    </w:r>
                    <w:r>
                      <w:rPr>
                        <w:rFonts w:ascii="Verdana" w:hAnsi="Verdana"/>
                        <w:spacing w:val="9"/>
                        <w:sz w:val="15"/>
                      </w:rPr>
                      <w:t> </w:t>
                    </w:r>
                    <w:r>
                      <w:rPr>
                        <w:rFonts w:ascii="Verdana" w:hAnsi="Verdana"/>
                        <w:sz w:val="15"/>
                      </w:rPr>
                      <w:t>sexo</w:t>
                    </w:r>
                    <w:r>
                      <w:rPr>
                        <w:rFonts w:ascii="Verdana" w:hAnsi="Verdana"/>
                        <w:spacing w:val="-49"/>
                        <w:sz w:val="15"/>
                      </w:rPr>
                      <w:t> </w:t>
                    </w:r>
                    <w:r>
                      <w:rPr>
                        <w:rFonts w:ascii="Verdana" w:hAnsi="Verdana"/>
                        <w:sz w:val="15"/>
                      </w:rPr>
                      <w:t>2017-2021</w:t>
                    </w:r>
                  </w:p>
                  <w:p>
                    <w:pPr>
                      <w:spacing w:before="14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450</w:t>
                    </w:r>
                  </w:p>
                  <w:p>
                    <w:pPr>
                      <w:spacing w:line="240" w:lineRule="auto" w:before="2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400</w:t>
                    </w:r>
                  </w:p>
                  <w:p>
                    <w:pPr>
                      <w:spacing w:line="240" w:lineRule="auto" w:before="3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350</w:t>
                    </w:r>
                  </w:p>
                  <w:p>
                    <w:pPr>
                      <w:spacing w:line="240" w:lineRule="auto" w:before="2"/>
                      <w:rPr>
                        <w:sz w:val="14"/>
                      </w:rPr>
                    </w:pPr>
                  </w:p>
                  <w:p>
                    <w:pPr>
                      <w:tabs>
                        <w:tab w:pos="3878" w:val="left" w:leader="none"/>
                        <w:tab w:pos="7158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rFonts w:ascii="Verdana"/>
                        <w:sz w:val="11"/>
                      </w:rPr>
                    </w:pPr>
                    <w:r>
                      <w:rPr>
                        <w:w w:val="110"/>
                        <w:sz w:val="13"/>
                      </w:rPr>
                      <w:t>300</w:t>
                    </w:r>
                    <w:r>
                      <w:rPr>
                        <w:sz w:val="13"/>
                      </w:rPr>
                      <w:tab/>
                    </w:r>
                    <w:r>
                      <w:rPr>
                        <w:rFonts w:ascii="Verdana"/>
                        <w:w w:val="83"/>
                        <w:position w:val="3"/>
                        <w:sz w:val="11"/>
                        <w:u w:val="single" w:color="888888"/>
                      </w:rPr>
                      <w:t> </w:t>
                    </w:r>
                    <w:r>
                      <w:rPr>
                        <w:rFonts w:ascii="Verdana"/>
                        <w:position w:val="3"/>
                        <w:sz w:val="11"/>
                        <w:u w:val="single" w:color="888888"/>
                      </w:rPr>
                      <w:tab/>
                    </w:r>
                  </w:p>
                  <w:p>
                    <w:pPr>
                      <w:spacing w:line="240" w:lineRule="auto" w:before="2"/>
                      <w:rPr>
                        <w:rFonts w:ascii="Verdana"/>
                        <w:sz w:val="14"/>
                      </w:rPr>
                    </w:pPr>
                  </w:p>
                  <w:p>
                    <w:pPr>
                      <w:spacing w:line="158" w:lineRule="exact" w:before="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1543;top:2759;width:242;height:469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200</w:t>
                    </w:r>
                  </w:p>
                  <w:p>
                    <w:pPr>
                      <w:spacing w:line="240" w:lineRule="auto" w:before="2"/>
                      <w:rPr>
                        <w:sz w:val="14"/>
                      </w:rPr>
                    </w:pPr>
                  </w:p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6778;top:3030;width:1944;height:134" type="#_x0000_t202" filled="false" stroked="false">
              <v:textbox inset="0,0,0,0">
                <w:txbxContent>
                  <w:p>
                    <w:pPr>
                      <w:tabs>
                        <w:tab w:pos="1923" w:val="left" w:leader="none"/>
                      </w:tabs>
                      <w:spacing w:line="133" w:lineRule="exact" w:before="0"/>
                      <w:ind w:left="0" w:right="0" w:firstLine="0"/>
                      <w:jc w:val="lef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83"/>
                        <w:sz w:val="11"/>
                        <w:u w:val="single" w:color="888888"/>
                      </w:rPr>
                      <w:t> </w:t>
                    </w:r>
                    <w:r>
                      <w:rPr>
                        <w:rFonts w:ascii="Verdana"/>
                        <w:sz w:val="11"/>
                        <w:u w:val="single" w:color="888888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543;top:3422;width:242;height:470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100</w:t>
                    </w:r>
                  </w:p>
                  <w:p>
                    <w:pPr>
                      <w:spacing w:line="240" w:lineRule="auto" w:before="2"/>
                      <w:rPr>
                        <w:sz w:val="14"/>
                      </w:rPr>
                    </w:pPr>
                  </w:p>
                  <w:p>
                    <w:pPr>
                      <w:spacing w:line="158" w:lineRule="exact" w:before="0"/>
                      <w:ind w:left="73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5789;top:3928;width:94;height:138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12"/>
                        <w:sz w:val="13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690;top:4087;width:94;height:138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12"/>
                        <w:sz w:val="13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034;top:1327;width:1584;height:2811" type="#_x0000_t202" filled="false" stroked="false">
              <v:textbox inset="0,0,0,0">
                <w:txbxContent>
                  <w:p>
                    <w:pPr>
                      <w:spacing w:line="436" w:lineRule="auto" w:before="0"/>
                      <w:ind w:left="0" w:right="214" w:firstLine="0"/>
                      <w:jc w:val="lef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95"/>
                        <w:sz w:val="11"/>
                      </w:rPr>
                      <w:t>EXTRANJERO</w:t>
                    </w:r>
                    <w:r>
                      <w:rPr>
                        <w:rFonts w:ascii="Verdana"/>
                        <w:spacing w:val="3"/>
                        <w:w w:val="95"/>
                        <w:sz w:val="11"/>
                      </w:rPr>
                      <w:t> </w:t>
                    </w:r>
                    <w:r>
                      <w:rPr>
                        <w:rFonts w:ascii="Verdana"/>
                        <w:w w:val="95"/>
                        <w:sz w:val="11"/>
                      </w:rPr>
                      <w:t>-</w:t>
                    </w:r>
                    <w:r>
                      <w:rPr>
                        <w:rFonts w:ascii="Verdana"/>
                        <w:spacing w:val="4"/>
                        <w:w w:val="95"/>
                        <w:sz w:val="11"/>
                      </w:rPr>
                      <w:t> </w:t>
                    </w:r>
                    <w:r>
                      <w:rPr>
                        <w:rFonts w:ascii="Verdana"/>
                        <w:w w:val="95"/>
                        <w:sz w:val="11"/>
                      </w:rPr>
                      <w:t>HOMBRES</w:t>
                    </w:r>
                    <w:r>
                      <w:rPr>
                        <w:rFonts w:ascii="Verdana"/>
                        <w:spacing w:val="-34"/>
                        <w:w w:val="95"/>
                        <w:sz w:val="11"/>
                      </w:rPr>
                      <w:t> </w:t>
                    </w:r>
                    <w:r>
                      <w:rPr>
                        <w:rFonts w:ascii="Verdana"/>
                        <w:w w:val="95"/>
                        <w:sz w:val="11"/>
                      </w:rPr>
                      <w:t>EXTRANJERO - MUJERES</w:t>
                    </w:r>
                    <w:r>
                      <w:rPr>
                        <w:rFonts w:ascii="Verdana"/>
                        <w:spacing w:val="1"/>
                        <w:w w:val="95"/>
                        <w:sz w:val="11"/>
                      </w:rPr>
                      <w:t> </w:t>
                    </w:r>
                    <w:r>
                      <w:rPr>
                        <w:rFonts w:ascii="Verdana"/>
                        <w:w w:val="118"/>
                        <w:sz w:val="11"/>
                      </w:rPr>
                      <w:t>G</w:t>
                    </w:r>
                    <w:r>
                      <w:rPr>
                        <w:rFonts w:ascii="Verdana"/>
                        <w:w w:val="114"/>
                        <w:sz w:val="11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92"/>
                        <w:sz w:val="11"/>
                      </w:rPr>
                      <w:t>R</w:t>
                    </w:r>
                    <w:r>
                      <w:rPr>
                        <w:rFonts w:ascii="Verdana"/>
                        <w:spacing w:val="1"/>
                        <w:w w:val="56"/>
                        <w:sz w:val="11"/>
                      </w:rPr>
                      <w:t>I</w:t>
                    </w:r>
                    <w:r>
                      <w:rPr>
                        <w:rFonts w:ascii="Verdana"/>
                        <w:spacing w:val="-1"/>
                        <w:w w:val="89"/>
                        <w:sz w:val="11"/>
                      </w:rPr>
                      <w:t>F</w:t>
                    </w:r>
                    <w:r>
                      <w:rPr>
                        <w:rFonts w:ascii="Verdana"/>
                        <w:w w:val="94"/>
                        <w:sz w:val="11"/>
                      </w:rPr>
                      <w:t>U</w:t>
                    </w:r>
                    <w:r>
                      <w:rPr>
                        <w:rFonts w:ascii="Verdana"/>
                        <w:w w:val="104"/>
                        <w:sz w:val="11"/>
                      </w:rPr>
                      <w:t>N</w:t>
                    </w:r>
                    <w:r>
                      <w:rPr>
                        <w:rFonts w:ascii="Verdana"/>
                        <w:w w:val="114"/>
                        <w:sz w:val="11"/>
                      </w:rPr>
                      <w:t>A</w:t>
                    </w:r>
                    <w:r>
                      <w:rPr>
                        <w:rFonts w:ascii="Verdana"/>
                        <w:spacing w:val="-7"/>
                        <w:sz w:val="11"/>
                      </w:rPr>
                      <w:t> </w:t>
                    </w:r>
                    <w:r>
                      <w:rPr>
                        <w:rFonts w:ascii="Verdana"/>
                        <w:w w:val="77"/>
                        <w:sz w:val="11"/>
                      </w:rPr>
                      <w:t>-</w:t>
                    </w:r>
                    <w:r>
                      <w:rPr>
                        <w:rFonts w:ascii="Verdana"/>
                        <w:spacing w:val="-7"/>
                        <w:sz w:val="11"/>
                      </w:rPr>
                      <w:t> </w:t>
                    </w:r>
                    <w:r>
                      <w:rPr>
                        <w:rFonts w:ascii="Verdana"/>
                        <w:w w:val="95"/>
                        <w:sz w:val="11"/>
                      </w:rPr>
                      <w:t>H</w:t>
                    </w:r>
                    <w:r>
                      <w:rPr>
                        <w:rFonts w:ascii="Verdana"/>
                        <w:w w:val="116"/>
                        <w:sz w:val="11"/>
                      </w:rPr>
                      <w:t>O</w:t>
                    </w:r>
                    <w:r>
                      <w:rPr>
                        <w:rFonts w:ascii="Verdana"/>
                        <w:w w:val="115"/>
                        <w:sz w:val="11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88"/>
                        <w:sz w:val="11"/>
                      </w:rPr>
                      <w:t>B</w:t>
                    </w:r>
                    <w:r>
                      <w:rPr>
                        <w:rFonts w:ascii="Verdana"/>
                        <w:w w:val="92"/>
                        <w:sz w:val="11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89"/>
                        <w:sz w:val="11"/>
                      </w:rPr>
                      <w:t>E</w:t>
                    </w:r>
                    <w:r>
                      <w:rPr>
                        <w:rFonts w:ascii="Verdana"/>
                        <w:w w:val="76"/>
                        <w:sz w:val="11"/>
                      </w:rPr>
                      <w:t>S </w:t>
                    </w:r>
                    <w:r>
                      <w:rPr>
                        <w:rFonts w:ascii="Verdana"/>
                        <w:w w:val="118"/>
                        <w:sz w:val="11"/>
                      </w:rPr>
                      <w:t>G</w:t>
                    </w:r>
                    <w:r>
                      <w:rPr>
                        <w:rFonts w:ascii="Verdana"/>
                        <w:w w:val="114"/>
                        <w:sz w:val="11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92"/>
                        <w:sz w:val="11"/>
                      </w:rPr>
                      <w:t>R</w:t>
                    </w:r>
                    <w:r>
                      <w:rPr>
                        <w:rFonts w:ascii="Verdana"/>
                        <w:spacing w:val="1"/>
                        <w:w w:val="56"/>
                        <w:sz w:val="11"/>
                      </w:rPr>
                      <w:t>I</w:t>
                    </w:r>
                    <w:r>
                      <w:rPr>
                        <w:rFonts w:ascii="Verdana"/>
                        <w:spacing w:val="-1"/>
                        <w:w w:val="89"/>
                        <w:sz w:val="11"/>
                      </w:rPr>
                      <w:t>F</w:t>
                    </w:r>
                    <w:r>
                      <w:rPr>
                        <w:rFonts w:ascii="Verdana"/>
                        <w:w w:val="94"/>
                        <w:sz w:val="11"/>
                      </w:rPr>
                      <w:t>U</w:t>
                    </w:r>
                    <w:r>
                      <w:rPr>
                        <w:rFonts w:ascii="Verdana"/>
                        <w:w w:val="104"/>
                        <w:sz w:val="11"/>
                      </w:rPr>
                      <w:t>N</w:t>
                    </w:r>
                    <w:r>
                      <w:rPr>
                        <w:rFonts w:ascii="Verdana"/>
                        <w:w w:val="114"/>
                        <w:sz w:val="11"/>
                      </w:rPr>
                      <w:t>A</w:t>
                    </w:r>
                    <w:r>
                      <w:rPr>
                        <w:rFonts w:ascii="Verdana"/>
                        <w:spacing w:val="-7"/>
                        <w:sz w:val="11"/>
                      </w:rPr>
                      <w:t> </w:t>
                    </w:r>
                    <w:r>
                      <w:rPr>
                        <w:rFonts w:ascii="Verdana"/>
                        <w:w w:val="77"/>
                        <w:sz w:val="11"/>
                      </w:rPr>
                      <w:t>-</w:t>
                    </w:r>
                    <w:r>
                      <w:rPr>
                        <w:rFonts w:ascii="Verdana"/>
                        <w:spacing w:val="-7"/>
                        <w:sz w:val="11"/>
                      </w:rPr>
                      <w:t> </w:t>
                    </w:r>
                    <w:r>
                      <w:rPr>
                        <w:rFonts w:ascii="Verdana"/>
                        <w:w w:val="115"/>
                        <w:sz w:val="11"/>
                      </w:rPr>
                      <w:t>M</w:t>
                    </w:r>
                    <w:r>
                      <w:rPr>
                        <w:rFonts w:ascii="Verdana"/>
                        <w:w w:val="94"/>
                        <w:sz w:val="11"/>
                      </w:rPr>
                      <w:t>U</w:t>
                    </w:r>
                    <w:r>
                      <w:rPr>
                        <w:rFonts w:ascii="Verdana"/>
                        <w:spacing w:val="1"/>
                        <w:w w:val="111"/>
                        <w:sz w:val="11"/>
                      </w:rPr>
                      <w:t>J</w:t>
                    </w:r>
                    <w:r>
                      <w:rPr>
                        <w:rFonts w:ascii="Verdana"/>
                        <w:spacing w:val="-1"/>
                        <w:w w:val="89"/>
                        <w:sz w:val="11"/>
                      </w:rPr>
                      <w:t>E</w:t>
                    </w:r>
                    <w:r>
                      <w:rPr>
                        <w:rFonts w:ascii="Verdana"/>
                        <w:w w:val="92"/>
                        <w:sz w:val="11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89"/>
                        <w:sz w:val="11"/>
                      </w:rPr>
                      <w:t>E</w:t>
                    </w:r>
                    <w:r>
                      <w:rPr>
                        <w:rFonts w:ascii="Verdana"/>
                        <w:w w:val="76"/>
                        <w:sz w:val="11"/>
                      </w:rPr>
                      <w:t>S </w:t>
                    </w:r>
                    <w:r>
                      <w:rPr>
                        <w:rFonts w:ascii="Verdana"/>
                        <w:w w:val="87"/>
                        <w:sz w:val="11"/>
                      </w:rPr>
                      <w:t>L</w:t>
                    </w:r>
                    <w:r>
                      <w:rPr>
                        <w:rFonts w:ascii="Verdana"/>
                        <w:w w:val="114"/>
                        <w:sz w:val="11"/>
                      </w:rPr>
                      <w:t>A</w:t>
                    </w:r>
                    <w:r>
                      <w:rPr>
                        <w:rFonts w:ascii="Verdana"/>
                        <w:w w:val="101"/>
                        <w:sz w:val="11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w w:val="56"/>
                        <w:sz w:val="11"/>
                      </w:rPr>
                      <w:t>I</w:t>
                    </w:r>
                    <w:r>
                      <w:rPr>
                        <w:rFonts w:ascii="Verdana"/>
                        <w:w w:val="104"/>
                        <w:sz w:val="11"/>
                      </w:rPr>
                      <w:t>N</w:t>
                    </w:r>
                    <w:r>
                      <w:rPr>
                        <w:rFonts w:ascii="Verdana"/>
                        <w:w w:val="116"/>
                        <w:sz w:val="11"/>
                      </w:rPr>
                      <w:t>O</w:t>
                    </w:r>
                    <w:r>
                      <w:rPr>
                        <w:rFonts w:ascii="Verdana"/>
                        <w:spacing w:val="-6"/>
                        <w:sz w:val="11"/>
                      </w:rPr>
                      <w:t> </w:t>
                    </w:r>
                    <w:r>
                      <w:rPr>
                        <w:rFonts w:ascii="Verdana"/>
                        <w:w w:val="77"/>
                        <w:sz w:val="11"/>
                      </w:rPr>
                      <w:t>-</w:t>
                    </w:r>
                    <w:r>
                      <w:rPr>
                        <w:rFonts w:ascii="Verdana"/>
                        <w:spacing w:val="-7"/>
                        <w:sz w:val="11"/>
                      </w:rPr>
                      <w:t> </w:t>
                    </w:r>
                    <w:r>
                      <w:rPr>
                        <w:rFonts w:ascii="Verdana"/>
                        <w:w w:val="95"/>
                        <w:sz w:val="11"/>
                      </w:rPr>
                      <w:t>H</w:t>
                    </w:r>
                    <w:r>
                      <w:rPr>
                        <w:rFonts w:ascii="Verdana"/>
                        <w:w w:val="116"/>
                        <w:sz w:val="11"/>
                      </w:rPr>
                      <w:t>O</w:t>
                    </w:r>
                    <w:r>
                      <w:rPr>
                        <w:rFonts w:ascii="Verdana"/>
                        <w:w w:val="115"/>
                        <w:sz w:val="11"/>
                      </w:rPr>
                      <w:t>M</w:t>
                    </w:r>
                    <w:r>
                      <w:rPr>
                        <w:rFonts w:ascii="Verdana"/>
                        <w:w w:val="88"/>
                        <w:sz w:val="11"/>
                      </w:rPr>
                      <w:t>B</w:t>
                    </w:r>
                    <w:r>
                      <w:rPr>
                        <w:rFonts w:ascii="Verdana"/>
                        <w:w w:val="92"/>
                        <w:sz w:val="11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89"/>
                        <w:sz w:val="11"/>
                      </w:rPr>
                      <w:t>E</w:t>
                    </w:r>
                    <w:r>
                      <w:rPr>
                        <w:rFonts w:ascii="Verdana"/>
                        <w:w w:val="76"/>
                        <w:sz w:val="11"/>
                      </w:rPr>
                      <w:t>S </w:t>
                    </w:r>
                    <w:r>
                      <w:rPr>
                        <w:rFonts w:ascii="Verdana"/>
                        <w:w w:val="87"/>
                        <w:sz w:val="11"/>
                      </w:rPr>
                      <w:t>L</w:t>
                    </w:r>
                    <w:r>
                      <w:rPr>
                        <w:rFonts w:ascii="Verdana"/>
                        <w:w w:val="114"/>
                        <w:sz w:val="11"/>
                      </w:rPr>
                      <w:t>A</w:t>
                    </w:r>
                    <w:r>
                      <w:rPr>
                        <w:rFonts w:ascii="Verdana"/>
                        <w:w w:val="101"/>
                        <w:sz w:val="11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w w:val="56"/>
                        <w:sz w:val="11"/>
                      </w:rPr>
                      <w:t>I</w:t>
                    </w:r>
                    <w:r>
                      <w:rPr>
                        <w:rFonts w:ascii="Verdana"/>
                        <w:w w:val="104"/>
                        <w:sz w:val="11"/>
                      </w:rPr>
                      <w:t>N</w:t>
                    </w:r>
                    <w:r>
                      <w:rPr>
                        <w:rFonts w:ascii="Verdana"/>
                        <w:w w:val="116"/>
                        <w:sz w:val="11"/>
                      </w:rPr>
                      <w:t>O</w:t>
                    </w:r>
                    <w:r>
                      <w:rPr>
                        <w:rFonts w:ascii="Verdana"/>
                        <w:spacing w:val="-6"/>
                        <w:sz w:val="11"/>
                      </w:rPr>
                      <w:t> </w:t>
                    </w:r>
                    <w:r>
                      <w:rPr>
                        <w:rFonts w:ascii="Verdana"/>
                        <w:w w:val="77"/>
                        <w:sz w:val="11"/>
                      </w:rPr>
                      <w:t>-</w:t>
                    </w:r>
                    <w:r>
                      <w:rPr>
                        <w:rFonts w:ascii="Verdana"/>
                        <w:spacing w:val="-7"/>
                        <w:sz w:val="11"/>
                      </w:rPr>
                      <w:t> </w:t>
                    </w:r>
                    <w:r>
                      <w:rPr>
                        <w:rFonts w:ascii="Verdana"/>
                        <w:spacing w:val="1"/>
                        <w:w w:val="115"/>
                        <w:sz w:val="11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94"/>
                        <w:sz w:val="11"/>
                      </w:rPr>
                      <w:t>U</w:t>
                    </w:r>
                    <w:r>
                      <w:rPr>
                        <w:rFonts w:ascii="Verdana"/>
                        <w:w w:val="111"/>
                        <w:sz w:val="11"/>
                      </w:rPr>
                      <w:t>J</w:t>
                    </w:r>
                    <w:r>
                      <w:rPr>
                        <w:rFonts w:ascii="Verdana"/>
                        <w:w w:val="89"/>
                        <w:sz w:val="11"/>
                      </w:rPr>
                      <w:t>E</w:t>
                    </w:r>
                    <w:r>
                      <w:rPr>
                        <w:rFonts w:ascii="Verdana"/>
                        <w:w w:val="92"/>
                        <w:sz w:val="11"/>
                      </w:rPr>
                      <w:t>R</w:t>
                    </w:r>
                    <w:r>
                      <w:rPr>
                        <w:rFonts w:ascii="Verdana"/>
                        <w:w w:val="89"/>
                        <w:sz w:val="11"/>
                      </w:rPr>
                      <w:t>E</w:t>
                    </w:r>
                    <w:r>
                      <w:rPr>
                        <w:rFonts w:ascii="Verdana"/>
                        <w:w w:val="76"/>
                        <w:sz w:val="11"/>
                      </w:rPr>
                      <w:t>S </w:t>
                    </w:r>
                    <w:r>
                      <w:rPr>
                        <w:rFonts w:ascii="Verdana"/>
                        <w:sz w:val="11"/>
                      </w:rPr>
                      <w:t>MAYA</w:t>
                    </w:r>
                    <w:r>
                      <w:rPr>
                        <w:rFonts w:ascii="Verdana"/>
                        <w:spacing w:val="-9"/>
                        <w:sz w:val="11"/>
                      </w:rPr>
                      <w:t> </w:t>
                    </w:r>
                    <w:r>
                      <w:rPr>
                        <w:rFonts w:ascii="Verdana"/>
                        <w:sz w:val="11"/>
                      </w:rPr>
                      <w:t>-</w:t>
                    </w:r>
                    <w:r>
                      <w:rPr>
                        <w:rFonts w:ascii="Verdana"/>
                        <w:spacing w:val="-8"/>
                        <w:sz w:val="11"/>
                      </w:rPr>
                      <w:t> </w:t>
                    </w:r>
                    <w:r>
                      <w:rPr>
                        <w:rFonts w:ascii="Verdana"/>
                        <w:sz w:val="11"/>
                      </w:rPr>
                      <w:t>HOMBRES</w:t>
                    </w:r>
                  </w:p>
                  <w:p>
                    <w:pPr>
                      <w:spacing w:line="436" w:lineRule="auto" w:before="0"/>
                      <w:ind w:left="0" w:right="557" w:firstLine="0"/>
                      <w:jc w:val="lef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spacing w:val="-3"/>
                        <w:sz w:val="11"/>
                      </w:rPr>
                      <w:t>MAYA - </w:t>
                    </w:r>
                    <w:r>
                      <w:rPr>
                        <w:rFonts w:ascii="Verdana"/>
                        <w:spacing w:val="-2"/>
                        <w:sz w:val="11"/>
                      </w:rPr>
                      <w:t>MUJERES</w:t>
                    </w:r>
                    <w:r>
                      <w:rPr>
                        <w:rFonts w:ascii="Verdana"/>
                        <w:spacing w:val="-1"/>
                        <w:sz w:val="11"/>
                      </w:rPr>
                      <w:t> </w:t>
                    </w:r>
                    <w:r>
                      <w:rPr>
                        <w:rFonts w:ascii="Verdana"/>
                        <w:w w:val="93"/>
                        <w:sz w:val="11"/>
                      </w:rPr>
                      <w:t>X</w:t>
                    </w:r>
                    <w:r>
                      <w:rPr>
                        <w:rFonts w:ascii="Verdana"/>
                        <w:w w:val="56"/>
                        <w:sz w:val="11"/>
                      </w:rPr>
                      <w:t>I</w:t>
                    </w:r>
                    <w:r>
                      <w:rPr>
                        <w:rFonts w:ascii="Verdana"/>
                        <w:w w:val="104"/>
                        <w:sz w:val="11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w w:val="118"/>
                        <w:sz w:val="11"/>
                      </w:rPr>
                      <w:t>C</w:t>
                    </w:r>
                    <w:r>
                      <w:rPr>
                        <w:rFonts w:ascii="Verdana"/>
                        <w:w w:val="118"/>
                        <w:sz w:val="11"/>
                      </w:rPr>
                      <w:t>A</w:t>
                    </w:r>
                    <w:r>
                      <w:rPr>
                        <w:rFonts w:ascii="Verdana"/>
                        <w:spacing w:val="-6"/>
                        <w:sz w:val="11"/>
                      </w:rPr>
                      <w:t> </w:t>
                    </w:r>
                    <w:r>
                      <w:rPr>
                        <w:rFonts w:ascii="Verdana"/>
                        <w:w w:val="77"/>
                        <w:sz w:val="11"/>
                      </w:rPr>
                      <w:t>-</w:t>
                    </w:r>
                    <w:r>
                      <w:rPr>
                        <w:rFonts w:ascii="Verdana"/>
                        <w:spacing w:val="-7"/>
                        <w:sz w:val="11"/>
                      </w:rPr>
                      <w:t> </w:t>
                    </w:r>
                    <w:r>
                      <w:rPr>
                        <w:rFonts w:ascii="Verdana"/>
                        <w:w w:val="95"/>
                        <w:sz w:val="11"/>
                      </w:rPr>
                      <w:t>H</w:t>
                    </w:r>
                    <w:r>
                      <w:rPr>
                        <w:rFonts w:ascii="Verdana"/>
                        <w:spacing w:val="-1"/>
                        <w:w w:val="116"/>
                        <w:sz w:val="11"/>
                      </w:rPr>
                      <w:t>O</w:t>
                    </w:r>
                    <w:r>
                      <w:rPr>
                        <w:rFonts w:ascii="Verdana"/>
                        <w:w w:val="115"/>
                        <w:sz w:val="11"/>
                      </w:rPr>
                      <w:t>M</w:t>
                    </w:r>
                    <w:r>
                      <w:rPr>
                        <w:rFonts w:ascii="Verdana"/>
                        <w:w w:val="88"/>
                        <w:sz w:val="11"/>
                      </w:rPr>
                      <w:t>B</w:t>
                    </w:r>
                    <w:r>
                      <w:rPr>
                        <w:rFonts w:ascii="Verdana"/>
                        <w:spacing w:val="-1"/>
                        <w:w w:val="92"/>
                        <w:sz w:val="11"/>
                      </w:rPr>
                      <w:t>R</w:t>
                    </w:r>
                    <w:r>
                      <w:rPr>
                        <w:rFonts w:ascii="Verdana"/>
                        <w:w w:val="89"/>
                        <w:sz w:val="11"/>
                      </w:rPr>
                      <w:t>E</w:t>
                    </w:r>
                    <w:r>
                      <w:rPr>
                        <w:rFonts w:ascii="Verdana"/>
                        <w:w w:val="76"/>
                        <w:sz w:val="11"/>
                      </w:rPr>
                      <w:t>S </w:t>
                    </w:r>
                    <w:r>
                      <w:rPr>
                        <w:rFonts w:ascii="Verdana"/>
                        <w:w w:val="93"/>
                        <w:sz w:val="11"/>
                      </w:rPr>
                      <w:t>X</w:t>
                    </w:r>
                    <w:r>
                      <w:rPr>
                        <w:rFonts w:ascii="Verdana"/>
                        <w:w w:val="56"/>
                        <w:sz w:val="11"/>
                      </w:rPr>
                      <w:t>I</w:t>
                    </w:r>
                    <w:r>
                      <w:rPr>
                        <w:rFonts w:ascii="Verdana"/>
                        <w:w w:val="104"/>
                        <w:sz w:val="11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w w:val="118"/>
                        <w:sz w:val="11"/>
                      </w:rPr>
                      <w:t>C</w:t>
                    </w:r>
                    <w:r>
                      <w:rPr>
                        <w:rFonts w:ascii="Verdana"/>
                        <w:w w:val="118"/>
                        <w:sz w:val="11"/>
                      </w:rPr>
                      <w:t>A</w:t>
                    </w:r>
                    <w:r>
                      <w:rPr>
                        <w:rFonts w:ascii="Verdana"/>
                        <w:spacing w:val="-6"/>
                        <w:sz w:val="11"/>
                      </w:rPr>
                      <w:t> </w:t>
                    </w:r>
                    <w:r>
                      <w:rPr>
                        <w:rFonts w:ascii="Verdana"/>
                        <w:w w:val="77"/>
                        <w:sz w:val="11"/>
                      </w:rPr>
                      <w:t>-</w:t>
                    </w:r>
                    <w:r>
                      <w:rPr>
                        <w:rFonts w:ascii="Verdana"/>
                        <w:spacing w:val="-7"/>
                        <w:sz w:val="11"/>
                      </w:rPr>
                      <w:t> </w:t>
                    </w:r>
                    <w:r>
                      <w:rPr>
                        <w:rFonts w:ascii="Verdana"/>
                        <w:w w:val="115"/>
                        <w:sz w:val="11"/>
                      </w:rPr>
                      <w:t>M</w:t>
                    </w:r>
                    <w:r>
                      <w:rPr>
                        <w:rFonts w:ascii="Verdana"/>
                        <w:w w:val="94"/>
                        <w:sz w:val="11"/>
                      </w:rPr>
                      <w:t>U</w:t>
                    </w:r>
                    <w:r>
                      <w:rPr>
                        <w:rFonts w:ascii="Verdana"/>
                        <w:w w:val="111"/>
                        <w:sz w:val="11"/>
                      </w:rPr>
                      <w:t>J</w:t>
                    </w:r>
                    <w:r>
                      <w:rPr>
                        <w:rFonts w:ascii="Verdana"/>
                        <w:spacing w:val="-1"/>
                        <w:w w:val="89"/>
                        <w:sz w:val="11"/>
                      </w:rPr>
                      <w:t>E</w:t>
                    </w:r>
                    <w:r>
                      <w:rPr>
                        <w:rFonts w:ascii="Verdana"/>
                        <w:w w:val="92"/>
                        <w:sz w:val="11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89"/>
                        <w:sz w:val="11"/>
                      </w:rPr>
                      <w:t>E</w:t>
                    </w:r>
                    <w:r>
                      <w:rPr>
                        <w:rFonts w:ascii="Verdana"/>
                        <w:w w:val="76"/>
                        <w:sz w:val="11"/>
                      </w:rPr>
                      <w:t>S</w:t>
                    </w:r>
                  </w:p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Verdana" w:hAnsi="Verdana"/>
                        <w:sz w:val="11"/>
                      </w:rPr>
                    </w:pPr>
                    <w:r>
                      <w:rPr>
                        <w:rFonts w:ascii="Verdana" w:hAnsi="Verdana"/>
                        <w:sz w:val="11"/>
                      </w:rPr>
                      <w:t>Sin</w:t>
                    </w:r>
                    <w:r>
                      <w:rPr>
                        <w:rFonts w:ascii="Verdana" w:hAnsi="Verdana"/>
                        <w:spacing w:val="-8"/>
                        <w:sz w:val="11"/>
                      </w:rPr>
                      <w:t> </w:t>
                    </w:r>
                    <w:r>
                      <w:rPr>
                        <w:rFonts w:ascii="Verdana" w:hAnsi="Verdana"/>
                        <w:sz w:val="11"/>
                      </w:rPr>
                      <w:t>Clasificación</w:t>
                    </w:r>
                    <w:r>
                      <w:rPr>
                        <w:rFonts w:ascii="Verdana" w:hAnsi="Verdana"/>
                        <w:spacing w:val="-8"/>
                        <w:sz w:val="11"/>
                      </w:rPr>
                      <w:t> </w:t>
                    </w:r>
                    <w:r>
                      <w:rPr>
                        <w:rFonts w:ascii="Verdana" w:hAnsi="Verdana"/>
                        <w:sz w:val="11"/>
                      </w:rPr>
                      <w:t>-</w:t>
                    </w:r>
                    <w:r>
                      <w:rPr>
                        <w:rFonts w:ascii="Verdana" w:hAnsi="Verdana"/>
                        <w:spacing w:val="-7"/>
                        <w:sz w:val="11"/>
                      </w:rPr>
                      <w:t> </w:t>
                    </w:r>
                    <w:r>
                      <w:rPr>
                        <w:rFonts w:ascii="Verdana" w:hAnsi="Verdana"/>
                        <w:sz w:val="11"/>
                      </w:rPr>
                      <w:t>HOMBRES</w:t>
                    </w:r>
                  </w:p>
                  <w:p>
                    <w:pPr>
                      <w:spacing w:line="240" w:lineRule="auto" w:before="12"/>
                      <w:rPr>
                        <w:rFonts w:ascii="Verdana"/>
                        <w:sz w:val="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 w:hAnsi="Verdana"/>
                        <w:sz w:val="11"/>
                      </w:rPr>
                    </w:pPr>
                    <w:r>
                      <w:rPr>
                        <w:rFonts w:ascii="Verdana" w:hAnsi="Verdana"/>
                        <w:spacing w:val="-1"/>
                        <w:sz w:val="11"/>
                      </w:rPr>
                      <w:t>Sin</w:t>
                    </w:r>
                    <w:r>
                      <w:rPr>
                        <w:rFonts w:ascii="Verdana" w:hAnsi="Verdana"/>
                        <w:spacing w:val="-7"/>
                        <w:sz w:val="11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sz w:val="11"/>
                      </w:rPr>
                      <w:t>Clasificación</w:t>
                    </w:r>
                    <w:r>
                      <w:rPr>
                        <w:rFonts w:ascii="Verdana" w:hAnsi="Verdana"/>
                        <w:spacing w:val="-6"/>
                        <w:sz w:val="11"/>
                      </w:rPr>
                      <w:t> </w:t>
                    </w:r>
                    <w:r>
                      <w:rPr>
                        <w:rFonts w:ascii="Verdana" w:hAnsi="Verdana"/>
                        <w:sz w:val="11"/>
                      </w:rPr>
                      <w:t>-</w:t>
                    </w:r>
                    <w:r>
                      <w:rPr>
                        <w:rFonts w:ascii="Verdana" w:hAnsi="Verdana"/>
                        <w:spacing w:val="-6"/>
                        <w:sz w:val="11"/>
                      </w:rPr>
                      <w:t> </w:t>
                    </w:r>
                    <w:r>
                      <w:rPr>
                        <w:rFonts w:ascii="Verdana" w:hAnsi="Verdana"/>
                        <w:sz w:val="11"/>
                      </w:rPr>
                      <w:t>MUJERES</w:t>
                    </w:r>
                  </w:p>
                </w:txbxContent>
              </v:textbox>
              <w10:wrap type="none"/>
            </v:shape>
            <v:shape style="position:absolute;left:2430;top:4256;width:316;height:138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3786;top:4256;width:315;height:138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5141;top:4256;width:316;height:138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6497;top:4256;width:316;height:138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7853;top:4256;width:316;height:138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2021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ind w:left="278" w:right="1076"/>
        <w:jc w:val="both"/>
      </w:pPr>
      <w:r>
        <w:rPr/>
        <w:t>En el gráfico anterior se observa el total de la población estudiantil por niveles educativos, etnia y sexo</w:t>
      </w:r>
      <w:r>
        <w:rPr>
          <w:spacing w:val="1"/>
        </w:rPr>
        <w:t> </w:t>
      </w:r>
      <w:r>
        <w:rPr/>
        <w:t>durante el período 2017-2021, para el Departamento de Chimaltenango, Según DIPLAN, (2021), de las</w:t>
      </w:r>
      <w:r>
        <w:rPr>
          <w:spacing w:val="1"/>
        </w:rPr>
        <w:t> </w:t>
      </w:r>
      <w:r>
        <w:rPr/>
        <w:t>cifras</w:t>
      </w:r>
      <w:r>
        <w:rPr>
          <w:spacing w:val="-1"/>
        </w:rPr>
        <w:t> </w:t>
      </w:r>
      <w:r>
        <w:rPr/>
        <w:t>anteriores, la proporción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a la</w:t>
      </w:r>
      <w:r>
        <w:rPr>
          <w:spacing w:val="-2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estudiantil fue</w:t>
      </w:r>
      <w:r>
        <w:rPr>
          <w:spacing w:val="-3"/>
        </w:rPr>
        <w:t> </w:t>
      </w:r>
      <w:r>
        <w:rPr/>
        <w:t>como</w:t>
      </w:r>
      <w:r>
        <w:rPr>
          <w:spacing w:val="1"/>
        </w:rPr>
        <w:t> </w:t>
      </w:r>
      <w:r>
        <w:rPr/>
        <w:t>sigue: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278" w:right="5570"/>
      </w:pPr>
      <w:r>
        <w:rPr/>
        <w:t>Ladinos:</w:t>
      </w:r>
      <w:r>
        <w:rPr>
          <w:spacing w:val="-5"/>
        </w:rPr>
        <w:t> </w:t>
      </w:r>
      <w:r>
        <w:rPr/>
        <w:t>16.1%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hombres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15.5%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mujeres.</w:t>
      </w:r>
      <w:r>
        <w:rPr>
          <w:spacing w:val="-47"/>
        </w:rPr>
        <w:t> </w:t>
      </w:r>
      <w:r>
        <w:rPr/>
        <w:t>Mayas:</w:t>
      </w:r>
      <w:r>
        <w:rPr>
          <w:spacing w:val="-3"/>
        </w:rPr>
        <w:t> </w:t>
      </w:r>
      <w:r>
        <w:rPr/>
        <w:t>35.5% de hombres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32.08%</w:t>
      </w:r>
      <w:r>
        <w:rPr>
          <w:spacing w:val="-3"/>
        </w:rPr>
        <w:t> </w:t>
      </w:r>
      <w:r>
        <w:rPr/>
        <w:t>mujeres.</w:t>
      </w:r>
    </w:p>
    <w:p>
      <w:pPr>
        <w:pStyle w:val="BodyText"/>
        <w:spacing w:before="2"/>
      </w:pPr>
    </w:p>
    <w:p>
      <w:pPr>
        <w:pStyle w:val="BodyText"/>
        <w:ind w:left="278" w:right="1072"/>
        <w:jc w:val="both"/>
      </w:pPr>
      <w:r>
        <w:rPr/>
        <w:t>Contrastando estos resultados con la información del INE, (2018), es posible evidenciar que, si bien es</w:t>
      </w:r>
      <w:r>
        <w:rPr>
          <w:spacing w:val="1"/>
        </w:rPr>
        <w:t> </w:t>
      </w:r>
      <w:r>
        <w:rPr/>
        <w:t>cierto, si hay representatividad de las etnias mayoritarias por Departamento (78% Maya y 21% Ladina),</w:t>
      </w:r>
      <w:r>
        <w:rPr>
          <w:spacing w:val="1"/>
        </w:rPr>
        <w:t> </w:t>
      </w:r>
      <w:r>
        <w:rPr/>
        <w:t>ésta</w:t>
      </w:r>
      <w:r>
        <w:rPr>
          <w:spacing w:val="-6"/>
        </w:rPr>
        <w:t> </w:t>
      </w:r>
      <w:r>
        <w:rPr/>
        <w:t>no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presenta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8"/>
        </w:rPr>
        <w:t> </w:t>
      </w:r>
      <w:r>
        <w:rPr/>
        <w:t>misma</w:t>
      </w:r>
      <w:r>
        <w:rPr>
          <w:spacing w:val="-6"/>
        </w:rPr>
        <w:t> </w:t>
      </w:r>
      <w:r>
        <w:rPr/>
        <w:t>proporción.</w:t>
      </w:r>
      <w:r>
        <w:rPr>
          <w:spacing w:val="-4"/>
        </w:rPr>
        <w:t> </w:t>
      </w:r>
      <w:r>
        <w:rPr/>
        <w:t>Es</w:t>
      </w:r>
      <w:r>
        <w:rPr>
          <w:spacing w:val="-5"/>
        </w:rPr>
        <w:t> </w:t>
      </w:r>
      <w:r>
        <w:rPr/>
        <w:t>decir,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cantidad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estudiantes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etnia</w:t>
      </w:r>
      <w:r>
        <w:rPr>
          <w:spacing w:val="-6"/>
        </w:rPr>
        <w:t> </w:t>
      </w:r>
      <w:r>
        <w:rPr/>
        <w:t>Maya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poseen</w:t>
      </w:r>
      <w:r>
        <w:rPr>
          <w:spacing w:val="-47"/>
        </w:rPr>
        <w:t> </w:t>
      </w:r>
      <w:r>
        <w:rPr/>
        <w:t>una</w:t>
      </w:r>
      <w:r>
        <w:rPr>
          <w:spacing w:val="-1"/>
        </w:rPr>
        <w:t> </w:t>
      </w:r>
      <w:r>
        <w:rPr/>
        <w:t>representatividad</w:t>
      </w:r>
      <w:r>
        <w:rPr>
          <w:spacing w:val="-3"/>
        </w:rPr>
        <w:t> </w:t>
      </w:r>
      <w:r>
        <w:rPr/>
        <w:t>en el sistema</w:t>
      </w:r>
      <w:r>
        <w:rPr>
          <w:spacing w:val="-2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del departamento.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2"/>
        <w:jc w:val="both"/>
      </w:pPr>
      <w:r>
        <w:rPr/>
        <w:t>A nivel de sexo se sigue presentando una brecha de atención en dónde la participación del hombre Maya</w:t>
      </w:r>
      <w:r>
        <w:rPr>
          <w:spacing w:val="-47"/>
        </w:rPr>
        <w:t> </w:t>
      </w:r>
      <w:r>
        <w:rPr/>
        <w:t>y</w:t>
      </w:r>
      <w:r>
        <w:rPr>
          <w:spacing w:val="1"/>
        </w:rPr>
        <w:t> </w:t>
      </w:r>
      <w:r>
        <w:rPr/>
        <w:t>Ladino,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mujer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ambas</w:t>
      </w:r>
      <w:r>
        <w:rPr>
          <w:spacing w:val="1"/>
        </w:rPr>
        <w:t> </w:t>
      </w:r>
      <w:r>
        <w:rPr/>
        <w:t>etnias;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departamento el 52% es mujer y el 48% es hombre. Es decir, durante el período evaluado la cobertura</w:t>
      </w:r>
      <w:r>
        <w:rPr>
          <w:spacing w:val="1"/>
        </w:rPr>
        <w:t> </w:t>
      </w:r>
      <w:r>
        <w:rPr/>
        <w:t>educativa</w:t>
      </w:r>
      <w:r>
        <w:rPr>
          <w:spacing w:val="-4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mujer</w:t>
      </w:r>
      <w:r>
        <w:rPr>
          <w:spacing w:val="-3"/>
        </w:rPr>
        <w:t> </w:t>
      </w:r>
      <w:r>
        <w:rPr/>
        <w:t>Maya y</w:t>
      </w:r>
      <w:r>
        <w:rPr>
          <w:spacing w:val="-2"/>
        </w:rPr>
        <w:t> </w:t>
      </w:r>
      <w:r>
        <w:rPr/>
        <w:t>Ladina, presenta</w:t>
      </w:r>
      <w:r>
        <w:rPr>
          <w:spacing w:val="-3"/>
        </w:rPr>
        <w:t> </w:t>
      </w:r>
      <w:r>
        <w:rPr/>
        <w:t>una brecha</w:t>
      </w:r>
      <w:r>
        <w:rPr>
          <w:spacing w:val="-1"/>
        </w:rPr>
        <w:t> </w:t>
      </w:r>
      <w:r>
        <w:rPr/>
        <w:t>de género.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pict>
          <v:rect style="position:absolute;margin-left:563.880005pt;margin-top:17.431684pt;width:25.44pt;height:1.4399pt;mso-position-horizontal-relative:page;mso-position-vertical-relative:paragraph;z-index:-1545830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135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8457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8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1"/>
          <w:numId w:val="32"/>
        </w:numPr>
        <w:tabs>
          <w:tab w:pos="854" w:val="left" w:leader="none"/>
          <w:tab w:pos="855" w:val="left" w:leader="none"/>
        </w:tabs>
        <w:spacing w:line="240" w:lineRule="auto" w:before="52" w:after="0"/>
        <w:ind w:left="854" w:right="0" w:hanging="577"/>
        <w:jc w:val="left"/>
      </w:pPr>
      <w:bookmarkStart w:name="_bookmark154" w:id="241"/>
      <w:bookmarkEnd w:id="241"/>
      <w:r>
        <w:rPr>
          <w:b w:val="0"/>
        </w:rPr>
      </w:r>
      <w:bookmarkStart w:name="_bookmark154" w:id="242"/>
      <w:bookmarkEnd w:id="242"/>
      <w:r>
        <w:rPr>
          <w:color w:val="1F4E79"/>
        </w:rPr>
        <w:t>C</w:t>
      </w:r>
      <w:r>
        <w:rPr>
          <w:color w:val="1F4E79"/>
        </w:rPr>
        <w:t>hiquimula</w:t>
      </w:r>
    </w:p>
    <w:p>
      <w:pPr>
        <w:pStyle w:val="BodyText"/>
        <w:rPr>
          <w:b/>
          <w:sz w:val="24"/>
        </w:rPr>
      </w:pPr>
    </w:p>
    <w:p>
      <w:pPr>
        <w:pStyle w:val="Heading3"/>
        <w:numPr>
          <w:ilvl w:val="2"/>
          <w:numId w:val="32"/>
        </w:numPr>
        <w:tabs>
          <w:tab w:pos="998" w:val="left" w:leader="none"/>
          <w:tab w:pos="999" w:val="left" w:leader="none"/>
        </w:tabs>
        <w:spacing w:line="240" w:lineRule="auto" w:before="187" w:after="0"/>
        <w:ind w:left="998" w:right="0" w:hanging="721"/>
        <w:jc w:val="left"/>
      </w:pPr>
      <w:bookmarkStart w:name="_bookmark155" w:id="243"/>
      <w:bookmarkEnd w:id="243"/>
      <w:r>
        <w:rPr>
          <w:b w:val="0"/>
        </w:rPr>
      </w:r>
      <w:bookmarkStart w:name="_bookmark155" w:id="244"/>
      <w:bookmarkEnd w:id="244"/>
      <w:r>
        <w:rPr/>
        <w:t>Inf</w:t>
      </w:r>
      <w:r>
        <w:rPr/>
        <w:t>ormación</w:t>
      </w:r>
      <w:r>
        <w:rPr>
          <w:spacing w:val="-8"/>
        </w:rPr>
        <w:t> </w:t>
      </w:r>
      <w:r>
        <w:rPr/>
        <w:t>General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0"/>
        <w:jc w:val="both"/>
      </w:pPr>
      <w:r>
        <w:rPr/>
        <w:t>El</w:t>
      </w:r>
      <w:r>
        <w:rPr>
          <w:spacing w:val="-4"/>
        </w:rPr>
        <w:t> </w:t>
      </w:r>
      <w:r>
        <w:rPr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Chiquimula</w:t>
      </w:r>
      <w:r>
        <w:rPr>
          <w:spacing w:val="-5"/>
        </w:rPr>
        <w:t> </w:t>
      </w:r>
      <w:r>
        <w:rPr/>
        <w:t>está</w:t>
      </w:r>
      <w:r>
        <w:rPr>
          <w:spacing w:val="-4"/>
        </w:rPr>
        <w:t> </w:t>
      </w:r>
      <w:r>
        <w:rPr/>
        <w:t>ubicado</w:t>
      </w:r>
      <w:r>
        <w:rPr>
          <w:spacing w:val="-3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4"/>
        </w:rPr>
        <w:t> </w:t>
      </w:r>
      <w:r>
        <w:rPr/>
        <w:t>área</w:t>
      </w:r>
      <w:r>
        <w:rPr>
          <w:spacing w:val="-4"/>
        </w:rPr>
        <w:t> </w:t>
      </w:r>
      <w:r>
        <w:rPr/>
        <w:t>geográfica</w:t>
      </w:r>
      <w:r>
        <w:rPr>
          <w:spacing w:val="-4"/>
        </w:rPr>
        <w:t> </w:t>
      </w:r>
      <w:r>
        <w:rPr/>
        <w:t>conocida</w:t>
      </w:r>
      <w:r>
        <w:rPr>
          <w:spacing w:val="-4"/>
        </w:rPr>
        <w:t> </w:t>
      </w:r>
      <w:r>
        <w:rPr/>
        <w:t>como</w:t>
      </w:r>
      <w:r>
        <w:rPr>
          <w:spacing w:val="-3"/>
        </w:rPr>
        <w:t> </w:t>
      </w:r>
      <w:r>
        <w:rPr/>
        <w:t>Región</w:t>
      </w:r>
      <w:r>
        <w:rPr>
          <w:spacing w:val="-5"/>
        </w:rPr>
        <w:t> </w:t>
      </w:r>
      <w:r>
        <w:rPr/>
        <w:t>Ch’ortí’,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cual,</w:t>
      </w:r>
      <w:r>
        <w:rPr>
          <w:spacing w:val="-48"/>
        </w:rPr>
        <w:t> </w:t>
      </w:r>
      <w:r>
        <w:rPr/>
        <w:t>representa aproximadamente un 7% respecto de la población total del departamento. La mayoría 73% se</w:t>
      </w:r>
      <w:r>
        <w:rPr>
          <w:spacing w:val="-47"/>
        </w:rPr>
        <w:t> </w:t>
      </w:r>
      <w:r>
        <w:rPr/>
        <w:t>identifica como Ladino, mientras que el 27% es Maya, específicamente de la etnia Ch’ortí?. Por otro lado,</w:t>
      </w:r>
      <w:r>
        <w:rPr>
          <w:spacing w:val="-47"/>
        </w:rPr>
        <w:t> </w:t>
      </w:r>
      <w:r>
        <w:rPr/>
        <w:t>el 98% declara que pertenece a la comunidad lingüística Maya Ch’ortí’, encontrándose principalmente</w:t>
      </w:r>
      <w:r>
        <w:rPr>
          <w:spacing w:val="1"/>
        </w:rPr>
        <w:t> </w:t>
      </w:r>
      <w:r>
        <w:rPr/>
        <w:t>concentradas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municipios</w:t>
      </w:r>
      <w:r>
        <w:rPr>
          <w:spacing w:val="-8"/>
        </w:rPr>
        <w:t> </w:t>
      </w:r>
      <w:r>
        <w:rPr/>
        <w:t>de:</w:t>
      </w:r>
      <w:r>
        <w:rPr>
          <w:spacing w:val="-8"/>
        </w:rPr>
        <w:t> </w:t>
      </w:r>
      <w:r>
        <w:rPr/>
        <w:t>Chiquimula,</w:t>
      </w:r>
      <w:r>
        <w:rPr>
          <w:spacing w:val="-8"/>
        </w:rPr>
        <w:t> </w:t>
      </w:r>
      <w:r>
        <w:rPr/>
        <w:t>Jocotán,</w:t>
      </w:r>
      <w:r>
        <w:rPr>
          <w:spacing w:val="-8"/>
        </w:rPr>
        <w:t> </w:t>
      </w:r>
      <w:r>
        <w:rPr/>
        <w:t>Camotán</w:t>
      </w:r>
      <w:r>
        <w:rPr>
          <w:spacing w:val="-8"/>
        </w:rPr>
        <w:t> </w:t>
      </w:r>
      <w:r>
        <w:rPr/>
        <w:t>y</w:t>
      </w:r>
      <w:r>
        <w:rPr>
          <w:spacing w:val="-11"/>
        </w:rPr>
        <w:t> </w:t>
      </w:r>
      <w:r>
        <w:rPr/>
        <w:t>menor</w:t>
      </w:r>
      <w:r>
        <w:rPr>
          <w:spacing w:val="-8"/>
        </w:rPr>
        <w:t> </w:t>
      </w:r>
      <w:r>
        <w:rPr/>
        <w:t>proporción</w:t>
      </w:r>
      <w:r>
        <w:rPr>
          <w:spacing w:val="-9"/>
        </w:rPr>
        <w:t> </w:t>
      </w:r>
      <w:r>
        <w:rPr/>
        <w:t>Quezaltepeque.</w:t>
      </w:r>
      <w:r>
        <w:rPr>
          <w:spacing w:val="-8"/>
        </w:rPr>
        <w:t> </w:t>
      </w:r>
      <w:r>
        <w:rPr/>
        <w:t>En</w:t>
      </w:r>
      <w:r>
        <w:rPr>
          <w:spacing w:val="-48"/>
        </w:rPr>
        <w:t> </w:t>
      </w:r>
      <w:r>
        <w:rPr/>
        <w:t>el</w:t>
      </w:r>
      <w:r>
        <w:rPr>
          <w:spacing w:val="-1"/>
        </w:rPr>
        <w:t> </w:t>
      </w:r>
      <w:r>
        <w:rPr/>
        <w:t>Departamento, se</w:t>
      </w:r>
      <w:r>
        <w:rPr>
          <w:spacing w:val="1"/>
        </w:rPr>
        <w:t> </w:t>
      </w:r>
      <w:r>
        <w:rPr/>
        <w:t>habla</w:t>
      </w:r>
      <w:r>
        <w:rPr>
          <w:spacing w:val="-3"/>
        </w:rPr>
        <w:t> </w:t>
      </w:r>
      <w:r>
        <w:rPr/>
        <w:t>el idioma</w:t>
      </w:r>
      <w:r>
        <w:rPr>
          <w:spacing w:val="-2"/>
        </w:rPr>
        <w:t> </w:t>
      </w:r>
      <w:r>
        <w:rPr/>
        <w:t>Maya</w:t>
      </w:r>
      <w:r>
        <w:rPr>
          <w:spacing w:val="-2"/>
        </w:rPr>
        <w:t> </w:t>
      </w:r>
      <w:r>
        <w:rPr/>
        <w:t>Ch’orti’.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1"/>
        <w:ind w:left="278" w:right="1070"/>
        <w:jc w:val="both"/>
      </w:pPr>
      <w:r>
        <w:rPr/>
        <w:t>De acuerdo con último Censo de Población, en Chiquimula hay 415,063 habitantes de los cuales el 52%</w:t>
      </w:r>
      <w:r>
        <w:rPr>
          <w:spacing w:val="1"/>
        </w:rPr>
        <w:t> </w:t>
      </w:r>
      <w:r>
        <w:rPr/>
        <w:t>son mujeres y 48% son hombres.</w:t>
      </w:r>
      <w:r>
        <w:rPr>
          <w:spacing w:val="1"/>
        </w:rPr>
        <w:t> </w:t>
      </w:r>
      <w:r>
        <w:rPr/>
        <w:t>Quiénes en un 63% se ubican en el área rural, mientras que el restante</w:t>
      </w:r>
      <w:r>
        <w:rPr>
          <w:spacing w:val="1"/>
        </w:rPr>
        <w:t> </w:t>
      </w:r>
      <w:r>
        <w:rPr/>
        <w:t>37%</w:t>
      </w:r>
      <w:r>
        <w:rPr>
          <w:spacing w:val="1"/>
        </w:rPr>
        <w:t> </w:t>
      </w:r>
      <w:r>
        <w:rPr/>
        <w:t>están 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urbana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departamento.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47%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 en el rango de edad de 0 a 19 años, lo cual es preocupante puesto que esto evidencia un serio</w:t>
      </w:r>
      <w:r>
        <w:rPr>
          <w:spacing w:val="1"/>
        </w:rPr>
        <w:t> </w:t>
      </w:r>
      <w:r>
        <w:rPr/>
        <w:t>deterioro de la población de cara al futuro. Además, es el departamento con mayor tasa de desnutrición</w:t>
      </w:r>
      <w:r>
        <w:rPr>
          <w:spacing w:val="1"/>
        </w:rPr>
        <w:t> </w:t>
      </w:r>
      <w:r>
        <w:rPr/>
        <w:t>crónica del país, registrando el 80%. Lo cual, es preocupante por lo que supone la vulnerabilidad de los</w:t>
      </w:r>
      <w:r>
        <w:rPr>
          <w:spacing w:val="1"/>
        </w:rPr>
        <w:t> </w:t>
      </w:r>
      <w:r>
        <w:rPr/>
        <w:t>potenciales estudiantes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Sistema Nacional de</w:t>
      </w:r>
      <w:r>
        <w:rPr>
          <w:spacing w:val="-3"/>
        </w:rPr>
        <w:t> </w:t>
      </w:r>
      <w:r>
        <w:rPr/>
        <w:t>Educación.</w:t>
      </w:r>
    </w:p>
    <w:p>
      <w:pPr>
        <w:pStyle w:val="BodyText"/>
        <w:spacing w:before="9"/>
        <w:rPr>
          <w:sz w:val="19"/>
        </w:rPr>
      </w:pPr>
    </w:p>
    <w:p>
      <w:pPr>
        <w:pStyle w:val="Heading3"/>
        <w:numPr>
          <w:ilvl w:val="2"/>
          <w:numId w:val="32"/>
        </w:numPr>
        <w:tabs>
          <w:tab w:pos="998" w:val="left" w:leader="none"/>
          <w:tab w:pos="999" w:val="left" w:leader="none"/>
        </w:tabs>
        <w:spacing w:line="240" w:lineRule="auto" w:before="1" w:after="0"/>
        <w:ind w:left="998" w:right="0" w:hanging="721"/>
        <w:jc w:val="left"/>
      </w:pPr>
      <w:bookmarkStart w:name="_bookmark156" w:id="245"/>
      <w:bookmarkEnd w:id="245"/>
      <w:r>
        <w:rPr>
          <w:b w:val="0"/>
        </w:rPr>
      </w:r>
      <w:bookmarkStart w:name="_bookmark156" w:id="246"/>
      <w:bookmarkEnd w:id="246"/>
      <w:r>
        <w:rPr/>
        <w:t>Situ</w:t>
      </w:r>
      <w:r>
        <w:rPr/>
        <w:t>ación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Sistema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Nacional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ind w:left="278" w:right="1071"/>
        <w:jc w:val="both"/>
      </w:pPr>
      <w:r>
        <w:rPr/>
        <w:t>Considerando</w:t>
      </w:r>
      <w:r>
        <w:rPr>
          <w:spacing w:val="-8"/>
        </w:rPr>
        <w:t> </w:t>
      </w:r>
      <w:r>
        <w:rPr/>
        <w:t>lo</w:t>
      </w:r>
      <w:r>
        <w:rPr>
          <w:spacing w:val="-5"/>
        </w:rPr>
        <w:t> </w:t>
      </w:r>
      <w:r>
        <w:rPr/>
        <w:t>anteriormente</w:t>
      </w:r>
      <w:r>
        <w:rPr>
          <w:spacing w:val="-8"/>
        </w:rPr>
        <w:t> </w:t>
      </w:r>
      <w:r>
        <w:rPr/>
        <w:t>expuesto,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población</w:t>
      </w:r>
      <w:r>
        <w:rPr>
          <w:spacing w:val="-9"/>
        </w:rPr>
        <w:t> </w:t>
      </w:r>
      <w:r>
        <w:rPr/>
        <w:t>estudiantil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Departamento</w:t>
      </w:r>
      <w:r>
        <w:rPr>
          <w:spacing w:val="-4"/>
        </w:rPr>
        <w:t> </w:t>
      </w:r>
      <w:r>
        <w:rPr/>
        <w:t>ha</w:t>
      </w:r>
      <w:r>
        <w:rPr>
          <w:spacing w:val="-9"/>
        </w:rPr>
        <w:t> </w:t>
      </w:r>
      <w:r>
        <w:rPr/>
        <w:t>presentado</w:t>
      </w:r>
      <w:r>
        <w:rPr>
          <w:spacing w:val="-8"/>
        </w:rPr>
        <w:t> </w:t>
      </w:r>
      <w:r>
        <w:rPr/>
        <w:t>serias</w:t>
      </w:r>
      <w:r>
        <w:rPr>
          <w:spacing w:val="-47"/>
        </w:rPr>
        <w:t> </w:t>
      </w:r>
      <w:r>
        <w:rPr>
          <w:spacing w:val="-1"/>
        </w:rPr>
        <w:t>deficiencias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/>
        <w:t>cobertura</w:t>
      </w:r>
      <w:r>
        <w:rPr>
          <w:spacing w:val="-14"/>
        </w:rPr>
        <w:t> </w:t>
      </w:r>
      <w:r>
        <w:rPr/>
        <w:t>educativa</w:t>
      </w:r>
      <w:r>
        <w:rPr>
          <w:spacing w:val="-12"/>
        </w:rPr>
        <w:t> </w:t>
      </w:r>
      <w:r>
        <w:rPr/>
        <w:t>comparado</w:t>
      </w:r>
      <w:r>
        <w:rPr>
          <w:spacing w:val="-13"/>
        </w:rPr>
        <w:t> </w:t>
      </w:r>
      <w:r>
        <w:rPr/>
        <w:t>con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datos</w:t>
      </w:r>
      <w:r>
        <w:rPr>
          <w:spacing w:val="-14"/>
        </w:rPr>
        <w:t> </w:t>
      </w:r>
      <w:r>
        <w:rPr/>
        <w:t>nacionales.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nivel</w:t>
      </w:r>
      <w:r>
        <w:rPr>
          <w:spacing w:val="-14"/>
        </w:rPr>
        <w:t> </w:t>
      </w:r>
      <w:r>
        <w:rPr/>
        <w:t>primario</w:t>
      </w:r>
      <w:r>
        <w:rPr>
          <w:spacing w:val="-13"/>
        </w:rPr>
        <w:t> </w:t>
      </w:r>
      <w:r>
        <w:rPr/>
        <w:t>es</w:t>
      </w:r>
      <w:r>
        <w:rPr>
          <w:spacing w:val="-14"/>
        </w:rPr>
        <w:t> </w:t>
      </w:r>
      <w:r>
        <w:rPr/>
        <w:t>el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reporta</w:t>
      </w:r>
      <w:r>
        <w:rPr>
          <w:spacing w:val="-48"/>
        </w:rPr>
        <w:t> </w:t>
      </w:r>
      <w:r>
        <w:rPr/>
        <w:t>mayor</w:t>
      </w:r>
      <w:r>
        <w:rPr>
          <w:spacing w:val="1"/>
        </w:rPr>
        <w:t> </w:t>
      </w:r>
      <w:r>
        <w:rPr/>
        <w:t>crecimiento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 mayor</w:t>
      </w:r>
      <w:r>
        <w:rPr>
          <w:spacing w:val="1"/>
        </w:rPr>
        <w:t> </w:t>
      </w:r>
      <w:r>
        <w:rPr/>
        <w:t>cantidad de</w:t>
      </w:r>
      <w:r>
        <w:rPr>
          <w:spacing w:val="1"/>
        </w:rPr>
        <w:t> </w:t>
      </w:r>
      <w:r>
        <w:rPr/>
        <w:t>estudiantes</w:t>
      </w:r>
      <w:r>
        <w:rPr>
          <w:spacing w:val="1"/>
        </w:rPr>
        <w:t> </w:t>
      </w:r>
      <w:r>
        <w:rPr/>
        <w:t>registrados,</w:t>
      </w:r>
      <w:r>
        <w:rPr>
          <w:spacing w:val="1"/>
        </w:rPr>
        <w:t> </w:t>
      </w:r>
      <w:r>
        <w:rPr/>
        <w:t>seguido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básico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diversificado.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manera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referencia, se</w:t>
      </w:r>
      <w:r>
        <w:rPr>
          <w:spacing w:val="-3"/>
        </w:rPr>
        <w:t> </w:t>
      </w:r>
      <w:r>
        <w:rPr/>
        <w:t>presentan los datos</w:t>
      </w:r>
      <w:r>
        <w:rPr>
          <w:spacing w:val="-3"/>
        </w:rPr>
        <w:t> </w:t>
      </w:r>
      <w:r>
        <w:rPr/>
        <w:t>absolutos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Departamento.</w:t>
      </w:r>
    </w:p>
    <w:p>
      <w:pPr>
        <w:pStyle w:val="BodyText"/>
        <w:spacing w:before="12"/>
        <w:rPr>
          <w:sz w:val="21"/>
        </w:rPr>
      </w:pPr>
    </w:p>
    <w:p>
      <w:pPr>
        <w:pStyle w:val="BodyText"/>
        <w:ind w:left="278"/>
        <w:jc w:val="both"/>
      </w:pPr>
      <w:r>
        <w:rPr/>
        <w:pict>
          <v:group style="position:absolute;margin-left:71.772415pt;margin-top:13.630754pt;width:471.35pt;height:17.45pt;mso-position-horizontal-relative:page;mso-position-vertical-relative:paragraph;z-index:16002048" coordorigin="1435,273" coordsize="9427,349">
            <v:rect style="position:absolute;left:1435;top:272;width:1281;height:349" filled="true" fillcolor="#d9e0f1" stroked="false">
              <v:fill type="solid"/>
            </v:rect>
            <v:shape style="position:absolute;left:2698;top:272;width:8164;height:349" coordorigin="2698,273" coordsize="8164,349" path="m10862,273l2698,273,2698,621,8498,621,10862,273xe" filled="true" fillcolor="#585858" stroked="false">
              <v:path arrowok="t"/>
              <v:fill type="solid"/>
            </v:shape>
            <v:shape style="position:absolute;left:1435;top:272;width:9427;height:349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Arial MT"/>
                        <w:sz w:val="15"/>
                      </w:rPr>
                    </w:pPr>
                  </w:p>
                  <w:p>
                    <w:pPr>
                      <w:tabs>
                        <w:tab w:pos="1480" w:val="left" w:leader="none"/>
                        <w:tab w:pos="2906" w:val="left" w:leader="none"/>
                      </w:tabs>
                      <w:spacing w:before="0"/>
                      <w:ind w:left="-18" w:right="0" w:firstLine="0"/>
                      <w:jc w:val="lef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40"/>
                        <w:sz w:val="13"/>
                        <w:u w:val="single" w:color="8EA9DB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13"/>
                        <w:u w:val="single" w:color="8EA9DB"/>
                      </w:rPr>
                      <w:tab/>
                    </w:r>
                    <w:r>
                      <w:rPr>
                        <w:rFonts w:ascii="Arial"/>
                        <w:b/>
                        <w:color w:val="FFFFFF"/>
                        <w:spacing w:val="-8"/>
                        <w:w w:val="140"/>
                        <w:sz w:val="13"/>
                        <w:u w:val="single" w:color="8EA9DB"/>
                      </w:rPr>
                      <w:t>PREPRIMARIA</w:t>
                      <w:tab/>
                    </w:r>
                    <w:r>
                      <w:rPr>
                        <w:rFonts w:ascii="Arial"/>
                        <w:b/>
                        <w:color w:val="FFFFFF"/>
                        <w:spacing w:val="-9"/>
                        <w:w w:val="140"/>
                        <w:sz w:val="13"/>
                        <w:u w:val="single" w:color="8EA9DB"/>
                      </w:rPr>
                      <w:t>PRIMARIA</w:t>
                    </w:r>
                    <w:r>
                      <w:rPr>
                        <w:rFonts w:ascii="Arial"/>
                        <w:b/>
                        <w:color w:val="FFFFFF"/>
                        <w:spacing w:val="46"/>
                        <w:w w:val="140"/>
                        <w:sz w:val="13"/>
                        <w:u w:val="single" w:color="8EA9DB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pacing w:val="-8"/>
                        <w:w w:val="140"/>
                        <w:sz w:val="13"/>
                        <w:u w:val="single" w:color="8EA9DB"/>
                      </w:rPr>
                      <w:t>PRIMARIA</w:t>
                    </w:r>
                    <w:r>
                      <w:rPr>
                        <w:rFonts w:ascii="Arial"/>
                        <w:b/>
                        <w:color w:val="FFFFFF"/>
                        <w:spacing w:val="3"/>
                        <w:w w:val="140"/>
                        <w:sz w:val="13"/>
                        <w:u w:val="single" w:color="8EA9DB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pacing w:val="-8"/>
                        <w:w w:val="140"/>
                        <w:sz w:val="13"/>
                        <w:u w:val="single" w:color="8EA9DB"/>
                      </w:rPr>
                      <w:t>DE</w:t>
                    </w:r>
                    <w:r>
                      <w:rPr>
                        <w:rFonts w:ascii="Arial"/>
                        <w:b/>
                        <w:color w:val="FFFFFF"/>
                        <w:spacing w:val="-28"/>
                        <w:w w:val="140"/>
                        <w:sz w:val="13"/>
                        <w:u w:val="single" w:color="8EA9DB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pacing w:val="-8"/>
                        <w:w w:val="140"/>
                        <w:sz w:val="13"/>
                        <w:u w:val="single" w:color="8EA9DB"/>
                      </w:rPr>
                      <w:t>ADULTOS</w:t>
                    </w:r>
                    <w:r>
                      <w:rPr>
                        <w:rFonts w:ascii="Arial"/>
                        <w:b/>
                        <w:color w:val="FFFFFF"/>
                        <w:spacing w:val="44"/>
                        <w:w w:val="140"/>
                        <w:sz w:val="13"/>
                        <w:u w:val="single" w:color="8EA9DB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pacing w:val="-8"/>
                        <w:w w:val="140"/>
                        <w:sz w:val="13"/>
                        <w:u w:val="single" w:color="8EA9DB"/>
                      </w:rPr>
                      <w:t>BASICO</w:t>
                    </w:r>
                    <w:r>
                      <w:rPr>
                        <w:rFonts w:ascii="Arial"/>
                        <w:b/>
                        <w:color w:val="FFFFFF"/>
                        <w:spacing w:val="94"/>
                        <w:w w:val="140"/>
                        <w:sz w:val="13"/>
                        <w:u w:val="single" w:color="8EA9DB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pacing w:val="-8"/>
                        <w:w w:val="140"/>
                        <w:sz w:val="13"/>
                        <w:u w:val="single" w:color="8EA9DB"/>
                      </w:rPr>
                      <w:t>DIV</w:t>
                    </w:r>
                    <w:r>
                      <w:rPr>
                        <w:rFonts w:ascii="Arial"/>
                        <w:b/>
                        <w:color w:val="FFFFFF"/>
                        <w:spacing w:val="-8"/>
                        <w:w w:val="140"/>
                        <w:sz w:val="13"/>
                      </w:rPr>
                      <w:t>ERSIFICA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Tabla</w:t>
      </w:r>
      <w:r>
        <w:rPr>
          <w:spacing w:val="-2"/>
        </w:rPr>
        <w:t> </w:t>
      </w:r>
      <w:r>
        <w:rPr/>
        <w:t>Nº.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r>
        <w:rPr/>
        <w:t>de estudiantes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Nivel</w:t>
      </w:r>
      <w:r>
        <w:rPr>
          <w:spacing w:val="-1"/>
        </w:rPr>
        <w:t> </w:t>
      </w:r>
      <w:r>
        <w:rPr/>
        <w:t>Educativo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Departamento</w:t>
      </w:r>
      <w:r>
        <w:rPr>
          <w:spacing w:val="-3"/>
        </w:rPr>
        <w:t> </w:t>
      </w:r>
      <w:r>
        <w:rPr/>
        <w:t>Chiquimula</w:t>
      </w:r>
      <w:r>
        <w:rPr>
          <w:spacing w:val="-2"/>
        </w:rPr>
        <w:t> </w:t>
      </w:r>
      <w:r>
        <w:rPr/>
        <w:t>(2017</w:t>
      </w:r>
      <w:r>
        <w:rPr>
          <w:spacing w:val="-3"/>
        </w:rPr>
        <w:t> </w:t>
      </w:r>
      <w:r>
        <w:rPr/>
        <w:t>al</w:t>
      </w:r>
      <w:r>
        <w:rPr>
          <w:spacing w:val="-2"/>
        </w:rPr>
        <w:t> </w:t>
      </w:r>
      <w:r>
        <w:rPr/>
        <w:t>2021)</w:t>
      </w:r>
    </w:p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3"/>
        <w:gridCol w:w="1208"/>
        <w:gridCol w:w="1462"/>
        <w:gridCol w:w="1354"/>
        <w:gridCol w:w="1111"/>
      </w:tblGrid>
      <w:tr>
        <w:trPr>
          <w:trHeight w:val="169" w:hRule="atLeast"/>
        </w:trPr>
        <w:tc>
          <w:tcPr>
            <w:tcW w:w="1563" w:type="dxa"/>
          </w:tcPr>
          <w:p>
            <w:pPr>
              <w:pStyle w:val="TableParagraph"/>
              <w:spacing w:line="145" w:lineRule="exact" w:before="4"/>
              <w:ind w:left="500"/>
              <w:rPr>
                <w:rFonts w:ascii="Verdana"/>
                <w:sz w:val="13"/>
              </w:rPr>
            </w:pPr>
            <w:r>
              <w:rPr>
                <w:rFonts w:ascii="Verdana"/>
                <w:w w:val="120"/>
                <w:sz w:val="13"/>
              </w:rPr>
              <w:t>2017</w:t>
            </w:r>
          </w:p>
        </w:tc>
        <w:tc>
          <w:tcPr>
            <w:tcW w:w="1208" w:type="dxa"/>
          </w:tcPr>
          <w:p>
            <w:pPr>
              <w:pStyle w:val="TableParagraph"/>
              <w:spacing w:line="145" w:lineRule="exact" w:before="4"/>
              <w:ind w:left="291"/>
              <w:rPr>
                <w:rFonts w:ascii="Verdana"/>
                <w:sz w:val="13"/>
              </w:rPr>
            </w:pPr>
            <w:r>
              <w:rPr>
                <w:rFonts w:ascii="Verdana"/>
                <w:w w:val="120"/>
                <w:sz w:val="13"/>
              </w:rPr>
              <w:t>17,160</w:t>
            </w:r>
          </w:p>
        </w:tc>
        <w:tc>
          <w:tcPr>
            <w:tcW w:w="1462" w:type="dxa"/>
          </w:tcPr>
          <w:p>
            <w:pPr>
              <w:pStyle w:val="TableParagraph"/>
              <w:spacing w:line="145" w:lineRule="exact" w:before="4"/>
              <w:ind w:left="365"/>
              <w:rPr>
                <w:rFonts w:ascii="Verdana"/>
                <w:sz w:val="13"/>
              </w:rPr>
            </w:pPr>
            <w:r>
              <w:rPr>
                <w:rFonts w:ascii="Verdana"/>
                <w:w w:val="120"/>
                <w:sz w:val="13"/>
              </w:rPr>
              <w:t>65,558</w:t>
            </w:r>
          </w:p>
        </w:tc>
        <w:tc>
          <w:tcPr>
            <w:tcW w:w="1354" w:type="dxa"/>
          </w:tcPr>
          <w:p>
            <w:pPr>
              <w:pStyle w:val="TableParagraph"/>
              <w:spacing w:line="145" w:lineRule="exact" w:before="4"/>
              <w:ind w:right="506"/>
              <w:jc w:val="right"/>
              <w:rPr>
                <w:rFonts w:ascii="Verdana"/>
                <w:sz w:val="13"/>
              </w:rPr>
            </w:pPr>
            <w:r>
              <w:rPr>
                <w:rFonts w:ascii="Verdana"/>
                <w:w w:val="120"/>
                <w:sz w:val="13"/>
              </w:rPr>
              <w:t>599</w:t>
            </w:r>
          </w:p>
        </w:tc>
        <w:tc>
          <w:tcPr>
            <w:tcW w:w="1111" w:type="dxa"/>
          </w:tcPr>
          <w:p>
            <w:pPr>
              <w:pStyle w:val="TableParagraph"/>
              <w:spacing w:line="145" w:lineRule="exact" w:before="4"/>
              <w:ind w:left="509"/>
              <w:rPr>
                <w:rFonts w:ascii="Verdana"/>
                <w:sz w:val="13"/>
              </w:rPr>
            </w:pPr>
            <w:r>
              <w:rPr>
                <w:rFonts w:ascii="Verdana"/>
                <w:w w:val="120"/>
                <w:sz w:val="13"/>
              </w:rPr>
              <w:t>15,791</w:t>
            </w:r>
          </w:p>
        </w:tc>
      </w:tr>
      <w:tr>
        <w:trPr>
          <w:trHeight w:val="173" w:hRule="atLeast"/>
        </w:trPr>
        <w:tc>
          <w:tcPr>
            <w:tcW w:w="1563" w:type="dxa"/>
          </w:tcPr>
          <w:p>
            <w:pPr>
              <w:pStyle w:val="TableParagraph"/>
              <w:spacing w:line="145" w:lineRule="exact" w:before="9"/>
              <w:ind w:left="500"/>
              <w:rPr>
                <w:rFonts w:ascii="Verdana"/>
                <w:sz w:val="13"/>
              </w:rPr>
            </w:pPr>
            <w:r>
              <w:rPr>
                <w:rFonts w:ascii="Verdana"/>
                <w:w w:val="120"/>
                <w:sz w:val="13"/>
              </w:rPr>
              <w:t>2018</w:t>
            </w:r>
          </w:p>
        </w:tc>
        <w:tc>
          <w:tcPr>
            <w:tcW w:w="1208" w:type="dxa"/>
          </w:tcPr>
          <w:p>
            <w:pPr>
              <w:pStyle w:val="TableParagraph"/>
              <w:spacing w:line="145" w:lineRule="exact" w:before="9"/>
              <w:ind w:left="291"/>
              <w:rPr>
                <w:rFonts w:ascii="Verdana"/>
                <w:sz w:val="13"/>
              </w:rPr>
            </w:pPr>
            <w:r>
              <w:rPr>
                <w:rFonts w:ascii="Verdana"/>
                <w:w w:val="120"/>
                <w:sz w:val="13"/>
              </w:rPr>
              <w:t>18,225</w:t>
            </w:r>
          </w:p>
        </w:tc>
        <w:tc>
          <w:tcPr>
            <w:tcW w:w="1462" w:type="dxa"/>
          </w:tcPr>
          <w:p>
            <w:pPr>
              <w:pStyle w:val="TableParagraph"/>
              <w:spacing w:line="145" w:lineRule="exact" w:before="9"/>
              <w:ind w:left="365"/>
              <w:rPr>
                <w:rFonts w:ascii="Verdana"/>
                <w:sz w:val="13"/>
              </w:rPr>
            </w:pPr>
            <w:r>
              <w:rPr>
                <w:rFonts w:ascii="Verdana"/>
                <w:w w:val="120"/>
                <w:sz w:val="13"/>
              </w:rPr>
              <w:t>67,174</w:t>
            </w:r>
          </w:p>
        </w:tc>
        <w:tc>
          <w:tcPr>
            <w:tcW w:w="1354" w:type="dxa"/>
          </w:tcPr>
          <w:p>
            <w:pPr>
              <w:pStyle w:val="TableParagraph"/>
              <w:spacing w:line="145" w:lineRule="exact" w:before="9"/>
              <w:ind w:right="506"/>
              <w:jc w:val="right"/>
              <w:rPr>
                <w:rFonts w:ascii="Verdana"/>
                <w:sz w:val="13"/>
              </w:rPr>
            </w:pPr>
            <w:r>
              <w:rPr>
                <w:rFonts w:ascii="Verdana"/>
                <w:w w:val="120"/>
                <w:sz w:val="13"/>
              </w:rPr>
              <w:t>611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1563" w:type="dxa"/>
          </w:tcPr>
          <w:p>
            <w:pPr>
              <w:pStyle w:val="TableParagraph"/>
              <w:spacing w:line="145" w:lineRule="exact" w:before="9"/>
              <w:ind w:left="500"/>
              <w:rPr>
                <w:rFonts w:ascii="Verdana"/>
                <w:sz w:val="13"/>
              </w:rPr>
            </w:pPr>
            <w:r>
              <w:rPr>
                <w:rFonts w:ascii="Verdana"/>
                <w:w w:val="120"/>
                <w:sz w:val="13"/>
              </w:rPr>
              <w:t>2019</w:t>
            </w:r>
          </w:p>
        </w:tc>
        <w:tc>
          <w:tcPr>
            <w:tcW w:w="1208" w:type="dxa"/>
          </w:tcPr>
          <w:p>
            <w:pPr>
              <w:pStyle w:val="TableParagraph"/>
              <w:spacing w:line="145" w:lineRule="exact" w:before="9"/>
              <w:ind w:left="291"/>
              <w:rPr>
                <w:rFonts w:ascii="Verdana"/>
                <w:sz w:val="13"/>
              </w:rPr>
            </w:pPr>
            <w:r>
              <w:rPr>
                <w:rFonts w:ascii="Verdana"/>
                <w:w w:val="120"/>
                <w:sz w:val="13"/>
              </w:rPr>
              <w:t>17,695</w:t>
            </w:r>
          </w:p>
        </w:tc>
        <w:tc>
          <w:tcPr>
            <w:tcW w:w="1462" w:type="dxa"/>
          </w:tcPr>
          <w:p>
            <w:pPr>
              <w:pStyle w:val="TableParagraph"/>
              <w:spacing w:line="145" w:lineRule="exact" w:before="9"/>
              <w:ind w:left="365"/>
              <w:rPr>
                <w:rFonts w:ascii="Verdana"/>
                <w:sz w:val="13"/>
              </w:rPr>
            </w:pPr>
            <w:r>
              <w:rPr>
                <w:rFonts w:ascii="Verdana"/>
                <w:w w:val="120"/>
                <w:sz w:val="13"/>
              </w:rPr>
              <w:t>66,918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1563" w:type="dxa"/>
          </w:tcPr>
          <w:p>
            <w:pPr>
              <w:pStyle w:val="TableParagraph"/>
              <w:spacing w:line="145" w:lineRule="exact" w:before="9"/>
              <w:ind w:left="500"/>
              <w:rPr>
                <w:rFonts w:ascii="Verdana"/>
                <w:sz w:val="13"/>
              </w:rPr>
            </w:pPr>
            <w:r>
              <w:rPr>
                <w:rFonts w:ascii="Verdana"/>
                <w:w w:val="120"/>
                <w:sz w:val="13"/>
              </w:rPr>
              <w:t>2020</w:t>
            </w:r>
          </w:p>
        </w:tc>
        <w:tc>
          <w:tcPr>
            <w:tcW w:w="1208" w:type="dxa"/>
          </w:tcPr>
          <w:p>
            <w:pPr>
              <w:pStyle w:val="TableParagraph"/>
              <w:spacing w:line="145" w:lineRule="exact" w:before="9"/>
              <w:ind w:left="291"/>
              <w:rPr>
                <w:rFonts w:ascii="Verdana"/>
                <w:sz w:val="13"/>
              </w:rPr>
            </w:pPr>
            <w:r>
              <w:rPr>
                <w:rFonts w:ascii="Verdana"/>
                <w:w w:val="120"/>
                <w:sz w:val="13"/>
              </w:rPr>
              <w:t>16,534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41" w:hRule="atLeast"/>
        </w:trPr>
        <w:tc>
          <w:tcPr>
            <w:tcW w:w="1563" w:type="dxa"/>
          </w:tcPr>
          <w:p>
            <w:pPr>
              <w:pStyle w:val="TableParagraph"/>
              <w:tabs>
                <w:tab w:pos="500" w:val="left" w:leader="none"/>
                <w:tab w:pos="1272" w:val="left" w:leader="none"/>
              </w:tabs>
              <w:spacing w:before="9"/>
              <w:ind w:left="50"/>
              <w:rPr>
                <w:rFonts w:ascii="Verdana"/>
                <w:sz w:val="13"/>
              </w:rPr>
            </w:pPr>
            <w:r>
              <w:rPr>
                <w:rFonts w:ascii="Verdana"/>
                <w:w w:val="110"/>
                <w:sz w:val="13"/>
                <w:u w:val="single" w:color="8EA9DB"/>
              </w:rPr>
              <w:t> </w:t>
            </w:r>
            <w:r>
              <w:rPr>
                <w:rFonts w:ascii="Verdana"/>
                <w:sz w:val="13"/>
                <w:u w:val="single" w:color="8EA9DB"/>
              </w:rPr>
              <w:tab/>
            </w:r>
            <w:r>
              <w:rPr>
                <w:rFonts w:ascii="Verdana"/>
                <w:w w:val="120"/>
                <w:sz w:val="13"/>
                <w:u w:val="single" w:color="8EA9DB"/>
              </w:rPr>
              <w:t>2021</w:t>
            </w:r>
            <w:r>
              <w:rPr>
                <w:rFonts w:ascii="Verdana"/>
                <w:sz w:val="13"/>
                <w:u w:val="single" w:color="8EA9DB"/>
              </w:rPr>
              <w:tab/>
            </w:r>
          </w:p>
          <w:p>
            <w:pPr>
              <w:pStyle w:val="TableParagraph"/>
              <w:spacing w:line="130" w:lineRule="exact" w:before="24"/>
              <w:ind w:left="10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w w:val="140"/>
                <w:sz w:val="13"/>
              </w:rPr>
              <w:t>Tota</w:t>
            </w:r>
            <w:r>
              <w:rPr>
                <w:rFonts w:ascii="Arial"/>
                <w:b/>
                <w:spacing w:val="-34"/>
                <w:w w:val="140"/>
                <w:sz w:val="13"/>
              </w:rPr>
              <w:t> </w:t>
            </w:r>
            <w:r>
              <w:rPr>
                <w:rFonts w:ascii="Arial"/>
                <w:b/>
                <w:spacing w:val="-4"/>
                <w:w w:val="140"/>
                <w:sz w:val="13"/>
              </w:rPr>
              <w:t>l</w:t>
            </w:r>
            <w:r>
              <w:rPr>
                <w:rFonts w:ascii="Arial"/>
                <w:b/>
                <w:spacing w:val="-7"/>
                <w:w w:val="140"/>
                <w:sz w:val="13"/>
              </w:rPr>
              <w:t> </w:t>
            </w:r>
            <w:r>
              <w:rPr>
                <w:rFonts w:ascii="Arial"/>
                <w:b/>
                <w:spacing w:val="-4"/>
                <w:w w:val="140"/>
                <w:sz w:val="13"/>
              </w:rPr>
              <w:t>ge</w:t>
            </w:r>
          </w:p>
        </w:tc>
        <w:tc>
          <w:tcPr>
            <w:tcW w:w="1208" w:type="dxa"/>
          </w:tcPr>
          <w:p>
            <w:pPr>
              <w:pStyle w:val="TableParagraph"/>
              <w:spacing w:before="9"/>
              <w:ind w:left="291"/>
              <w:rPr>
                <w:rFonts w:ascii="Verdana"/>
                <w:sz w:val="13"/>
              </w:rPr>
            </w:pPr>
            <w:r>
              <w:rPr>
                <w:rFonts w:ascii="Verdana"/>
                <w:w w:val="122"/>
                <w:sz w:val="13"/>
              </w:rPr>
              <w:t>1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before="36"/>
        <w:ind w:left="278" w:right="0" w:firstLine="0"/>
        <w:jc w:val="both"/>
        <w:rPr>
          <w:sz w:val="14"/>
        </w:rPr>
      </w:pPr>
      <w:r>
        <w:rPr/>
        <w:pict>
          <v:shape style="position:absolute;margin-left:71.772423pt;margin-top:-8.469916pt;width:62.75pt;height:9.25pt;mso-position-horizontal-relative:page;mso-position-vertical-relative:paragraph;z-index:-28730880" coordorigin="1435,-169" coordsize="1255,185" path="m2690,-169l1435,-169,1435,15,2690,-169xe" filled="true" fillcolor="#d9e0f1" stroked="false">
            <v:path arrowok="t"/>
            <v:fill type="solid"/>
            <w10:wrap type="none"/>
          </v:shape>
        </w:pict>
      </w:r>
      <w:r>
        <w:rPr>
          <w:sz w:val="14"/>
        </w:rPr>
        <w:t>Fuente:</w:t>
      </w:r>
      <w:r>
        <w:rPr>
          <w:spacing w:val="-2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3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4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Educación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278" w:right="1075"/>
        <w:jc w:val="both"/>
      </w:pPr>
      <w:r>
        <w:rPr/>
        <w:t>Este cuadro, presenta el total de estudiantes por Nivel Educativo para el Departamento de Chiquimula</w:t>
      </w:r>
      <w:r>
        <w:rPr>
          <w:spacing w:val="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lapso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5 años.</w:t>
      </w:r>
    </w:p>
    <w:p>
      <w:pPr>
        <w:pStyle w:val="BodyText"/>
        <w:spacing w:before="1"/>
      </w:pPr>
    </w:p>
    <w:p>
      <w:pPr>
        <w:pStyle w:val="BodyText"/>
        <w:ind w:left="278" w:right="1071"/>
        <w:jc w:val="both"/>
      </w:pPr>
      <w:r>
        <w:rPr/>
        <w:t>El total de estudiantes atendidos durante este período fue de 539,521. En el 2017 se tuvo una población</w:t>
      </w:r>
      <w:r>
        <w:rPr>
          <w:spacing w:val="1"/>
        </w:rPr>
        <w:t> </w:t>
      </w:r>
      <w:r>
        <w:rPr/>
        <w:t>estudiantil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107,344.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2018,</w:t>
      </w:r>
      <w:r>
        <w:rPr>
          <w:spacing w:val="1"/>
        </w:rPr>
        <w:t> </w:t>
      </w:r>
      <w:r>
        <w:rPr/>
        <w:t>mostró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pequeño</w:t>
      </w:r>
      <w:r>
        <w:rPr>
          <w:spacing w:val="1"/>
        </w:rPr>
        <w:t> </w:t>
      </w:r>
      <w:r>
        <w:rPr/>
        <w:t>incremento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2,884</w:t>
      </w:r>
      <w:r>
        <w:rPr>
          <w:spacing w:val="1"/>
        </w:rPr>
        <w:t> </w:t>
      </w:r>
      <w:r>
        <w:rPr/>
        <w:t>alumnos,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cual,</w:t>
      </w:r>
      <w:r>
        <w:rPr>
          <w:spacing w:val="1"/>
        </w:rPr>
        <w:t> </w:t>
      </w:r>
      <w:r>
        <w:rPr/>
        <w:t>representó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incremento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3%.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2019,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redujo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108,470,</w:t>
      </w:r>
      <w:r>
        <w:rPr>
          <w:spacing w:val="1"/>
        </w:rPr>
        <w:t> </w:t>
      </w:r>
      <w:r>
        <w:rPr/>
        <w:t>continuando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tendencia</w:t>
      </w:r>
      <w:r>
        <w:rPr>
          <w:spacing w:val="-47"/>
        </w:rPr>
        <w:t> </w:t>
      </w:r>
      <w:r>
        <w:rPr/>
        <w:t>decreciente al reportar 106,382 alumnos para el 2020, explicado en parte por las medidas restrictivas de</w:t>
      </w:r>
      <w:r>
        <w:rPr>
          <w:spacing w:val="1"/>
        </w:rPr>
        <w:t> </w:t>
      </w:r>
      <w:r>
        <w:rPr/>
        <w:t>cierre de centros educativos por la pandemia. El 2021, muestra un aumento poco representativo de 715</w:t>
      </w:r>
      <w:r>
        <w:rPr>
          <w:spacing w:val="1"/>
        </w:rPr>
        <w:t> </w:t>
      </w:r>
      <w:r>
        <w:rPr/>
        <w:t>estudiantes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respecto al</w:t>
      </w:r>
      <w:r>
        <w:rPr>
          <w:spacing w:val="-3"/>
        </w:rPr>
        <w:t> </w:t>
      </w:r>
      <w:r>
        <w:rPr/>
        <w:t>2020.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rect style="position:absolute;margin-left:563.880005pt;margin-top:18.785816pt;width:25.44pt;height:1.4399pt;mso-position-horizontal-relative:page;mso-position-vertical-relative:paragraph;z-index:-1545676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136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8713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8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1"/>
        <w:jc w:val="both"/>
      </w:pPr>
      <w:r>
        <w:rPr/>
        <w:t>Como se muestra, el nivel que presentó más crecimiento fue la Primaria representando el 62% de 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período.</w:t>
      </w:r>
      <w:r>
        <w:rPr>
          <w:spacing w:val="1"/>
        </w:rPr>
        <w:t> </w:t>
      </w:r>
      <w:r>
        <w:rPr/>
        <w:t>Seguido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Preprimaria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16%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básico</w:t>
      </w:r>
      <w:r>
        <w:rPr>
          <w:spacing w:val="1"/>
        </w:rPr>
        <w:t> </w:t>
      </w:r>
      <w:r>
        <w:rPr/>
        <w:t>14%.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participación</w:t>
      </w:r>
      <w:r>
        <w:rPr>
          <w:spacing w:val="-9"/>
        </w:rPr>
        <w:t> </w:t>
      </w:r>
      <w:r>
        <w:rPr/>
        <w:t>de</w:t>
      </w:r>
      <w:r>
        <w:rPr>
          <w:spacing w:val="-5"/>
        </w:rPr>
        <w:t> </w:t>
      </w:r>
      <w:r>
        <w:rPr/>
        <w:t>alumnos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Nivel</w:t>
      </w:r>
      <w:r>
        <w:rPr>
          <w:spacing w:val="-8"/>
        </w:rPr>
        <w:t> </w:t>
      </w:r>
      <w:r>
        <w:rPr/>
        <w:t>Diversificado</w:t>
      </w:r>
      <w:r>
        <w:rPr>
          <w:spacing w:val="-7"/>
        </w:rPr>
        <w:t> </w:t>
      </w:r>
      <w:r>
        <w:rPr/>
        <w:t>cae</w:t>
      </w:r>
      <w:r>
        <w:rPr>
          <w:spacing w:val="-10"/>
        </w:rPr>
        <w:t> </w:t>
      </w:r>
      <w:r>
        <w:rPr/>
        <w:t>drásticamente</w:t>
      </w:r>
      <w:r>
        <w:rPr>
          <w:spacing w:val="-6"/>
        </w:rPr>
        <w:t> </w:t>
      </w:r>
      <w:r>
        <w:rPr/>
        <w:t>reportando</w:t>
      </w:r>
      <w:r>
        <w:rPr>
          <w:spacing w:val="-7"/>
        </w:rPr>
        <w:t> </w:t>
      </w:r>
      <w:r>
        <w:rPr/>
        <w:t>un</w:t>
      </w:r>
      <w:r>
        <w:rPr>
          <w:spacing w:val="-6"/>
        </w:rPr>
        <w:t> </w:t>
      </w:r>
      <w:r>
        <w:rPr/>
        <w:t>7%.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finalizando,</w:t>
      </w:r>
      <w:r>
        <w:rPr>
          <w:spacing w:val="-5"/>
        </w:rPr>
        <w:t> </w:t>
      </w:r>
      <w:r>
        <w:rPr/>
        <w:t>con</w:t>
      </w:r>
      <w:r>
        <w:rPr>
          <w:spacing w:val="-47"/>
        </w:rPr>
        <w:t> </w:t>
      </w:r>
      <w:r>
        <w:rPr/>
        <w:t>la</w:t>
      </w:r>
      <w:r>
        <w:rPr>
          <w:spacing w:val="-1"/>
        </w:rPr>
        <w:t> </w:t>
      </w:r>
      <w:r>
        <w:rPr/>
        <w:t>Primaria para</w:t>
      </w:r>
      <w:r>
        <w:rPr>
          <w:spacing w:val="-4"/>
        </w:rPr>
        <w:t> </w:t>
      </w:r>
      <w:r>
        <w:rPr/>
        <w:t>Adultos,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cual</w:t>
      </w:r>
      <w:r>
        <w:rPr>
          <w:spacing w:val="-1"/>
        </w:rPr>
        <w:t> </w:t>
      </w:r>
      <w:r>
        <w:rPr/>
        <w:t>posee</w:t>
      </w:r>
      <w:r>
        <w:rPr>
          <w:spacing w:val="1"/>
        </w:rPr>
        <w:t> </w:t>
      </w:r>
      <w:r>
        <w:rPr/>
        <w:t>una participación</w:t>
      </w:r>
      <w:r>
        <w:rPr>
          <w:spacing w:val="-2"/>
        </w:rPr>
        <w:t> </w:t>
      </w:r>
      <w:r>
        <w:rPr/>
        <w:t>insignificante del</w:t>
      </w:r>
      <w:r>
        <w:rPr>
          <w:spacing w:val="-1"/>
        </w:rPr>
        <w:t> </w:t>
      </w:r>
      <w:r>
        <w:rPr/>
        <w:t>0.42%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población.</w:t>
      </w:r>
    </w:p>
    <w:p>
      <w:pPr>
        <w:pStyle w:val="BodyText"/>
        <w:spacing w:before="9"/>
        <w:rPr>
          <w:sz w:val="19"/>
        </w:rPr>
      </w:pPr>
    </w:p>
    <w:p>
      <w:pPr>
        <w:pStyle w:val="Heading3"/>
        <w:numPr>
          <w:ilvl w:val="2"/>
          <w:numId w:val="32"/>
        </w:numPr>
        <w:tabs>
          <w:tab w:pos="998" w:val="left" w:leader="none"/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157" w:id="247"/>
      <w:bookmarkEnd w:id="247"/>
      <w:r>
        <w:rPr>
          <w:b w:val="0"/>
        </w:rPr>
      </w:r>
      <w:bookmarkStart w:name="_bookmark157" w:id="248"/>
      <w:bookmarkEnd w:id="248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Cobertura:</w:t>
      </w:r>
      <w:r>
        <w:rPr>
          <w:spacing w:val="-4"/>
        </w:rPr>
        <w:t> </w:t>
      </w:r>
      <w:r>
        <w:rPr/>
        <w:t>Tasa</w:t>
      </w:r>
      <w:r>
        <w:rPr>
          <w:spacing w:val="-3"/>
        </w:rPr>
        <w:t> </w:t>
      </w:r>
      <w:r>
        <w:rPr/>
        <w:t>Neta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Cobertura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278" w:right="1072"/>
        <w:jc w:val="both"/>
      </w:pPr>
      <w:r>
        <w:rPr/>
        <w:t>Para la cobertura educativa medida a través del (TNE) para Chiquimula durante el período del 2017 al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evidencia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primaria</w:t>
      </w:r>
      <w:r>
        <w:rPr>
          <w:spacing w:val="1"/>
        </w:rPr>
        <w:t> </w:t>
      </w:r>
      <w:r>
        <w:rPr/>
        <w:t>(90.6%),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comparación con la TNE nacional promedio del período (2017-2019) que posee el 77.50%. Como sucede</w:t>
      </w:r>
      <w:r>
        <w:rPr>
          <w:spacing w:val="1"/>
        </w:rPr>
        <w:t> </w:t>
      </w:r>
      <w:r>
        <w:rPr/>
        <w:t>con los otros departamentos, presenta cantidades reducidas en la participación de los jóvenes en el ciclo</w:t>
      </w:r>
      <w:r>
        <w:rPr>
          <w:spacing w:val="1"/>
        </w:rPr>
        <w:t> </w:t>
      </w:r>
      <w:r>
        <w:rPr/>
        <w:t>básico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diversificado.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 tabla,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observan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cifras del</w:t>
      </w:r>
      <w:r>
        <w:rPr>
          <w:spacing w:val="-1"/>
        </w:rPr>
        <w:t> </w:t>
      </w:r>
      <w:r>
        <w:rPr/>
        <w:t>TNE para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período</w:t>
      </w:r>
      <w:r>
        <w:rPr>
          <w:spacing w:val="-2"/>
        </w:rPr>
        <w:t> </w:t>
      </w:r>
      <w:r>
        <w:rPr/>
        <w:t>2017-2020.</w:t>
      </w:r>
    </w:p>
    <w:p>
      <w:pPr>
        <w:pStyle w:val="BodyText"/>
        <w:rPr>
          <w:sz w:val="20"/>
        </w:rPr>
      </w:pPr>
    </w:p>
    <w:p>
      <w:pPr>
        <w:pStyle w:val="BodyText"/>
        <w:ind w:left="278" w:right="1075"/>
        <w:jc w:val="both"/>
      </w:pPr>
      <w:r>
        <w:rPr/>
        <w:t>Tabla</w:t>
      </w:r>
      <w:r>
        <w:rPr>
          <w:spacing w:val="1"/>
        </w:rPr>
        <w:t> </w:t>
      </w:r>
      <w:r>
        <w:rPr/>
        <w:t>Nº.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Cobertura: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Bruta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Académico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47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de Chiquimula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30"/>
        </w:rPr>
      </w:pPr>
    </w:p>
    <w:p>
      <w:pPr>
        <w:spacing w:before="0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3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2"/>
          <w:sz w:val="14"/>
        </w:rPr>
        <w:t> </w:t>
      </w:r>
      <w:r>
        <w:rPr>
          <w:sz w:val="14"/>
        </w:rPr>
        <w:t>a</w:t>
      </w:r>
      <w:r>
        <w:rPr>
          <w:spacing w:val="-2"/>
          <w:sz w:val="14"/>
        </w:rPr>
        <w:t> </w:t>
      </w:r>
      <w:r>
        <w:rPr>
          <w:sz w:val="14"/>
        </w:rPr>
        <w:t>partir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4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4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6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Educación</w:t>
      </w:r>
      <w:r>
        <w:rPr>
          <w:spacing w:val="-4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278" w:right="1074"/>
        <w:jc w:val="both"/>
      </w:pPr>
      <w:r>
        <w:rPr/>
        <w:t>La tabla anterior, engloba los principales indicadores de cobertura para Chiquimula. A nivel Preprimaria</w:t>
      </w:r>
      <w:r>
        <w:rPr>
          <w:spacing w:val="1"/>
        </w:rPr>
        <w:t> </w:t>
      </w:r>
      <w:r>
        <w:rPr/>
        <w:t>Chiquimula, evidencia una reducción en la cobertura durante el periodo 2017‐2020, con una TNE de</w:t>
      </w:r>
      <w:r>
        <w:rPr>
          <w:spacing w:val="1"/>
        </w:rPr>
        <w:t> </w:t>
      </w:r>
      <w:r>
        <w:rPr/>
        <w:t>(58.12%),</w:t>
      </w:r>
      <w:r>
        <w:rPr>
          <w:spacing w:val="-12"/>
        </w:rPr>
        <w:t> </w:t>
      </w:r>
      <w:r>
        <w:rPr/>
        <w:t>(62.79%),</w:t>
      </w:r>
      <w:r>
        <w:rPr>
          <w:spacing w:val="-11"/>
        </w:rPr>
        <w:t> </w:t>
      </w:r>
      <w:r>
        <w:rPr/>
        <w:t>(60.80%)</w:t>
      </w:r>
      <w:r>
        <w:rPr>
          <w:spacing w:val="-12"/>
        </w:rPr>
        <w:t> </w:t>
      </w:r>
      <w:r>
        <w:rPr/>
        <w:t>y</w:t>
      </w:r>
      <w:r>
        <w:rPr>
          <w:spacing w:val="-10"/>
        </w:rPr>
        <w:t> </w:t>
      </w:r>
      <w:r>
        <w:rPr/>
        <w:t>(58.33%)</w:t>
      </w:r>
      <w:r>
        <w:rPr>
          <w:spacing w:val="-11"/>
        </w:rPr>
        <w:t> </w:t>
      </w:r>
      <w:r>
        <w:rPr/>
        <w:t>respectivamente</w:t>
      </w:r>
      <w:r>
        <w:rPr>
          <w:spacing w:val="-8"/>
        </w:rPr>
        <w:t> </w:t>
      </w:r>
      <w:r>
        <w:rPr/>
        <w:t>durante</w:t>
      </w:r>
      <w:r>
        <w:rPr>
          <w:spacing w:val="-9"/>
        </w:rPr>
        <w:t> </w:t>
      </w:r>
      <w:r>
        <w:rPr/>
        <w:t>los</w:t>
      </w:r>
      <w:r>
        <w:rPr>
          <w:spacing w:val="-12"/>
        </w:rPr>
        <w:t> </w:t>
      </w:r>
      <w:r>
        <w:rPr/>
        <w:t>años</w:t>
      </w:r>
      <w:r>
        <w:rPr>
          <w:spacing w:val="-11"/>
        </w:rPr>
        <w:t> </w:t>
      </w:r>
      <w:r>
        <w:rPr/>
        <w:t>indicados.</w:t>
      </w:r>
      <w:r>
        <w:rPr>
          <w:spacing w:val="-12"/>
        </w:rPr>
        <w:t> </w:t>
      </w:r>
      <w:r>
        <w:rPr/>
        <w:t>Lo</w:t>
      </w:r>
      <w:r>
        <w:rPr>
          <w:spacing w:val="-11"/>
        </w:rPr>
        <w:t> </w:t>
      </w:r>
      <w:r>
        <w:rPr/>
        <w:t>cual,</w:t>
      </w:r>
      <w:r>
        <w:rPr>
          <w:spacing w:val="-12"/>
        </w:rPr>
        <w:t> </w:t>
      </w:r>
      <w:r>
        <w:rPr/>
        <w:t>significa</w:t>
      </w:r>
      <w:r>
        <w:rPr>
          <w:spacing w:val="-12"/>
        </w:rPr>
        <w:t> </w:t>
      </w:r>
      <w:r>
        <w:rPr/>
        <w:t>que</w:t>
      </w:r>
      <w:r>
        <w:rPr>
          <w:spacing w:val="-47"/>
        </w:rPr>
        <w:t> </w:t>
      </w:r>
      <w:r>
        <w:rPr/>
        <w:t>seis</w:t>
      </w:r>
      <w:r>
        <w:rPr>
          <w:spacing w:val="-1"/>
        </w:rPr>
        <w:t> </w:t>
      </w:r>
      <w:r>
        <w:rPr/>
        <w:t>(6) de</w:t>
      </w:r>
      <w:r>
        <w:rPr>
          <w:spacing w:val="-1"/>
        </w:rPr>
        <w:t> </w:t>
      </w:r>
      <w:r>
        <w:rPr/>
        <w:t>cada diez</w:t>
      </w:r>
      <w:r>
        <w:rPr>
          <w:spacing w:val="-4"/>
        </w:rPr>
        <w:t> </w:t>
      </w:r>
      <w:r>
        <w:rPr/>
        <w:t>(10) niños asiste a</w:t>
      </w:r>
      <w:r>
        <w:rPr>
          <w:spacing w:val="-3"/>
        </w:rPr>
        <w:t> </w:t>
      </w:r>
      <w:r>
        <w:rPr/>
        <w:t>este</w:t>
      </w:r>
      <w:r>
        <w:rPr>
          <w:spacing w:val="1"/>
        </w:rPr>
        <w:t> </w:t>
      </w:r>
      <w:r>
        <w:rPr/>
        <w:t>nivel (TNE: 60.01%).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1"/>
        <w:ind w:left="278" w:right="1073"/>
        <w:jc w:val="both"/>
      </w:pPr>
      <w:r>
        <w:rPr/>
        <w:t>En primaria se</w:t>
      </w:r>
      <w:r>
        <w:rPr>
          <w:spacing w:val="1"/>
        </w:rPr>
        <w:t> </w:t>
      </w:r>
      <w:r>
        <w:rPr/>
        <w:t>registran mayores valores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van de</w:t>
      </w:r>
      <w:r>
        <w:rPr>
          <w:spacing w:val="1"/>
        </w:rPr>
        <w:t> </w:t>
      </w:r>
      <w:r>
        <w:rPr/>
        <w:t>(90.64%), (91.51%),</w:t>
      </w:r>
      <w:r>
        <w:rPr>
          <w:spacing w:val="1"/>
        </w:rPr>
        <w:t> </w:t>
      </w:r>
      <w:r>
        <w:rPr/>
        <w:t>(91.37%) y</w:t>
      </w:r>
      <w:r>
        <w:rPr>
          <w:spacing w:val="1"/>
        </w:rPr>
        <w:t> </w:t>
      </w:r>
      <w:r>
        <w:rPr/>
        <w:t>(91.64%), registrando el mayor dato durante el 2019. De acuerdo con dato promedio de la TNE de</w:t>
      </w:r>
      <w:r>
        <w:rPr>
          <w:spacing w:val="1"/>
        </w:rPr>
        <w:t> </w:t>
      </w:r>
      <w:r>
        <w:rPr/>
        <w:t>Chiquimula (90.75%) durante el período en comparación con el promedio de la TNE Nacional, este</w:t>
      </w:r>
      <w:r>
        <w:rPr>
          <w:spacing w:val="1"/>
        </w:rPr>
        <w:t> </w:t>
      </w:r>
      <w:r>
        <w:rPr/>
        <w:t>departamento registró un valor por arriba con 13.25%. En otras palabras, nueve (9) de cada diez (10). Lo</w:t>
      </w:r>
      <w:r>
        <w:rPr>
          <w:spacing w:val="1"/>
        </w:rPr>
        <w:t> </w:t>
      </w:r>
      <w:r>
        <w:rPr/>
        <w:t>interesante aquí será determinar la tasa neta a nivel municipal para determinar brechas o desigualdades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el sistema.</w:t>
      </w:r>
    </w:p>
    <w:p>
      <w:pPr>
        <w:pStyle w:val="BodyText"/>
        <w:rPr>
          <w:sz w:val="20"/>
        </w:rPr>
      </w:pPr>
    </w:p>
    <w:p>
      <w:pPr>
        <w:pStyle w:val="BodyText"/>
        <w:ind w:left="278" w:right="1069"/>
        <w:jc w:val="both"/>
      </w:pPr>
      <w:r>
        <w:rPr/>
        <w:t>Los valores en el Ciclo básico reportan una tendencia a la baja similar a los datos Nacionales, aunque por</w:t>
      </w:r>
      <w:r>
        <w:rPr>
          <w:spacing w:val="1"/>
        </w:rPr>
        <w:t> </w:t>
      </w:r>
      <w:r>
        <w:rPr/>
        <w:t>debajo del mejor dato reportado en el 2015 (45.9%). Para el período analizado las cantidades que van</w:t>
      </w:r>
      <w:r>
        <w:rPr>
          <w:spacing w:val="1"/>
        </w:rPr>
        <w:t> </w:t>
      </w:r>
      <w:r>
        <w:rPr/>
        <w:t>desde (33.67%), (34.13%), (33.45%) y (33.72%).</w:t>
      </w:r>
      <w:r>
        <w:rPr>
          <w:spacing w:val="1"/>
        </w:rPr>
        <w:t> </w:t>
      </w:r>
      <w:r>
        <w:rPr/>
        <w:t>Mostrando un leve descenso del -0.25%. Lo que significa</w:t>
      </w:r>
      <w:r>
        <w:rPr>
          <w:spacing w:val="1"/>
        </w:rPr>
        <w:t> </w:t>
      </w:r>
      <w:r>
        <w:rPr/>
        <w:t>que una tercera parte</w:t>
      </w:r>
      <w:r>
        <w:rPr>
          <w:spacing w:val="1"/>
        </w:rPr>
        <w:t> </w:t>
      </w:r>
      <w:r>
        <w:rPr/>
        <w:t>asiste al ciclo</w:t>
      </w:r>
      <w:r>
        <w:rPr>
          <w:spacing w:val="1"/>
        </w:rPr>
        <w:t> </w:t>
      </w:r>
      <w:r>
        <w:rPr/>
        <w:t>básico</w:t>
      </w:r>
      <w:r>
        <w:rPr>
          <w:spacing w:val="-1"/>
        </w:rPr>
        <w:t> </w:t>
      </w:r>
      <w:r>
        <w:rPr/>
        <w:t>(TNE:</w:t>
      </w:r>
      <w:r>
        <w:rPr>
          <w:spacing w:val="-1"/>
        </w:rPr>
        <w:t> </w:t>
      </w:r>
      <w:r>
        <w:rPr/>
        <w:t>34%).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pict>
          <v:rect style="position:absolute;margin-left:563.880005pt;margin-top:17.55275pt;width:25.44pt;height:1.4399pt;mso-position-horizontal-relative:page;mso-position-vertical-relative:paragraph;z-index:-1545420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137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89184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8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3"/>
        <w:jc w:val="both"/>
      </w:pPr>
      <w:r>
        <w:rPr/>
        <w:t>De modo similar a los datos nacionales, el nivel más bajo de participación en el Sistema Nacional de</w:t>
      </w:r>
      <w:r>
        <w:rPr>
          <w:spacing w:val="1"/>
        </w:rPr>
        <w:t> </w:t>
      </w:r>
      <w:r>
        <w:rPr/>
        <w:t>Educación, lo representa el diversificado. Incluso en Chiquimula solamente 2 de cada 10 jóvenes tiene</w:t>
      </w:r>
      <w:r>
        <w:rPr>
          <w:spacing w:val="1"/>
        </w:rPr>
        <w:t> </w:t>
      </w:r>
      <w:r>
        <w:rPr/>
        <w:t>acceso a educación en este nivel, hallándose por debajo de la TNE a nivel nacional cuya tasa de cobertura</w:t>
      </w:r>
      <w:r>
        <w:rPr>
          <w:spacing w:val="-48"/>
        </w:rPr>
        <w:t> </w:t>
      </w:r>
      <w:r>
        <w:rPr/>
        <w:t>en</w:t>
      </w:r>
      <w:r>
        <w:rPr>
          <w:spacing w:val="-4"/>
        </w:rPr>
        <w:t> </w:t>
      </w:r>
      <w:r>
        <w:rPr/>
        <w:t>educación</w:t>
      </w:r>
      <w:r>
        <w:rPr>
          <w:spacing w:val="-6"/>
        </w:rPr>
        <w:t> </w:t>
      </w:r>
      <w:r>
        <w:rPr/>
        <w:t>media</w:t>
      </w:r>
      <w:r>
        <w:rPr>
          <w:spacing w:val="-6"/>
        </w:rPr>
        <w:t> </w:t>
      </w:r>
      <w:r>
        <w:rPr/>
        <w:t>es</w:t>
      </w:r>
      <w:r>
        <w:rPr>
          <w:spacing w:val="-5"/>
        </w:rPr>
        <w:t> </w:t>
      </w:r>
      <w:r>
        <w:rPr/>
        <w:t>del</w:t>
      </w:r>
      <w:r>
        <w:rPr>
          <w:spacing w:val="-8"/>
        </w:rPr>
        <w:t> </w:t>
      </w:r>
      <w:r>
        <w:rPr/>
        <w:t>24.57%,</w:t>
      </w:r>
      <w:r>
        <w:rPr>
          <w:spacing w:val="-5"/>
        </w:rPr>
        <w:t> </w:t>
      </w:r>
      <w:r>
        <w:rPr/>
        <w:t>mientras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tasa</w:t>
      </w:r>
      <w:r>
        <w:rPr>
          <w:spacing w:val="-3"/>
        </w:rPr>
        <w:t> </w:t>
      </w:r>
      <w:r>
        <w:rPr/>
        <w:t>promedio</w:t>
      </w:r>
      <w:r>
        <w:rPr>
          <w:spacing w:val="-4"/>
        </w:rPr>
        <w:t> </w:t>
      </w:r>
      <w:r>
        <w:rPr/>
        <w:t>del</w:t>
      </w:r>
      <w:r>
        <w:rPr>
          <w:spacing w:val="-6"/>
        </w:rPr>
        <w:t> </w:t>
      </w:r>
      <w:r>
        <w:rPr/>
        <w:t>departamento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sitúa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18.41.</w:t>
      </w:r>
      <w:r>
        <w:rPr>
          <w:spacing w:val="40"/>
        </w:rPr>
        <w:t> </w:t>
      </w:r>
      <w:r>
        <w:rPr/>
        <w:t>Al</w:t>
      </w:r>
      <w:r>
        <w:rPr>
          <w:spacing w:val="-47"/>
        </w:rPr>
        <w:t> </w:t>
      </w:r>
      <w:r>
        <w:rPr>
          <w:spacing w:val="-1"/>
        </w:rPr>
        <w:t>igual</w:t>
      </w:r>
      <w:r>
        <w:rPr>
          <w:spacing w:val="-12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ciclo</w:t>
      </w:r>
      <w:r>
        <w:rPr>
          <w:spacing w:val="-11"/>
        </w:rPr>
        <w:t> </w:t>
      </w:r>
      <w:r>
        <w:rPr>
          <w:spacing w:val="-1"/>
        </w:rPr>
        <w:t>básico</w:t>
      </w:r>
      <w:r>
        <w:rPr>
          <w:spacing w:val="-10"/>
        </w:rPr>
        <w:t> </w:t>
      </w:r>
      <w:r>
        <w:rPr/>
        <w:t>en</w:t>
      </w:r>
      <w:r>
        <w:rPr>
          <w:spacing w:val="-13"/>
        </w:rPr>
        <w:t> </w:t>
      </w:r>
      <w:r>
        <w:rPr/>
        <w:t>este</w:t>
      </w:r>
      <w:r>
        <w:rPr>
          <w:spacing w:val="-11"/>
        </w:rPr>
        <w:t> </w:t>
      </w:r>
      <w:r>
        <w:rPr/>
        <w:t>nivel</w:t>
      </w:r>
      <w:r>
        <w:rPr>
          <w:spacing w:val="-12"/>
        </w:rPr>
        <w:t> </w:t>
      </w:r>
      <w:r>
        <w:rPr/>
        <w:t>se</w:t>
      </w:r>
      <w:r>
        <w:rPr>
          <w:spacing w:val="-11"/>
        </w:rPr>
        <w:t> </w:t>
      </w:r>
      <w:r>
        <w:rPr/>
        <w:t>reportan</w:t>
      </w:r>
      <w:r>
        <w:rPr>
          <w:spacing w:val="-13"/>
        </w:rPr>
        <w:t> </w:t>
      </w:r>
      <w:r>
        <w:rPr/>
        <w:t>criterios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deserción</w:t>
      </w:r>
      <w:r>
        <w:rPr>
          <w:spacing w:val="-13"/>
        </w:rPr>
        <w:t> </w:t>
      </w:r>
      <w:r>
        <w:rPr/>
        <w:t>similares</w:t>
      </w:r>
      <w:r>
        <w:rPr>
          <w:spacing w:val="-12"/>
        </w:rPr>
        <w:t> </w:t>
      </w:r>
      <w:r>
        <w:rPr/>
        <w:t>como:</w:t>
      </w:r>
      <w:r>
        <w:rPr>
          <w:spacing w:val="28"/>
        </w:rPr>
        <w:t> </w:t>
      </w:r>
      <w:r>
        <w:rPr/>
        <w:t>33%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le</w:t>
      </w:r>
      <w:r>
        <w:rPr>
          <w:spacing w:val="-10"/>
        </w:rPr>
        <w:t> </w:t>
      </w:r>
      <w:r>
        <w:rPr/>
        <w:t>interesa,</w:t>
      </w:r>
      <w:r>
        <w:rPr>
          <w:spacing w:val="-48"/>
        </w:rPr>
        <w:t> </w:t>
      </w:r>
      <w:r>
        <w:rPr/>
        <w:t>y 30 señaló otros factores (pendientes de conocer datos más concretos) que son los del ciclo básico pero</w:t>
      </w:r>
      <w:r>
        <w:rPr>
          <w:spacing w:val="1"/>
        </w:rPr>
        <w:t> </w:t>
      </w:r>
      <w:r>
        <w:rPr/>
        <w:t>se suma la</w:t>
      </w:r>
      <w:r>
        <w:rPr>
          <w:spacing w:val="-2"/>
        </w:rPr>
        <w:t> </w:t>
      </w:r>
      <w:r>
        <w:rPr/>
        <w:t>migración</w:t>
      </w:r>
      <w:r>
        <w:rPr>
          <w:spacing w:val="-1"/>
        </w:rPr>
        <w:t> </w:t>
      </w:r>
      <w:r>
        <w:rPr/>
        <w:t>temporal</w:t>
      </w:r>
      <w:r>
        <w:rPr>
          <w:spacing w:val="-1"/>
        </w:rPr>
        <w:t> </w:t>
      </w:r>
      <w:r>
        <w:rPr/>
        <w:t>por trabajo.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numPr>
          <w:ilvl w:val="2"/>
          <w:numId w:val="32"/>
        </w:numPr>
        <w:tabs>
          <w:tab w:pos="998" w:val="left" w:leader="none"/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158" w:id="249"/>
      <w:bookmarkEnd w:id="249"/>
      <w:r>
        <w:rPr>
          <w:b w:val="0"/>
        </w:rPr>
      </w:r>
      <w:bookmarkStart w:name="_bookmark158" w:id="250"/>
      <w:bookmarkEnd w:id="250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Cobertura:</w:t>
      </w:r>
      <w:r>
        <w:rPr>
          <w:spacing w:val="-3"/>
        </w:rPr>
        <w:t> </w:t>
      </w:r>
      <w:r>
        <w:rPr/>
        <w:t>Tasa</w:t>
      </w:r>
      <w:r>
        <w:rPr>
          <w:spacing w:val="-3"/>
        </w:rPr>
        <w:t> </w:t>
      </w:r>
      <w:r>
        <w:rPr/>
        <w:t>Bruta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Déficit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departamento,</w:t>
      </w:r>
      <w:r>
        <w:rPr>
          <w:spacing w:val="-1"/>
        </w:rPr>
        <w:t> </w:t>
      </w:r>
      <w:r>
        <w:rPr/>
        <w:t>sexo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etnia.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before="1"/>
        <w:ind w:left="278" w:right="1078"/>
        <w:jc w:val="both"/>
      </w:pPr>
      <w:r>
        <w:rPr/>
        <w:pict>
          <v:group style="position:absolute;margin-left:71.710381pt;margin-top:31.367542pt;width:469.6pt;height:177.75pt;mso-position-horizontal-relative:page;mso-position-vertical-relative:paragraph;z-index:-15452672;mso-wrap-distance-left:0;mso-wrap-distance-right:0" coordorigin="1434,627" coordsize="9392,3555">
            <v:rect style="position:absolute;left:1439;top:633;width:9380;height:3544" filled="true" fillcolor="#ffffff" stroked="false">
              <v:fill type="solid"/>
            </v:rect>
            <v:shape style="position:absolute;left:1886;top:3615;width:1816;height:2" coordorigin="1886,3615" coordsize="1816,0" path="m1886,3615l2348,3615m2507,3615l2534,3615m2809,3615l3702,3615e" filled="false" stroked="true" strokeweight=".543307pt" strokecolor="#888888">
              <v:path arrowok="t"/>
              <v:stroke dashstyle="solid"/>
            </v:shape>
            <v:shape style="position:absolute;left:3874;top:3612;width:4827;height:6" coordorigin="3874,3612" coordsize="4827,6" path="m3874,3618l3904,3618m4163,3618l5273,3618m5532,3618l6626,3618m6886,3618l7995,3618m8255,3618l8701,3618m3874,3612l3904,3612m4163,3612l5273,3612m5532,3612l6626,3612m6886,3612l7995,3612m8255,3612l8701,3612e" filled="false" stroked="true" strokeweight=".271649pt" strokecolor="#888888">
              <v:path arrowok="t"/>
              <v:stroke dashstyle="solid"/>
            </v:shape>
            <v:line style="position:absolute" from="1886,3345" to="2534,3345" stroked="true" strokeweight=".543307pt" strokecolor="#888888">
              <v:stroke dashstyle="solid"/>
            </v:line>
            <v:shape style="position:absolute;left:2809;top:3345;width:5892;height:2" coordorigin="2809,3345" coordsize="5892,0" path="m2809,3345l3904,3345m4163,3345l5273,3345m5532,3345l6626,3345m6886,3345l7995,3345m8153,3345l8701,3345e" filled="false" stroked="true" strokeweight=".543307pt" strokecolor="#888888">
              <v:path arrowok="t"/>
              <v:stroke dashstyle="solid"/>
            </v:shape>
            <v:line style="position:absolute" from="1886,3075" to="2534,3075" stroked="true" strokeweight=".543307pt" strokecolor="#888888">
              <v:stroke dashstyle="solid"/>
            </v:line>
            <v:shape style="position:absolute;left:2809;top:3075;width:3818;height:2" coordorigin="2809,3075" coordsize="3818,0" path="m2809,3075l3904,3075m4163,3075l5273,3075m5532,3075l6626,3075e" filled="false" stroked="true" strokeweight=".543307pt" strokecolor="#888888">
              <v:path arrowok="t"/>
              <v:stroke dashstyle="solid"/>
            </v:shape>
            <v:line style="position:absolute" from="1886,2805" to="2534,2805" stroked="true" strokeweight=".543307pt" strokecolor="#888888">
              <v:stroke dashstyle="solid"/>
            </v:line>
            <v:shape style="position:absolute;left:2809;top:2805;width:5892;height:2" coordorigin="2809,2805" coordsize="5892,0" path="m2809,2805l3904,2805m4163,2805l5273,2805m5532,2805l6626,2805m6785,2805l8701,2805e" filled="false" stroked="true" strokeweight=".543307pt" strokecolor="#888888">
              <v:path arrowok="t"/>
              <v:stroke dashstyle="solid"/>
            </v:shape>
            <v:line style="position:absolute" from="1886,2535" to="2534,2535" stroked="true" strokeweight=".543307pt" strokecolor="#888888">
              <v:stroke dashstyle="solid"/>
            </v:line>
            <v:shape style="position:absolute;left:2707;top:2534;width:5994;height:2" coordorigin="2707,2535" coordsize="5994,0" path="m2707,2535l3904,2535m4062,2535l5273,2535m5532,2535l8701,2535e" filled="false" stroked="true" strokeweight=".543307pt" strokecolor="#888888">
              <v:path arrowok="t"/>
              <v:stroke dashstyle="solid"/>
            </v:shape>
            <v:line style="position:absolute" from="1886,2265" to="2534,2265" stroked="true" strokeweight=".543307pt" strokecolor="#888888">
              <v:stroke dashstyle="solid"/>
            </v:line>
            <v:shape style="position:absolute;left:2707;top:2262;width:2566;height:6" coordorigin="2707,2262" coordsize="2566,6" path="m2707,2268l5273,2268m2707,2262l5273,2262e" filled="false" stroked="true" strokeweight=".271654pt" strokecolor="#888888">
              <v:path arrowok="t"/>
              <v:stroke dashstyle="solid"/>
            </v:shape>
            <v:shape style="position:absolute;left:1886;top:1983;width:6815;height:2" coordorigin="1886,1983" coordsize="6815,0" path="m1886,1983l2534,1983m2707,1983l8701,1983e" filled="false" stroked="true" strokeweight=".543307pt" strokecolor="#888888">
              <v:path arrowok="t"/>
              <v:stroke dashstyle="solid"/>
            </v:shape>
            <v:shape style="position:absolute;left:1886;top:1443;width:6815;height:270" coordorigin="1886,1443" coordsize="6815,270" path="m1886,1713l1886,1713,8701,1713m1886,1443l1886,1443,8701,1443e" filled="false" stroked="true" strokeweight=".619941pt" strokecolor="#888888">
              <v:path arrowok="t"/>
              <v:stroke dashstyle="solid"/>
            </v:shape>
            <v:shape style="position:absolute;left:4782;top:3885;width:1513;height:6" coordorigin="4782,3885" coordsize="1513,6" path="m4941,3885l4782,3885,4782,3891,4941,3891,4941,3885xm6295,3885l6137,3885,6137,3891,6295,3891,6295,3885xe" filled="true" fillcolor="#c46627" stroked="false">
              <v:path arrowok="t"/>
              <v:fill type="solid"/>
            </v:shape>
            <v:shape style="position:absolute;left:3615;top:3885;width:1456;height:6" coordorigin="3615,3885" coordsize="1456,6" path="m3702,3885l3615,3885,3615,3891,3702,3891,3702,3885xm5070,3885l4970,3885,4970,3891,5070,3891,5070,3885xe" filled="true" fillcolor="#d29e00" stroked="false">
              <v:path arrowok="t"/>
              <v:fill type="solid"/>
            </v:shape>
            <v:shape style="position:absolute;left:2347;top:3558;width:5605;height:333" coordorigin="2348,3558" coordsize="5605,333" path="m2507,3558l2348,3558,2348,3891,2507,3891,2507,3558xm3874,3603l3702,3603,3702,3891,3874,3891,3874,3603xm5229,3637l5070,3637,5070,3891,5229,3891,5229,3637xm6597,3615l6424,3615,6424,3891,6597,3891,6597,3615xm7952,3693l7793,3693,7793,3891,7952,3891,7952,3693xe" filled="true" fillcolor="#497eaf" stroked="false">
              <v:path arrowok="t"/>
              <v:fill type="solid"/>
            </v:shape>
            <v:shape style="position:absolute;left:2448;top:3637;width:5548;height:254" coordorigin="2448,3637" coordsize="5548,254" path="m2534,3738l2448,3738,2448,3891,2534,3891,2534,3738xm3904,3693l3803,3693,3803,3891,3904,3891,3904,3693xm5273,3750l5171,3750,5171,3891,5273,3891,5273,3750xm6626,3637l6526,3637,6526,3891,6626,3891,6626,3637xm7995,3704l7894,3704,7894,3891,7995,3891,7995,3704xe" filled="true" fillcolor="#5b8e39" stroked="false">
              <v:path arrowok="t"/>
              <v:fill type="solid"/>
            </v:shape>
            <v:shape style="position:absolute;left:2534;top:1769;width:5619;height:2122" coordorigin="2534,1770" coordsize="5619,2122" path="m2707,1770l2534,1770,2534,3891,2707,3891,2707,1770xm4062,2265l3904,2265,3904,3891,4062,3891,4062,2265xm5430,2208l5273,2208,5273,3891,5430,3891,5430,2208xm6785,2737l6626,2737,6626,3891,6785,3891,6785,2737xm8153,3244l7995,3244,7995,3891,8153,3891,8153,3244xe" filled="true" fillcolor="#4471c4" stroked="false">
              <v:path arrowok="t"/>
              <v:fill type="solid"/>
            </v:shape>
            <v:shape style="position:absolute;left:2636;top:2467;width:5619;height:1424" coordorigin="2636,2467" coordsize="5619,1424" path="m2809,2580l2636,2580,2636,3891,2809,3891,2809,2580xm4163,2771l4004,2771,4004,3891,4163,3891,4163,2771xm5532,2467l5359,2467,5359,3891,5532,3891,5532,2467xm6886,3221l6727,3221,6727,3891,6886,3891,6886,3221xm8255,3457l8082,3457,8082,3891,8255,3891,8255,3457xe" filled="true" fillcolor="#ec7c30" stroked="false">
              <v:path arrowok="t"/>
              <v:fill type="solid"/>
            </v:shape>
            <v:shape style="position:absolute;left:2736;top:3885;width:4250;height:6" coordorigin="2737,3885" coordsize="4250,6" path="m2896,3885l2737,3885,2737,3891,2896,3891,2896,3885xm4263,3885l4106,3885,4106,3891,4263,3891,4263,3885xm5618,3885l5459,3885,5459,3891,5618,3891,5618,3885xm6986,3885l6828,3885,6828,3891,6986,3891,6986,3885xe" filled="true" fillcolor="#a4a4a4" stroked="false">
              <v:path arrowok="t"/>
              <v:fill type="solid"/>
            </v:shape>
            <v:rect style="position:absolute;left:5661;top:3884;width:158;height:6" filled="true" fillcolor="#5b9bd4" stroked="false">
              <v:fill type="solid"/>
            </v:rect>
            <v:shape style="position:absolute;left:1893;top:1443;width:6809;height:2448" coordorigin="1894,1443" coordsize="6809,2448" path="m1894,3891l1894,3891,1894,1443m1894,3891l1894,3891,8702,3891e" filled="false" stroked="true" strokeweight=".619941pt" strokecolor="#888888">
              <v:path arrowok="t"/>
              <v:stroke dashstyle="solid"/>
            </v:shape>
            <v:rect style="position:absolute;left:8964;top:1622;width:64;height:49" filled="true" fillcolor="#375da0" stroked="false">
              <v:fill type="solid"/>
            </v:rect>
            <v:rect style="position:absolute;left:8964;top:1821;width:64;height:50" filled="true" fillcolor="#c46627" stroked="false">
              <v:fill type="solid"/>
            </v:rect>
            <v:rect style="position:absolute;left:8964;top:2020;width:64;height:50" filled="true" fillcolor="#878787" stroked="false">
              <v:fill type="solid"/>
            </v:rect>
            <v:rect style="position:absolute;left:8964;top:2219;width:64;height:50" filled="true" fillcolor="#d29e00" stroked="false">
              <v:fill type="solid"/>
            </v:rect>
            <v:rect style="position:absolute;left:8964;top:2418;width:64;height:50" filled="true" fillcolor="#497eaf" stroked="false">
              <v:fill type="solid"/>
            </v:rect>
            <v:rect style="position:absolute;left:8964;top:2617;width:64;height:50" filled="true" fillcolor="#5b8e39" stroked="false">
              <v:fill type="solid"/>
            </v:rect>
            <v:rect style="position:absolute;left:8964;top:2816;width:64;height:50" filled="true" fillcolor="#4471c4" stroked="false">
              <v:fill type="solid"/>
            </v:rect>
            <v:rect style="position:absolute;left:8964;top:3015;width:64;height:50" filled="true" fillcolor="#ec7c30" stroked="false">
              <v:fill type="solid"/>
            </v:rect>
            <v:rect style="position:absolute;left:8964;top:3214;width:64;height:50" filled="true" fillcolor="#a4a4a4" stroked="false">
              <v:fill type="solid"/>
            </v:rect>
            <v:rect style="position:absolute;left:8964;top:3414;width:64;height:50" filled="true" fillcolor="#ffc000" stroked="false">
              <v:fill type="solid"/>
            </v:rect>
            <v:rect style="position:absolute;left:8964;top:3614;width:64;height:49" filled="true" fillcolor="#5b9bd4" stroked="false">
              <v:fill type="solid"/>
            </v:rect>
            <v:rect style="position:absolute;left:8964;top:3813;width:64;height:49" filled="true" fillcolor="#6fac46" stroked="false">
              <v:fill type="solid"/>
            </v:rect>
            <v:rect style="position:absolute;left:1439;top:633;width:9380;height:3544" filled="false" stroked="true" strokeweight=".562431pt" strokecolor="#888888">
              <v:stroke dashstyle="solid"/>
            </v:rect>
            <v:shape style="position:absolute;left:1541;top:739;width:7207;height:1866" type="#_x0000_t202" filled="false" stroked="false">
              <v:textbox inset="0,0,0,0">
                <w:txbxContent>
                  <w:p>
                    <w:pPr>
                      <w:spacing w:line="241" w:lineRule="exact" w:before="2"/>
                      <w:ind w:left="2063" w:right="88" w:firstLine="0"/>
                      <w:jc w:val="center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w w:val="125"/>
                        <w:sz w:val="20"/>
                      </w:rPr>
                      <w:t>Chiquimula</w:t>
                    </w:r>
                  </w:p>
                  <w:p>
                    <w:pPr>
                      <w:spacing w:line="240" w:lineRule="auto" w:before="0"/>
                      <w:ind w:left="2063" w:right="88" w:firstLine="0"/>
                      <w:jc w:val="center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w w:val="125"/>
                        <w:sz w:val="12"/>
                      </w:rPr>
                      <w:t>Total</w:t>
                    </w:r>
                    <w:r>
                      <w:rPr>
                        <w:rFonts w:ascii="Verdana" w:hAnsi="Verdana"/>
                        <w:spacing w:val="3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12"/>
                      </w:rPr>
                      <w:t>de</w:t>
                    </w:r>
                    <w:r>
                      <w:rPr>
                        <w:rFonts w:ascii="Verdana" w:hAnsi="Verdana"/>
                        <w:spacing w:val="3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12"/>
                      </w:rPr>
                      <w:t>población</w:t>
                    </w:r>
                    <w:r>
                      <w:rPr>
                        <w:rFonts w:ascii="Verdana" w:hAnsi="Verdana"/>
                        <w:spacing w:val="4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12"/>
                      </w:rPr>
                      <w:t>estudiantil</w:t>
                    </w:r>
                    <w:r>
                      <w:rPr>
                        <w:rFonts w:ascii="Verdana" w:hAnsi="Verdana"/>
                        <w:spacing w:val="3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12"/>
                      </w:rPr>
                      <w:t>por</w:t>
                    </w:r>
                    <w:r>
                      <w:rPr>
                        <w:rFonts w:ascii="Verdana" w:hAnsi="Verdana"/>
                        <w:spacing w:val="4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12"/>
                      </w:rPr>
                      <w:t>Niveles</w:t>
                    </w:r>
                    <w:r>
                      <w:rPr>
                        <w:rFonts w:ascii="Verdana" w:hAnsi="Verdana"/>
                        <w:spacing w:val="3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12"/>
                      </w:rPr>
                      <w:t>educativos,</w:t>
                    </w:r>
                    <w:r>
                      <w:rPr>
                        <w:rFonts w:ascii="Verdana" w:hAnsi="Verdana"/>
                        <w:spacing w:val="2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12"/>
                      </w:rPr>
                      <w:t>etnia</w:t>
                    </w:r>
                    <w:r>
                      <w:rPr>
                        <w:rFonts w:ascii="Verdana" w:hAnsi="Verdana"/>
                        <w:spacing w:val="4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12"/>
                      </w:rPr>
                      <w:t>y</w:t>
                    </w:r>
                    <w:r>
                      <w:rPr>
                        <w:rFonts w:ascii="Verdana" w:hAnsi="Verdana"/>
                        <w:spacing w:val="2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12"/>
                      </w:rPr>
                      <w:t>sexo</w:t>
                    </w:r>
                    <w:r>
                      <w:rPr>
                        <w:rFonts w:ascii="Verdana" w:hAnsi="Verdana"/>
                        <w:spacing w:val="-50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12"/>
                      </w:rPr>
                      <w:t>2017-2021</w:t>
                    </w:r>
                  </w:p>
                  <w:p>
                    <w:pPr>
                      <w:spacing w:before="11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0"/>
                        <w:sz w:val="11"/>
                      </w:rPr>
                      <w:t>450</w:t>
                    </w:r>
                  </w:p>
                  <w:p>
                    <w:pPr>
                      <w:spacing w:line="240" w:lineRule="auto" w:before="3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0"/>
                        <w:sz w:val="11"/>
                      </w:rPr>
                      <w:t>400</w:t>
                    </w:r>
                  </w:p>
                  <w:p>
                    <w:pPr>
                      <w:spacing w:line="240" w:lineRule="auto" w:before="4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0"/>
                        <w:sz w:val="11"/>
                      </w:rPr>
                      <w:t>350</w:t>
                    </w:r>
                  </w:p>
                  <w:p>
                    <w:pPr>
                      <w:spacing w:line="240" w:lineRule="auto" w:before="3"/>
                      <w:rPr>
                        <w:sz w:val="11"/>
                      </w:rPr>
                    </w:pPr>
                  </w:p>
                  <w:p>
                    <w:pPr>
                      <w:tabs>
                        <w:tab w:pos="3888" w:val="left" w:leader="none"/>
                        <w:tab w:pos="7186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rFonts w:ascii="Verdana"/>
                        <w:sz w:val="9"/>
                      </w:rPr>
                    </w:pPr>
                    <w:r>
                      <w:rPr>
                        <w:w w:val="130"/>
                        <w:sz w:val="11"/>
                      </w:rPr>
                      <w:t>300</w:t>
                    </w:r>
                    <w:r>
                      <w:rPr>
                        <w:sz w:val="11"/>
                      </w:rPr>
                      <w:tab/>
                    </w:r>
                    <w:r>
                      <w:rPr>
                        <w:rFonts w:ascii="Verdana"/>
                        <w:w w:val="100"/>
                        <w:position w:val="3"/>
                        <w:sz w:val="9"/>
                        <w:u w:val="single" w:color="888888"/>
                      </w:rPr>
                      <w:t> </w:t>
                    </w:r>
                    <w:r>
                      <w:rPr>
                        <w:rFonts w:ascii="Verdana"/>
                        <w:position w:val="3"/>
                        <w:sz w:val="9"/>
                        <w:u w:val="single" w:color="888888"/>
                      </w:rPr>
                      <w:tab/>
                    </w:r>
                  </w:p>
                  <w:p>
                    <w:pPr>
                      <w:spacing w:line="240" w:lineRule="auto" w:before="3"/>
                      <w:rPr>
                        <w:rFonts w:ascii="Verdana"/>
                        <w:sz w:val="11"/>
                      </w:rPr>
                    </w:pPr>
                  </w:p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0"/>
                        <w:sz w:val="11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1541;top:2764;width:239;height:384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0"/>
                        <w:sz w:val="11"/>
                      </w:rPr>
                      <w:t>200</w:t>
                    </w:r>
                  </w:p>
                  <w:p>
                    <w:pPr>
                      <w:spacing w:line="240" w:lineRule="auto" w:before="3"/>
                      <w:rPr>
                        <w:sz w:val="11"/>
                      </w:rPr>
                    </w:pPr>
                  </w:p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0"/>
                        <w:sz w:val="11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6785;top:2986;width:1964;height:110" type="#_x0000_t202" filled="false" stroked="false">
              <v:textbox inset="0,0,0,0">
                <w:txbxContent>
                  <w:p>
                    <w:pPr>
                      <w:tabs>
                        <w:tab w:pos="1943" w:val="left" w:leader="none"/>
                      </w:tabs>
                      <w:spacing w:line="109" w:lineRule="exact" w:before="0"/>
                      <w:ind w:left="0" w:right="0" w:firstLine="0"/>
                      <w:jc w:val="lef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100"/>
                        <w:sz w:val="9"/>
                        <w:u w:val="single" w:color="888888"/>
                      </w:rPr>
                      <w:t> </w:t>
                    </w:r>
                    <w:r>
                      <w:rPr>
                        <w:rFonts w:ascii="Verdana"/>
                        <w:sz w:val="9"/>
                        <w:u w:val="single" w:color="888888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541;top:3307;width:239;height:385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0"/>
                        <w:sz w:val="11"/>
                      </w:rPr>
                      <w:t>100</w:t>
                    </w:r>
                  </w:p>
                  <w:p>
                    <w:pPr>
                      <w:spacing w:line="240" w:lineRule="auto" w:before="3"/>
                      <w:rPr>
                        <w:sz w:val="11"/>
                      </w:rPr>
                    </w:pPr>
                  </w:p>
                  <w:p>
                    <w:pPr>
                      <w:spacing w:line="133" w:lineRule="exact" w:before="0"/>
                      <w:ind w:left="72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0"/>
                        <w:sz w:val="11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5798;top:3722;width:93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0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687;top:3852;width:93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0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053;top:1592;width:1564;height:2301" type="#_x0000_t202" filled="false" stroked="false">
              <v:textbox inset="0,0,0,0">
                <w:txbxContent>
                  <w:p>
                    <w:pPr>
                      <w:spacing w:line="436" w:lineRule="auto" w:before="0"/>
                      <w:ind w:left="0" w:right="248" w:firstLine="0"/>
                      <w:jc w:val="lef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110"/>
                        <w:sz w:val="9"/>
                      </w:rPr>
                      <w:t>EXTRANJERO</w:t>
                    </w:r>
                    <w:r>
                      <w:rPr>
                        <w:rFonts w:ascii="Verdana"/>
                        <w:spacing w:val="1"/>
                        <w:w w:val="11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10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1"/>
                        <w:w w:val="11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10"/>
                        <w:sz w:val="9"/>
                      </w:rPr>
                      <w:t>HOMBRES</w:t>
                    </w:r>
                    <w:r>
                      <w:rPr>
                        <w:rFonts w:ascii="Verdana"/>
                        <w:spacing w:val="-32"/>
                        <w:w w:val="11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10"/>
                        <w:sz w:val="9"/>
                      </w:rPr>
                      <w:t>EXTRANJERO</w:t>
                    </w:r>
                    <w:r>
                      <w:rPr>
                        <w:rFonts w:ascii="Verdana"/>
                        <w:spacing w:val="1"/>
                        <w:w w:val="11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10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1"/>
                        <w:w w:val="11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10"/>
                        <w:sz w:val="9"/>
                      </w:rPr>
                      <w:t>MUJERES</w:t>
                    </w:r>
                    <w:r>
                      <w:rPr>
                        <w:rFonts w:ascii="Verdana"/>
                        <w:spacing w:val="1"/>
                        <w:w w:val="11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43"/>
                        <w:sz w:val="9"/>
                      </w:rPr>
                      <w:t>G</w:t>
                    </w:r>
                    <w:r>
                      <w:rPr>
                        <w:rFonts w:ascii="Verdana"/>
                        <w:w w:val="137"/>
                        <w:sz w:val="9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111"/>
                        <w:sz w:val="9"/>
                      </w:rPr>
                      <w:t>R</w:t>
                    </w:r>
                    <w:r>
                      <w:rPr>
                        <w:rFonts w:ascii="Verdana"/>
                        <w:w w:val="68"/>
                        <w:sz w:val="9"/>
                      </w:rPr>
                      <w:t>I</w:t>
                    </w:r>
                    <w:r>
                      <w:rPr>
                        <w:rFonts w:ascii="Verdana"/>
                        <w:spacing w:val="-1"/>
                        <w:w w:val="107"/>
                        <w:sz w:val="9"/>
                      </w:rPr>
                      <w:t>F</w:t>
                    </w:r>
                    <w:r>
                      <w:rPr>
                        <w:rFonts w:ascii="Verdana"/>
                        <w:w w:val="113"/>
                        <w:sz w:val="9"/>
                      </w:rPr>
                      <w:t>U</w:t>
                    </w:r>
                    <w:r>
                      <w:rPr>
                        <w:rFonts w:ascii="Verdana"/>
                        <w:w w:val="125"/>
                        <w:sz w:val="9"/>
                      </w:rPr>
                      <w:t>N</w:t>
                    </w:r>
                    <w:r>
                      <w:rPr>
                        <w:rFonts w:ascii="Verdana"/>
                        <w:w w:val="137"/>
                        <w:sz w:val="9"/>
                      </w:rPr>
                      <w:t>A</w:t>
                    </w:r>
                    <w:r>
                      <w:rPr>
                        <w:rFonts w:ascii="Verdana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93"/>
                        <w:sz w:val="9"/>
                      </w:rPr>
                      <w:t>-</w:t>
                    </w:r>
                    <w:r>
                      <w:rPr>
                        <w:rFonts w:ascii="Verdana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15"/>
                        <w:sz w:val="9"/>
                      </w:rPr>
                      <w:t>H</w:t>
                    </w:r>
                    <w:r>
                      <w:rPr>
                        <w:rFonts w:ascii="Verdana"/>
                        <w:spacing w:val="1"/>
                        <w:w w:val="140"/>
                        <w:sz w:val="9"/>
                      </w:rPr>
                      <w:t>O</w:t>
                    </w:r>
                    <w:r>
                      <w:rPr>
                        <w:rFonts w:ascii="Verdana"/>
                        <w:w w:val="138"/>
                        <w:sz w:val="9"/>
                      </w:rPr>
                      <w:t>M</w:t>
                    </w:r>
                    <w:r>
                      <w:rPr>
                        <w:rFonts w:ascii="Verdana"/>
                        <w:w w:val="106"/>
                        <w:sz w:val="9"/>
                      </w:rPr>
                      <w:t>B</w:t>
                    </w:r>
                    <w:r>
                      <w:rPr>
                        <w:rFonts w:ascii="Verdana"/>
                        <w:w w:val="111"/>
                        <w:sz w:val="9"/>
                      </w:rPr>
                      <w:t>R</w:t>
                    </w:r>
                    <w:r>
                      <w:rPr>
                        <w:rFonts w:ascii="Verdana"/>
                        <w:w w:val="108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92"/>
                        <w:sz w:val="9"/>
                      </w:rPr>
                      <w:t>S </w:t>
                    </w:r>
                    <w:r>
                      <w:rPr>
                        <w:rFonts w:ascii="Verdana"/>
                        <w:w w:val="143"/>
                        <w:sz w:val="9"/>
                      </w:rPr>
                      <w:t>G</w:t>
                    </w:r>
                    <w:r>
                      <w:rPr>
                        <w:rFonts w:ascii="Verdana"/>
                        <w:w w:val="137"/>
                        <w:sz w:val="9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111"/>
                        <w:sz w:val="9"/>
                      </w:rPr>
                      <w:t>R</w:t>
                    </w:r>
                    <w:r>
                      <w:rPr>
                        <w:rFonts w:ascii="Verdana"/>
                        <w:w w:val="68"/>
                        <w:sz w:val="9"/>
                      </w:rPr>
                      <w:t>I</w:t>
                    </w:r>
                    <w:r>
                      <w:rPr>
                        <w:rFonts w:ascii="Verdana"/>
                        <w:spacing w:val="-1"/>
                        <w:w w:val="107"/>
                        <w:sz w:val="9"/>
                      </w:rPr>
                      <w:t>F</w:t>
                    </w:r>
                    <w:r>
                      <w:rPr>
                        <w:rFonts w:ascii="Verdana"/>
                        <w:w w:val="113"/>
                        <w:sz w:val="9"/>
                      </w:rPr>
                      <w:t>U</w:t>
                    </w:r>
                    <w:r>
                      <w:rPr>
                        <w:rFonts w:ascii="Verdana"/>
                        <w:w w:val="125"/>
                        <w:sz w:val="9"/>
                      </w:rPr>
                      <w:t>N</w:t>
                    </w:r>
                    <w:r>
                      <w:rPr>
                        <w:rFonts w:ascii="Verdana"/>
                        <w:w w:val="137"/>
                        <w:sz w:val="9"/>
                      </w:rPr>
                      <w:t>A</w:t>
                    </w:r>
                    <w:r>
                      <w:rPr>
                        <w:rFonts w:ascii="Verdana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93"/>
                        <w:sz w:val="9"/>
                      </w:rPr>
                      <w:t>-</w:t>
                    </w:r>
                    <w:r>
                      <w:rPr>
                        <w:rFonts w:ascii="Verdana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38"/>
                        <w:sz w:val="9"/>
                      </w:rPr>
                      <w:t>M</w:t>
                    </w:r>
                    <w:r>
                      <w:rPr>
                        <w:rFonts w:ascii="Verdana"/>
                        <w:w w:val="113"/>
                        <w:sz w:val="9"/>
                      </w:rPr>
                      <w:t>U</w:t>
                    </w:r>
                    <w:r>
                      <w:rPr>
                        <w:rFonts w:ascii="Verdana"/>
                        <w:w w:val="135"/>
                        <w:sz w:val="9"/>
                      </w:rPr>
                      <w:t>J</w:t>
                    </w:r>
                    <w:r>
                      <w:rPr>
                        <w:rFonts w:ascii="Verdana"/>
                        <w:w w:val="108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111"/>
                        <w:sz w:val="9"/>
                      </w:rPr>
                      <w:t>R</w:t>
                    </w:r>
                    <w:r>
                      <w:rPr>
                        <w:rFonts w:ascii="Verdana"/>
                        <w:w w:val="108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92"/>
                        <w:sz w:val="9"/>
                      </w:rPr>
                      <w:t>S </w:t>
                    </w:r>
                    <w:r>
                      <w:rPr>
                        <w:rFonts w:ascii="Verdana"/>
                        <w:spacing w:val="-1"/>
                        <w:w w:val="105"/>
                        <w:sz w:val="9"/>
                      </w:rPr>
                      <w:t>L</w:t>
                    </w:r>
                    <w:r>
                      <w:rPr>
                        <w:rFonts w:ascii="Verdana"/>
                        <w:w w:val="137"/>
                        <w:sz w:val="9"/>
                      </w:rPr>
                      <w:t>A</w:t>
                    </w:r>
                    <w:r>
                      <w:rPr>
                        <w:rFonts w:ascii="Verdana"/>
                        <w:w w:val="123"/>
                        <w:sz w:val="9"/>
                      </w:rPr>
                      <w:t>D</w:t>
                    </w:r>
                    <w:r>
                      <w:rPr>
                        <w:rFonts w:ascii="Verdana"/>
                        <w:w w:val="68"/>
                        <w:sz w:val="9"/>
                      </w:rPr>
                      <w:t>I</w:t>
                    </w:r>
                    <w:r>
                      <w:rPr>
                        <w:rFonts w:ascii="Verdana"/>
                        <w:w w:val="125"/>
                        <w:sz w:val="9"/>
                      </w:rPr>
                      <w:t>N</w:t>
                    </w:r>
                    <w:r>
                      <w:rPr>
                        <w:rFonts w:ascii="Verdana"/>
                        <w:w w:val="140"/>
                        <w:sz w:val="9"/>
                      </w:rPr>
                      <w:t>O</w:t>
                    </w:r>
                    <w:r>
                      <w:rPr>
                        <w:rFonts w:ascii="Verdana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93"/>
                        <w:sz w:val="9"/>
                      </w:rPr>
                      <w:t>-</w:t>
                    </w:r>
                    <w:r>
                      <w:rPr>
                        <w:rFonts w:ascii="Verdana"/>
                        <w:sz w:val="9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15"/>
                        <w:sz w:val="9"/>
                      </w:rPr>
                      <w:t>H</w:t>
                    </w:r>
                    <w:r>
                      <w:rPr>
                        <w:rFonts w:ascii="Verdana"/>
                        <w:w w:val="140"/>
                        <w:sz w:val="9"/>
                      </w:rPr>
                      <w:t>O</w:t>
                    </w:r>
                    <w:r>
                      <w:rPr>
                        <w:rFonts w:ascii="Verdana"/>
                        <w:w w:val="138"/>
                        <w:sz w:val="9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106"/>
                        <w:sz w:val="9"/>
                      </w:rPr>
                      <w:t>B</w:t>
                    </w:r>
                    <w:r>
                      <w:rPr>
                        <w:rFonts w:ascii="Verdana"/>
                        <w:w w:val="111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08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92"/>
                        <w:sz w:val="9"/>
                      </w:rPr>
                      <w:t>S </w:t>
                    </w:r>
                    <w:r>
                      <w:rPr>
                        <w:rFonts w:ascii="Verdana"/>
                        <w:spacing w:val="-1"/>
                        <w:w w:val="105"/>
                        <w:sz w:val="9"/>
                      </w:rPr>
                      <w:t>L</w:t>
                    </w:r>
                    <w:r>
                      <w:rPr>
                        <w:rFonts w:ascii="Verdana"/>
                        <w:w w:val="137"/>
                        <w:sz w:val="9"/>
                      </w:rPr>
                      <w:t>A</w:t>
                    </w:r>
                    <w:r>
                      <w:rPr>
                        <w:rFonts w:ascii="Verdana"/>
                        <w:w w:val="123"/>
                        <w:sz w:val="9"/>
                      </w:rPr>
                      <w:t>D</w:t>
                    </w:r>
                    <w:r>
                      <w:rPr>
                        <w:rFonts w:ascii="Verdana"/>
                        <w:w w:val="68"/>
                        <w:sz w:val="9"/>
                      </w:rPr>
                      <w:t>I</w:t>
                    </w:r>
                    <w:r>
                      <w:rPr>
                        <w:rFonts w:ascii="Verdana"/>
                        <w:w w:val="125"/>
                        <w:sz w:val="9"/>
                      </w:rPr>
                      <w:t>N</w:t>
                    </w:r>
                    <w:r>
                      <w:rPr>
                        <w:rFonts w:ascii="Verdana"/>
                        <w:w w:val="140"/>
                        <w:sz w:val="9"/>
                      </w:rPr>
                      <w:t>O</w:t>
                    </w:r>
                    <w:r>
                      <w:rPr>
                        <w:rFonts w:ascii="Verdana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93"/>
                        <w:sz w:val="9"/>
                      </w:rPr>
                      <w:t>-</w:t>
                    </w:r>
                    <w:r>
                      <w:rPr>
                        <w:rFonts w:ascii="Verdana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38"/>
                        <w:sz w:val="9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113"/>
                        <w:sz w:val="9"/>
                      </w:rPr>
                      <w:t>U</w:t>
                    </w:r>
                    <w:r>
                      <w:rPr>
                        <w:rFonts w:ascii="Verdana"/>
                        <w:spacing w:val="1"/>
                        <w:w w:val="135"/>
                        <w:sz w:val="9"/>
                      </w:rPr>
                      <w:t>J</w:t>
                    </w:r>
                    <w:r>
                      <w:rPr>
                        <w:rFonts w:ascii="Verdana"/>
                        <w:spacing w:val="-1"/>
                        <w:w w:val="108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111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08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92"/>
                        <w:sz w:val="9"/>
                      </w:rPr>
                      <w:t>S  </w:t>
                    </w:r>
                    <w:r>
                      <w:rPr>
                        <w:rFonts w:ascii="Verdana"/>
                        <w:w w:val="110"/>
                        <w:sz w:val="9"/>
                      </w:rPr>
                      <w:t>MAYA</w:t>
                    </w:r>
                    <w:r>
                      <w:rPr>
                        <w:rFonts w:ascii="Verdana"/>
                        <w:spacing w:val="1"/>
                        <w:w w:val="11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10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1"/>
                        <w:w w:val="11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10"/>
                        <w:sz w:val="9"/>
                      </w:rPr>
                      <w:t>HOMBRES</w:t>
                    </w:r>
                  </w:p>
                  <w:p>
                    <w:pPr>
                      <w:spacing w:line="436" w:lineRule="auto" w:before="0"/>
                      <w:ind w:left="0" w:right="550" w:firstLine="0"/>
                      <w:jc w:val="lef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115"/>
                        <w:sz w:val="9"/>
                      </w:rPr>
                      <w:t>MAYA - MUJERES</w:t>
                    </w:r>
                    <w:r>
                      <w:rPr>
                        <w:rFonts w:ascii="Verdana"/>
                        <w:spacing w:val="1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13"/>
                        <w:sz w:val="9"/>
                      </w:rPr>
                      <w:t>X</w:t>
                    </w:r>
                    <w:r>
                      <w:rPr>
                        <w:rFonts w:ascii="Verdana"/>
                        <w:spacing w:val="-1"/>
                        <w:w w:val="68"/>
                        <w:sz w:val="9"/>
                      </w:rPr>
                      <w:t>I</w:t>
                    </w:r>
                    <w:r>
                      <w:rPr>
                        <w:rFonts w:ascii="Verdana"/>
                        <w:w w:val="125"/>
                        <w:sz w:val="9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w w:val="143"/>
                        <w:sz w:val="9"/>
                      </w:rPr>
                      <w:t>C</w:t>
                    </w:r>
                    <w:r>
                      <w:rPr>
                        <w:rFonts w:ascii="Verdana"/>
                        <w:w w:val="143"/>
                        <w:sz w:val="9"/>
                      </w:rPr>
                      <w:t>A</w:t>
                    </w:r>
                    <w:r>
                      <w:rPr>
                        <w:rFonts w:ascii="Verdana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93"/>
                        <w:sz w:val="9"/>
                      </w:rPr>
                      <w:t>-</w:t>
                    </w:r>
                    <w:r>
                      <w:rPr>
                        <w:rFonts w:ascii="Verdana"/>
                        <w:sz w:val="9"/>
                      </w:rPr>
                      <w:t> </w:t>
                    </w:r>
                    <w:r>
                      <w:rPr>
                        <w:rFonts w:ascii="Verdana"/>
                        <w:spacing w:val="-2"/>
                        <w:w w:val="115"/>
                        <w:sz w:val="9"/>
                      </w:rPr>
                      <w:t>H</w:t>
                    </w:r>
                    <w:r>
                      <w:rPr>
                        <w:rFonts w:ascii="Verdana"/>
                        <w:spacing w:val="-3"/>
                        <w:w w:val="140"/>
                        <w:sz w:val="9"/>
                      </w:rPr>
                      <w:t>O</w:t>
                    </w:r>
                    <w:r>
                      <w:rPr>
                        <w:rFonts w:ascii="Verdana"/>
                        <w:spacing w:val="-2"/>
                        <w:w w:val="138"/>
                        <w:sz w:val="9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106"/>
                        <w:sz w:val="9"/>
                      </w:rPr>
                      <w:t>B</w:t>
                    </w:r>
                    <w:r>
                      <w:rPr>
                        <w:rFonts w:ascii="Verdana"/>
                        <w:spacing w:val="-3"/>
                        <w:w w:val="111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08"/>
                        <w:sz w:val="9"/>
                      </w:rPr>
                      <w:t>E</w:t>
                    </w:r>
                    <w:r>
                      <w:rPr>
                        <w:rFonts w:ascii="Verdana"/>
                        <w:spacing w:val="-2"/>
                        <w:w w:val="92"/>
                        <w:sz w:val="9"/>
                      </w:rPr>
                      <w:t>S</w:t>
                    </w:r>
                    <w:r>
                      <w:rPr>
                        <w:rFonts w:ascii="Verdana"/>
                        <w:w w:val="92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13"/>
                        <w:sz w:val="9"/>
                      </w:rPr>
                      <w:t>X</w:t>
                    </w:r>
                    <w:r>
                      <w:rPr>
                        <w:rFonts w:ascii="Verdana"/>
                        <w:spacing w:val="-1"/>
                        <w:w w:val="68"/>
                        <w:sz w:val="9"/>
                      </w:rPr>
                      <w:t>I</w:t>
                    </w:r>
                    <w:r>
                      <w:rPr>
                        <w:rFonts w:ascii="Verdana"/>
                        <w:w w:val="125"/>
                        <w:sz w:val="9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w w:val="143"/>
                        <w:sz w:val="9"/>
                      </w:rPr>
                      <w:t>C</w:t>
                    </w:r>
                    <w:r>
                      <w:rPr>
                        <w:rFonts w:ascii="Verdana"/>
                        <w:w w:val="143"/>
                        <w:sz w:val="9"/>
                      </w:rPr>
                      <w:t>A</w:t>
                    </w:r>
                    <w:r>
                      <w:rPr>
                        <w:rFonts w:ascii="Verdana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93"/>
                        <w:sz w:val="9"/>
                      </w:rPr>
                      <w:t>-</w:t>
                    </w:r>
                    <w:r>
                      <w:rPr>
                        <w:rFonts w:ascii="Verdana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38"/>
                        <w:sz w:val="9"/>
                      </w:rPr>
                      <w:t>M</w:t>
                    </w:r>
                    <w:r>
                      <w:rPr>
                        <w:rFonts w:ascii="Verdana"/>
                        <w:w w:val="113"/>
                        <w:sz w:val="9"/>
                      </w:rPr>
                      <w:t>U</w:t>
                    </w:r>
                    <w:r>
                      <w:rPr>
                        <w:rFonts w:ascii="Verdana"/>
                        <w:spacing w:val="-1"/>
                        <w:w w:val="135"/>
                        <w:sz w:val="9"/>
                      </w:rPr>
                      <w:t>J</w:t>
                    </w:r>
                    <w:r>
                      <w:rPr>
                        <w:rFonts w:ascii="Verdana"/>
                        <w:spacing w:val="-1"/>
                        <w:w w:val="108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111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08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92"/>
                        <w:sz w:val="9"/>
                      </w:rPr>
                      <w:t>S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Verdana" w:hAnsi="Verdana"/>
                        <w:sz w:val="9"/>
                      </w:rPr>
                    </w:pPr>
                    <w:r>
                      <w:rPr>
                        <w:rFonts w:ascii="Verdana" w:hAnsi="Verdana"/>
                        <w:w w:val="115"/>
                        <w:sz w:val="9"/>
                      </w:rPr>
                      <w:t>Sin</w:t>
                    </w:r>
                    <w:r>
                      <w:rPr>
                        <w:rFonts w:ascii="Verdana" w:hAnsi="Verdana"/>
                        <w:spacing w:val="10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15"/>
                        <w:sz w:val="9"/>
                      </w:rPr>
                      <w:t>Clasificación</w:t>
                    </w:r>
                    <w:r>
                      <w:rPr>
                        <w:rFonts w:ascii="Verdana" w:hAnsi="Verdana"/>
                        <w:spacing w:val="11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15"/>
                        <w:sz w:val="9"/>
                      </w:rPr>
                      <w:t>-</w:t>
                    </w:r>
                    <w:r>
                      <w:rPr>
                        <w:rFonts w:ascii="Verdana" w:hAnsi="Verdana"/>
                        <w:spacing w:val="11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15"/>
                        <w:sz w:val="9"/>
                      </w:rPr>
                      <w:t>HOMBRES</w:t>
                    </w:r>
                  </w:p>
                  <w:p>
                    <w:pPr>
                      <w:spacing w:before="89"/>
                      <w:ind w:left="0" w:right="0" w:firstLine="0"/>
                      <w:jc w:val="left"/>
                      <w:rPr>
                        <w:rFonts w:ascii="Verdana" w:hAnsi="Verdana"/>
                        <w:sz w:val="9"/>
                      </w:rPr>
                    </w:pPr>
                    <w:r>
                      <w:rPr>
                        <w:rFonts w:ascii="Verdana" w:hAnsi="Verdana"/>
                        <w:w w:val="110"/>
                        <w:sz w:val="9"/>
                      </w:rPr>
                      <w:t>Sin</w:t>
                    </w:r>
                    <w:r>
                      <w:rPr>
                        <w:rFonts w:ascii="Verdana" w:hAnsi="Verdana"/>
                        <w:spacing w:val="24"/>
                        <w:w w:val="110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10"/>
                        <w:sz w:val="9"/>
                      </w:rPr>
                      <w:t>Clasificación</w:t>
                    </w:r>
                    <w:r>
                      <w:rPr>
                        <w:rFonts w:ascii="Verdana" w:hAnsi="Verdana"/>
                        <w:spacing w:val="24"/>
                        <w:w w:val="110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10"/>
                        <w:sz w:val="9"/>
                      </w:rPr>
                      <w:t>-</w:t>
                    </w:r>
                    <w:r>
                      <w:rPr>
                        <w:rFonts w:ascii="Verdana" w:hAnsi="Verdana"/>
                        <w:spacing w:val="25"/>
                        <w:w w:val="110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10"/>
                        <w:sz w:val="9"/>
                      </w:rPr>
                      <w:t>MUJERES</w:t>
                    </w:r>
                  </w:p>
                </w:txbxContent>
              </v:textbox>
              <w10:wrap type="none"/>
            </v:shape>
            <v:shape style="position:absolute;left:2428;top:3990;width:313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0"/>
                        <w:sz w:val="11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3791;top:3990;width:312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0"/>
                        <w:sz w:val="11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5152;top:3990;width:312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0"/>
                        <w:sz w:val="11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6511;top:3990;width:312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0"/>
                        <w:sz w:val="11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7875;top:3990;width:313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0"/>
                        <w:sz w:val="11"/>
                      </w:rPr>
                      <w:t>2021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Gráfico Nº. Total de población estudiantil por niveles educativos, etnia y sexo para el Departamento de</w:t>
      </w:r>
      <w:r>
        <w:rPr>
          <w:spacing w:val="1"/>
        </w:rPr>
        <w:t> </w:t>
      </w:r>
      <w:r>
        <w:rPr/>
        <w:t>Chiquimula</w:t>
      </w:r>
      <w:r>
        <w:rPr>
          <w:spacing w:val="-1"/>
        </w:rPr>
        <w:t> </w:t>
      </w:r>
      <w:r>
        <w:rPr/>
        <w:t>(2017-2021)</w:t>
      </w:r>
    </w:p>
    <w:p>
      <w:pPr>
        <w:pStyle w:val="BodyText"/>
        <w:rPr>
          <w:sz w:val="21"/>
        </w:rPr>
      </w:pPr>
    </w:p>
    <w:p>
      <w:pPr>
        <w:pStyle w:val="BodyText"/>
        <w:ind w:left="278" w:right="1075"/>
        <w:jc w:val="both"/>
      </w:pPr>
      <w:r>
        <w:rPr/>
        <w:t>En el gráfico anterior se observa el total de la población estudiantil por niveles educativos, etnia y sexo</w:t>
      </w:r>
      <w:r>
        <w:rPr>
          <w:spacing w:val="1"/>
        </w:rPr>
        <w:t> </w:t>
      </w:r>
      <w:r>
        <w:rPr/>
        <w:t>durante el período 2017-2021, para el Departamento de Chiquimula, Según DIPLAN, (2021), de las cifras</w:t>
      </w:r>
      <w:r>
        <w:rPr>
          <w:spacing w:val="1"/>
        </w:rPr>
        <w:t> </w:t>
      </w:r>
      <w:r>
        <w:rPr/>
        <w:t>anteriores, la</w:t>
      </w:r>
      <w:r>
        <w:rPr>
          <w:spacing w:val="-3"/>
        </w:rPr>
        <w:t> </w:t>
      </w:r>
      <w:r>
        <w:rPr/>
        <w:t>proporción</w:t>
      </w:r>
      <w:r>
        <w:rPr>
          <w:spacing w:val="-4"/>
        </w:rPr>
        <w:t> </w:t>
      </w:r>
      <w:r>
        <w:rPr/>
        <w:t>de atención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 población</w:t>
      </w:r>
      <w:r>
        <w:rPr>
          <w:spacing w:val="-3"/>
        </w:rPr>
        <w:t> </w:t>
      </w:r>
      <w:r>
        <w:rPr/>
        <w:t>estudiantil fue como</w:t>
      </w:r>
      <w:r>
        <w:rPr>
          <w:spacing w:val="-2"/>
        </w:rPr>
        <w:t> </w:t>
      </w:r>
      <w:r>
        <w:rPr/>
        <w:t>sigue:</w:t>
      </w:r>
    </w:p>
    <w:p>
      <w:pPr>
        <w:pStyle w:val="BodyText"/>
        <w:spacing w:before="1"/>
      </w:pPr>
    </w:p>
    <w:p>
      <w:pPr>
        <w:pStyle w:val="BodyText"/>
        <w:ind w:left="278" w:right="5570"/>
      </w:pPr>
      <w:r>
        <w:rPr/>
        <w:t>Ladinos:</w:t>
      </w:r>
      <w:r>
        <w:rPr>
          <w:spacing w:val="-5"/>
        </w:rPr>
        <w:t> </w:t>
      </w:r>
      <w:r>
        <w:rPr/>
        <w:t>48.6%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hombres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47.1%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mujeres.</w:t>
      </w:r>
      <w:r>
        <w:rPr>
          <w:spacing w:val="-47"/>
        </w:rPr>
        <w:t> </w:t>
      </w:r>
      <w:r>
        <w:rPr/>
        <w:t>Mayas:</w:t>
      </w:r>
      <w:r>
        <w:rPr>
          <w:spacing w:val="-3"/>
        </w:rPr>
        <w:t> </w:t>
      </w:r>
      <w:r>
        <w:rPr/>
        <w:t>2.2%</w:t>
      </w:r>
      <w:r>
        <w:rPr>
          <w:spacing w:val="1"/>
        </w:rPr>
        <w:t> </w:t>
      </w:r>
      <w:r>
        <w:rPr/>
        <w:t>de hombres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2%</w:t>
      </w:r>
      <w:r>
        <w:rPr>
          <w:spacing w:val="-3"/>
        </w:rPr>
        <w:t> </w:t>
      </w:r>
      <w:r>
        <w:rPr/>
        <w:t>mujeres.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278" w:right="1072"/>
        <w:jc w:val="both"/>
      </w:pPr>
      <w:r>
        <w:rPr/>
        <w:t>Comparando estos resultados con la información del INE, (2018), es posible evidenciar que, si bien es</w:t>
      </w:r>
      <w:r>
        <w:rPr>
          <w:spacing w:val="1"/>
        </w:rPr>
        <w:t> </w:t>
      </w:r>
      <w:r>
        <w:rPr/>
        <w:t>cierto, si hay representatividad de las etnias mayoritarias por Departamento (27% Maya y 73% Ladina),</w:t>
      </w:r>
      <w:r>
        <w:rPr>
          <w:spacing w:val="1"/>
        </w:rPr>
        <w:t> </w:t>
      </w:r>
      <w:r>
        <w:rPr/>
        <w:t>ésta no se presenta en la misma proporción. Es decir, el porcentaje de participación de poblaciones de</w:t>
      </w:r>
      <w:r>
        <w:rPr>
          <w:spacing w:val="1"/>
        </w:rPr>
        <w:t> </w:t>
      </w:r>
      <w:r>
        <w:rPr/>
        <w:t>este</w:t>
      </w:r>
      <w:r>
        <w:rPr>
          <w:spacing w:val="-8"/>
        </w:rPr>
        <w:t> </w:t>
      </w:r>
      <w:r>
        <w:rPr/>
        <w:t>departamento</w:t>
      </w:r>
      <w:r>
        <w:rPr>
          <w:spacing w:val="-7"/>
        </w:rPr>
        <w:t> </w:t>
      </w:r>
      <w:r>
        <w:rPr/>
        <w:t>posee</w:t>
      </w:r>
      <w:r>
        <w:rPr>
          <w:spacing w:val="-7"/>
        </w:rPr>
        <w:t> </w:t>
      </w:r>
      <w:r>
        <w:rPr/>
        <w:t>una</w:t>
      </w:r>
      <w:r>
        <w:rPr>
          <w:spacing w:val="-8"/>
        </w:rPr>
        <w:t> </w:t>
      </w:r>
      <w:r>
        <w:rPr/>
        <w:t>brecha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un</w:t>
      </w:r>
      <w:r>
        <w:rPr>
          <w:spacing w:val="-9"/>
        </w:rPr>
        <w:t> </w:t>
      </w:r>
      <w:r>
        <w:rPr/>
        <w:t>25%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poseen</w:t>
      </w:r>
      <w:r>
        <w:rPr>
          <w:spacing w:val="-9"/>
        </w:rPr>
        <w:t> </w:t>
      </w:r>
      <w:r>
        <w:rPr/>
        <w:t>una</w:t>
      </w:r>
      <w:r>
        <w:rPr>
          <w:spacing w:val="-8"/>
        </w:rPr>
        <w:t> </w:t>
      </w:r>
      <w:r>
        <w:rPr/>
        <w:t>representatividad</w:t>
      </w:r>
      <w:r>
        <w:rPr>
          <w:spacing w:val="-11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sistema</w:t>
      </w:r>
      <w:r>
        <w:rPr>
          <w:spacing w:val="-11"/>
        </w:rPr>
        <w:t> </w:t>
      </w:r>
      <w:r>
        <w:rPr/>
        <w:t>educativo</w:t>
      </w:r>
      <w:r>
        <w:rPr>
          <w:spacing w:val="-47"/>
        </w:rPr>
        <w:t> </w:t>
      </w:r>
      <w:r>
        <w:rPr/>
        <w:t>del</w:t>
      </w:r>
      <w:r>
        <w:rPr>
          <w:spacing w:val="-1"/>
        </w:rPr>
        <w:t> </w:t>
      </w:r>
      <w:r>
        <w:rPr/>
        <w:t>departamento.</w:t>
      </w:r>
      <w:r>
        <w:rPr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decir, se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trabajar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inclusión.</w:t>
      </w:r>
    </w:p>
    <w:p>
      <w:pPr>
        <w:pStyle w:val="BodyText"/>
        <w:spacing w:before="1"/>
      </w:pPr>
    </w:p>
    <w:p>
      <w:pPr>
        <w:pStyle w:val="BodyText"/>
        <w:spacing w:before="1"/>
        <w:ind w:left="278" w:right="1070"/>
        <w:jc w:val="both"/>
      </w:pPr>
      <w:r>
        <w:rPr/>
        <w:t>Por otra parte, nivel de sexo se sigue presentando una brecha de atención en dónde la participación del</w:t>
      </w:r>
      <w:r>
        <w:rPr>
          <w:spacing w:val="1"/>
        </w:rPr>
        <w:t> </w:t>
      </w:r>
      <w:r>
        <w:rPr/>
        <w:t>hombre</w:t>
      </w:r>
      <w:r>
        <w:rPr>
          <w:spacing w:val="-5"/>
        </w:rPr>
        <w:t> </w:t>
      </w:r>
      <w:r>
        <w:rPr/>
        <w:t>Maya</w:t>
      </w:r>
      <w:r>
        <w:rPr>
          <w:spacing w:val="-8"/>
        </w:rPr>
        <w:t> </w:t>
      </w:r>
      <w:r>
        <w:rPr/>
        <w:t>y</w:t>
      </w:r>
      <w:r>
        <w:rPr>
          <w:spacing w:val="-5"/>
        </w:rPr>
        <w:t> </w:t>
      </w:r>
      <w:r>
        <w:rPr/>
        <w:t>Ladino,</w:t>
      </w:r>
      <w:r>
        <w:rPr>
          <w:spacing w:val="-6"/>
        </w:rPr>
        <w:t> </w:t>
      </w:r>
      <w:r>
        <w:rPr/>
        <w:t>es</w:t>
      </w:r>
      <w:r>
        <w:rPr>
          <w:spacing w:val="-7"/>
        </w:rPr>
        <w:t> </w:t>
      </w:r>
      <w:r>
        <w:rPr/>
        <w:t>mayor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mujer</w:t>
      </w:r>
      <w:r>
        <w:rPr>
          <w:spacing w:val="-2"/>
        </w:rPr>
        <w:t> </w:t>
      </w:r>
      <w:r>
        <w:rPr/>
        <w:t>-para</w:t>
      </w:r>
      <w:r>
        <w:rPr>
          <w:spacing w:val="-4"/>
        </w:rPr>
        <w:t> </w:t>
      </w:r>
      <w:r>
        <w:rPr/>
        <w:t>ambas</w:t>
      </w:r>
      <w:r>
        <w:rPr>
          <w:spacing w:val="-6"/>
        </w:rPr>
        <w:t> </w:t>
      </w:r>
      <w:r>
        <w:rPr/>
        <w:t>etnias-;</w:t>
      </w:r>
      <w:r>
        <w:rPr>
          <w:spacing w:val="-5"/>
        </w:rPr>
        <w:t> </w:t>
      </w:r>
      <w:r>
        <w:rPr/>
        <w:t>sobre</w:t>
      </w:r>
      <w:r>
        <w:rPr>
          <w:spacing w:val="-5"/>
        </w:rPr>
        <w:t> </w:t>
      </w:r>
      <w:r>
        <w:rPr/>
        <w:t>todo</w:t>
      </w:r>
      <w:r>
        <w:rPr>
          <w:spacing w:val="-2"/>
        </w:rPr>
        <w:t> </w:t>
      </w:r>
      <w:r>
        <w:rPr/>
        <w:t>considerando</w:t>
      </w:r>
      <w:r>
        <w:rPr>
          <w:spacing w:val="-2"/>
        </w:rPr>
        <w:t> </w:t>
      </w:r>
      <w:r>
        <w:rPr/>
        <w:t>que</w:t>
      </w:r>
      <w:r>
        <w:rPr>
          <w:spacing w:val="-5"/>
        </w:rPr>
        <w:t> </w:t>
      </w:r>
      <w:r>
        <w:rPr/>
        <w:t>en</w:t>
      </w:r>
      <w:r>
        <w:rPr>
          <w:spacing w:val="-47"/>
        </w:rPr>
        <w:t> </w:t>
      </w:r>
      <w:r>
        <w:rPr>
          <w:spacing w:val="-1"/>
        </w:rPr>
        <w:t>este</w:t>
      </w:r>
      <w:r>
        <w:rPr>
          <w:spacing w:val="-10"/>
        </w:rPr>
        <w:t> </w:t>
      </w:r>
      <w:r>
        <w:rPr>
          <w:spacing w:val="-1"/>
        </w:rPr>
        <w:t>departamento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52%</w:t>
      </w:r>
      <w:r>
        <w:rPr>
          <w:spacing w:val="-9"/>
        </w:rPr>
        <w:t> </w:t>
      </w:r>
      <w:r>
        <w:rPr/>
        <w:t>es</w:t>
      </w:r>
      <w:r>
        <w:rPr>
          <w:spacing w:val="-10"/>
        </w:rPr>
        <w:t> </w:t>
      </w:r>
      <w:r>
        <w:rPr/>
        <w:t>mujer</w:t>
      </w:r>
      <w:r>
        <w:rPr>
          <w:spacing w:val="-12"/>
        </w:rPr>
        <w:t> </w:t>
      </w:r>
      <w:r>
        <w:rPr/>
        <w:t>y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48%</w:t>
      </w:r>
      <w:r>
        <w:rPr>
          <w:spacing w:val="-10"/>
        </w:rPr>
        <w:t> </w:t>
      </w:r>
      <w:r>
        <w:rPr/>
        <w:t>es</w:t>
      </w:r>
      <w:r>
        <w:rPr>
          <w:spacing w:val="-9"/>
        </w:rPr>
        <w:t> </w:t>
      </w:r>
      <w:r>
        <w:rPr/>
        <w:t>hombre.</w:t>
      </w:r>
      <w:r>
        <w:rPr>
          <w:spacing w:val="-7"/>
        </w:rPr>
        <w:t> </w:t>
      </w:r>
      <w:r>
        <w:rPr/>
        <w:t>Es</w:t>
      </w:r>
      <w:r>
        <w:rPr>
          <w:spacing w:val="-9"/>
        </w:rPr>
        <w:t> </w:t>
      </w:r>
      <w:r>
        <w:rPr/>
        <w:t>decir,</w:t>
      </w:r>
      <w:r>
        <w:rPr>
          <w:spacing w:val="-8"/>
        </w:rPr>
        <w:t> </w:t>
      </w:r>
      <w:r>
        <w:rPr/>
        <w:t>durante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/>
        <w:t>período</w:t>
      </w:r>
      <w:r>
        <w:rPr>
          <w:spacing w:val="-8"/>
        </w:rPr>
        <w:t> </w:t>
      </w:r>
      <w:r>
        <w:rPr/>
        <w:t>evaluado</w:t>
      </w:r>
      <w:r>
        <w:rPr>
          <w:spacing w:val="-7"/>
        </w:rPr>
        <w:t> </w:t>
      </w:r>
      <w:r>
        <w:rPr/>
        <w:t>la</w:t>
      </w:r>
      <w:r>
        <w:rPr>
          <w:spacing w:val="-10"/>
        </w:rPr>
        <w:t> </w:t>
      </w:r>
      <w:r>
        <w:rPr/>
        <w:t>cobertura</w:t>
      </w:r>
      <w:r>
        <w:rPr>
          <w:spacing w:val="-47"/>
        </w:rPr>
        <w:t> </w:t>
      </w:r>
      <w:r>
        <w:rPr/>
        <w:t>educativa</w:t>
      </w:r>
      <w:r>
        <w:rPr>
          <w:spacing w:val="-4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mujer</w:t>
      </w:r>
      <w:r>
        <w:rPr>
          <w:spacing w:val="-3"/>
        </w:rPr>
        <w:t> </w:t>
      </w:r>
      <w:r>
        <w:rPr/>
        <w:t>Maya y</w:t>
      </w:r>
      <w:r>
        <w:rPr>
          <w:spacing w:val="-2"/>
        </w:rPr>
        <w:t> </w:t>
      </w:r>
      <w:r>
        <w:rPr/>
        <w:t>Ladina, presenta</w:t>
      </w:r>
      <w:r>
        <w:rPr>
          <w:spacing w:val="-3"/>
        </w:rPr>
        <w:t> </w:t>
      </w:r>
      <w:r>
        <w:rPr/>
        <w:t>una brecha</w:t>
      </w:r>
      <w:r>
        <w:rPr>
          <w:spacing w:val="-1"/>
        </w:rPr>
        <w:t> </w:t>
      </w:r>
      <w:r>
        <w:rPr/>
        <w:t>de género.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pict>
          <v:rect style="position:absolute;margin-left:563.880005pt;margin-top:18.980236pt;width:25.44pt;height:1.4399pt;mso-position-horizontal-relative:page;mso-position-vertical-relative:paragraph;z-index:-1545216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138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90720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8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1"/>
          <w:numId w:val="32"/>
        </w:numPr>
        <w:tabs>
          <w:tab w:pos="854" w:val="left" w:leader="none"/>
          <w:tab w:pos="855" w:val="left" w:leader="none"/>
        </w:tabs>
        <w:spacing w:line="240" w:lineRule="auto" w:before="52" w:after="0"/>
        <w:ind w:left="854" w:right="0" w:hanging="577"/>
        <w:jc w:val="left"/>
      </w:pPr>
      <w:bookmarkStart w:name="_bookmark159" w:id="251"/>
      <w:bookmarkEnd w:id="251"/>
      <w:r>
        <w:rPr>
          <w:b w:val="0"/>
        </w:rPr>
      </w:r>
      <w:bookmarkStart w:name="_bookmark159" w:id="252"/>
      <w:bookmarkEnd w:id="252"/>
      <w:r>
        <w:rPr>
          <w:color w:val="1F4E79"/>
        </w:rPr>
        <w:t>El</w:t>
      </w:r>
      <w:r>
        <w:rPr>
          <w:color w:val="1F4E79"/>
          <w:spacing w:val="-3"/>
        </w:rPr>
        <w:t> </w:t>
      </w:r>
      <w:r>
        <w:rPr>
          <w:color w:val="1F4E79"/>
        </w:rPr>
        <w:t>Progreso</w:t>
      </w:r>
    </w:p>
    <w:p>
      <w:pPr>
        <w:pStyle w:val="BodyText"/>
        <w:rPr>
          <w:b/>
          <w:sz w:val="24"/>
        </w:rPr>
      </w:pPr>
    </w:p>
    <w:p>
      <w:pPr>
        <w:pStyle w:val="Heading3"/>
        <w:numPr>
          <w:ilvl w:val="2"/>
          <w:numId w:val="32"/>
        </w:numPr>
        <w:tabs>
          <w:tab w:pos="998" w:val="left" w:leader="none"/>
          <w:tab w:pos="999" w:val="left" w:leader="none"/>
        </w:tabs>
        <w:spacing w:line="240" w:lineRule="auto" w:before="187" w:after="0"/>
        <w:ind w:left="998" w:right="0" w:hanging="721"/>
        <w:jc w:val="left"/>
      </w:pPr>
      <w:bookmarkStart w:name="_bookmark160" w:id="253"/>
      <w:bookmarkEnd w:id="253"/>
      <w:r>
        <w:rPr>
          <w:b w:val="0"/>
        </w:rPr>
      </w:r>
      <w:bookmarkStart w:name="_bookmark160" w:id="254"/>
      <w:bookmarkEnd w:id="254"/>
      <w:r>
        <w:rPr/>
        <w:t>Inf</w:t>
      </w:r>
      <w:r>
        <w:rPr/>
        <w:t>ormación</w:t>
      </w:r>
      <w:r>
        <w:rPr>
          <w:spacing w:val="-8"/>
        </w:rPr>
        <w:t> </w:t>
      </w:r>
      <w:r>
        <w:rPr/>
        <w:t>General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0"/>
        <w:jc w:val="both"/>
      </w:pPr>
      <w:r>
        <w:rPr/>
        <w:t>Al 2018, el total de la población del departamento de El Progreso era de 176,632 habitantes, los cuales</w:t>
      </w:r>
      <w:r>
        <w:rPr>
          <w:spacing w:val="1"/>
        </w:rPr>
        <w:t> </w:t>
      </w:r>
      <w:r>
        <w:rPr/>
        <w:t>encuentra integrado por un 51% de mujeres y un 49% de hombres. De los cuales, el 52% reside en área</w:t>
      </w:r>
      <w:r>
        <w:rPr>
          <w:spacing w:val="1"/>
        </w:rPr>
        <w:t> </w:t>
      </w:r>
      <w:r>
        <w:rPr>
          <w:spacing w:val="-1"/>
        </w:rPr>
        <w:t>urbana</w:t>
      </w:r>
      <w:r>
        <w:rPr>
          <w:spacing w:val="-11"/>
        </w:rPr>
        <w:t> </w:t>
      </w:r>
      <w:r>
        <w:rPr/>
        <w:t>mientras</w:t>
      </w:r>
      <w:r>
        <w:rPr>
          <w:spacing w:val="-12"/>
        </w:rPr>
        <w:t> </w:t>
      </w:r>
      <w:r>
        <w:rPr/>
        <w:t>que</w:t>
      </w:r>
      <w:r>
        <w:rPr>
          <w:spacing w:val="-9"/>
        </w:rPr>
        <w:t> </w:t>
      </w:r>
      <w:r>
        <w:rPr/>
        <w:t>el</w:t>
      </w:r>
      <w:r>
        <w:rPr>
          <w:spacing w:val="-12"/>
        </w:rPr>
        <w:t> </w:t>
      </w:r>
      <w:r>
        <w:rPr/>
        <w:t>resto</w:t>
      </w:r>
      <w:r>
        <w:rPr>
          <w:spacing w:val="-8"/>
        </w:rPr>
        <w:t> </w:t>
      </w:r>
      <w:r>
        <w:rPr/>
        <w:t>48%</w:t>
      </w:r>
      <w:r>
        <w:rPr>
          <w:spacing w:val="-12"/>
        </w:rPr>
        <w:t> </w:t>
      </w:r>
      <w:r>
        <w:rPr/>
        <w:t>vive</w:t>
      </w:r>
      <w:r>
        <w:rPr>
          <w:spacing w:val="-11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12"/>
        </w:rPr>
        <w:t> </w:t>
      </w:r>
      <w:r>
        <w:rPr/>
        <w:t>área</w:t>
      </w:r>
      <w:r>
        <w:rPr>
          <w:spacing w:val="-12"/>
        </w:rPr>
        <w:t> </w:t>
      </w:r>
      <w:r>
        <w:rPr/>
        <w:t>Rural,</w:t>
      </w:r>
      <w:r>
        <w:rPr>
          <w:spacing w:val="-12"/>
        </w:rPr>
        <w:t> </w:t>
      </w:r>
      <w:r>
        <w:rPr/>
        <w:t>siendo</w:t>
      </w:r>
      <w:r>
        <w:rPr>
          <w:spacing w:val="-9"/>
        </w:rPr>
        <w:t> </w:t>
      </w:r>
      <w:r>
        <w:rPr/>
        <w:t>uno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departamentos</w:t>
      </w:r>
      <w:r>
        <w:rPr>
          <w:spacing w:val="-9"/>
        </w:rPr>
        <w:t> </w:t>
      </w:r>
      <w:r>
        <w:rPr/>
        <w:t>que</w:t>
      </w:r>
      <w:r>
        <w:rPr>
          <w:spacing w:val="-12"/>
        </w:rPr>
        <w:t> </w:t>
      </w:r>
      <w:r>
        <w:rPr/>
        <w:t>posee</w:t>
      </w:r>
      <w:r>
        <w:rPr>
          <w:spacing w:val="-11"/>
        </w:rPr>
        <w:t> </w:t>
      </w:r>
      <w:r>
        <w:rPr/>
        <w:t>mayor</w:t>
      </w:r>
      <w:r>
        <w:rPr>
          <w:spacing w:val="-47"/>
        </w:rPr>
        <w:t> </w:t>
      </w:r>
      <w:r>
        <w:rPr/>
        <w:t>proporción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población</w:t>
      </w:r>
      <w:r>
        <w:rPr>
          <w:spacing w:val="-8"/>
        </w:rPr>
        <w:t> </w:t>
      </w:r>
      <w:r>
        <w:rPr/>
        <w:t>en</w:t>
      </w:r>
      <w:r>
        <w:rPr>
          <w:spacing w:val="-5"/>
        </w:rPr>
        <w:t> </w:t>
      </w:r>
      <w:r>
        <w:rPr/>
        <w:t>estas</w:t>
      </w:r>
      <w:r>
        <w:rPr>
          <w:spacing w:val="-5"/>
        </w:rPr>
        <w:t> </w:t>
      </w:r>
      <w:r>
        <w:rPr/>
        <w:t>áreas.</w:t>
      </w:r>
      <w:r>
        <w:rPr>
          <w:spacing w:val="40"/>
        </w:rPr>
        <w:t> </w:t>
      </w:r>
      <w:r>
        <w:rPr/>
        <w:t>El</w:t>
      </w:r>
      <w:r>
        <w:rPr>
          <w:spacing w:val="-7"/>
        </w:rPr>
        <w:t> </w:t>
      </w:r>
      <w:r>
        <w:rPr/>
        <w:t>41%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7"/>
        </w:rPr>
        <w:t> </w:t>
      </w:r>
      <w:r>
        <w:rPr/>
        <w:t>población</w:t>
      </w:r>
      <w:r>
        <w:rPr>
          <w:spacing w:val="-6"/>
        </w:rPr>
        <w:t> </w:t>
      </w:r>
      <w:r>
        <w:rPr/>
        <w:t>se</w:t>
      </w:r>
      <w:r>
        <w:rPr>
          <w:spacing w:val="-4"/>
        </w:rPr>
        <w:t> </w:t>
      </w:r>
      <w:r>
        <w:rPr/>
        <w:t>encuentra</w:t>
      </w:r>
      <w:r>
        <w:rPr>
          <w:spacing w:val="-5"/>
        </w:rPr>
        <w:t> </w:t>
      </w:r>
      <w:r>
        <w:rPr/>
        <w:t>en</w:t>
      </w:r>
      <w:r>
        <w:rPr>
          <w:spacing w:val="-7"/>
        </w:rPr>
        <w:t> </w:t>
      </w:r>
      <w:r>
        <w:rPr/>
        <w:t>edades</w:t>
      </w:r>
      <w:r>
        <w:rPr>
          <w:spacing w:val="-4"/>
        </w:rPr>
        <w:t> </w:t>
      </w:r>
      <w:r>
        <w:rPr/>
        <w:t>entre</w:t>
      </w:r>
      <w:r>
        <w:rPr>
          <w:spacing w:val="-4"/>
        </w:rPr>
        <w:t> </w:t>
      </w:r>
      <w:r>
        <w:rPr/>
        <w:t>0</w:t>
      </w:r>
      <w:r>
        <w:rPr>
          <w:spacing w:val="-4"/>
        </w:rPr>
        <w:t> </w:t>
      </w:r>
      <w:r>
        <w:rPr/>
        <w:t>a</w:t>
      </w:r>
      <w:r>
        <w:rPr>
          <w:spacing w:val="-8"/>
        </w:rPr>
        <w:t> </w:t>
      </w:r>
      <w:r>
        <w:rPr/>
        <w:t>19</w:t>
      </w:r>
      <w:r>
        <w:rPr>
          <w:spacing w:val="-4"/>
        </w:rPr>
        <w:t> </w:t>
      </w:r>
      <w:r>
        <w:rPr/>
        <w:t>años,</w:t>
      </w:r>
      <w:r>
        <w:rPr>
          <w:spacing w:val="-47"/>
        </w:rPr>
        <w:t> </w:t>
      </w:r>
      <w:r>
        <w:rPr/>
        <w:t>lo</w:t>
      </w:r>
      <w:r>
        <w:rPr>
          <w:spacing w:val="-1"/>
        </w:rPr>
        <w:t> </w:t>
      </w:r>
      <w:r>
        <w:rPr/>
        <w:t>cual indica que la</w:t>
      </w:r>
      <w:r>
        <w:rPr>
          <w:spacing w:val="-3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los</w:t>
      </w:r>
      <w:r>
        <w:rPr>
          <w:spacing w:val="-4"/>
        </w:rPr>
        <w:t> </w:t>
      </w:r>
      <w:r>
        <w:rPr/>
        <w:t>niños</w:t>
      </w:r>
      <w:r>
        <w:rPr>
          <w:spacing w:val="-2"/>
        </w:rPr>
        <w:t> </w:t>
      </w:r>
      <w:r>
        <w:rPr/>
        <w:t>y adolescentes,</w:t>
      </w:r>
      <w:r>
        <w:rPr>
          <w:spacing w:val="-1"/>
        </w:rPr>
        <w:t> </w:t>
      </w:r>
      <w:r>
        <w:rPr/>
        <w:t>debe</w:t>
      </w:r>
      <w:r>
        <w:rPr>
          <w:spacing w:val="-2"/>
        </w:rPr>
        <w:t> </w:t>
      </w:r>
      <w:r>
        <w:rPr/>
        <w:t>considerarse</w:t>
      </w:r>
      <w:r>
        <w:rPr>
          <w:spacing w:val="1"/>
        </w:rPr>
        <w:t> </w:t>
      </w:r>
      <w:r>
        <w:rPr/>
        <w:t>una</w:t>
      </w:r>
      <w:r>
        <w:rPr>
          <w:spacing w:val="-1"/>
        </w:rPr>
        <w:t> </w:t>
      </w:r>
      <w:r>
        <w:rPr/>
        <w:t>prioridad.</w:t>
      </w:r>
    </w:p>
    <w:p>
      <w:pPr>
        <w:pStyle w:val="BodyText"/>
        <w:spacing w:before="1"/>
      </w:pPr>
    </w:p>
    <w:p>
      <w:pPr>
        <w:pStyle w:val="BodyText"/>
        <w:spacing w:before="1"/>
        <w:ind w:left="278" w:right="1071"/>
        <w:jc w:val="both"/>
      </w:pPr>
      <w:r>
        <w:rPr/>
        <w:t>Dentro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composición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mayoría</w:t>
      </w:r>
      <w:r>
        <w:rPr>
          <w:spacing w:val="-3"/>
        </w:rPr>
        <w:t> </w:t>
      </w:r>
      <w:r>
        <w:rPr/>
        <w:t>se</w:t>
      </w:r>
      <w:r>
        <w:rPr>
          <w:spacing w:val="-6"/>
        </w:rPr>
        <w:t> </w:t>
      </w:r>
      <w:r>
        <w:rPr/>
        <w:t>reconoce</w:t>
      </w:r>
      <w:r>
        <w:rPr>
          <w:spacing w:val="-6"/>
        </w:rPr>
        <w:t> </w:t>
      </w:r>
      <w:r>
        <w:rPr/>
        <w:t>como</w:t>
      </w:r>
      <w:r>
        <w:rPr>
          <w:spacing w:val="-3"/>
        </w:rPr>
        <w:t> </w:t>
      </w:r>
      <w:r>
        <w:rPr/>
        <w:t>ladino</w:t>
      </w:r>
      <w:r>
        <w:rPr>
          <w:spacing w:val="-5"/>
        </w:rPr>
        <w:t> </w:t>
      </w:r>
      <w:r>
        <w:rPr/>
        <w:t>(98%),</w:t>
      </w:r>
      <w:r>
        <w:rPr>
          <w:spacing w:val="-3"/>
        </w:rPr>
        <w:t> </w:t>
      </w:r>
      <w:r>
        <w:rPr/>
        <w:t>sin</w:t>
      </w:r>
      <w:r>
        <w:rPr>
          <w:spacing w:val="-8"/>
        </w:rPr>
        <w:t> </w:t>
      </w:r>
      <w:r>
        <w:rPr/>
        <w:t>embargo,</w:t>
      </w:r>
      <w:r>
        <w:rPr>
          <w:spacing w:val="-4"/>
        </w:rPr>
        <w:t> </w:t>
      </w:r>
      <w:r>
        <w:rPr/>
        <w:t>solamente</w:t>
      </w:r>
      <w:r>
        <w:rPr>
          <w:spacing w:val="-4"/>
        </w:rPr>
        <w:t> </w:t>
      </w:r>
      <w:r>
        <w:rPr/>
        <w:t>el</w:t>
      </w:r>
      <w:r>
        <w:rPr>
          <w:spacing w:val="-7"/>
        </w:rPr>
        <w:t> </w:t>
      </w:r>
      <w:r>
        <w:rPr/>
        <w:t>1%</w:t>
      </w:r>
      <w:r>
        <w:rPr>
          <w:spacing w:val="-3"/>
        </w:rPr>
        <w:t> </w:t>
      </w:r>
      <w:r>
        <w:rPr/>
        <w:t>como</w:t>
      </w:r>
      <w:r>
        <w:rPr>
          <w:spacing w:val="-48"/>
        </w:rPr>
        <w:t> </w:t>
      </w:r>
      <w:r>
        <w:rPr/>
        <w:t>Maya. Es interesante este dato porque la mayoría reconoció que la comunidad lingüística de procedencia</w:t>
      </w:r>
      <w:r>
        <w:rPr>
          <w:spacing w:val="-47"/>
        </w:rPr>
        <w:t> </w:t>
      </w:r>
      <w:r>
        <w:rPr/>
        <w:t>es muy diversa evidenciando la siguiente información: K’iche’ 32%, Chalchiteka 22%, Kaqchikel y Q’eqchi’</w:t>
      </w:r>
      <w:r>
        <w:rPr>
          <w:spacing w:val="-47"/>
        </w:rPr>
        <w:t> </w:t>
      </w:r>
      <w:r>
        <w:rPr/>
        <w:t>14% cada uno</w:t>
      </w:r>
      <w:r>
        <w:rPr>
          <w:spacing w:val="1"/>
        </w:rPr>
        <w:t> </w:t>
      </w:r>
      <w:r>
        <w:rPr/>
        <w:t>respectivamente</w:t>
      </w:r>
      <w:r>
        <w:rPr>
          <w:spacing w:val="-1"/>
        </w:rPr>
        <w:t> </w:t>
      </w:r>
      <w:r>
        <w:rPr/>
        <w:t>y Achí con</w:t>
      </w:r>
      <w:r>
        <w:rPr>
          <w:spacing w:val="-3"/>
        </w:rPr>
        <w:t> </w:t>
      </w:r>
      <w:r>
        <w:rPr/>
        <w:t>el 6%.</w:t>
      </w:r>
    </w:p>
    <w:p>
      <w:pPr>
        <w:pStyle w:val="BodyText"/>
        <w:spacing w:before="6"/>
        <w:rPr>
          <w:sz w:val="19"/>
        </w:rPr>
      </w:pPr>
    </w:p>
    <w:p>
      <w:pPr>
        <w:pStyle w:val="Heading3"/>
        <w:numPr>
          <w:ilvl w:val="2"/>
          <w:numId w:val="32"/>
        </w:numPr>
        <w:tabs>
          <w:tab w:pos="998" w:val="left" w:leader="none"/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161" w:id="255"/>
      <w:bookmarkEnd w:id="255"/>
      <w:r>
        <w:rPr>
          <w:b w:val="0"/>
        </w:rPr>
      </w:r>
      <w:bookmarkStart w:name="_bookmark161" w:id="256"/>
      <w:bookmarkEnd w:id="256"/>
      <w:r>
        <w:rPr/>
        <w:t>Si</w:t>
      </w:r>
      <w:r>
        <w:rPr/>
        <w:t>tuación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Sistema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Nacional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278" w:right="1073"/>
        <w:jc w:val="both"/>
      </w:pPr>
      <w:r>
        <w:rPr/>
        <w:t>Las</w:t>
      </w:r>
      <w:r>
        <w:rPr>
          <w:spacing w:val="1"/>
        </w:rPr>
        <w:t> </w:t>
      </w:r>
      <w:r>
        <w:rPr/>
        <w:t>estadísticas</w:t>
      </w:r>
      <w:r>
        <w:rPr>
          <w:spacing w:val="1"/>
        </w:rPr>
        <w:t> </w:t>
      </w:r>
      <w:r>
        <w:rPr/>
        <w:t>relacionadas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estudiantil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mostrado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comportamiento similar al presentado a nivel nacional. En primer lugar, aparece el nivel primaria, en</w:t>
      </w:r>
      <w:r>
        <w:rPr>
          <w:spacing w:val="1"/>
        </w:rPr>
        <w:t> </w:t>
      </w:r>
      <w:r>
        <w:rPr/>
        <w:t>segundo lugar el básico y el tercer lugar, la preprimaria.</w:t>
      </w:r>
      <w:r>
        <w:rPr>
          <w:spacing w:val="1"/>
        </w:rPr>
        <w:t> </w:t>
      </w:r>
      <w:r>
        <w:rPr/>
        <w:t>Por último, el diversificado y la primaria de</w:t>
      </w:r>
      <w:r>
        <w:rPr>
          <w:spacing w:val="1"/>
        </w:rPr>
        <w:t> </w:t>
      </w:r>
      <w:r>
        <w:rPr/>
        <w:t>adultos.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ve</w:t>
      </w:r>
      <w:r>
        <w:rPr>
          <w:spacing w:val="-2"/>
        </w:rPr>
        <w:t> </w:t>
      </w:r>
      <w:r>
        <w:rPr/>
        <w:t>en la siguiente tabla.</w:t>
      </w:r>
    </w:p>
    <w:p>
      <w:pPr>
        <w:pStyle w:val="BodyText"/>
        <w:spacing w:before="2"/>
      </w:pPr>
    </w:p>
    <w:p>
      <w:pPr>
        <w:pStyle w:val="BodyText"/>
        <w:spacing w:after="4"/>
        <w:ind w:left="278"/>
        <w:jc w:val="both"/>
      </w:pPr>
      <w:r>
        <w:rPr/>
        <w:t>Tabla</w:t>
      </w:r>
      <w:r>
        <w:rPr>
          <w:spacing w:val="-2"/>
        </w:rPr>
        <w:t> </w:t>
      </w:r>
      <w:r>
        <w:rPr/>
        <w:t>Nº.</w:t>
      </w:r>
      <w:r>
        <w:rPr>
          <w:spacing w:val="-1"/>
        </w:rPr>
        <w:t> </w:t>
      </w:r>
      <w:r>
        <w:rPr/>
        <w:t>Total</w:t>
      </w:r>
      <w:r>
        <w:rPr>
          <w:spacing w:val="-2"/>
        </w:rPr>
        <w:t> </w:t>
      </w:r>
      <w:r>
        <w:rPr/>
        <w:t>de estudiantes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Nivel</w:t>
      </w:r>
      <w:r>
        <w:rPr>
          <w:spacing w:val="-2"/>
        </w:rPr>
        <w:t> </w:t>
      </w:r>
      <w:r>
        <w:rPr/>
        <w:t>Educativo para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Departamento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Progreso</w:t>
      </w:r>
      <w:r>
        <w:rPr>
          <w:spacing w:val="-3"/>
        </w:rPr>
        <w:t> </w:t>
      </w:r>
      <w:r>
        <w:rPr/>
        <w:t>(2017</w:t>
      </w:r>
      <w:r>
        <w:rPr>
          <w:spacing w:val="-1"/>
        </w:rPr>
        <w:t> </w:t>
      </w:r>
      <w:r>
        <w:rPr/>
        <w:t>al</w:t>
      </w:r>
      <w:r>
        <w:rPr>
          <w:spacing w:val="-4"/>
        </w:rPr>
        <w:t> </w:t>
      </w:r>
      <w:r>
        <w:rPr/>
        <w:t>2021)</w:t>
      </w:r>
    </w:p>
    <w:tbl>
      <w:tblPr>
        <w:tblW w:w="0" w:type="auto"/>
        <w:jc w:val="left"/>
        <w:tblInd w:w="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9"/>
        <w:gridCol w:w="1582"/>
        <w:gridCol w:w="1053"/>
        <w:gridCol w:w="2024"/>
        <w:gridCol w:w="760"/>
        <w:gridCol w:w="1419"/>
        <w:gridCol w:w="1242"/>
      </w:tblGrid>
      <w:tr>
        <w:trPr>
          <w:trHeight w:val="411" w:hRule="atLeast"/>
        </w:trPr>
        <w:tc>
          <w:tcPr>
            <w:tcW w:w="1219" w:type="dxa"/>
            <w:tcBorders>
              <w:bottom w:val="single" w:sz="8" w:space="0" w:color="8EA9DB"/>
            </w:tcBorders>
            <w:shd w:val="clear" w:color="auto" w:fill="D9E0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170" w:lineRule="exact" w:before="1"/>
              <w:ind w:left="213" w:right="9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PREPRIMARIA</w:t>
            </w:r>
          </w:p>
        </w:tc>
        <w:tc>
          <w:tcPr>
            <w:tcW w:w="1053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170" w:lineRule="exact" w:before="1"/>
              <w:ind w:left="126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PRIMARIA</w:t>
            </w:r>
          </w:p>
        </w:tc>
        <w:tc>
          <w:tcPr>
            <w:tcW w:w="2024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170" w:lineRule="exact" w:before="1"/>
              <w:ind w:left="49" w:righ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8"/>
                <w:w w:val="110"/>
                <w:sz w:val="16"/>
              </w:rPr>
              <w:t>PRIMARIA</w:t>
            </w:r>
            <w:r>
              <w:rPr>
                <w:rFonts w:ascii="Arial"/>
                <w:b/>
                <w:color w:val="FFFFFF"/>
                <w:spacing w:val="1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8"/>
                <w:w w:val="110"/>
                <w:sz w:val="16"/>
              </w:rPr>
              <w:t>DE</w:t>
            </w:r>
            <w:r>
              <w:rPr>
                <w:rFonts w:ascii="Arial"/>
                <w:b/>
                <w:color w:val="FFFFFF"/>
                <w:spacing w:val="-26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8"/>
                <w:w w:val="110"/>
                <w:sz w:val="16"/>
              </w:rPr>
              <w:t>ADULTOS</w:t>
            </w:r>
          </w:p>
        </w:tc>
        <w:tc>
          <w:tcPr>
            <w:tcW w:w="760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170" w:lineRule="exact" w:before="1"/>
              <w:ind w:left="6" w:righ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BASICO</w:t>
            </w:r>
          </w:p>
        </w:tc>
        <w:tc>
          <w:tcPr>
            <w:tcW w:w="1419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170" w:lineRule="exact" w:before="1"/>
              <w:ind w:left="9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1"/>
                <w:w w:val="110"/>
                <w:sz w:val="16"/>
              </w:rPr>
              <w:t>DIVERSIFICADO</w:t>
            </w:r>
          </w:p>
        </w:tc>
        <w:tc>
          <w:tcPr>
            <w:tcW w:w="1242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170" w:lineRule="exact" w:before="1"/>
              <w:ind w:right="7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1"/>
                <w:w w:val="110"/>
                <w:sz w:val="16"/>
              </w:rPr>
              <w:t>Tota</w:t>
            </w:r>
            <w:r>
              <w:rPr>
                <w:rFonts w:ascii="Arial"/>
                <w:b/>
                <w:color w:val="FFFFFF"/>
                <w:spacing w:val="-33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w w:val="110"/>
                <w:sz w:val="16"/>
              </w:rPr>
              <w:t>l</w:t>
            </w:r>
            <w:r>
              <w:rPr>
                <w:rFonts w:ascii="Arial"/>
                <w:b/>
                <w:color w:val="FFFFFF"/>
                <w:spacing w:val="-8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FFFFFF"/>
                <w:w w:val="110"/>
                <w:sz w:val="16"/>
              </w:rPr>
              <w:t>general</w:t>
            </w:r>
          </w:p>
        </w:tc>
      </w:tr>
      <w:tr>
        <w:trPr>
          <w:trHeight w:val="199" w:hRule="atLeast"/>
        </w:trPr>
        <w:tc>
          <w:tcPr>
            <w:tcW w:w="1219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79" w:lineRule="exact"/>
              <w:ind w:left="43" w:right="3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2017</w:t>
            </w:r>
          </w:p>
        </w:tc>
        <w:tc>
          <w:tcPr>
            <w:tcW w:w="1582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79" w:lineRule="exact"/>
              <w:ind w:left="213" w:right="6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9,049</w:t>
            </w:r>
          </w:p>
        </w:tc>
        <w:tc>
          <w:tcPr>
            <w:tcW w:w="1053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79" w:lineRule="exact"/>
              <w:ind w:left="163" w:right="15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24,938</w:t>
            </w:r>
          </w:p>
        </w:tc>
        <w:tc>
          <w:tcPr>
            <w:tcW w:w="2024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79" w:lineRule="exact"/>
              <w:ind w:left="31" w:right="31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127</w:t>
            </w:r>
          </w:p>
        </w:tc>
        <w:tc>
          <w:tcPr>
            <w:tcW w:w="760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79" w:lineRule="exact"/>
              <w:ind w:left="6" w:right="5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10,405</w:t>
            </w:r>
          </w:p>
        </w:tc>
        <w:tc>
          <w:tcPr>
            <w:tcW w:w="1419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79" w:lineRule="exact"/>
              <w:ind w:left="27" w:right="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5,491</w:t>
            </w:r>
          </w:p>
        </w:tc>
        <w:tc>
          <w:tcPr>
            <w:tcW w:w="1242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79" w:lineRule="exact"/>
              <w:ind w:right="37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50,010</w:t>
            </w:r>
          </w:p>
        </w:tc>
      </w:tr>
      <w:tr>
        <w:trPr>
          <w:trHeight w:val="215" w:hRule="atLeast"/>
        </w:trPr>
        <w:tc>
          <w:tcPr>
            <w:tcW w:w="1219" w:type="dxa"/>
          </w:tcPr>
          <w:p>
            <w:pPr>
              <w:pStyle w:val="TableParagraph"/>
              <w:spacing w:line="183" w:lineRule="exact" w:before="12"/>
              <w:ind w:left="43" w:right="3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2018</w:t>
            </w:r>
          </w:p>
        </w:tc>
        <w:tc>
          <w:tcPr>
            <w:tcW w:w="1582" w:type="dxa"/>
          </w:tcPr>
          <w:p>
            <w:pPr>
              <w:pStyle w:val="TableParagraph"/>
              <w:spacing w:line="183" w:lineRule="exact" w:before="12"/>
              <w:ind w:left="213" w:right="6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9,376</w:t>
            </w:r>
          </w:p>
        </w:tc>
        <w:tc>
          <w:tcPr>
            <w:tcW w:w="1053" w:type="dxa"/>
          </w:tcPr>
          <w:p>
            <w:pPr>
              <w:pStyle w:val="TableParagraph"/>
              <w:spacing w:line="183" w:lineRule="exact" w:before="12"/>
              <w:ind w:left="163" w:right="15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25,410</w:t>
            </w:r>
          </w:p>
        </w:tc>
        <w:tc>
          <w:tcPr>
            <w:tcW w:w="2024" w:type="dxa"/>
          </w:tcPr>
          <w:p>
            <w:pPr>
              <w:pStyle w:val="TableParagraph"/>
              <w:spacing w:line="183" w:lineRule="exact" w:before="12"/>
              <w:ind w:left="31" w:right="31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117</w:t>
            </w:r>
          </w:p>
        </w:tc>
        <w:tc>
          <w:tcPr>
            <w:tcW w:w="760" w:type="dxa"/>
          </w:tcPr>
          <w:p>
            <w:pPr>
              <w:pStyle w:val="TableParagraph"/>
              <w:spacing w:line="183" w:lineRule="exact" w:before="12"/>
              <w:ind w:left="6" w:right="5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10,262</w:t>
            </w:r>
          </w:p>
        </w:tc>
        <w:tc>
          <w:tcPr>
            <w:tcW w:w="1419" w:type="dxa"/>
          </w:tcPr>
          <w:p>
            <w:pPr>
              <w:pStyle w:val="TableParagraph"/>
              <w:spacing w:line="183" w:lineRule="exact" w:before="12"/>
              <w:ind w:left="27" w:right="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5,869</w:t>
            </w:r>
          </w:p>
        </w:tc>
        <w:tc>
          <w:tcPr>
            <w:tcW w:w="1242" w:type="dxa"/>
          </w:tcPr>
          <w:p>
            <w:pPr>
              <w:pStyle w:val="TableParagraph"/>
              <w:spacing w:line="183" w:lineRule="exact" w:before="12"/>
              <w:ind w:right="37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51,034</w:t>
            </w:r>
          </w:p>
        </w:tc>
      </w:tr>
      <w:tr>
        <w:trPr>
          <w:trHeight w:val="215" w:hRule="atLeast"/>
        </w:trPr>
        <w:tc>
          <w:tcPr>
            <w:tcW w:w="1219" w:type="dxa"/>
          </w:tcPr>
          <w:p>
            <w:pPr>
              <w:pStyle w:val="TableParagraph"/>
              <w:spacing w:line="183" w:lineRule="exact" w:before="12"/>
              <w:ind w:left="43" w:right="3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2019</w:t>
            </w:r>
          </w:p>
        </w:tc>
        <w:tc>
          <w:tcPr>
            <w:tcW w:w="1582" w:type="dxa"/>
          </w:tcPr>
          <w:p>
            <w:pPr>
              <w:pStyle w:val="TableParagraph"/>
              <w:spacing w:line="183" w:lineRule="exact" w:before="12"/>
              <w:ind w:left="213" w:right="6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9,157</w:t>
            </w:r>
          </w:p>
        </w:tc>
        <w:tc>
          <w:tcPr>
            <w:tcW w:w="1053" w:type="dxa"/>
          </w:tcPr>
          <w:p>
            <w:pPr>
              <w:pStyle w:val="TableParagraph"/>
              <w:spacing w:line="183" w:lineRule="exact" w:before="12"/>
              <w:ind w:left="163" w:right="15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25,447</w:t>
            </w:r>
          </w:p>
        </w:tc>
        <w:tc>
          <w:tcPr>
            <w:tcW w:w="2024" w:type="dxa"/>
          </w:tcPr>
          <w:p>
            <w:pPr>
              <w:pStyle w:val="TableParagraph"/>
              <w:spacing w:line="183" w:lineRule="exact" w:before="12"/>
              <w:ind w:left="31" w:right="31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100</w:t>
            </w:r>
          </w:p>
        </w:tc>
        <w:tc>
          <w:tcPr>
            <w:tcW w:w="760" w:type="dxa"/>
          </w:tcPr>
          <w:p>
            <w:pPr>
              <w:pStyle w:val="TableParagraph"/>
              <w:spacing w:line="183" w:lineRule="exact" w:before="12"/>
              <w:ind w:left="36" w:right="28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9,741</w:t>
            </w:r>
          </w:p>
        </w:tc>
        <w:tc>
          <w:tcPr>
            <w:tcW w:w="1419" w:type="dxa"/>
          </w:tcPr>
          <w:p>
            <w:pPr>
              <w:pStyle w:val="TableParagraph"/>
              <w:spacing w:line="183" w:lineRule="exact" w:before="12"/>
              <w:ind w:left="27" w:right="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5,820</w:t>
            </w:r>
          </w:p>
        </w:tc>
        <w:tc>
          <w:tcPr>
            <w:tcW w:w="1242" w:type="dxa"/>
          </w:tcPr>
          <w:p>
            <w:pPr>
              <w:pStyle w:val="TableParagraph"/>
              <w:spacing w:line="183" w:lineRule="exact" w:before="12"/>
              <w:ind w:right="37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50,265</w:t>
            </w:r>
          </w:p>
        </w:tc>
      </w:tr>
      <w:tr>
        <w:trPr>
          <w:trHeight w:val="215" w:hRule="atLeast"/>
        </w:trPr>
        <w:tc>
          <w:tcPr>
            <w:tcW w:w="1219" w:type="dxa"/>
          </w:tcPr>
          <w:p>
            <w:pPr>
              <w:pStyle w:val="TableParagraph"/>
              <w:spacing w:line="183" w:lineRule="exact" w:before="12"/>
              <w:ind w:left="43" w:right="3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2020</w:t>
            </w:r>
          </w:p>
        </w:tc>
        <w:tc>
          <w:tcPr>
            <w:tcW w:w="1582" w:type="dxa"/>
          </w:tcPr>
          <w:p>
            <w:pPr>
              <w:pStyle w:val="TableParagraph"/>
              <w:spacing w:line="183" w:lineRule="exact" w:before="12"/>
              <w:ind w:left="213" w:right="6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8,554</w:t>
            </w:r>
          </w:p>
        </w:tc>
        <w:tc>
          <w:tcPr>
            <w:tcW w:w="1053" w:type="dxa"/>
          </w:tcPr>
          <w:p>
            <w:pPr>
              <w:pStyle w:val="TableParagraph"/>
              <w:spacing w:line="183" w:lineRule="exact" w:before="12"/>
              <w:ind w:left="163" w:right="15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25,425</w:t>
            </w:r>
          </w:p>
        </w:tc>
        <w:tc>
          <w:tcPr>
            <w:tcW w:w="2024" w:type="dxa"/>
          </w:tcPr>
          <w:p>
            <w:pPr>
              <w:pStyle w:val="TableParagraph"/>
              <w:spacing w:line="183" w:lineRule="exact" w:before="12"/>
              <w:ind w:left="31" w:right="31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109</w:t>
            </w:r>
          </w:p>
        </w:tc>
        <w:tc>
          <w:tcPr>
            <w:tcW w:w="760" w:type="dxa"/>
          </w:tcPr>
          <w:p>
            <w:pPr>
              <w:pStyle w:val="TableParagraph"/>
              <w:spacing w:line="183" w:lineRule="exact" w:before="12"/>
              <w:ind w:left="36" w:right="28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9,422</w:t>
            </w:r>
          </w:p>
        </w:tc>
        <w:tc>
          <w:tcPr>
            <w:tcW w:w="1419" w:type="dxa"/>
          </w:tcPr>
          <w:p>
            <w:pPr>
              <w:pStyle w:val="TableParagraph"/>
              <w:spacing w:line="183" w:lineRule="exact" w:before="12"/>
              <w:ind w:left="27" w:right="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5,875</w:t>
            </w:r>
          </w:p>
        </w:tc>
        <w:tc>
          <w:tcPr>
            <w:tcW w:w="1242" w:type="dxa"/>
          </w:tcPr>
          <w:p>
            <w:pPr>
              <w:pStyle w:val="TableParagraph"/>
              <w:spacing w:line="183" w:lineRule="exact" w:before="12"/>
              <w:ind w:right="37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49,385</w:t>
            </w:r>
          </w:p>
        </w:tc>
      </w:tr>
      <w:tr>
        <w:trPr>
          <w:trHeight w:val="209" w:hRule="atLeast"/>
        </w:trPr>
        <w:tc>
          <w:tcPr>
            <w:tcW w:w="1219" w:type="dxa"/>
          </w:tcPr>
          <w:p>
            <w:pPr>
              <w:pStyle w:val="TableParagraph"/>
              <w:spacing w:line="178" w:lineRule="exact" w:before="12"/>
              <w:ind w:left="43" w:right="3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2021</w:t>
            </w:r>
          </w:p>
        </w:tc>
        <w:tc>
          <w:tcPr>
            <w:tcW w:w="1582" w:type="dxa"/>
          </w:tcPr>
          <w:p>
            <w:pPr>
              <w:pStyle w:val="TableParagraph"/>
              <w:spacing w:line="178" w:lineRule="exact" w:before="12"/>
              <w:ind w:left="213" w:right="6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9,349</w:t>
            </w:r>
          </w:p>
        </w:tc>
        <w:tc>
          <w:tcPr>
            <w:tcW w:w="1053" w:type="dxa"/>
          </w:tcPr>
          <w:p>
            <w:pPr>
              <w:pStyle w:val="TableParagraph"/>
              <w:spacing w:line="178" w:lineRule="exact" w:before="12"/>
              <w:ind w:left="163" w:right="15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26,224</w:t>
            </w:r>
          </w:p>
        </w:tc>
        <w:tc>
          <w:tcPr>
            <w:tcW w:w="2024" w:type="dxa"/>
          </w:tcPr>
          <w:p>
            <w:pPr>
              <w:pStyle w:val="TableParagraph"/>
              <w:spacing w:line="178" w:lineRule="exact" w:before="12"/>
              <w:ind w:left="39" w:right="31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55</w:t>
            </w:r>
          </w:p>
        </w:tc>
        <w:tc>
          <w:tcPr>
            <w:tcW w:w="760" w:type="dxa"/>
          </w:tcPr>
          <w:p>
            <w:pPr>
              <w:pStyle w:val="TableParagraph"/>
              <w:spacing w:line="178" w:lineRule="exact" w:before="12"/>
              <w:ind w:left="36" w:right="28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8,799</w:t>
            </w:r>
          </w:p>
        </w:tc>
        <w:tc>
          <w:tcPr>
            <w:tcW w:w="1419" w:type="dxa"/>
          </w:tcPr>
          <w:p>
            <w:pPr>
              <w:pStyle w:val="TableParagraph"/>
              <w:spacing w:line="178" w:lineRule="exact" w:before="12"/>
              <w:ind w:left="27" w:right="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5,229</w:t>
            </w:r>
          </w:p>
        </w:tc>
        <w:tc>
          <w:tcPr>
            <w:tcW w:w="1242" w:type="dxa"/>
          </w:tcPr>
          <w:p>
            <w:pPr>
              <w:pStyle w:val="TableParagraph"/>
              <w:spacing w:line="178" w:lineRule="exact" w:before="12"/>
              <w:ind w:right="37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49,656</w:t>
            </w:r>
          </w:p>
        </w:tc>
      </w:tr>
    </w:tbl>
    <w:tbl>
      <w:tblPr>
        <w:tblW w:w="0" w:type="auto"/>
        <w:jc w:val="left"/>
        <w:tblInd w:w="2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9"/>
        <w:gridCol w:w="1490"/>
        <w:gridCol w:w="1512"/>
        <w:gridCol w:w="1275"/>
        <w:gridCol w:w="1307"/>
        <w:gridCol w:w="1324"/>
        <w:gridCol w:w="1174"/>
      </w:tblGrid>
      <w:tr>
        <w:trPr>
          <w:trHeight w:val="213" w:hRule="atLeast"/>
        </w:trPr>
        <w:tc>
          <w:tcPr>
            <w:tcW w:w="1219" w:type="dxa"/>
            <w:tcBorders>
              <w:top w:val="single" w:sz="8" w:space="0" w:color="8EA9DB"/>
            </w:tcBorders>
            <w:shd w:val="clear" w:color="auto" w:fill="D9E0F1"/>
          </w:tcPr>
          <w:p>
            <w:pPr>
              <w:pStyle w:val="TableParagraph"/>
              <w:spacing w:before="5"/>
              <w:ind w:left="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w w:val="110"/>
                <w:sz w:val="16"/>
              </w:rPr>
              <w:t>Tota</w:t>
            </w:r>
            <w:r>
              <w:rPr>
                <w:rFonts w:ascii="Arial"/>
                <w:b/>
                <w:spacing w:val="-33"/>
                <w:w w:val="110"/>
                <w:sz w:val="16"/>
              </w:rPr>
              <w:t> </w:t>
            </w:r>
            <w:r>
              <w:rPr>
                <w:rFonts w:ascii="Arial"/>
                <w:b/>
                <w:spacing w:val="-1"/>
                <w:w w:val="110"/>
                <w:sz w:val="16"/>
              </w:rPr>
              <w:t>l</w:t>
            </w:r>
            <w:r>
              <w:rPr>
                <w:rFonts w:ascii="Arial"/>
                <w:b/>
                <w:spacing w:val="-8"/>
                <w:w w:val="110"/>
                <w:sz w:val="16"/>
              </w:rPr>
              <w:t> </w:t>
            </w:r>
            <w:r>
              <w:rPr>
                <w:rFonts w:ascii="Arial"/>
                <w:b/>
                <w:w w:val="110"/>
                <w:sz w:val="16"/>
              </w:rPr>
              <w:t>general</w:t>
            </w:r>
          </w:p>
        </w:tc>
        <w:tc>
          <w:tcPr>
            <w:tcW w:w="1490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5"/>
              <w:ind w:left="5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45,485</w:t>
            </w:r>
          </w:p>
        </w:tc>
        <w:tc>
          <w:tcPr>
            <w:tcW w:w="1512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5"/>
              <w:ind w:left="38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127,444</w:t>
            </w:r>
          </w:p>
        </w:tc>
        <w:tc>
          <w:tcPr>
            <w:tcW w:w="1275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5"/>
              <w:ind w:left="487" w:right="45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508</w:t>
            </w:r>
          </w:p>
        </w:tc>
        <w:tc>
          <w:tcPr>
            <w:tcW w:w="1307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5"/>
              <w:ind w:left="48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48,629</w:t>
            </w:r>
          </w:p>
        </w:tc>
        <w:tc>
          <w:tcPr>
            <w:tcW w:w="1324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5"/>
              <w:ind w:left="2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28,284</w:t>
            </w:r>
          </w:p>
        </w:tc>
        <w:tc>
          <w:tcPr>
            <w:tcW w:w="1174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5"/>
              <w:ind w:left="5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250,350</w:t>
            </w:r>
          </w:p>
        </w:tc>
      </w:tr>
    </w:tbl>
    <w:p>
      <w:pPr>
        <w:spacing w:before="10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2"/>
          <w:sz w:val="14"/>
        </w:rPr>
        <w:t> </w:t>
      </w:r>
      <w:r>
        <w:rPr>
          <w:sz w:val="14"/>
        </w:rPr>
        <w:t>Elaboración</w:t>
      </w:r>
      <w:r>
        <w:rPr>
          <w:spacing w:val="-2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2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78" w:right="1073"/>
        <w:jc w:val="both"/>
      </w:pPr>
      <w:r>
        <w:rPr/>
        <w:t>En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muestran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cifras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estudiantil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Departamento del Progreso, durante el intervalo del 2017-2020. Durante el 2017 se tuvo una población</w:t>
      </w:r>
      <w:r>
        <w:rPr>
          <w:spacing w:val="1"/>
        </w:rPr>
        <w:t> </w:t>
      </w:r>
      <w:r>
        <w:rPr/>
        <w:t>estudiantil</w:t>
      </w:r>
      <w:r>
        <w:rPr>
          <w:spacing w:val="-9"/>
        </w:rPr>
        <w:t> </w:t>
      </w:r>
      <w:r>
        <w:rPr/>
        <w:t>total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50,010.</w:t>
      </w:r>
      <w:r>
        <w:rPr>
          <w:spacing w:val="-11"/>
        </w:rPr>
        <w:t> </w:t>
      </w:r>
      <w:r>
        <w:rPr/>
        <w:t>El</w:t>
      </w:r>
      <w:r>
        <w:rPr>
          <w:spacing w:val="-9"/>
        </w:rPr>
        <w:t> </w:t>
      </w:r>
      <w:r>
        <w:rPr/>
        <w:t>2018,</w:t>
      </w:r>
      <w:r>
        <w:rPr>
          <w:spacing w:val="-8"/>
        </w:rPr>
        <w:t> </w:t>
      </w:r>
      <w:r>
        <w:rPr/>
        <w:t>mostró</w:t>
      </w:r>
      <w:r>
        <w:rPr>
          <w:spacing w:val="-7"/>
        </w:rPr>
        <w:t> </w:t>
      </w:r>
      <w:r>
        <w:rPr/>
        <w:t>un</w:t>
      </w:r>
      <w:r>
        <w:rPr>
          <w:spacing w:val="-9"/>
        </w:rPr>
        <w:t> </w:t>
      </w:r>
      <w:r>
        <w:rPr/>
        <w:t>pequeño</w:t>
      </w:r>
      <w:r>
        <w:rPr>
          <w:spacing w:val="-8"/>
        </w:rPr>
        <w:t> </w:t>
      </w:r>
      <w:r>
        <w:rPr/>
        <w:t>incremento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924</w:t>
      </w:r>
      <w:r>
        <w:rPr>
          <w:spacing w:val="-8"/>
        </w:rPr>
        <w:t> </w:t>
      </w:r>
      <w:r>
        <w:rPr/>
        <w:t>alumnos.</w:t>
      </w:r>
      <w:r>
        <w:rPr>
          <w:spacing w:val="-5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2019,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r>
        <w:rPr/>
        <w:t>redujo</w:t>
      </w:r>
      <w:r>
        <w:rPr>
          <w:spacing w:val="-47"/>
        </w:rPr>
        <w:t> </w:t>
      </w:r>
      <w:r>
        <w:rPr/>
        <w:t>a 50,265. La tendencia se continuó reduciendo presentando para el 2020 la cifra 49,385, registrándose el</w:t>
      </w:r>
      <w:r>
        <w:rPr>
          <w:spacing w:val="-47"/>
        </w:rPr>
        <w:t> </w:t>
      </w:r>
      <w:r>
        <w:rPr/>
        <w:t>dato</w:t>
      </w:r>
      <w:r>
        <w:rPr>
          <w:spacing w:val="-2"/>
        </w:rPr>
        <w:t> </w:t>
      </w:r>
      <w:r>
        <w:rPr/>
        <w:t>más bajo.</w:t>
      </w:r>
      <w:r>
        <w:rPr>
          <w:spacing w:val="-1"/>
        </w:rPr>
        <w:t> </w:t>
      </w:r>
      <w:r>
        <w:rPr/>
        <w:t>Incrementando al 2021</w:t>
      </w:r>
      <w:r>
        <w:rPr>
          <w:spacing w:val="-2"/>
        </w:rPr>
        <w:t> </w:t>
      </w:r>
      <w:r>
        <w:rPr/>
        <w:t>con</w:t>
      </w:r>
      <w:r>
        <w:rPr>
          <w:spacing w:val="-4"/>
        </w:rPr>
        <w:t> </w:t>
      </w:r>
      <w:r>
        <w:rPr/>
        <w:t>49,656 durante el</w:t>
      </w:r>
      <w:r>
        <w:rPr>
          <w:spacing w:val="-3"/>
        </w:rPr>
        <w:t> </w:t>
      </w:r>
      <w:r>
        <w:rPr/>
        <w:t>período</w:t>
      </w:r>
      <w:r>
        <w:rPr>
          <w:spacing w:val="-2"/>
        </w:rPr>
        <w:t> </w:t>
      </w:r>
      <w:r>
        <w:rPr/>
        <w:t>evaluado.</w:t>
      </w:r>
    </w:p>
    <w:p>
      <w:pPr>
        <w:pStyle w:val="BodyText"/>
        <w:spacing w:before="2"/>
      </w:pPr>
    </w:p>
    <w:p>
      <w:pPr>
        <w:pStyle w:val="BodyText"/>
        <w:ind w:left="278" w:right="1070"/>
        <w:jc w:val="both"/>
      </w:pPr>
      <w:r>
        <w:rPr/>
        <w:t>Como se muestra, el nivel que presentó más crecimiento fue la Primaria representando el 50% de la</w:t>
      </w:r>
      <w:r>
        <w:rPr>
          <w:spacing w:val="1"/>
        </w:rPr>
        <w:t> </w:t>
      </w:r>
      <w:r>
        <w:rPr/>
        <w:t>población para este período, seguido del básico con el 19% y finalmente el nivel Preprimaria con un 18%.</w:t>
      </w:r>
      <w:r>
        <w:rPr>
          <w:spacing w:val="-47"/>
        </w:rPr>
        <w:t> </w:t>
      </w:r>
      <w:r>
        <w:rPr/>
        <w:t>La participación de alumnos en el Nivel Diversificado se mantuvo constante durante el período analizado</w:t>
      </w:r>
      <w:r>
        <w:rPr>
          <w:spacing w:val="1"/>
        </w:rPr>
        <w:t> </w:t>
      </w:r>
      <w:r>
        <w:rPr/>
        <w:t>reportando un 7%. Y finalizando, con la Primaria para Adultos, la cual posee una participación ínfima del</w:t>
      </w:r>
      <w:r>
        <w:rPr>
          <w:spacing w:val="1"/>
        </w:rPr>
        <w:t> </w:t>
      </w:r>
      <w:r>
        <w:rPr/>
        <w:t>0.14% de</w:t>
      </w:r>
      <w:r>
        <w:rPr>
          <w:spacing w:val="-2"/>
        </w:rPr>
        <w:t> </w:t>
      </w:r>
      <w:r>
        <w:rPr/>
        <w:t>la población.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  <w:r>
        <w:rPr/>
        <w:pict>
          <v:rect style="position:absolute;margin-left:563.880005pt;margin-top:16.788132pt;width:25.44pt;height:1.4399pt;mso-position-horizontal-relative:page;mso-position-vertical-relative:paragraph;z-index:-1545062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139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92768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9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2"/>
          <w:numId w:val="32"/>
        </w:numPr>
        <w:tabs>
          <w:tab w:pos="998" w:val="left" w:leader="none"/>
          <w:tab w:pos="999" w:val="left" w:leader="none"/>
        </w:tabs>
        <w:spacing w:line="240" w:lineRule="auto" w:before="52" w:after="0"/>
        <w:ind w:left="998" w:right="0" w:hanging="721"/>
        <w:jc w:val="left"/>
      </w:pPr>
      <w:bookmarkStart w:name="_bookmark162" w:id="257"/>
      <w:bookmarkEnd w:id="257"/>
      <w:r>
        <w:rPr>
          <w:b w:val="0"/>
        </w:rPr>
      </w:r>
      <w:bookmarkStart w:name="_bookmark162" w:id="258"/>
      <w:bookmarkEnd w:id="258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Cobertura:</w:t>
      </w:r>
      <w:r>
        <w:rPr>
          <w:spacing w:val="-4"/>
        </w:rPr>
        <w:t> </w:t>
      </w:r>
      <w:r>
        <w:rPr/>
        <w:t>Tasa</w:t>
      </w:r>
      <w:r>
        <w:rPr>
          <w:spacing w:val="-3"/>
        </w:rPr>
        <w:t> </w:t>
      </w:r>
      <w:r>
        <w:rPr/>
        <w:t>Neta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Cobertura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0"/>
        <w:jc w:val="both"/>
      </w:pPr>
      <w:r>
        <w:rPr>
          <w:spacing w:val="-1"/>
        </w:rPr>
        <w:t>Por</w:t>
      </w:r>
      <w:r>
        <w:rPr>
          <w:spacing w:val="-12"/>
        </w:rPr>
        <w:t> </w:t>
      </w:r>
      <w:r>
        <w:rPr>
          <w:spacing w:val="-1"/>
        </w:rPr>
        <w:t>lo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refiere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cobertura</w:t>
      </w:r>
      <w:r>
        <w:rPr>
          <w:spacing w:val="-10"/>
        </w:rPr>
        <w:t> </w:t>
      </w:r>
      <w:r>
        <w:rPr/>
        <w:t>educativa</w:t>
      </w:r>
      <w:r>
        <w:rPr>
          <w:spacing w:val="-12"/>
        </w:rPr>
        <w:t> </w:t>
      </w:r>
      <w:r>
        <w:rPr/>
        <w:t>medida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través</w:t>
      </w:r>
      <w:r>
        <w:rPr>
          <w:spacing w:val="-8"/>
        </w:rPr>
        <w:t> </w:t>
      </w:r>
      <w:r>
        <w:rPr/>
        <w:t>del</w:t>
      </w:r>
      <w:r>
        <w:rPr>
          <w:spacing w:val="-12"/>
        </w:rPr>
        <w:t> </w:t>
      </w:r>
      <w:r>
        <w:rPr/>
        <w:t>(TNE)</w:t>
      </w:r>
      <w:r>
        <w:rPr>
          <w:spacing w:val="-9"/>
        </w:rPr>
        <w:t> </w:t>
      </w:r>
      <w:r>
        <w:rPr/>
        <w:t>para</w:t>
      </w:r>
      <w:r>
        <w:rPr>
          <w:spacing w:val="-12"/>
        </w:rPr>
        <w:t> </w:t>
      </w:r>
      <w:r>
        <w:rPr/>
        <w:t>El</w:t>
      </w:r>
      <w:r>
        <w:rPr>
          <w:spacing w:val="-10"/>
        </w:rPr>
        <w:t> </w:t>
      </w:r>
      <w:r>
        <w:rPr/>
        <w:t>Progreso</w:t>
      </w:r>
      <w:r>
        <w:rPr>
          <w:spacing w:val="-8"/>
        </w:rPr>
        <w:t> </w:t>
      </w:r>
      <w:r>
        <w:rPr/>
        <w:t>durante</w:t>
      </w:r>
      <w:r>
        <w:rPr>
          <w:spacing w:val="-8"/>
        </w:rPr>
        <w:t> </w:t>
      </w:r>
      <w:r>
        <w:rPr/>
        <w:t>el</w:t>
      </w:r>
      <w:r>
        <w:rPr>
          <w:spacing w:val="-12"/>
        </w:rPr>
        <w:t> </w:t>
      </w:r>
      <w:r>
        <w:rPr/>
        <w:t>período</w:t>
      </w:r>
      <w:r>
        <w:rPr>
          <w:spacing w:val="-48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2017</w:t>
      </w:r>
      <w:r>
        <w:rPr>
          <w:spacing w:val="-9"/>
        </w:rPr>
        <w:t> </w:t>
      </w:r>
      <w:r>
        <w:rPr>
          <w:spacing w:val="-1"/>
        </w:rPr>
        <w:t>al</w:t>
      </w:r>
      <w:r>
        <w:rPr>
          <w:spacing w:val="-12"/>
        </w:rPr>
        <w:t> </w:t>
      </w:r>
      <w:r>
        <w:rPr>
          <w:spacing w:val="-1"/>
        </w:rPr>
        <w:t>2020,</w:t>
      </w:r>
      <w:r>
        <w:rPr>
          <w:spacing w:val="-11"/>
        </w:rPr>
        <w:t> </w:t>
      </w:r>
      <w:r>
        <w:rPr>
          <w:spacing w:val="-1"/>
        </w:rPr>
        <w:t>evidencia</w:t>
      </w:r>
      <w:r>
        <w:rPr>
          <w:spacing w:val="-12"/>
        </w:rPr>
        <w:t> </w:t>
      </w:r>
      <w:r>
        <w:rPr/>
        <w:t>un</w:t>
      </w:r>
      <w:r>
        <w:rPr>
          <w:spacing w:val="-10"/>
        </w:rPr>
        <w:t> </w:t>
      </w:r>
      <w:r>
        <w:rPr/>
        <w:t>aumento</w:t>
      </w:r>
      <w:r>
        <w:rPr>
          <w:spacing w:val="-7"/>
        </w:rPr>
        <w:t> </w:t>
      </w:r>
      <w:r>
        <w:rPr/>
        <w:t>promedio</w:t>
      </w:r>
      <w:r>
        <w:rPr>
          <w:spacing w:val="-11"/>
        </w:rPr>
        <w:t> </w:t>
      </w:r>
      <w:r>
        <w:rPr/>
        <w:t>considerable</w:t>
      </w:r>
      <w:r>
        <w:rPr>
          <w:spacing w:val="-9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cobertura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nivel</w:t>
      </w:r>
      <w:r>
        <w:rPr>
          <w:spacing w:val="-10"/>
        </w:rPr>
        <w:t> </w:t>
      </w:r>
      <w:r>
        <w:rPr/>
        <w:t>primaria</w:t>
      </w:r>
      <w:r>
        <w:rPr>
          <w:spacing w:val="-12"/>
        </w:rPr>
        <w:t> </w:t>
      </w:r>
      <w:r>
        <w:rPr/>
        <w:t>(99.18%),</w:t>
      </w:r>
      <w:r>
        <w:rPr>
          <w:spacing w:val="-47"/>
        </w:rPr>
        <w:t> </w:t>
      </w:r>
      <w:r>
        <w:rPr>
          <w:spacing w:val="-1"/>
        </w:rPr>
        <w:t>en</w:t>
      </w:r>
      <w:r>
        <w:rPr>
          <w:spacing w:val="-9"/>
        </w:rPr>
        <w:t> </w:t>
      </w:r>
      <w:r>
        <w:rPr>
          <w:spacing w:val="-1"/>
        </w:rPr>
        <w:t>contraste</w:t>
      </w:r>
      <w:r>
        <w:rPr>
          <w:spacing w:val="-11"/>
        </w:rPr>
        <w:t> </w:t>
      </w:r>
      <w:r>
        <w:rPr>
          <w:spacing w:val="-1"/>
        </w:rPr>
        <w:t>con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TNE</w:t>
      </w:r>
      <w:r>
        <w:rPr>
          <w:spacing w:val="-9"/>
        </w:rPr>
        <w:t> </w:t>
      </w:r>
      <w:r>
        <w:rPr/>
        <w:t>nacional</w:t>
      </w:r>
      <w:r>
        <w:rPr>
          <w:spacing w:val="-10"/>
        </w:rPr>
        <w:t> </w:t>
      </w:r>
      <w:r>
        <w:rPr/>
        <w:t>promedio</w:t>
      </w:r>
      <w:r>
        <w:rPr>
          <w:spacing w:val="-8"/>
        </w:rPr>
        <w:t> </w:t>
      </w:r>
      <w:r>
        <w:rPr/>
        <w:t>del</w:t>
      </w:r>
      <w:r>
        <w:rPr>
          <w:spacing w:val="-9"/>
        </w:rPr>
        <w:t> </w:t>
      </w:r>
      <w:r>
        <w:rPr/>
        <w:t>77.5%.</w:t>
      </w:r>
      <w:r>
        <w:rPr>
          <w:spacing w:val="-12"/>
        </w:rPr>
        <w:t> </w:t>
      </w:r>
      <w:r>
        <w:rPr/>
        <w:t>Como</w:t>
      </w:r>
      <w:r>
        <w:rPr>
          <w:spacing w:val="-8"/>
        </w:rPr>
        <w:t> </w:t>
      </w:r>
      <w:r>
        <w:rPr/>
        <w:t>sucede</w:t>
      </w:r>
      <w:r>
        <w:rPr>
          <w:spacing w:val="-9"/>
        </w:rPr>
        <w:t> </w:t>
      </w:r>
      <w:r>
        <w:rPr/>
        <w:t>con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otros</w:t>
      </w:r>
      <w:r>
        <w:rPr>
          <w:spacing w:val="-14"/>
        </w:rPr>
        <w:t> </w:t>
      </w:r>
      <w:r>
        <w:rPr/>
        <w:t>departamentos,</w:t>
      </w:r>
      <w:r>
        <w:rPr>
          <w:spacing w:val="-12"/>
        </w:rPr>
        <w:t> </w:t>
      </w:r>
      <w:r>
        <w:rPr/>
        <w:t>muestra</w:t>
      </w:r>
      <w:r>
        <w:rPr>
          <w:spacing w:val="-48"/>
        </w:rPr>
        <w:t> </w:t>
      </w:r>
      <w:r>
        <w:rPr/>
        <w:t>valores reducidas en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de los jóvenes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 ciclo</w:t>
      </w:r>
      <w:r>
        <w:rPr>
          <w:spacing w:val="1"/>
        </w:rPr>
        <w:t> </w:t>
      </w:r>
      <w:r>
        <w:rPr/>
        <w:t>básico</w:t>
      </w:r>
      <w:r>
        <w:rPr>
          <w:spacing w:val="-2"/>
        </w:rPr>
        <w:t> </w:t>
      </w:r>
      <w:r>
        <w:rPr/>
        <w:t>y diversificado.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278" w:right="1074"/>
        <w:jc w:val="both"/>
      </w:pPr>
      <w:r>
        <w:rPr/>
        <w:t>Tabla</w:t>
      </w:r>
      <w:r>
        <w:rPr>
          <w:spacing w:val="1"/>
        </w:rPr>
        <w:t> </w:t>
      </w:r>
      <w:r>
        <w:rPr/>
        <w:t>Nº.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Cobertura: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Bruta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Académico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47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de El</w:t>
      </w:r>
      <w:r>
        <w:rPr>
          <w:spacing w:val="-3"/>
        </w:rPr>
        <w:t> </w:t>
      </w:r>
      <w:r>
        <w:rPr/>
        <w:t>Progreso</w:t>
      </w:r>
    </w:p>
    <w:p>
      <w:pPr>
        <w:pStyle w:val="BodyText"/>
        <w:ind w:left="276"/>
        <w:rPr>
          <w:sz w:val="20"/>
        </w:rPr>
      </w:pPr>
      <w:r>
        <w:rPr>
          <w:sz w:val="20"/>
        </w:rPr>
        <w:pict>
          <v:group style="width:441.5pt;height:205.55pt;mso-position-horizontal-relative:char;mso-position-vertical-relative:line" coordorigin="0,0" coordsize="8830,4111">
            <v:shape style="position:absolute;left:17;top:13;width:8799;height:1645" coordorigin="17,14" coordsize="8799,1645" path="m8816,14l17,14,17,822,17,836,17,1233,17,1247,17,1658,1118,1658,1118,1247,1118,1233,1118,836,7048,836,8816,14xe" filled="true" fillcolor="#f1f1f1" stroked="false">
              <v:path arrowok="t"/>
              <v:fill type="solid"/>
            </v:shape>
            <v:shape style="position:absolute;left:1101;top:1232;width:5094;height:426" coordorigin="1102,1233" coordsize="5094,426" path="m6195,1233l1102,1233,1102,1658,5280,1658,6195,1233xe" filled="true" fillcolor="#daedf3" stroked="false">
              <v:path arrowok="t"/>
              <v:fill type="solid"/>
            </v:shape>
            <v:shape style="position:absolute;left:17;top:1643;width:1102;height:837" coordorigin="17,1643" coordsize="1102,837" path="m1118,1643l17,1643,17,2055,17,2069,17,2480,1118,2480,1118,2069,1118,2055,1118,1643xe" filled="true" fillcolor="#f1f1f1" stroked="false">
              <v:path arrowok="t"/>
              <v:fill type="solid"/>
            </v:shape>
            <v:shape style="position:absolute;left:1101;top:2054;width:3326;height:425" coordorigin="1102,2055" coordsize="3326,425" path="m4427,2055l1102,2055,1102,2480,3514,2480,4427,2055xe" filled="true" fillcolor="#daedf3" stroked="false">
              <v:path arrowok="t"/>
              <v:fill type="solid"/>
            </v:shape>
            <v:shape style="position:absolute;left:17;top:2465;width:1102;height:837" coordorigin="17,2466" coordsize="1102,837" path="m1118,2466l17,2466,17,2876,17,2891,17,3302,1118,3302,1118,2891,1118,2876,1118,2466xe" filled="true" fillcolor="#f1f1f1" stroked="false">
              <v:path arrowok="t"/>
              <v:fill type="solid"/>
            </v:shape>
            <v:shape style="position:absolute;left:1101;top:2876;width:1560;height:426" coordorigin="1102,2876" coordsize="1560,426" path="m2661,2876l1102,2876,1102,3302,1746,3302,2661,2876xe" filled="true" fillcolor="#daedf3" stroked="false">
              <v:path arrowok="t"/>
              <v:fill type="solid"/>
            </v:shape>
            <v:shape style="position:absolute;left:17;top:3287;width:1102;height:819" coordorigin="17,3288" coordsize="1102,819" path="m1118,3288l17,3288,17,3699,17,3713,17,4106,863,3713,1118,3594,1118,3288xe" filled="true" fillcolor="#f1f1f1" stroked="false">
              <v:path arrowok="t"/>
              <v:fill type="solid"/>
            </v:shape>
            <v:shape style="position:absolute;left:8;top:3;width:8822;height:4107" coordorigin="8,4" coordsize="8822,4107" path="m8,4l8,4110m1111,425l1111,3598m3941,425l3941,2281m5230,425l5230,1681m6332,425l6332,1169m7434,425l7434,656m17,7l8830,7m17,418l7947,418m17,828l7064,828m1118,1240l6179,1240m17,1651l5296,1651m1118,2061l4413,2061m17,2473l3528,2473m1118,2884l2645,2884m17,3294l1762,3294e" filled="false" stroked="true" strokeweight=".764081pt" strokecolor="#000000">
              <v:path arrowok="t"/>
              <v:stroke dashstyle="solid"/>
            </v:shape>
            <v:shape style="position:absolute;left:2747;top:101;width:3360;height:228" type="#_x0000_t202" filled="false" stroked="false">
              <v:textbox inset="0,0,0,0">
                <w:txbxContent>
                  <w:p>
                    <w:pPr>
                      <w:spacing w:line="22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20"/>
                      </w:rPr>
                      <w:t>Departamento</w:t>
                    </w:r>
                    <w:r>
                      <w:rPr>
                        <w:rFonts w:ascii="Arial"/>
                        <w:b/>
                        <w:spacing w:val="29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48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20"/>
                      </w:rPr>
                      <w:t>El</w:t>
                    </w:r>
                    <w:r>
                      <w:rPr>
                        <w:rFonts w:ascii="Arial"/>
                        <w:b/>
                        <w:spacing w:val="10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20"/>
                      </w:rPr>
                      <w:t>Progreso</w:t>
                    </w:r>
                  </w:p>
                </w:txbxContent>
              </v:textbox>
              <w10:wrap type="none"/>
            </v:shape>
            <v:shape style="position:absolute;left:340;top:519;width:465;height:199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w w:val="115"/>
                        <w:sz w:val="16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1339;top:535;width:234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w w:val="115"/>
                        <w:sz w:val="16"/>
                      </w:rPr>
                      <w:t>Índicadores</w:t>
                    </w:r>
                    <w:r>
                      <w:rPr>
                        <w:rFonts w:ascii="Arial" w:hAnsi="Arial"/>
                        <w:b/>
                        <w:spacing w:val="-1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5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2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5"/>
                        <w:sz w:val="16"/>
                      </w:rPr>
                      <w:t>Cobertura</w:t>
                    </w:r>
                  </w:p>
                </w:txbxContent>
              </v:textbox>
              <w10:wrap type="none"/>
            </v:shape>
            <v:shape style="position:absolute;left:4087;top:535;width:2057;height:181" type="#_x0000_t202" filled="false" stroked="false">
              <v:textbox inset="0,0,0,0">
                <w:txbxContent>
                  <w:p>
                    <w:pPr>
                      <w:tabs>
                        <w:tab w:pos="1320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3"/>
                        <w:w w:val="115"/>
                        <w:sz w:val="16"/>
                      </w:rPr>
                      <w:t>Preprima</w:t>
                    </w:r>
                    <w:r>
                      <w:rPr>
                        <w:rFonts w:ascii="Arial"/>
                        <w:b/>
                        <w:spacing w:val="-32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6"/>
                      </w:rPr>
                      <w:t>ria</w:t>
                      <w:tab/>
                    </w:r>
                    <w:r>
                      <w:rPr>
                        <w:rFonts w:ascii="Arial"/>
                        <w:b/>
                        <w:spacing w:val="-6"/>
                        <w:w w:val="115"/>
                        <w:sz w:val="16"/>
                      </w:rPr>
                      <w:t>Prima</w:t>
                    </w:r>
                    <w:r>
                      <w:rPr>
                        <w:rFonts w:ascii="Arial"/>
                        <w:b/>
                        <w:spacing w:val="-31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5"/>
                        <w:w w:val="115"/>
                        <w:sz w:val="16"/>
                      </w:rPr>
                      <w:t>ria</w:t>
                    </w:r>
                  </w:p>
                </w:txbxContent>
              </v:textbox>
              <w10:wrap type="none"/>
            </v:shape>
            <v:shape style="position:absolute;left:6578;top:535;width:611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6"/>
                        <w:w w:val="115"/>
                        <w:sz w:val="16"/>
                      </w:rPr>
                      <w:t>Bá</w:t>
                    </w:r>
                    <w:r>
                      <w:rPr>
                        <w:rFonts w:ascii="Arial" w:hAnsi="Arial"/>
                        <w:b/>
                        <w:spacing w:val="-32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6"/>
                        <w:w w:val="115"/>
                        <w:sz w:val="16"/>
                      </w:rPr>
                      <w:t>sico</w:t>
                    </w:r>
                  </w:p>
                </w:txbxContent>
              </v:textbox>
              <w10:wrap type="none"/>
            </v:shape>
            <v:shape style="position:absolute;left:1628;top:957;width:1797;height:149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color w:val="1D7CB3"/>
                        <w:spacing w:val="-2"/>
                        <w:w w:val="115"/>
                        <w:sz w:val="13"/>
                      </w:rPr>
                      <w:t>Ta</w:t>
                    </w:r>
                    <w:r>
                      <w:rPr>
                        <w:rFonts w:ascii="Arial"/>
                        <w:b/>
                        <w:color w:val="1D7CB3"/>
                        <w:spacing w:val="-27"/>
                        <w:w w:val="115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2"/>
                        <w:w w:val="115"/>
                        <w:sz w:val="13"/>
                      </w:rPr>
                      <w:t>sa</w:t>
                    </w:r>
                    <w:r>
                      <w:rPr>
                        <w:rFonts w:ascii="Arial"/>
                        <w:b/>
                        <w:color w:val="1D7CB3"/>
                        <w:spacing w:val="18"/>
                        <w:w w:val="115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2"/>
                        <w:w w:val="115"/>
                        <w:sz w:val="13"/>
                      </w:rPr>
                      <w:t>Bruta</w:t>
                    </w:r>
                    <w:r>
                      <w:rPr>
                        <w:rFonts w:ascii="Arial"/>
                        <w:b/>
                        <w:color w:val="1D7CB3"/>
                        <w:spacing w:val="17"/>
                        <w:w w:val="115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2"/>
                        <w:w w:val="115"/>
                        <w:sz w:val="13"/>
                      </w:rPr>
                      <w:t>de</w:t>
                    </w:r>
                    <w:r>
                      <w:rPr>
                        <w:rFonts w:ascii="Arial"/>
                        <w:b/>
                        <w:color w:val="1D7CB3"/>
                        <w:spacing w:val="14"/>
                        <w:w w:val="115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2"/>
                        <w:w w:val="115"/>
                        <w:sz w:val="13"/>
                      </w:rPr>
                      <w:t>Cobertura</w:t>
                    </w:r>
                  </w:p>
                </w:txbxContent>
              </v:textbox>
              <w10:wrap type="none"/>
            </v:shape>
            <v:shape style="position:absolute;left:4289;top:943;width:619;height:149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333333"/>
                        <w:spacing w:val="-1"/>
                        <w:w w:val="120"/>
                        <w:sz w:val="13"/>
                      </w:rPr>
                      <w:t>116,60%</w:t>
                    </w:r>
                  </w:p>
                </w:txbxContent>
              </v:textbox>
              <w10:wrap type="none"/>
            </v:shape>
            <v:shape style="position:absolute;left:5477;top:943;width:618;height:149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333333"/>
                        <w:spacing w:val="-1"/>
                        <w:w w:val="120"/>
                        <w:sz w:val="13"/>
                      </w:rPr>
                      <w:t>112,59%</w:t>
                    </w:r>
                  </w:p>
                </w:txbxContent>
              </v:textbox>
              <w10:wrap type="none"/>
            </v:shape>
            <v:shape style="position:absolute;left:6629;top:943;width:106;height:149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333333"/>
                        <w:w w:val="118"/>
                        <w:sz w:val="13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356;top:1136;width:432;height:199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z w:val="16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1628;top:1369;width:1779;height:149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color w:val="1D7CB3"/>
                        <w:w w:val="110"/>
                        <w:sz w:val="13"/>
                      </w:rPr>
                      <w:t>Ta</w:t>
                    </w:r>
                    <w:r>
                      <w:rPr>
                        <w:rFonts w:ascii="Arial"/>
                        <w:b/>
                        <w:color w:val="1D7CB3"/>
                        <w:spacing w:val="-20"/>
                        <w:w w:val="110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w w:val="110"/>
                        <w:sz w:val="13"/>
                      </w:rPr>
                      <w:t>sa  Neta </w:t>
                    </w:r>
                    <w:r>
                      <w:rPr>
                        <w:rFonts w:ascii="Arial"/>
                        <w:b/>
                        <w:color w:val="1D7CB3"/>
                        <w:spacing w:val="1"/>
                        <w:w w:val="110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w w:val="110"/>
                        <w:sz w:val="13"/>
                      </w:rPr>
                      <w:t>de</w:t>
                    </w:r>
                    <w:r>
                      <w:rPr>
                        <w:rFonts w:ascii="Arial"/>
                        <w:b/>
                        <w:color w:val="1D7CB3"/>
                        <w:spacing w:val="35"/>
                        <w:w w:val="110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w w:val="110"/>
                        <w:sz w:val="13"/>
                      </w:rPr>
                      <w:t>Cobertura</w:t>
                    </w:r>
                  </w:p>
                </w:txbxContent>
              </v:textbox>
              <w10:wrap type="none"/>
            </v:shape>
            <v:shape style="position:absolute;left:4323;top:1353;width:541;height:149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333333"/>
                        <w:w w:val="120"/>
                        <w:sz w:val="13"/>
                      </w:rPr>
                      <w:t>77,36%</w:t>
                    </w:r>
                  </w:p>
                </w:txbxContent>
              </v:textbox>
              <w10:wrap type="none"/>
            </v:shape>
            <v:shape style="position:absolute;left:5527;top:1353;width:319;height:149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333333"/>
                        <w:w w:val="120"/>
                        <w:sz w:val="13"/>
                      </w:rPr>
                      <w:t>97,4</w:t>
                    </w:r>
                  </w:p>
                </w:txbxContent>
              </v:textbox>
              <w10:wrap type="none"/>
            </v:shape>
            <v:shape style="position:absolute;left:1628;top:1780;width:1797;height:149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color w:val="1D7CB3"/>
                        <w:spacing w:val="-2"/>
                        <w:w w:val="115"/>
                        <w:sz w:val="13"/>
                      </w:rPr>
                      <w:t>Ta</w:t>
                    </w:r>
                    <w:r>
                      <w:rPr>
                        <w:rFonts w:ascii="Arial"/>
                        <w:b/>
                        <w:color w:val="1D7CB3"/>
                        <w:spacing w:val="-27"/>
                        <w:w w:val="115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2"/>
                        <w:w w:val="115"/>
                        <w:sz w:val="13"/>
                      </w:rPr>
                      <w:t>sa</w:t>
                    </w:r>
                    <w:r>
                      <w:rPr>
                        <w:rFonts w:ascii="Arial"/>
                        <w:b/>
                        <w:color w:val="1D7CB3"/>
                        <w:spacing w:val="18"/>
                        <w:w w:val="115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2"/>
                        <w:w w:val="115"/>
                        <w:sz w:val="13"/>
                      </w:rPr>
                      <w:t>Bruta</w:t>
                    </w:r>
                    <w:r>
                      <w:rPr>
                        <w:rFonts w:ascii="Arial"/>
                        <w:b/>
                        <w:color w:val="1D7CB3"/>
                        <w:spacing w:val="17"/>
                        <w:w w:val="115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2"/>
                        <w:w w:val="115"/>
                        <w:sz w:val="13"/>
                      </w:rPr>
                      <w:t>de</w:t>
                    </w:r>
                    <w:r>
                      <w:rPr>
                        <w:rFonts w:ascii="Arial"/>
                        <w:b/>
                        <w:color w:val="1D7CB3"/>
                        <w:spacing w:val="14"/>
                        <w:w w:val="115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2"/>
                        <w:w w:val="115"/>
                        <w:sz w:val="13"/>
                      </w:rPr>
                      <w:t>Cobertura</w:t>
                    </w:r>
                  </w:p>
                </w:txbxContent>
              </v:textbox>
              <w10:wrap type="none"/>
            </v:shape>
            <v:shape style="position:absolute;left:4289;top:1765;width:626;height:149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333333"/>
                        <w:w w:val="120"/>
                        <w:sz w:val="13"/>
                      </w:rPr>
                      <w:t>120,47%</w:t>
                    </w:r>
                  </w:p>
                </w:txbxContent>
              </v:textbox>
              <w10:wrap type="none"/>
            </v:shape>
            <v:shape style="position:absolute;left:356;top:1958;width:432;height:199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z w:val="16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1628;top:2190;width:1779;height:561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color w:val="1D7CB3"/>
                        <w:w w:val="110"/>
                        <w:sz w:val="13"/>
                      </w:rPr>
                      <w:t>Ta</w:t>
                    </w:r>
                    <w:r>
                      <w:rPr>
                        <w:rFonts w:ascii="Arial"/>
                        <w:b/>
                        <w:color w:val="1D7CB3"/>
                        <w:spacing w:val="-20"/>
                        <w:w w:val="110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w w:val="110"/>
                        <w:sz w:val="13"/>
                      </w:rPr>
                      <w:t>sa  Neta </w:t>
                    </w:r>
                    <w:r>
                      <w:rPr>
                        <w:rFonts w:ascii="Arial"/>
                        <w:b/>
                        <w:color w:val="1D7CB3"/>
                        <w:spacing w:val="1"/>
                        <w:w w:val="110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w w:val="110"/>
                        <w:sz w:val="13"/>
                      </w:rPr>
                      <w:t>de</w:t>
                    </w:r>
                    <w:r>
                      <w:rPr>
                        <w:rFonts w:ascii="Arial"/>
                        <w:b/>
                        <w:color w:val="1D7CB3"/>
                        <w:spacing w:val="35"/>
                        <w:w w:val="110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w w:val="110"/>
                        <w:sz w:val="13"/>
                      </w:rPr>
                      <w:t>Cobertura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4"/>
                      </w:rPr>
                    </w:pPr>
                  </w:p>
                  <w:p>
                    <w:pPr>
                      <w:spacing w:before="101"/>
                      <w:ind w:left="0" w:right="0" w:firstLine="0"/>
                      <w:jc w:val="lef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color w:val="1D7CB3"/>
                        <w:spacing w:val="-1"/>
                        <w:w w:val="115"/>
                        <w:sz w:val="13"/>
                      </w:rPr>
                      <w:t>Ta</w:t>
                    </w:r>
                    <w:r>
                      <w:rPr>
                        <w:rFonts w:ascii="Arial"/>
                        <w:b/>
                        <w:color w:val="1D7CB3"/>
                        <w:spacing w:val="-27"/>
                        <w:w w:val="115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1"/>
                        <w:w w:val="115"/>
                        <w:sz w:val="13"/>
                      </w:rPr>
                      <w:t>sa</w:t>
                    </w:r>
                    <w:r>
                      <w:rPr>
                        <w:rFonts w:ascii="Arial"/>
                        <w:b/>
                        <w:color w:val="1D7CB3"/>
                        <w:spacing w:val="18"/>
                        <w:w w:val="115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1"/>
                        <w:w w:val="115"/>
                        <w:sz w:val="13"/>
                      </w:rPr>
                      <w:t>Bruta</w:t>
                    </w:r>
                    <w:r>
                      <w:rPr>
                        <w:rFonts w:ascii="Arial"/>
                        <w:b/>
                        <w:color w:val="1D7CB3"/>
                        <w:spacing w:val="17"/>
                        <w:w w:val="115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1"/>
                        <w:w w:val="115"/>
                        <w:sz w:val="13"/>
                      </w:rPr>
                      <w:t>de</w:t>
                    </w:r>
                    <w:r>
                      <w:rPr>
                        <w:rFonts w:ascii="Arial"/>
                        <w:b/>
                        <w:color w:val="1D7CB3"/>
                        <w:spacing w:val="14"/>
                        <w:w w:val="115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1"/>
                        <w:w w:val="115"/>
                        <w:sz w:val="13"/>
                      </w:rPr>
                      <w:t>Cober</w:t>
                    </w:r>
                  </w:p>
                </w:txbxContent>
              </v:textbox>
              <w10:wrap type="none"/>
            </v:shape>
            <v:shape style="position:absolute;left:356;top:2780;width:432;height:199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z w:val="16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1628;top:3013;width:597;height:149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color w:val="1D7CB3"/>
                        <w:spacing w:val="-6"/>
                        <w:w w:val="115"/>
                        <w:sz w:val="13"/>
                      </w:rPr>
                      <w:t>Ta</w:t>
                    </w:r>
                    <w:r>
                      <w:rPr>
                        <w:rFonts w:ascii="Arial"/>
                        <w:b/>
                        <w:color w:val="1D7CB3"/>
                        <w:spacing w:val="-27"/>
                        <w:w w:val="115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5"/>
                        <w:w w:val="115"/>
                        <w:sz w:val="13"/>
                      </w:rPr>
                      <w:t>sa</w:t>
                    </w:r>
                    <w:r>
                      <w:rPr>
                        <w:rFonts w:ascii="Arial"/>
                        <w:b/>
                        <w:color w:val="1D7CB3"/>
                        <w:spacing w:val="18"/>
                        <w:w w:val="115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5"/>
                        <w:w w:val="115"/>
                        <w:sz w:val="13"/>
                      </w:rPr>
                      <w:t>Ne</w:t>
                    </w:r>
                  </w:p>
                </w:txbxContent>
              </v:textbox>
              <w10:wrap type="none"/>
            </v:shape>
            <v:shape style="position:absolute;left:356;top:3602;width:432;height:199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z w:val="16"/>
                      </w:rPr>
                      <w:t>2020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0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2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2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278" w:right="1072"/>
        <w:jc w:val="both"/>
      </w:pPr>
      <w:r>
        <w:rPr/>
        <w:t>La educación preprimaria reporta una alta cobertura durante el periodo 2017‐2020, con una TNE de</w:t>
      </w:r>
      <w:r>
        <w:rPr>
          <w:spacing w:val="1"/>
        </w:rPr>
        <w:t> </w:t>
      </w:r>
      <w:r>
        <w:rPr/>
        <w:t>(77.36%),</w:t>
      </w:r>
      <w:r>
        <w:rPr>
          <w:spacing w:val="-11"/>
        </w:rPr>
        <w:t> </w:t>
      </w:r>
      <w:r>
        <w:rPr/>
        <w:t>(82.04%),</w:t>
      </w:r>
      <w:r>
        <w:rPr>
          <w:spacing w:val="-10"/>
        </w:rPr>
        <w:t> </w:t>
      </w:r>
      <w:r>
        <w:rPr/>
        <w:t>(78.08%)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(73.84%)</w:t>
      </w:r>
      <w:r>
        <w:rPr>
          <w:spacing w:val="-8"/>
        </w:rPr>
        <w:t> </w:t>
      </w:r>
      <w:r>
        <w:rPr/>
        <w:t>respectivamente</w:t>
      </w:r>
      <w:r>
        <w:rPr>
          <w:spacing w:val="-7"/>
        </w:rPr>
        <w:t> </w:t>
      </w:r>
      <w:r>
        <w:rPr/>
        <w:t>durante</w:t>
      </w:r>
      <w:r>
        <w:rPr>
          <w:spacing w:val="-8"/>
        </w:rPr>
        <w:t> </w:t>
      </w:r>
      <w:r>
        <w:rPr/>
        <w:t>los</w:t>
      </w:r>
      <w:r>
        <w:rPr>
          <w:spacing w:val="-10"/>
        </w:rPr>
        <w:t> </w:t>
      </w:r>
      <w:r>
        <w:rPr/>
        <w:t>años</w:t>
      </w:r>
      <w:r>
        <w:rPr>
          <w:spacing w:val="-8"/>
        </w:rPr>
        <w:t> </w:t>
      </w:r>
      <w:r>
        <w:rPr/>
        <w:t>indicados.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consecuencia,</w:t>
      </w:r>
      <w:r>
        <w:rPr>
          <w:spacing w:val="-10"/>
        </w:rPr>
        <w:t> </w:t>
      </w:r>
      <w:r>
        <w:rPr/>
        <w:t>de</w:t>
      </w:r>
      <w:r>
        <w:rPr>
          <w:spacing w:val="-47"/>
        </w:rPr>
        <w:t> </w:t>
      </w:r>
      <w:r>
        <w:rPr/>
        <w:t>cada</w:t>
      </w:r>
      <w:r>
        <w:rPr>
          <w:spacing w:val="-6"/>
        </w:rPr>
        <w:t> </w:t>
      </w:r>
      <w:r>
        <w:rPr/>
        <w:t>10</w:t>
      </w:r>
      <w:r>
        <w:rPr>
          <w:spacing w:val="-5"/>
        </w:rPr>
        <w:t> </w:t>
      </w:r>
      <w:r>
        <w:rPr/>
        <w:t>niños,</w:t>
      </w:r>
      <w:r>
        <w:rPr>
          <w:spacing w:val="-6"/>
        </w:rPr>
        <w:t> </w:t>
      </w:r>
      <w:r>
        <w:rPr/>
        <w:t>7</w:t>
      </w:r>
      <w:r>
        <w:rPr>
          <w:spacing w:val="-5"/>
        </w:rPr>
        <w:t> </w:t>
      </w:r>
      <w:r>
        <w:rPr/>
        <w:t>están</w:t>
      </w:r>
      <w:r>
        <w:rPr>
          <w:spacing w:val="-6"/>
        </w:rPr>
        <w:t> </w:t>
      </w:r>
      <w:r>
        <w:rPr/>
        <w:t>accediendo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este</w:t>
      </w:r>
      <w:r>
        <w:rPr>
          <w:spacing w:val="-5"/>
        </w:rPr>
        <w:t> </w:t>
      </w:r>
      <w:r>
        <w:rPr/>
        <w:t>nivel.</w:t>
      </w:r>
      <w:r>
        <w:rPr>
          <w:spacing w:val="-6"/>
        </w:rPr>
        <w:t> </w:t>
      </w:r>
      <w:r>
        <w:rPr/>
        <w:t>Además,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evidenciar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30.5%</w:t>
      </w:r>
      <w:r>
        <w:rPr>
          <w:spacing w:val="-7"/>
        </w:rPr>
        <w:t> </w:t>
      </w:r>
      <w:r>
        <w:rPr/>
        <w:t>más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respecto</w:t>
      </w:r>
      <w:r>
        <w:rPr>
          <w:spacing w:val="-4"/>
        </w:rPr>
        <w:t> </w:t>
      </w:r>
      <w:r>
        <w:rPr/>
        <w:t>del</w:t>
      </w:r>
      <w:r>
        <w:rPr>
          <w:spacing w:val="-5"/>
        </w:rPr>
        <w:t> </w:t>
      </w:r>
      <w:r>
        <w:rPr/>
        <w:t>TNE</w:t>
      </w:r>
      <w:r>
        <w:rPr>
          <w:spacing w:val="-47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(47%).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4"/>
        <w:jc w:val="both"/>
      </w:pPr>
      <w:r>
        <w:rPr/>
        <w:t>En el nivel primaria se registran mayores valores de cobertura, que van de (97.42%), (98.92%), (100.27%)</w:t>
      </w:r>
      <w:r>
        <w:rPr>
          <w:spacing w:val="-47"/>
        </w:rPr>
        <w:t> </w:t>
      </w:r>
      <w:r>
        <w:rPr/>
        <w:t>y (100.1%), registrando el valor mayor durante el 2019. El valor promedio de la TNE de El Progreso es de</w:t>
      </w:r>
      <w:r>
        <w:rPr>
          <w:spacing w:val="1"/>
        </w:rPr>
        <w:t> </w:t>
      </w:r>
      <w:r>
        <w:rPr/>
        <w:t>un (99%) durante el periodo fue mayor al TNE Nacional (77.5%) del último valor registrado en el 2019. En</w:t>
      </w:r>
      <w:r>
        <w:rPr>
          <w:spacing w:val="-47"/>
        </w:rPr>
        <w:t> </w:t>
      </w:r>
      <w:r>
        <w:rPr/>
        <w:t>otras</w:t>
      </w:r>
      <w:r>
        <w:rPr>
          <w:spacing w:val="-1"/>
        </w:rPr>
        <w:t> </w:t>
      </w:r>
      <w:r>
        <w:rPr/>
        <w:t>palabras, el</w:t>
      </w:r>
      <w:r>
        <w:rPr>
          <w:spacing w:val="-3"/>
        </w:rPr>
        <w:t> </w:t>
      </w:r>
      <w:r>
        <w:rPr/>
        <w:t>100% de</w:t>
      </w:r>
      <w:r>
        <w:rPr>
          <w:spacing w:val="1"/>
        </w:rPr>
        <w:t> </w:t>
      </w:r>
      <w:r>
        <w:rPr/>
        <w:t>los niños</w:t>
      </w:r>
      <w:r>
        <w:rPr>
          <w:spacing w:val="-1"/>
        </w:rPr>
        <w:t> </w:t>
      </w:r>
      <w:r>
        <w:rPr/>
        <w:t>están siendo</w:t>
      </w:r>
      <w:r>
        <w:rPr>
          <w:spacing w:val="1"/>
        </w:rPr>
        <w:t> </w:t>
      </w:r>
      <w:r>
        <w:rPr/>
        <w:t>atendidos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primaria.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ind w:left="278" w:right="1076"/>
        <w:jc w:val="both"/>
      </w:pPr>
      <w:r>
        <w:rPr/>
        <w:t>En educación básica los valores promedio para el período presentan similitudes con los datos nacionales</w:t>
      </w:r>
      <w:r>
        <w:rPr>
          <w:spacing w:val="1"/>
        </w:rPr>
        <w:t> </w:t>
      </w:r>
      <w:r>
        <w:rPr/>
        <w:t>(TNE:45.49%), debido a que reportan valores que van desde (59.78%), (61.12%), (60.25%) y (61.81%),</w:t>
      </w:r>
      <w:r>
        <w:rPr>
          <w:spacing w:val="1"/>
        </w:rPr>
        <w:t> </w:t>
      </w:r>
      <w:r>
        <w:rPr/>
        <w:t>respectivamente para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período</w:t>
      </w:r>
      <w:r>
        <w:rPr>
          <w:spacing w:val="-1"/>
        </w:rPr>
        <w:t> </w:t>
      </w:r>
      <w:r>
        <w:rPr/>
        <w:t>analizado.</w:t>
      </w:r>
      <w:r>
        <w:rPr>
          <w:spacing w:val="-2"/>
        </w:rPr>
        <w:t> </w:t>
      </w:r>
      <w:r>
        <w:rPr/>
        <w:t>Ello</w:t>
      </w:r>
      <w:r>
        <w:rPr>
          <w:spacing w:val="1"/>
        </w:rPr>
        <w:t> </w:t>
      </w:r>
      <w:r>
        <w:rPr/>
        <w:t>quiere</w:t>
      </w:r>
      <w:r>
        <w:rPr>
          <w:spacing w:val="-3"/>
        </w:rPr>
        <w:t> </w:t>
      </w:r>
      <w:r>
        <w:rPr/>
        <w:t>decir que</w:t>
      </w:r>
      <w:r>
        <w:rPr>
          <w:spacing w:val="-3"/>
        </w:rPr>
        <w:t> </w:t>
      </w:r>
      <w:r>
        <w:rPr/>
        <w:t>más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60%</w:t>
      </w:r>
      <w:r>
        <w:rPr>
          <w:spacing w:val="1"/>
        </w:rPr>
        <w:t> </w:t>
      </w:r>
      <w:r>
        <w:rPr/>
        <w:t>asiste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ciclo</w:t>
      </w:r>
      <w:r>
        <w:rPr>
          <w:spacing w:val="-3"/>
        </w:rPr>
        <w:t> </w:t>
      </w:r>
      <w:r>
        <w:rPr/>
        <w:t>básico.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278" w:right="1075"/>
        <w:jc w:val="both"/>
      </w:pPr>
      <w:r>
        <w:rPr/>
        <w:t>Por otro lado, el nivel diversificado, presenta un incremento del 10% de cobertura con respecto del TNE</w:t>
      </w:r>
      <w:r>
        <w:rPr>
          <w:spacing w:val="1"/>
        </w:rPr>
        <w:t> </w:t>
      </w:r>
      <w:r>
        <w:rPr/>
        <w:t>Nacional (24%) ya que posee una tasa promedio del 34%. Estos valores podrían explicarse por una alta</w:t>
      </w:r>
      <w:r>
        <w:rPr>
          <w:spacing w:val="1"/>
        </w:rPr>
        <w:t> </w:t>
      </w:r>
      <w:r>
        <w:rPr/>
        <w:t>deserción</w:t>
      </w:r>
      <w:r>
        <w:rPr>
          <w:spacing w:val="9"/>
        </w:rPr>
        <w:t> </w:t>
      </w:r>
      <w:r>
        <w:rPr/>
        <w:t>escolar</w:t>
      </w:r>
      <w:r>
        <w:rPr>
          <w:spacing w:val="9"/>
        </w:rPr>
        <w:t> </w:t>
      </w:r>
      <w:r>
        <w:rPr/>
        <w:t>de</w:t>
      </w:r>
      <w:r>
        <w:rPr>
          <w:spacing w:val="11"/>
        </w:rPr>
        <w:t> </w:t>
      </w:r>
      <w:r>
        <w:rPr/>
        <w:t>adolescentes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entran</w:t>
      </w:r>
      <w:r>
        <w:rPr>
          <w:spacing w:val="9"/>
        </w:rPr>
        <w:t> </w:t>
      </w:r>
      <w:r>
        <w:rPr/>
        <w:t>prematuramente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vida</w:t>
      </w:r>
      <w:r>
        <w:rPr>
          <w:spacing w:val="10"/>
        </w:rPr>
        <w:t> </w:t>
      </w:r>
      <w:r>
        <w:rPr/>
        <w:t>laboral</w:t>
      </w:r>
      <w:r>
        <w:rPr>
          <w:spacing w:val="9"/>
        </w:rPr>
        <w:t> </w:t>
      </w:r>
      <w:r>
        <w:rPr/>
        <w:t>abandonando</w:t>
      </w:r>
      <w:r>
        <w:rPr>
          <w:spacing w:val="11"/>
        </w:rPr>
        <w:t> </w:t>
      </w:r>
      <w:r>
        <w:rPr/>
        <w:t>su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  <w:r>
        <w:rPr/>
        <w:pict>
          <v:rect style="position:absolute;margin-left:563.880005pt;margin-top:17.076012pt;width:25.44pt;height:1.4399pt;mso-position-horizontal-relative:page;mso-position-vertical-relative:paragraph;z-index:-1544857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140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94304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9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2"/>
        <w:jc w:val="both"/>
      </w:pPr>
      <w:r>
        <w:rPr>
          <w:spacing w:val="-1"/>
        </w:rPr>
        <w:t>educación.</w:t>
      </w:r>
      <w:r>
        <w:rPr>
          <w:spacing w:val="-10"/>
        </w:rPr>
        <w:t> </w:t>
      </w:r>
      <w:r>
        <w:rPr/>
        <w:t>Cabe</w:t>
      </w:r>
      <w:r>
        <w:rPr>
          <w:spacing w:val="-9"/>
        </w:rPr>
        <w:t> </w:t>
      </w:r>
      <w:r>
        <w:rPr/>
        <w:t>aclarar</w:t>
      </w:r>
      <w:r>
        <w:rPr>
          <w:spacing w:val="-12"/>
        </w:rPr>
        <w:t> </w:t>
      </w:r>
      <w:r>
        <w:rPr/>
        <w:t>que</w:t>
      </w:r>
      <w:r>
        <w:rPr>
          <w:spacing w:val="-9"/>
        </w:rPr>
        <w:t> </w:t>
      </w:r>
      <w:r>
        <w:rPr/>
        <w:t>los</w:t>
      </w:r>
      <w:r>
        <w:rPr>
          <w:spacing w:val="-12"/>
        </w:rPr>
        <w:t> </w:t>
      </w:r>
      <w:r>
        <w:rPr/>
        <w:t>motivos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retiro</w:t>
      </w:r>
      <w:r>
        <w:rPr>
          <w:spacing w:val="-11"/>
        </w:rPr>
        <w:t> </w:t>
      </w:r>
      <w:r>
        <w:rPr/>
        <w:t>más</w:t>
      </w:r>
      <w:r>
        <w:rPr>
          <w:spacing w:val="-12"/>
        </w:rPr>
        <w:t> </w:t>
      </w:r>
      <w:r>
        <w:rPr/>
        <w:t>reportados</w:t>
      </w:r>
      <w:r>
        <w:rPr>
          <w:spacing w:val="-9"/>
        </w:rPr>
        <w:t> </w:t>
      </w:r>
      <w:r>
        <w:rPr/>
        <w:t>para</w:t>
      </w:r>
      <w:r>
        <w:rPr>
          <w:spacing w:val="-12"/>
        </w:rPr>
        <w:t> </w:t>
      </w:r>
      <w:r>
        <w:rPr/>
        <w:t>este</w:t>
      </w:r>
      <w:r>
        <w:rPr>
          <w:spacing w:val="-9"/>
        </w:rPr>
        <w:t> </w:t>
      </w:r>
      <w:r>
        <w:rPr/>
        <w:t>departamento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comprenden</w:t>
      </w:r>
      <w:r>
        <w:rPr>
          <w:spacing w:val="-48"/>
        </w:rPr>
        <w:t> </w:t>
      </w:r>
      <w:r>
        <w:rPr/>
        <w:t>desde los siguientes factores: 1. No le interesa. 2. Otros. 3. Retiro por Traslado y 4. Incorporación al</w:t>
      </w:r>
      <w:r>
        <w:rPr>
          <w:spacing w:val="1"/>
        </w:rPr>
        <w:t> </w:t>
      </w:r>
      <w:r>
        <w:rPr/>
        <w:t>mercado</w:t>
      </w:r>
      <w:r>
        <w:rPr>
          <w:spacing w:val="1"/>
        </w:rPr>
        <w:t> </w:t>
      </w:r>
      <w:r>
        <w:rPr/>
        <w:t>laboral.</w:t>
      </w:r>
    </w:p>
    <w:p>
      <w:pPr>
        <w:pStyle w:val="BodyText"/>
        <w:spacing w:before="9"/>
        <w:rPr>
          <w:sz w:val="19"/>
        </w:rPr>
      </w:pPr>
    </w:p>
    <w:p>
      <w:pPr>
        <w:pStyle w:val="Heading3"/>
        <w:numPr>
          <w:ilvl w:val="2"/>
          <w:numId w:val="32"/>
        </w:numPr>
        <w:tabs>
          <w:tab w:pos="998" w:val="left" w:leader="none"/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163" w:id="259"/>
      <w:bookmarkEnd w:id="259"/>
      <w:r>
        <w:rPr>
          <w:b w:val="0"/>
        </w:rPr>
      </w:r>
      <w:bookmarkStart w:name="_bookmark163" w:id="260"/>
      <w:bookmarkEnd w:id="260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Cobertura:</w:t>
      </w:r>
      <w:r>
        <w:rPr>
          <w:spacing w:val="-3"/>
        </w:rPr>
        <w:t> </w:t>
      </w:r>
      <w:r>
        <w:rPr/>
        <w:t>Tasa</w:t>
      </w:r>
      <w:r>
        <w:rPr>
          <w:spacing w:val="-3"/>
        </w:rPr>
        <w:t> </w:t>
      </w:r>
      <w:r>
        <w:rPr/>
        <w:t>Bruta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Déficit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departamento,</w:t>
      </w:r>
      <w:r>
        <w:rPr>
          <w:spacing w:val="-1"/>
        </w:rPr>
        <w:t> </w:t>
      </w:r>
      <w:r>
        <w:rPr/>
        <w:t>sexo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etnia.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ind w:left="278" w:right="1072"/>
        <w:jc w:val="both"/>
      </w:pPr>
      <w:r>
        <w:rPr/>
        <w:t>La población estudiantil por niveles educativos, etnia y sexo durante el período 2017-2021, para el</w:t>
      </w:r>
      <w:r>
        <w:rPr>
          <w:spacing w:val="1"/>
        </w:rPr>
        <w:t> </w:t>
      </w:r>
      <w:r>
        <w:rPr/>
        <w:t>Departamento de El Progreso, según DIPLAN, (2021), la proporción de atención a la población estudiantil</w:t>
      </w:r>
      <w:r>
        <w:rPr>
          <w:spacing w:val="-47"/>
        </w:rPr>
        <w:t> </w:t>
      </w:r>
      <w:r>
        <w:rPr/>
        <w:t>fue como</w:t>
      </w:r>
      <w:r>
        <w:rPr>
          <w:spacing w:val="1"/>
        </w:rPr>
        <w:t> </w:t>
      </w:r>
      <w:r>
        <w:rPr/>
        <w:t>sigue:</w:t>
      </w:r>
    </w:p>
    <w:p>
      <w:pPr>
        <w:pStyle w:val="BodyText"/>
        <w:spacing w:before="12"/>
        <w:rPr>
          <w:sz w:val="21"/>
        </w:rPr>
      </w:pPr>
    </w:p>
    <w:p>
      <w:pPr>
        <w:pStyle w:val="BodyText"/>
        <w:ind w:left="278" w:right="6486"/>
      </w:pPr>
      <w:r>
        <w:rPr/>
        <w:t>Ladinos: 51% de hombres y 48% de mujeres.</w:t>
      </w:r>
      <w:r>
        <w:rPr>
          <w:spacing w:val="-47"/>
        </w:rPr>
        <w:t> </w:t>
      </w:r>
      <w:r>
        <w:rPr/>
        <w:t>Mayas:</w:t>
      </w:r>
      <w:r>
        <w:rPr>
          <w:spacing w:val="-3"/>
        </w:rPr>
        <w:t> </w:t>
      </w:r>
      <w:r>
        <w:rPr/>
        <w:t>0%</w:t>
      </w:r>
      <w:r>
        <w:rPr>
          <w:spacing w:val="1"/>
        </w:rPr>
        <w:t> </w:t>
      </w:r>
      <w:r>
        <w:rPr/>
        <w:t>de hombres y</w:t>
      </w:r>
      <w:r>
        <w:rPr>
          <w:spacing w:val="-2"/>
        </w:rPr>
        <w:t> </w:t>
      </w:r>
      <w:r>
        <w:rPr/>
        <w:t>0%</w:t>
      </w:r>
      <w:r>
        <w:rPr>
          <w:spacing w:val="-2"/>
        </w:rPr>
        <w:t> </w:t>
      </w:r>
      <w:r>
        <w:rPr/>
        <w:t>mujeres.</w:t>
      </w:r>
    </w:p>
    <w:p>
      <w:pPr>
        <w:pStyle w:val="BodyText"/>
      </w:pPr>
    </w:p>
    <w:p>
      <w:pPr>
        <w:pStyle w:val="BodyText"/>
        <w:spacing w:before="1"/>
        <w:ind w:left="278" w:right="1072"/>
        <w:jc w:val="both"/>
      </w:pPr>
      <w:r>
        <w:rPr/>
        <w:t>Contrastando estos resultados con la información del INE, (2018), es posible evidenciar que, si bien es</w:t>
      </w:r>
      <w:r>
        <w:rPr>
          <w:spacing w:val="1"/>
        </w:rPr>
        <w:t> </w:t>
      </w:r>
      <w:r>
        <w:rPr/>
        <w:t>cierto,</w:t>
      </w:r>
      <w:r>
        <w:rPr>
          <w:spacing w:val="-8"/>
        </w:rPr>
        <w:t> </w:t>
      </w:r>
      <w:r>
        <w:rPr/>
        <w:t>si</w:t>
      </w:r>
      <w:r>
        <w:rPr>
          <w:spacing w:val="-8"/>
        </w:rPr>
        <w:t> </w:t>
      </w:r>
      <w:r>
        <w:rPr/>
        <w:t>hay</w:t>
      </w:r>
      <w:r>
        <w:rPr>
          <w:spacing w:val="-7"/>
        </w:rPr>
        <w:t> </w:t>
      </w:r>
      <w:r>
        <w:rPr/>
        <w:t>representatividad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8"/>
        </w:rPr>
        <w:t> </w:t>
      </w:r>
      <w:r>
        <w:rPr/>
        <w:t>etnias</w:t>
      </w:r>
      <w:r>
        <w:rPr>
          <w:spacing w:val="-10"/>
        </w:rPr>
        <w:t> </w:t>
      </w:r>
      <w:r>
        <w:rPr/>
        <w:t>mayoritarias</w:t>
      </w:r>
      <w:r>
        <w:rPr>
          <w:spacing w:val="-8"/>
        </w:rPr>
        <w:t> </w:t>
      </w:r>
      <w:r>
        <w:rPr/>
        <w:t>por</w:t>
      </w:r>
      <w:r>
        <w:rPr>
          <w:spacing w:val="-10"/>
        </w:rPr>
        <w:t> </w:t>
      </w:r>
      <w:r>
        <w:rPr/>
        <w:t>Departamento</w:t>
      </w:r>
      <w:r>
        <w:rPr>
          <w:spacing w:val="-7"/>
        </w:rPr>
        <w:t> </w:t>
      </w:r>
      <w:r>
        <w:rPr/>
        <w:t>(2%</w:t>
      </w:r>
      <w:r>
        <w:rPr>
          <w:spacing w:val="-9"/>
        </w:rPr>
        <w:t> </w:t>
      </w:r>
      <w:r>
        <w:rPr/>
        <w:t>Maya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98%</w:t>
      </w:r>
      <w:r>
        <w:rPr>
          <w:spacing w:val="-10"/>
        </w:rPr>
        <w:t> </w:t>
      </w:r>
      <w:r>
        <w:rPr/>
        <w:t>Ladina),</w:t>
      </w:r>
      <w:r>
        <w:rPr>
          <w:spacing w:val="-8"/>
        </w:rPr>
        <w:t> </w:t>
      </w:r>
      <w:r>
        <w:rPr/>
        <w:t>ésta</w:t>
      </w:r>
      <w:r>
        <w:rPr>
          <w:spacing w:val="-47"/>
        </w:rPr>
        <w:t> </w:t>
      </w: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presenta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6"/>
        </w:rPr>
        <w:t> </w:t>
      </w:r>
      <w:r>
        <w:rPr/>
        <w:t>misma</w:t>
      </w:r>
      <w:r>
        <w:rPr>
          <w:spacing w:val="-5"/>
        </w:rPr>
        <w:t> </w:t>
      </w:r>
      <w:r>
        <w:rPr/>
        <w:t>proporción.</w:t>
      </w:r>
      <w:r>
        <w:rPr>
          <w:spacing w:val="-2"/>
        </w:rPr>
        <w:t> </w:t>
      </w:r>
      <w:r>
        <w:rPr/>
        <w:t>Es</w:t>
      </w:r>
      <w:r>
        <w:rPr>
          <w:spacing w:val="-3"/>
        </w:rPr>
        <w:t> </w:t>
      </w:r>
      <w:r>
        <w:rPr/>
        <w:t>decir,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cantidad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estudiantes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etnia</w:t>
      </w:r>
      <w:r>
        <w:rPr>
          <w:spacing w:val="-1"/>
        </w:rPr>
        <w:t> </w:t>
      </w:r>
      <w:r>
        <w:rPr/>
        <w:t>Maya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/>
        <w:t>poseen</w:t>
      </w:r>
      <w:r>
        <w:rPr>
          <w:spacing w:val="-1"/>
        </w:rPr>
        <w:t> </w:t>
      </w:r>
      <w:r>
        <w:rPr/>
        <w:t>una</w:t>
      </w:r>
      <w:r>
        <w:rPr>
          <w:spacing w:val="-48"/>
        </w:rPr>
        <w:t> </w:t>
      </w:r>
      <w:r>
        <w:rPr/>
        <w:t>representatividad</w:t>
      </w:r>
      <w:r>
        <w:rPr>
          <w:spacing w:val="-4"/>
        </w:rPr>
        <w:t> </w:t>
      </w:r>
      <w:r>
        <w:rPr/>
        <w:t>en el</w:t>
      </w:r>
      <w:r>
        <w:rPr>
          <w:spacing w:val="-2"/>
        </w:rPr>
        <w:t> </w:t>
      </w:r>
      <w:r>
        <w:rPr/>
        <w:t>sistema</w:t>
      </w:r>
      <w:r>
        <w:rPr>
          <w:spacing w:val="-3"/>
        </w:rPr>
        <w:t> </w:t>
      </w:r>
      <w:r>
        <w:rPr/>
        <w:t>educativo</w:t>
      </w:r>
      <w:r>
        <w:rPr>
          <w:spacing w:val="-3"/>
        </w:rPr>
        <w:t> </w:t>
      </w:r>
      <w:r>
        <w:rPr/>
        <w:t>del departamento.</w:t>
      </w:r>
      <w:r>
        <w:rPr>
          <w:spacing w:val="-3"/>
        </w:rPr>
        <w:t> </w:t>
      </w:r>
      <w:r>
        <w:rPr/>
        <w:t>De</w:t>
      </w:r>
      <w:r>
        <w:rPr>
          <w:spacing w:val="3"/>
        </w:rPr>
        <w:t> </w:t>
      </w:r>
      <w:r>
        <w:rPr/>
        <w:t>hecho,</w:t>
      </w:r>
      <w:r>
        <w:rPr>
          <w:spacing w:val="-3"/>
        </w:rPr>
        <w:t> </w:t>
      </w:r>
      <w:r>
        <w:rPr/>
        <w:t>es</w:t>
      </w:r>
      <w:r>
        <w:rPr>
          <w:spacing w:val="1"/>
        </w:rPr>
        <w:t> </w:t>
      </w:r>
      <w:r>
        <w:rPr/>
        <w:t>nula.</w:t>
      </w:r>
    </w:p>
    <w:p>
      <w:pPr>
        <w:pStyle w:val="BodyText"/>
        <w:spacing w:before="1"/>
      </w:pPr>
    </w:p>
    <w:p>
      <w:pPr>
        <w:pStyle w:val="BodyText"/>
        <w:ind w:left="278" w:right="1072"/>
        <w:jc w:val="both"/>
      </w:pPr>
      <w:r>
        <w:rPr/>
        <w:t>A</w:t>
      </w:r>
      <w:r>
        <w:rPr>
          <w:spacing w:val="-7"/>
        </w:rPr>
        <w:t> </w:t>
      </w:r>
      <w:r>
        <w:rPr/>
        <w:t>nivel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sexo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sigue</w:t>
      </w:r>
      <w:r>
        <w:rPr>
          <w:spacing w:val="-5"/>
        </w:rPr>
        <w:t> </w:t>
      </w:r>
      <w:r>
        <w:rPr/>
        <w:t>presentando</w:t>
      </w:r>
      <w:r>
        <w:rPr>
          <w:spacing w:val="-5"/>
        </w:rPr>
        <w:t> </w:t>
      </w:r>
      <w:r>
        <w:rPr/>
        <w:t>una</w:t>
      </w:r>
      <w:r>
        <w:rPr>
          <w:spacing w:val="-7"/>
        </w:rPr>
        <w:t> </w:t>
      </w:r>
      <w:r>
        <w:rPr/>
        <w:t>brecha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atención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dónde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participación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hombre</w:t>
      </w:r>
      <w:r>
        <w:rPr>
          <w:spacing w:val="-7"/>
        </w:rPr>
        <w:t> </w:t>
      </w:r>
      <w:r>
        <w:rPr/>
        <w:t>Ladino</w:t>
      </w:r>
      <w:r>
        <w:rPr>
          <w:spacing w:val="-47"/>
        </w:rPr>
        <w:t> </w:t>
      </w:r>
      <w:r>
        <w:rPr/>
        <w:t>es mayor que el de la mujer ladina; sobre todo considerando que en este departamento el 52% es mujer</w:t>
      </w:r>
      <w:r>
        <w:rPr>
          <w:spacing w:val="1"/>
        </w:rPr>
        <w:t> </w:t>
      </w:r>
      <w:r>
        <w:rPr/>
        <w:t>y el 48% es hombre. Es decir, durante el período evaluado la cobertura educativa para la mujer Maya y</w:t>
      </w:r>
      <w:r>
        <w:rPr>
          <w:spacing w:val="1"/>
        </w:rPr>
        <w:t> </w:t>
      </w:r>
      <w:r>
        <w:rPr/>
        <w:t>Ladina,</w:t>
      </w:r>
      <w:r>
        <w:rPr>
          <w:spacing w:val="-1"/>
        </w:rPr>
        <w:t> </w:t>
      </w:r>
      <w:r>
        <w:rPr/>
        <w:t>presenta una brecha de género.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rect style="position:absolute;margin-left:563.880005pt;margin-top:16.471695pt;width:25.44pt;height:1.4399pt;mso-position-horizontal-relative:page;mso-position-vertical-relative:paragraph;z-index:-1544704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141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95840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9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1"/>
          <w:numId w:val="32"/>
        </w:numPr>
        <w:tabs>
          <w:tab w:pos="854" w:val="left" w:leader="none"/>
          <w:tab w:pos="855" w:val="left" w:leader="none"/>
        </w:tabs>
        <w:spacing w:line="240" w:lineRule="auto" w:before="52" w:after="0"/>
        <w:ind w:left="854" w:right="0" w:hanging="577"/>
        <w:jc w:val="left"/>
      </w:pPr>
      <w:bookmarkStart w:name="_bookmark164" w:id="261"/>
      <w:bookmarkEnd w:id="261"/>
      <w:r>
        <w:rPr>
          <w:b w:val="0"/>
        </w:rPr>
      </w:r>
      <w:bookmarkStart w:name="_bookmark164" w:id="262"/>
      <w:bookmarkEnd w:id="262"/>
      <w:r>
        <w:rPr>
          <w:color w:val="1F4E79"/>
        </w:rPr>
        <w:t>Es</w:t>
      </w:r>
      <w:r>
        <w:rPr>
          <w:color w:val="1F4E79"/>
        </w:rPr>
        <w:t>cuintla</w:t>
      </w:r>
    </w:p>
    <w:p>
      <w:pPr>
        <w:pStyle w:val="BodyText"/>
        <w:rPr>
          <w:b/>
          <w:sz w:val="24"/>
        </w:rPr>
      </w:pPr>
    </w:p>
    <w:p>
      <w:pPr>
        <w:pStyle w:val="Heading3"/>
        <w:numPr>
          <w:ilvl w:val="2"/>
          <w:numId w:val="32"/>
        </w:numPr>
        <w:tabs>
          <w:tab w:pos="998" w:val="left" w:leader="none"/>
          <w:tab w:pos="999" w:val="left" w:leader="none"/>
        </w:tabs>
        <w:spacing w:line="240" w:lineRule="auto" w:before="187" w:after="0"/>
        <w:ind w:left="998" w:right="0" w:hanging="721"/>
        <w:jc w:val="left"/>
      </w:pPr>
      <w:bookmarkStart w:name="_bookmark165" w:id="263"/>
      <w:bookmarkEnd w:id="263"/>
      <w:r>
        <w:rPr>
          <w:b w:val="0"/>
        </w:rPr>
      </w:r>
      <w:bookmarkStart w:name="_bookmark165" w:id="264"/>
      <w:bookmarkEnd w:id="264"/>
      <w:r>
        <w:rPr/>
        <w:t>Inf</w:t>
      </w:r>
      <w:r>
        <w:rPr/>
        <w:t>ormación</w:t>
      </w:r>
      <w:r>
        <w:rPr>
          <w:spacing w:val="-8"/>
        </w:rPr>
        <w:t> </w:t>
      </w:r>
      <w:r>
        <w:rPr/>
        <w:t>General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1"/>
        <w:jc w:val="both"/>
      </w:pPr>
      <w:r>
        <w:rPr/>
        <w:t>Escuintla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aporta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productividad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país,</w:t>
      </w:r>
      <w:r>
        <w:rPr>
          <w:spacing w:val="1"/>
        </w:rPr>
        <w:t> </w:t>
      </w:r>
      <w:r>
        <w:rPr/>
        <w:t>generando</w:t>
      </w:r>
      <w:r>
        <w:rPr>
          <w:spacing w:val="1"/>
        </w:rPr>
        <w:t> </w:t>
      </w:r>
      <w:r>
        <w:rPr/>
        <w:t>aproximadamente el 80% del Producto Interno Bruto de Guatemala. El efecto de ello, genera grandes</w:t>
      </w:r>
      <w:r>
        <w:rPr>
          <w:spacing w:val="1"/>
        </w:rPr>
        <w:t> </w:t>
      </w:r>
      <w:r>
        <w:rPr/>
        <w:t>oportunidades de empleo estacional sobre todo para adolescentes y jóvenes, mediante la migración</w:t>
      </w:r>
      <w:r>
        <w:rPr>
          <w:spacing w:val="1"/>
        </w:rPr>
        <w:t> </w:t>
      </w:r>
      <w:r>
        <w:rPr/>
        <w:t>temporal. De lo anterior, resulta que se genera una fuerte migración dentro de la zona obedeciendo</w:t>
      </w:r>
      <w:r>
        <w:rPr>
          <w:spacing w:val="1"/>
        </w:rPr>
        <w:t> </w:t>
      </w:r>
      <w:r>
        <w:rPr/>
        <w:t>fundamentalmente a una de las principales actividades agrícolas (cultivo de caña de azúcar). Durante la</w:t>
      </w:r>
      <w:r>
        <w:rPr>
          <w:spacing w:val="1"/>
        </w:rPr>
        <w:t> </w:t>
      </w:r>
      <w:r>
        <w:rPr/>
        <w:t>temporada de corte (noviembre a mayo) y recolección (zafra), existe este fenómeno de movilización</w:t>
      </w:r>
      <w:r>
        <w:rPr>
          <w:spacing w:val="1"/>
        </w:rPr>
        <w:t> </w:t>
      </w:r>
      <w:r>
        <w:rPr/>
        <w:t>interna, principalmente en los grupos o sectores sociales en extrema pobreza, incluyendo población</w:t>
      </w:r>
      <w:r>
        <w:rPr>
          <w:spacing w:val="1"/>
        </w:rPr>
        <w:t> </w:t>
      </w:r>
      <w:r>
        <w:rPr/>
        <w:t>proveniente de</w:t>
      </w:r>
      <w:r>
        <w:rPr>
          <w:spacing w:val="-2"/>
        </w:rPr>
        <w:t> </w:t>
      </w:r>
      <w:r>
        <w:rPr/>
        <w:t>otras</w:t>
      </w:r>
      <w:r>
        <w:rPr>
          <w:spacing w:val="-1"/>
        </w:rPr>
        <w:t> </w:t>
      </w:r>
      <w:r>
        <w:rPr/>
        <w:t>zonas</w:t>
      </w:r>
      <w:r>
        <w:rPr>
          <w:spacing w:val="-3"/>
        </w:rPr>
        <w:t> </w:t>
      </w:r>
      <w:r>
        <w:rPr/>
        <w:t>del altiplano</w:t>
      </w:r>
      <w:r>
        <w:rPr>
          <w:spacing w:val="-3"/>
        </w:rPr>
        <w:t> </w:t>
      </w:r>
      <w:r>
        <w:rPr/>
        <w:t>occidental,</w:t>
      </w:r>
      <w:r>
        <w:rPr>
          <w:spacing w:val="-3"/>
        </w:rPr>
        <w:t> </w:t>
      </w:r>
      <w:r>
        <w:rPr/>
        <w:t>mayoritariamente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región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Verapaces.</w:t>
      </w:r>
    </w:p>
    <w:p>
      <w:pPr>
        <w:pStyle w:val="BodyText"/>
      </w:pPr>
    </w:p>
    <w:p>
      <w:pPr>
        <w:pStyle w:val="BodyText"/>
        <w:ind w:left="278" w:right="1075"/>
        <w:jc w:val="both"/>
      </w:pPr>
      <w:r>
        <w:rPr/>
        <w:t>Cabe destacar que De acuerdo con BANGUAT (2021), Guatemala exporta el 70% de la producción total,</w:t>
      </w:r>
      <w:r>
        <w:rPr>
          <w:spacing w:val="1"/>
        </w:rPr>
        <w:t> </w:t>
      </w:r>
      <w:r>
        <w:rPr/>
        <w:t>colocándole en</w:t>
      </w:r>
      <w:r>
        <w:rPr>
          <w:spacing w:val="-2"/>
        </w:rPr>
        <w:t> </w:t>
      </w:r>
      <w:r>
        <w:rPr/>
        <w:t>el sexto</w:t>
      </w:r>
      <w:r>
        <w:rPr>
          <w:spacing w:val="1"/>
        </w:rPr>
        <w:t> </w:t>
      </w:r>
      <w:r>
        <w:rPr/>
        <w:t>producto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exportación.</w:t>
      </w:r>
    </w:p>
    <w:p>
      <w:pPr>
        <w:pStyle w:val="BodyText"/>
      </w:pPr>
    </w:p>
    <w:p>
      <w:pPr>
        <w:pStyle w:val="BodyText"/>
        <w:spacing w:before="1"/>
        <w:ind w:left="278" w:right="1068"/>
        <w:jc w:val="both"/>
      </w:pPr>
      <w:r>
        <w:rPr/>
        <w:t>Según el INE (2018), en el departamento de Escuintla hay 733,181 habitantes de los cuales, el 50% son</w:t>
      </w:r>
      <w:r>
        <w:rPr>
          <w:spacing w:val="1"/>
        </w:rPr>
        <w:t> </w:t>
      </w:r>
      <w:r>
        <w:rPr/>
        <w:t>hombres y 50% son mujeres. El departamento es mayoritariamente urbano debido a que el 54% de la</w:t>
      </w:r>
      <w:r>
        <w:rPr>
          <w:spacing w:val="1"/>
        </w:rPr>
        <w:t> </w:t>
      </w:r>
      <w:r>
        <w:rPr/>
        <w:t>población</w:t>
      </w:r>
      <w:r>
        <w:rPr>
          <w:spacing w:val="-4"/>
        </w:rPr>
        <w:t> </w:t>
      </w:r>
      <w:r>
        <w:rPr/>
        <w:t>habita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/>
        <w:t>esta</w:t>
      </w:r>
      <w:r>
        <w:rPr>
          <w:spacing w:val="-2"/>
        </w:rPr>
        <w:t> </w:t>
      </w:r>
      <w:r>
        <w:rPr/>
        <w:t>área,</w:t>
      </w:r>
      <w:r>
        <w:rPr>
          <w:spacing w:val="-2"/>
        </w:rPr>
        <w:t> </w:t>
      </w:r>
      <w:r>
        <w:rPr/>
        <w:t>mientras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46%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ubica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área</w:t>
      </w:r>
      <w:r>
        <w:rPr>
          <w:spacing w:val="-2"/>
        </w:rPr>
        <w:t> </w:t>
      </w:r>
      <w:r>
        <w:rPr/>
        <w:t>rural.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total,</w:t>
      </w:r>
      <w:r>
        <w:rPr>
          <w:spacing w:val="-5"/>
        </w:rPr>
        <w:t> </w:t>
      </w:r>
      <w:r>
        <w:rPr/>
        <w:t>el</w:t>
      </w:r>
      <w:r>
        <w:rPr>
          <w:spacing w:val="-2"/>
        </w:rPr>
        <w:t> </w:t>
      </w:r>
      <w:r>
        <w:rPr/>
        <w:t>94%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identifica</w:t>
      </w:r>
      <w:r>
        <w:rPr>
          <w:spacing w:val="-47"/>
        </w:rPr>
        <w:t> </w:t>
      </w:r>
      <w:r>
        <w:rPr/>
        <w:t>como</w:t>
      </w:r>
      <w:r>
        <w:rPr>
          <w:spacing w:val="-8"/>
        </w:rPr>
        <w:t> </w:t>
      </w:r>
      <w:r>
        <w:rPr/>
        <w:t>ladino</w:t>
      </w:r>
      <w:r>
        <w:rPr>
          <w:spacing w:val="-9"/>
        </w:rPr>
        <w:t> </w:t>
      </w:r>
      <w:r>
        <w:rPr/>
        <w:t>y</w:t>
      </w:r>
      <w:r>
        <w:rPr>
          <w:spacing w:val="-5"/>
        </w:rPr>
        <w:t> </w:t>
      </w:r>
      <w:r>
        <w:rPr/>
        <w:t>solamente</w:t>
      </w:r>
      <w:r>
        <w:rPr>
          <w:spacing w:val="-7"/>
        </w:rPr>
        <w:t> </w:t>
      </w:r>
      <w:r>
        <w:rPr/>
        <w:t>el</w:t>
      </w:r>
      <w:r>
        <w:rPr>
          <w:spacing w:val="-9"/>
        </w:rPr>
        <w:t> </w:t>
      </w:r>
      <w:r>
        <w:rPr/>
        <w:t>5%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8"/>
        </w:rPr>
        <w:t> </w:t>
      </w:r>
      <w:r>
        <w:rPr/>
        <w:t>etnia</w:t>
      </w:r>
      <w:r>
        <w:rPr>
          <w:spacing w:val="-8"/>
        </w:rPr>
        <w:t> </w:t>
      </w:r>
      <w:r>
        <w:rPr/>
        <w:t>Maya.</w:t>
      </w:r>
      <w:r>
        <w:rPr>
          <w:spacing w:val="-7"/>
        </w:rPr>
        <w:t> </w:t>
      </w:r>
      <w:r>
        <w:rPr/>
        <w:t>Sin</w:t>
      </w:r>
      <w:r>
        <w:rPr>
          <w:spacing w:val="-9"/>
        </w:rPr>
        <w:t> </w:t>
      </w:r>
      <w:r>
        <w:rPr/>
        <w:t>embargo,</w:t>
      </w:r>
      <w:r>
        <w:rPr>
          <w:spacing w:val="-8"/>
        </w:rPr>
        <w:t> </w:t>
      </w:r>
      <w:r>
        <w:rPr/>
        <w:t>también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describen</w:t>
      </w:r>
      <w:r>
        <w:rPr>
          <w:spacing w:val="-7"/>
        </w:rPr>
        <w:t> </w:t>
      </w:r>
      <w:r>
        <w:rPr/>
        <w:t>como</w:t>
      </w:r>
      <w:r>
        <w:rPr>
          <w:spacing w:val="-7"/>
        </w:rPr>
        <w:t> </w:t>
      </w:r>
      <w:r>
        <w:rPr/>
        <w:t>pertenecientes</w:t>
      </w:r>
      <w:r>
        <w:rPr>
          <w:spacing w:val="-47"/>
        </w:rPr>
        <w:t> </w:t>
      </w:r>
      <w:r>
        <w:rPr/>
        <w:t>a las siguientes comunidades lingüísticas: 28% Poqoman, 27% K’iche’, Kachikel (21%) y Mam (9%), entre</w:t>
      </w:r>
      <w:r>
        <w:rPr>
          <w:spacing w:val="1"/>
        </w:rPr>
        <w:t> </w:t>
      </w:r>
      <w:r>
        <w:rPr/>
        <w:t>otros.</w:t>
      </w:r>
    </w:p>
    <w:p>
      <w:pPr>
        <w:pStyle w:val="BodyText"/>
        <w:spacing w:before="5"/>
        <w:rPr>
          <w:sz w:val="15"/>
        </w:rPr>
      </w:pPr>
    </w:p>
    <w:p>
      <w:pPr>
        <w:pStyle w:val="Heading3"/>
        <w:numPr>
          <w:ilvl w:val="2"/>
          <w:numId w:val="32"/>
        </w:numPr>
        <w:tabs>
          <w:tab w:pos="998" w:val="left" w:leader="none"/>
          <w:tab w:pos="999" w:val="left" w:leader="none"/>
        </w:tabs>
        <w:spacing w:line="240" w:lineRule="auto" w:before="51" w:after="0"/>
        <w:ind w:left="998" w:right="0" w:hanging="721"/>
        <w:jc w:val="left"/>
      </w:pPr>
      <w:bookmarkStart w:name="_bookmark166" w:id="265"/>
      <w:bookmarkEnd w:id="265"/>
      <w:r>
        <w:rPr>
          <w:b w:val="0"/>
        </w:rPr>
      </w:r>
      <w:bookmarkStart w:name="_bookmark166" w:id="266"/>
      <w:bookmarkEnd w:id="266"/>
      <w:r>
        <w:rPr>
          <w:shd w:fill="FFFFFF" w:color="auto" w:val="clear"/>
        </w:rPr>
        <w:t>Sit</w:t>
      </w:r>
      <w:r>
        <w:rPr>
          <w:shd w:fill="FFFFFF" w:color="auto" w:val="clear"/>
        </w:rPr>
        <w:t>uación</w:t>
      </w:r>
      <w:r>
        <w:rPr>
          <w:spacing w:val="-2"/>
          <w:shd w:fill="FFFFFF" w:color="auto" w:val="clear"/>
        </w:rPr>
        <w:t> </w:t>
      </w:r>
      <w:r>
        <w:rPr>
          <w:shd w:fill="FFFFFF" w:color="auto" w:val="clear"/>
        </w:rPr>
        <w:t>del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Sistema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-6"/>
          <w:shd w:fill="FFFFFF" w:color="auto" w:val="clear"/>
        </w:rPr>
        <w:t> </w:t>
      </w:r>
      <w:r>
        <w:rPr>
          <w:shd w:fill="FFFFFF" w:color="auto" w:val="clear"/>
        </w:rPr>
        <w:t>Educación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Nacional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after="9"/>
        <w:ind w:left="278"/>
        <w:jc w:val="both"/>
      </w:pPr>
      <w:r>
        <w:rPr/>
        <w:t>Tabla</w:t>
      </w:r>
      <w:r>
        <w:rPr>
          <w:spacing w:val="-2"/>
        </w:rPr>
        <w:t> </w:t>
      </w:r>
      <w:r>
        <w:rPr/>
        <w:t>Nº.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estudiantes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Nivel</w:t>
      </w:r>
      <w:r>
        <w:rPr>
          <w:spacing w:val="-2"/>
        </w:rPr>
        <w:t> </w:t>
      </w:r>
      <w:r>
        <w:rPr/>
        <w:t>Educativo para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Escuintla</w:t>
      </w:r>
      <w:r>
        <w:rPr>
          <w:spacing w:val="-2"/>
        </w:rPr>
        <w:t> </w:t>
      </w:r>
      <w:r>
        <w:rPr/>
        <w:t>(2017</w:t>
      </w:r>
      <w:r>
        <w:rPr>
          <w:spacing w:val="-2"/>
        </w:rPr>
        <w:t> </w:t>
      </w:r>
      <w:r>
        <w:rPr/>
        <w:t>al 2021)</w:t>
      </w:r>
    </w:p>
    <w:tbl>
      <w:tblPr>
        <w:tblW w:w="0" w:type="auto"/>
        <w:jc w:val="left"/>
        <w:tblInd w:w="3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4"/>
        <w:gridCol w:w="1336"/>
        <w:gridCol w:w="1298"/>
        <w:gridCol w:w="1073"/>
        <w:gridCol w:w="1179"/>
        <w:gridCol w:w="1411"/>
        <w:gridCol w:w="1244"/>
      </w:tblGrid>
      <w:tr>
        <w:trPr>
          <w:trHeight w:val="419" w:hRule="atLeast"/>
        </w:trPr>
        <w:tc>
          <w:tcPr>
            <w:tcW w:w="1274" w:type="dxa"/>
            <w:tcBorders>
              <w:bottom w:val="single" w:sz="8" w:space="0" w:color="8EA9DB"/>
            </w:tcBorders>
            <w:shd w:val="clear" w:color="auto" w:fill="D9E0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41" w:type="dxa"/>
            <w:gridSpan w:val="6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94" w:lineRule="exact"/>
              <w:ind w:right="119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PRIMARIA</w:t>
            </w:r>
            <w:r>
              <w:rPr>
                <w:rFonts w:ascii="Arial"/>
                <w:b/>
                <w:color w:val="FFFFFF"/>
                <w:spacing w:val="1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DE</w:t>
            </w:r>
          </w:p>
          <w:p>
            <w:pPr>
              <w:pStyle w:val="TableParagraph"/>
              <w:tabs>
                <w:tab w:pos="2640" w:val="left" w:leader="none"/>
                <w:tab w:pos="3823" w:val="left" w:leader="none"/>
              </w:tabs>
              <w:spacing w:line="194" w:lineRule="exact" w:before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PREPRIMARIA  </w:t>
            </w:r>
            <w:r>
              <w:rPr>
                <w:rFonts w:ascii="Arial"/>
                <w:b/>
                <w:color w:val="FFFFFF"/>
                <w:spacing w:val="24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PRIMARIA</w:t>
              <w:tab/>
              <w:t>ADULTOS</w:t>
              <w:tab/>
              <w:t>BASICO</w:t>
            </w:r>
            <w:r>
              <w:rPr>
                <w:rFonts w:ascii="Arial"/>
                <w:b/>
                <w:color w:val="FFFFFF"/>
                <w:spacing w:val="56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DIVERSIFICADO</w:t>
            </w:r>
            <w:r>
              <w:rPr>
                <w:rFonts w:ascii="Arial"/>
                <w:b/>
                <w:color w:val="FFFFFF"/>
                <w:spacing w:val="69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Total</w:t>
            </w:r>
            <w:r>
              <w:rPr>
                <w:rFonts w:ascii="Arial"/>
                <w:b/>
                <w:color w:val="FFFFFF"/>
                <w:spacing w:val="6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general</w:t>
            </w:r>
          </w:p>
        </w:tc>
      </w:tr>
      <w:tr>
        <w:trPr>
          <w:trHeight w:val="203" w:hRule="atLeast"/>
        </w:trPr>
        <w:tc>
          <w:tcPr>
            <w:tcW w:w="1274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82" w:lineRule="exact"/>
              <w:ind w:left="43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2017</w:t>
            </w:r>
          </w:p>
        </w:tc>
        <w:tc>
          <w:tcPr>
            <w:tcW w:w="1336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82" w:lineRule="exact"/>
              <w:ind w:right="32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30,512</w:t>
            </w:r>
          </w:p>
        </w:tc>
        <w:tc>
          <w:tcPr>
            <w:tcW w:w="1298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82" w:lineRule="exact"/>
              <w:ind w:left="305" w:right="30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107,376</w:t>
            </w:r>
          </w:p>
        </w:tc>
        <w:tc>
          <w:tcPr>
            <w:tcW w:w="1073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82" w:lineRule="exact"/>
              <w:ind w:left="299" w:right="28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1,109</w:t>
            </w:r>
          </w:p>
        </w:tc>
        <w:tc>
          <w:tcPr>
            <w:tcW w:w="1179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82" w:lineRule="exact"/>
              <w:ind w:left="284" w:right="3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39,900</w:t>
            </w:r>
          </w:p>
        </w:tc>
        <w:tc>
          <w:tcPr>
            <w:tcW w:w="1411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82" w:lineRule="exact"/>
              <w:ind w:left="3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19,544</w:t>
            </w:r>
          </w:p>
        </w:tc>
        <w:tc>
          <w:tcPr>
            <w:tcW w:w="1244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82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198,441</w:t>
            </w:r>
          </w:p>
        </w:tc>
      </w:tr>
      <w:tr>
        <w:trPr>
          <w:trHeight w:val="220" w:hRule="atLeast"/>
        </w:trPr>
        <w:tc>
          <w:tcPr>
            <w:tcW w:w="1274" w:type="dxa"/>
          </w:tcPr>
          <w:p>
            <w:pPr>
              <w:pStyle w:val="TableParagraph"/>
              <w:spacing w:line="195" w:lineRule="exact" w:before="5"/>
              <w:ind w:left="43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2018</w:t>
            </w:r>
          </w:p>
        </w:tc>
        <w:tc>
          <w:tcPr>
            <w:tcW w:w="1336" w:type="dxa"/>
          </w:tcPr>
          <w:p>
            <w:pPr>
              <w:pStyle w:val="TableParagraph"/>
              <w:spacing w:line="195" w:lineRule="exact" w:before="5"/>
              <w:ind w:right="32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32,457</w:t>
            </w:r>
          </w:p>
        </w:tc>
        <w:tc>
          <w:tcPr>
            <w:tcW w:w="1298" w:type="dxa"/>
          </w:tcPr>
          <w:p>
            <w:pPr>
              <w:pStyle w:val="TableParagraph"/>
              <w:spacing w:line="195" w:lineRule="exact" w:before="5"/>
              <w:ind w:left="305" w:right="30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108,080</w:t>
            </w:r>
          </w:p>
        </w:tc>
        <w:tc>
          <w:tcPr>
            <w:tcW w:w="1073" w:type="dxa"/>
          </w:tcPr>
          <w:p>
            <w:pPr>
              <w:pStyle w:val="TableParagraph"/>
              <w:spacing w:line="195" w:lineRule="exact" w:before="5"/>
              <w:ind w:left="299" w:right="28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1,089</w:t>
            </w:r>
          </w:p>
        </w:tc>
        <w:tc>
          <w:tcPr>
            <w:tcW w:w="1179" w:type="dxa"/>
          </w:tcPr>
          <w:p>
            <w:pPr>
              <w:pStyle w:val="TableParagraph"/>
              <w:spacing w:line="195" w:lineRule="exact" w:before="5"/>
              <w:ind w:left="284" w:right="3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40,608</w:t>
            </w:r>
          </w:p>
        </w:tc>
        <w:tc>
          <w:tcPr>
            <w:tcW w:w="1411" w:type="dxa"/>
          </w:tcPr>
          <w:p>
            <w:pPr>
              <w:pStyle w:val="TableParagraph"/>
              <w:spacing w:line="195" w:lineRule="exact" w:before="5"/>
              <w:ind w:left="3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20,508</w:t>
            </w:r>
          </w:p>
        </w:tc>
        <w:tc>
          <w:tcPr>
            <w:tcW w:w="1244" w:type="dxa"/>
          </w:tcPr>
          <w:p>
            <w:pPr>
              <w:pStyle w:val="TableParagraph"/>
              <w:spacing w:line="195" w:lineRule="exact" w:before="5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202,742</w:t>
            </w:r>
          </w:p>
        </w:tc>
      </w:tr>
      <w:tr>
        <w:trPr>
          <w:trHeight w:val="220" w:hRule="atLeast"/>
        </w:trPr>
        <w:tc>
          <w:tcPr>
            <w:tcW w:w="1274" w:type="dxa"/>
          </w:tcPr>
          <w:p>
            <w:pPr>
              <w:pStyle w:val="TableParagraph"/>
              <w:spacing w:line="195" w:lineRule="exact" w:before="5"/>
              <w:ind w:left="43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2019</w:t>
            </w:r>
          </w:p>
        </w:tc>
        <w:tc>
          <w:tcPr>
            <w:tcW w:w="1336" w:type="dxa"/>
          </w:tcPr>
          <w:p>
            <w:pPr>
              <w:pStyle w:val="TableParagraph"/>
              <w:spacing w:line="195" w:lineRule="exact" w:before="5"/>
              <w:ind w:right="32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32,001</w:t>
            </w:r>
          </w:p>
        </w:tc>
        <w:tc>
          <w:tcPr>
            <w:tcW w:w="1298" w:type="dxa"/>
          </w:tcPr>
          <w:p>
            <w:pPr>
              <w:pStyle w:val="TableParagraph"/>
              <w:spacing w:line="195" w:lineRule="exact" w:before="5"/>
              <w:ind w:left="305" w:right="30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107,829</w:t>
            </w:r>
          </w:p>
        </w:tc>
        <w:tc>
          <w:tcPr>
            <w:tcW w:w="1073" w:type="dxa"/>
          </w:tcPr>
          <w:p>
            <w:pPr>
              <w:pStyle w:val="TableParagraph"/>
              <w:spacing w:line="195" w:lineRule="exact" w:before="5"/>
              <w:ind w:left="292" w:right="28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917</w:t>
            </w:r>
          </w:p>
        </w:tc>
        <w:tc>
          <w:tcPr>
            <w:tcW w:w="1179" w:type="dxa"/>
          </w:tcPr>
          <w:p>
            <w:pPr>
              <w:pStyle w:val="TableParagraph"/>
              <w:spacing w:line="195" w:lineRule="exact" w:before="5"/>
              <w:ind w:left="284" w:right="3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40,646</w:t>
            </w:r>
          </w:p>
        </w:tc>
        <w:tc>
          <w:tcPr>
            <w:tcW w:w="1411" w:type="dxa"/>
          </w:tcPr>
          <w:p>
            <w:pPr>
              <w:pStyle w:val="TableParagraph"/>
              <w:spacing w:line="195" w:lineRule="exact" w:before="5"/>
              <w:ind w:left="3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19,751</w:t>
            </w:r>
          </w:p>
        </w:tc>
        <w:tc>
          <w:tcPr>
            <w:tcW w:w="1244" w:type="dxa"/>
          </w:tcPr>
          <w:p>
            <w:pPr>
              <w:pStyle w:val="TableParagraph"/>
              <w:spacing w:line="195" w:lineRule="exact" w:before="5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201,144</w:t>
            </w:r>
          </w:p>
        </w:tc>
      </w:tr>
      <w:tr>
        <w:trPr>
          <w:trHeight w:val="220" w:hRule="atLeast"/>
        </w:trPr>
        <w:tc>
          <w:tcPr>
            <w:tcW w:w="1274" w:type="dxa"/>
          </w:tcPr>
          <w:p>
            <w:pPr>
              <w:pStyle w:val="TableParagraph"/>
              <w:spacing w:line="195" w:lineRule="exact" w:before="5"/>
              <w:ind w:left="43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2020</w:t>
            </w:r>
          </w:p>
        </w:tc>
        <w:tc>
          <w:tcPr>
            <w:tcW w:w="1336" w:type="dxa"/>
          </w:tcPr>
          <w:p>
            <w:pPr>
              <w:pStyle w:val="TableParagraph"/>
              <w:spacing w:line="195" w:lineRule="exact" w:before="5"/>
              <w:ind w:right="32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31,498</w:t>
            </w:r>
          </w:p>
        </w:tc>
        <w:tc>
          <w:tcPr>
            <w:tcW w:w="1298" w:type="dxa"/>
          </w:tcPr>
          <w:p>
            <w:pPr>
              <w:pStyle w:val="TableParagraph"/>
              <w:spacing w:line="195" w:lineRule="exact" w:before="5"/>
              <w:ind w:left="305" w:right="30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107,599</w:t>
            </w:r>
          </w:p>
        </w:tc>
        <w:tc>
          <w:tcPr>
            <w:tcW w:w="1073" w:type="dxa"/>
          </w:tcPr>
          <w:p>
            <w:pPr>
              <w:pStyle w:val="TableParagraph"/>
              <w:spacing w:line="195" w:lineRule="exact" w:before="5"/>
              <w:ind w:left="292" w:right="28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580</w:t>
            </w:r>
          </w:p>
        </w:tc>
        <w:tc>
          <w:tcPr>
            <w:tcW w:w="1179" w:type="dxa"/>
          </w:tcPr>
          <w:p>
            <w:pPr>
              <w:pStyle w:val="TableParagraph"/>
              <w:spacing w:line="195" w:lineRule="exact" w:before="5"/>
              <w:ind w:left="284" w:right="3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40,773</w:t>
            </w:r>
          </w:p>
        </w:tc>
        <w:tc>
          <w:tcPr>
            <w:tcW w:w="1411" w:type="dxa"/>
          </w:tcPr>
          <w:p>
            <w:pPr>
              <w:pStyle w:val="TableParagraph"/>
              <w:spacing w:line="195" w:lineRule="exact" w:before="5"/>
              <w:ind w:left="3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20,183</w:t>
            </w:r>
          </w:p>
        </w:tc>
        <w:tc>
          <w:tcPr>
            <w:tcW w:w="1244" w:type="dxa"/>
          </w:tcPr>
          <w:p>
            <w:pPr>
              <w:pStyle w:val="TableParagraph"/>
              <w:spacing w:line="195" w:lineRule="exact" w:before="5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200,633</w:t>
            </w:r>
          </w:p>
        </w:tc>
      </w:tr>
      <w:tr>
        <w:trPr>
          <w:trHeight w:val="213" w:hRule="atLeast"/>
        </w:trPr>
        <w:tc>
          <w:tcPr>
            <w:tcW w:w="1274" w:type="dxa"/>
          </w:tcPr>
          <w:p>
            <w:pPr>
              <w:pStyle w:val="TableParagraph"/>
              <w:spacing w:line="188" w:lineRule="exact" w:before="5"/>
              <w:ind w:left="43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2021</w:t>
            </w:r>
          </w:p>
        </w:tc>
        <w:tc>
          <w:tcPr>
            <w:tcW w:w="1336" w:type="dxa"/>
          </w:tcPr>
          <w:p>
            <w:pPr>
              <w:pStyle w:val="TableParagraph"/>
              <w:spacing w:line="188" w:lineRule="exact" w:before="5"/>
              <w:ind w:right="32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32,295</w:t>
            </w:r>
          </w:p>
        </w:tc>
        <w:tc>
          <w:tcPr>
            <w:tcW w:w="1298" w:type="dxa"/>
          </w:tcPr>
          <w:p>
            <w:pPr>
              <w:pStyle w:val="TableParagraph"/>
              <w:spacing w:line="188" w:lineRule="exact" w:before="5"/>
              <w:ind w:left="305" w:right="30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109,740</w:t>
            </w:r>
          </w:p>
        </w:tc>
        <w:tc>
          <w:tcPr>
            <w:tcW w:w="1073" w:type="dxa"/>
          </w:tcPr>
          <w:p>
            <w:pPr>
              <w:pStyle w:val="TableParagraph"/>
              <w:spacing w:line="188" w:lineRule="exact" w:before="5"/>
              <w:ind w:left="292" w:right="28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453</w:t>
            </w:r>
          </w:p>
        </w:tc>
        <w:tc>
          <w:tcPr>
            <w:tcW w:w="1179" w:type="dxa"/>
          </w:tcPr>
          <w:p>
            <w:pPr>
              <w:pStyle w:val="TableParagraph"/>
              <w:spacing w:line="188" w:lineRule="exact" w:before="5"/>
              <w:ind w:left="284" w:right="3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38,730</w:t>
            </w:r>
          </w:p>
        </w:tc>
        <w:tc>
          <w:tcPr>
            <w:tcW w:w="1411" w:type="dxa"/>
          </w:tcPr>
          <w:p>
            <w:pPr>
              <w:pStyle w:val="TableParagraph"/>
              <w:spacing w:line="188" w:lineRule="exact" w:before="5"/>
              <w:ind w:left="3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19,286</w:t>
            </w:r>
          </w:p>
        </w:tc>
        <w:tc>
          <w:tcPr>
            <w:tcW w:w="1244" w:type="dxa"/>
          </w:tcPr>
          <w:p>
            <w:pPr>
              <w:pStyle w:val="TableParagraph"/>
              <w:spacing w:line="188" w:lineRule="exact" w:before="5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200,504</w:t>
            </w:r>
          </w:p>
        </w:tc>
      </w:tr>
    </w:tbl>
    <w:tbl>
      <w:tblPr>
        <w:tblW w:w="0" w:type="auto"/>
        <w:jc w:val="left"/>
        <w:tblInd w:w="2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4"/>
        <w:gridCol w:w="1359"/>
        <w:gridCol w:w="1275"/>
        <w:gridCol w:w="1046"/>
        <w:gridCol w:w="1230"/>
        <w:gridCol w:w="1315"/>
        <w:gridCol w:w="1318"/>
      </w:tblGrid>
      <w:tr>
        <w:trPr>
          <w:trHeight w:val="205" w:hRule="atLeast"/>
        </w:trPr>
        <w:tc>
          <w:tcPr>
            <w:tcW w:w="1274" w:type="dxa"/>
            <w:tcBorders>
              <w:top w:val="single" w:sz="8" w:space="0" w:color="8EA9DB"/>
            </w:tcBorders>
            <w:shd w:val="clear" w:color="auto" w:fill="D9E0F1"/>
          </w:tcPr>
          <w:p>
            <w:pPr>
              <w:pStyle w:val="TableParagraph"/>
              <w:spacing w:line="186" w:lineRule="exact"/>
              <w:ind w:left="4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 general</w:t>
            </w:r>
          </w:p>
        </w:tc>
        <w:tc>
          <w:tcPr>
            <w:tcW w:w="1359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86" w:lineRule="exact"/>
              <w:ind w:left="4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158,763</w:t>
            </w:r>
          </w:p>
        </w:tc>
        <w:tc>
          <w:tcPr>
            <w:tcW w:w="1275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86" w:lineRule="exact"/>
              <w:ind w:left="3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540,624</w:t>
            </w:r>
          </w:p>
        </w:tc>
        <w:tc>
          <w:tcPr>
            <w:tcW w:w="1046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86" w:lineRule="exact"/>
              <w:ind w:left="3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4,148</w:t>
            </w:r>
          </w:p>
        </w:tc>
        <w:tc>
          <w:tcPr>
            <w:tcW w:w="1230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86" w:lineRule="exact"/>
              <w:ind w:left="2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200,657</w:t>
            </w:r>
          </w:p>
        </w:tc>
        <w:tc>
          <w:tcPr>
            <w:tcW w:w="1315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86" w:lineRule="exact"/>
              <w:ind w:left="3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99,272</w:t>
            </w:r>
          </w:p>
        </w:tc>
        <w:tc>
          <w:tcPr>
            <w:tcW w:w="1318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86" w:lineRule="exact"/>
              <w:ind w:left="46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1,003,464</w:t>
            </w:r>
          </w:p>
        </w:tc>
      </w:tr>
    </w:tbl>
    <w:p>
      <w:pPr>
        <w:spacing w:before="1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2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2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237" w:lineRule="auto" w:before="1"/>
        <w:ind w:left="278" w:right="1071"/>
        <w:jc w:val="both"/>
      </w:pPr>
      <w:r>
        <w:rPr/>
        <w:t>Ésta presenta el total de estudiantes por Nivel Educativo para el Departamento de Escuintla, durante un</w:t>
      </w:r>
      <w:r>
        <w:rPr>
          <w:spacing w:val="1"/>
        </w:rPr>
        <w:t> </w:t>
      </w:r>
      <w:r>
        <w:rPr/>
        <w:t>intervalo de</w:t>
      </w:r>
      <w:r>
        <w:rPr>
          <w:spacing w:val="-3"/>
        </w:rPr>
        <w:t> </w:t>
      </w:r>
      <w:r>
        <w:rPr/>
        <w:t>5</w:t>
      </w:r>
      <w:r>
        <w:rPr>
          <w:spacing w:val="1"/>
        </w:rPr>
        <w:t> </w:t>
      </w:r>
      <w:r>
        <w:rPr/>
        <w:t>años.</w:t>
      </w:r>
    </w:p>
    <w:p>
      <w:pPr>
        <w:pStyle w:val="BodyText"/>
        <w:spacing w:before="1"/>
      </w:pPr>
    </w:p>
    <w:p>
      <w:pPr>
        <w:pStyle w:val="BodyText"/>
        <w:ind w:left="278" w:right="1072"/>
        <w:jc w:val="both"/>
      </w:pPr>
      <w:r>
        <w:rPr/>
        <w:t>El total de estudiantes atendidos durante este período fue de 1,003,464. El 2017 se tuvo una población</w:t>
      </w:r>
      <w:r>
        <w:rPr>
          <w:spacing w:val="1"/>
        </w:rPr>
        <w:t> </w:t>
      </w:r>
      <w:r>
        <w:rPr/>
        <w:t>estudiantil</w:t>
      </w:r>
      <w:r>
        <w:rPr>
          <w:spacing w:val="-9"/>
        </w:rPr>
        <w:t> </w:t>
      </w:r>
      <w:r>
        <w:rPr/>
        <w:t>total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198,441.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2018,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r>
        <w:rPr/>
        <w:t>presentó</w:t>
      </w:r>
      <w:r>
        <w:rPr>
          <w:spacing w:val="-7"/>
        </w:rPr>
        <w:t> </w:t>
      </w:r>
      <w:r>
        <w:rPr/>
        <w:t>un</w:t>
      </w:r>
      <w:r>
        <w:rPr>
          <w:spacing w:val="-9"/>
        </w:rPr>
        <w:t> </w:t>
      </w:r>
      <w:r>
        <w:rPr/>
        <w:t>leve</w:t>
      </w:r>
      <w:r>
        <w:rPr>
          <w:spacing w:val="-7"/>
        </w:rPr>
        <w:t> </w:t>
      </w:r>
      <w:r>
        <w:rPr/>
        <w:t>aumento</w:t>
      </w:r>
      <w:r>
        <w:rPr>
          <w:spacing w:val="-7"/>
        </w:rPr>
        <w:t> </w:t>
      </w:r>
      <w:r>
        <w:rPr/>
        <w:t>un</w:t>
      </w:r>
      <w:r>
        <w:rPr>
          <w:spacing w:val="-9"/>
        </w:rPr>
        <w:t> </w:t>
      </w:r>
      <w:r>
        <w:rPr/>
        <w:t>2.17%</w:t>
      </w:r>
      <w:r>
        <w:rPr>
          <w:spacing w:val="-7"/>
        </w:rPr>
        <w:t> </w:t>
      </w:r>
      <w:r>
        <w:rPr/>
        <w:t>al</w:t>
      </w:r>
      <w:r>
        <w:rPr>
          <w:spacing w:val="-10"/>
        </w:rPr>
        <w:t> </w:t>
      </w:r>
      <w:r>
        <w:rPr/>
        <w:t>reportar</w:t>
      </w:r>
      <w:r>
        <w:rPr>
          <w:spacing w:val="-10"/>
        </w:rPr>
        <w:t> </w:t>
      </w:r>
      <w:r>
        <w:rPr/>
        <w:t>4,301</w:t>
      </w:r>
      <w:r>
        <w:rPr>
          <w:spacing w:val="-7"/>
        </w:rPr>
        <w:t> </w:t>
      </w:r>
      <w:r>
        <w:rPr/>
        <w:t>alumnos,</w:t>
      </w:r>
      <w:r>
        <w:rPr>
          <w:spacing w:val="-47"/>
        </w:rPr>
        <w:t> </w:t>
      </w:r>
      <w:r>
        <w:rPr/>
        <w:t>más en el Sistema. En el 2019, se redujo a 201,144.</w:t>
      </w:r>
      <w:r>
        <w:rPr>
          <w:spacing w:val="1"/>
        </w:rPr>
        <w:t> </w:t>
      </w:r>
      <w:r>
        <w:rPr/>
        <w:t>No obstante, la pandemia Covid-19 fue una amenaza</w:t>
      </w:r>
      <w:r>
        <w:rPr>
          <w:spacing w:val="-47"/>
        </w:rPr>
        <w:t> </w:t>
      </w:r>
      <w:r>
        <w:rPr/>
        <w:t>sanitaria a nivel mundial la cantidad de estudiantes prácticamente permaneció invariable con 200,633. Y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2021, las</w:t>
      </w:r>
      <w:r>
        <w:rPr>
          <w:spacing w:val="-3"/>
        </w:rPr>
        <w:t> </w:t>
      </w:r>
      <w:r>
        <w:rPr/>
        <w:t>cifras</w:t>
      </w:r>
      <w:r>
        <w:rPr>
          <w:spacing w:val="-2"/>
        </w:rPr>
        <w:t> </w:t>
      </w:r>
      <w:r>
        <w:rPr/>
        <w:t>se</w:t>
      </w:r>
      <w:r>
        <w:rPr>
          <w:spacing w:val="1"/>
        </w:rPr>
        <w:t> </w:t>
      </w:r>
      <w:r>
        <w:rPr/>
        <w:t>redujeron</w:t>
      </w:r>
      <w:r>
        <w:rPr>
          <w:spacing w:val="-1"/>
        </w:rPr>
        <w:t> </w:t>
      </w:r>
      <w:r>
        <w:rPr/>
        <w:t>levemente</w:t>
      </w:r>
      <w:r>
        <w:rPr>
          <w:spacing w:val="1"/>
        </w:rPr>
        <w:t> </w:t>
      </w:r>
      <w:r>
        <w:rPr/>
        <w:t>con</w:t>
      </w:r>
      <w:r>
        <w:rPr>
          <w:spacing w:val="-3"/>
        </w:rPr>
        <w:t> </w:t>
      </w:r>
      <w:r>
        <w:rPr/>
        <w:t>200,504.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  <w:r>
        <w:rPr/>
        <w:pict>
          <v:rect style="position:absolute;margin-left:563.880005pt;margin-top:15.811893pt;width:25.44pt;height:1.4399pt;mso-position-horizontal-relative:page;mso-position-vertical-relative:paragraph;z-index:-1544550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142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9737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9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1"/>
        <w:jc w:val="both"/>
      </w:pPr>
      <w:r>
        <w:rPr/>
        <w:t>Al respecto conviene decir que la Primaria fue la que más incrementó representando el 54% de la</w:t>
      </w:r>
      <w:r>
        <w:rPr>
          <w:spacing w:val="1"/>
        </w:rPr>
        <w:t> </w:t>
      </w:r>
      <w:r>
        <w:rPr/>
        <w:t>población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este</w:t>
      </w:r>
      <w:r>
        <w:rPr>
          <w:spacing w:val="-3"/>
        </w:rPr>
        <w:t> </w:t>
      </w:r>
      <w:r>
        <w:rPr/>
        <w:t>período.</w:t>
      </w:r>
      <w:r>
        <w:rPr>
          <w:spacing w:val="-4"/>
        </w:rPr>
        <w:t> </w:t>
      </w:r>
      <w:r>
        <w:rPr/>
        <w:t>Seguido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ciclo</w:t>
      </w:r>
      <w:r>
        <w:rPr>
          <w:spacing w:val="-5"/>
        </w:rPr>
        <w:t> </w:t>
      </w:r>
      <w:r>
        <w:rPr/>
        <w:t>básico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20%,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luego</w:t>
      </w:r>
      <w:r>
        <w:rPr>
          <w:spacing w:val="-2"/>
        </w:rPr>
        <w:t> </w:t>
      </w:r>
      <w:r>
        <w:rPr/>
        <w:t>por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16%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nivel</w:t>
      </w:r>
      <w:r>
        <w:rPr>
          <w:spacing w:val="-8"/>
        </w:rPr>
        <w:t> </w:t>
      </w:r>
      <w:r>
        <w:rPr/>
        <w:t>Preprimaria.</w:t>
      </w:r>
      <w:r>
        <w:rPr>
          <w:spacing w:val="-47"/>
        </w:rPr>
        <w:t> </w:t>
      </w:r>
      <w:r>
        <w:rPr/>
        <w:t>Ubicando en el penúltimo sitio al diversificado con un 10%. Y finalizando, con la Primaria para Adultos.</w:t>
      </w:r>
      <w:r>
        <w:rPr>
          <w:spacing w:val="1"/>
        </w:rPr>
        <w:t> </w:t>
      </w:r>
      <w:r>
        <w:rPr/>
        <w:t>Cabe destacar, que Escuintla ha sido uno de los departamentos que ha, revertido la tendencia nacional</w:t>
      </w:r>
      <w:r>
        <w:rPr>
          <w:spacing w:val="1"/>
        </w:rPr>
        <w:t> </w:t>
      </w:r>
      <w:r>
        <w:rPr/>
        <w:t>presentando</w:t>
      </w:r>
      <w:r>
        <w:rPr>
          <w:spacing w:val="-3"/>
        </w:rPr>
        <w:t> </w:t>
      </w:r>
      <w:r>
        <w:rPr/>
        <w:t>mayor incorporación</w:t>
      </w:r>
      <w:r>
        <w:rPr>
          <w:spacing w:val="-1"/>
        </w:rPr>
        <w:t> </w:t>
      </w:r>
      <w:r>
        <w:rPr/>
        <w:t>de jóvenes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ciclo básico.</w:t>
      </w:r>
    </w:p>
    <w:p>
      <w:pPr>
        <w:pStyle w:val="BodyText"/>
        <w:spacing w:before="9"/>
        <w:rPr>
          <w:sz w:val="19"/>
        </w:rPr>
      </w:pPr>
    </w:p>
    <w:p>
      <w:pPr>
        <w:pStyle w:val="Heading3"/>
        <w:numPr>
          <w:ilvl w:val="2"/>
          <w:numId w:val="32"/>
        </w:numPr>
        <w:tabs>
          <w:tab w:pos="998" w:val="left" w:leader="none"/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167" w:id="267"/>
      <w:bookmarkEnd w:id="267"/>
      <w:r>
        <w:rPr>
          <w:b w:val="0"/>
        </w:rPr>
      </w:r>
      <w:bookmarkStart w:name="_bookmark167" w:id="268"/>
      <w:bookmarkEnd w:id="268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Cobertura:</w:t>
      </w:r>
      <w:r>
        <w:rPr>
          <w:spacing w:val="-4"/>
        </w:rPr>
        <w:t> </w:t>
      </w:r>
      <w:r>
        <w:rPr/>
        <w:t>Tasa</w:t>
      </w:r>
      <w:r>
        <w:rPr>
          <w:spacing w:val="-3"/>
        </w:rPr>
        <w:t> </w:t>
      </w:r>
      <w:r>
        <w:rPr/>
        <w:t>Neta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Cobertura</w:t>
      </w: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spacing w:line="237" w:lineRule="auto"/>
        <w:ind w:left="278" w:right="1076"/>
        <w:jc w:val="both"/>
      </w:pPr>
      <w:r>
        <w:rPr/>
        <w:t>Tabla</w:t>
      </w:r>
      <w:r>
        <w:rPr>
          <w:spacing w:val="1"/>
        </w:rPr>
        <w:t> </w:t>
      </w:r>
      <w:r>
        <w:rPr/>
        <w:t>Nº.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Cobertura: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Bruta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Académico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47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de Escuintla</w:t>
      </w:r>
    </w:p>
    <w:tbl>
      <w:tblPr>
        <w:tblW w:w="0" w:type="auto"/>
        <w:jc w:val="left"/>
        <w:tblInd w:w="2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2"/>
        <w:gridCol w:w="2804"/>
        <w:gridCol w:w="1328"/>
        <w:gridCol w:w="1091"/>
        <w:gridCol w:w="1092"/>
        <w:gridCol w:w="1424"/>
      </w:tblGrid>
      <w:tr>
        <w:trPr>
          <w:trHeight w:val="368" w:hRule="atLeast"/>
        </w:trPr>
        <w:tc>
          <w:tcPr>
            <w:tcW w:w="8831" w:type="dxa"/>
            <w:gridSpan w:val="6"/>
            <w:tcBorders>
              <w:left w:val="single" w:sz="8" w:space="0" w:color="000000"/>
              <w:right w:val="nil"/>
            </w:tcBorders>
            <w:shd w:val="clear" w:color="auto" w:fill="F1F1F1"/>
          </w:tcPr>
          <w:p>
            <w:pPr>
              <w:pStyle w:val="TableParagraph"/>
              <w:spacing w:before="74"/>
              <w:ind w:left="2872" w:right="288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20"/>
                <w:sz w:val="19"/>
              </w:rPr>
              <w:t>Departamento</w:t>
            </w:r>
            <w:r>
              <w:rPr>
                <w:rFonts w:ascii="Arial"/>
                <w:b/>
                <w:spacing w:val="23"/>
                <w:w w:val="120"/>
                <w:sz w:val="19"/>
              </w:rPr>
              <w:t> </w:t>
            </w:r>
            <w:r>
              <w:rPr>
                <w:rFonts w:ascii="Arial"/>
                <w:b/>
                <w:w w:val="120"/>
                <w:sz w:val="19"/>
              </w:rPr>
              <w:t>de</w:t>
            </w:r>
            <w:r>
              <w:rPr>
                <w:rFonts w:ascii="Arial"/>
                <w:b/>
                <w:spacing w:val="41"/>
                <w:w w:val="120"/>
                <w:sz w:val="19"/>
              </w:rPr>
              <w:t> </w:t>
            </w:r>
            <w:r>
              <w:rPr>
                <w:rFonts w:ascii="Arial"/>
                <w:b/>
                <w:w w:val="120"/>
                <w:sz w:val="19"/>
              </w:rPr>
              <w:t>Esc</w:t>
            </w:r>
            <w:r>
              <w:rPr>
                <w:rFonts w:ascii="Arial"/>
                <w:b/>
                <w:spacing w:val="-40"/>
                <w:w w:val="120"/>
                <w:sz w:val="19"/>
              </w:rPr>
              <w:t> </w:t>
            </w:r>
            <w:r>
              <w:rPr>
                <w:rFonts w:ascii="Arial"/>
                <w:b/>
                <w:w w:val="120"/>
                <w:sz w:val="19"/>
              </w:rPr>
              <w:t>uintla</w:t>
            </w:r>
          </w:p>
        </w:tc>
      </w:tr>
      <w:tr>
        <w:trPr>
          <w:trHeight w:val="368" w:hRule="atLeast"/>
        </w:trPr>
        <w:tc>
          <w:tcPr>
            <w:tcW w:w="109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88"/>
              <w:ind w:left="326"/>
              <w:rPr>
                <w:rFonts w:ascii="Verdana" w:hAnsi="Verdana"/>
                <w:sz w:val="15"/>
              </w:rPr>
            </w:pPr>
            <w:r>
              <w:rPr>
                <w:rFonts w:ascii="Verdana" w:hAnsi="Verdana"/>
                <w:w w:val="120"/>
                <w:sz w:val="15"/>
              </w:rPr>
              <w:t>Años</w:t>
            </w:r>
          </w:p>
        </w:tc>
        <w:tc>
          <w:tcPr>
            <w:tcW w:w="280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98"/>
              <w:ind w:left="230" w:right="262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20"/>
                <w:sz w:val="15"/>
              </w:rPr>
              <w:t>Índicadores</w:t>
            </w:r>
            <w:r>
              <w:rPr>
                <w:rFonts w:ascii="Arial" w:hAnsi="Arial"/>
                <w:b/>
                <w:spacing w:val="1"/>
                <w:w w:val="120"/>
                <w:sz w:val="15"/>
              </w:rPr>
              <w:t> </w:t>
            </w:r>
            <w:r>
              <w:rPr>
                <w:rFonts w:ascii="Arial" w:hAnsi="Arial"/>
                <w:b/>
                <w:w w:val="120"/>
                <w:sz w:val="15"/>
              </w:rPr>
              <w:t>de </w:t>
            </w:r>
            <w:r>
              <w:rPr>
                <w:rFonts w:ascii="Arial" w:hAnsi="Arial"/>
                <w:b/>
                <w:spacing w:val="19"/>
                <w:w w:val="120"/>
                <w:sz w:val="15"/>
              </w:rPr>
              <w:t> </w:t>
            </w:r>
            <w:r>
              <w:rPr>
                <w:rFonts w:ascii="Arial" w:hAnsi="Arial"/>
                <w:b/>
                <w:w w:val="120"/>
                <w:sz w:val="15"/>
              </w:rPr>
              <w:t>Cobertura</w:t>
            </w:r>
          </w:p>
        </w:tc>
        <w:tc>
          <w:tcPr>
            <w:tcW w:w="132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98"/>
              <w:ind w:left="159" w:right="10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20"/>
                <w:sz w:val="15"/>
              </w:rPr>
              <w:t>Preprima</w:t>
            </w:r>
            <w:r>
              <w:rPr>
                <w:rFonts w:ascii="Arial"/>
                <w:b/>
                <w:spacing w:val="-30"/>
                <w:w w:val="120"/>
                <w:sz w:val="15"/>
              </w:rPr>
              <w:t> </w:t>
            </w:r>
            <w:r>
              <w:rPr>
                <w:rFonts w:ascii="Arial"/>
                <w:b/>
                <w:spacing w:val="-1"/>
                <w:w w:val="120"/>
                <w:sz w:val="15"/>
              </w:rPr>
              <w:t>ria</w:t>
            </w:r>
          </w:p>
        </w:tc>
        <w:tc>
          <w:tcPr>
            <w:tcW w:w="10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98"/>
              <w:ind w:right="188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20"/>
                <w:sz w:val="15"/>
              </w:rPr>
              <w:t>Prima</w:t>
            </w:r>
            <w:r>
              <w:rPr>
                <w:rFonts w:ascii="Arial"/>
                <w:b/>
                <w:spacing w:val="-31"/>
                <w:w w:val="120"/>
                <w:sz w:val="15"/>
              </w:rPr>
              <w:t> </w:t>
            </w:r>
            <w:r>
              <w:rPr>
                <w:rFonts w:ascii="Arial"/>
                <w:b/>
                <w:spacing w:val="-4"/>
                <w:w w:val="120"/>
                <w:sz w:val="15"/>
              </w:rPr>
              <w:t>ria</w:t>
            </w:r>
          </w:p>
        </w:tc>
        <w:tc>
          <w:tcPr>
            <w:tcW w:w="109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98"/>
              <w:ind w:left="220" w:right="221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5"/>
                <w:w w:val="120"/>
                <w:sz w:val="15"/>
              </w:rPr>
              <w:t>Bá</w:t>
            </w:r>
            <w:r>
              <w:rPr>
                <w:rFonts w:ascii="Arial" w:hAnsi="Arial"/>
                <w:b/>
                <w:spacing w:val="-31"/>
                <w:w w:val="120"/>
                <w:sz w:val="15"/>
              </w:rPr>
              <w:t> </w:t>
            </w:r>
            <w:r>
              <w:rPr>
                <w:rFonts w:ascii="Arial" w:hAnsi="Arial"/>
                <w:b/>
                <w:spacing w:val="-5"/>
                <w:w w:val="120"/>
                <w:sz w:val="15"/>
              </w:rPr>
              <w:t>sico</w:t>
            </w:r>
          </w:p>
        </w:tc>
        <w:tc>
          <w:tcPr>
            <w:tcW w:w="1424" w:type="dxa"/>
            <w:tcBorders>
              <w:left w:val="single" w:sz="8" w:space="0" w:color="000000"/>
              <w:right w:val="nil"/>
            </w:tcBorders>
            <w:shd w:val="clear" w:color="auto" w:fill="F1F1F1"/>
          </w:tcPr>
          <w:p>
            <w:pPr>
              <w:pStyle w:val="TableParagraph"/>
              <w:spacing w:before="98"/>
              <w:ind w:left="111" w:right="12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"/>
                <w:w w:val="120"/>
                <w:sz w:val="15"/>
              </w:rPr>
              <w:t>Diversifica</w:t>
            </w:r>
            <w:r>
              <w:rPr>
                <w:rFonts w:ascii="Arial"/>
                <w:b/>
                <w:spacing w:val="-29"/>
                <w:w w:val="120"/>
                <w:sz w:val="15"/>
              </w:rPr>
              <w:t> </w:t>
            </w:r>
            <w:r>
              <w:rPr>
                <w:rFonts w:ascii="Arial"/>
                <w:b/>
                <w:w w:val="120"/>
                <w:sz w:val="15"/>
              </w:rPr>
              <w:t>do</w:t>
            </w:r>
          </w:p>
        </w:tc>
      </w:tr>
      <w:tr>
        <w:trPr>
          <w:trHeight w:val="369" w:hRule="atLeast"/>
        </w:trPr>
        <w:tc>
          <w:tcPr>
            <w:tcW w:w="1092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343"/>
              <w:rPr>
                <w:rFonts w:ascii="Verdana"/>
                <w:sz w:val="15"/>
              </w:rPr>
            </w:pPr>
            <w:r>
              <w:rPr>
                <w:rFonts w:ascii="Verdana"/>
                <w:w w:val="110"/>
                <w:sz w:val="15"/>
              </w:rPr>
              <w:t>2017</w:t>
            </w:r>
          </w:p>
        </w:tc>
        <w:tc>
          <w:tcPr>
            <w:tcW w:w="280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230" w:right="23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Ta</w:t>
            </w:r>
            <w:r>
              <w:rPr>
                <w:rFonts w:ascii="Arial"/>
                <w:b/>
                <w:color w:val="1D7CB3"/>
                <w:spacing w:val="-27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sa</w:t>
            </w:r>
            <w:r>
              <w:rPr>
                <w:rFonts w:ascii="Arial"/>
                <w:b/>
                <w:color w:val="1D7CB3"/>
                <w:spacing w:val="16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Bruta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de</w:t>
            </w:r>
            <w:r>
              <w:rPr>
                <w:rFonts w:ascii="Arial"/>
                <w:b/>
                <w:color w:val="1D7CB3"/>
                <w:spacing w:val="12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Cobertura</w:t>
            </w:r>
          </w:p>
        </w:tc>
        <w:tc>
          <w:tcPr>
            <w:tcW w:w="132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0"/>
              <w:ind w:left="134" w:right="106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99,71%</w:t>
            </w:r>
          </w:p>
        </w:tc>
        <w:tc>
          <w:tcPr>
            <w:tcW w:w="109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0"/>
              <w:ind w:right="23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114,68%</w:t>
            </w:r>
          </w:p>
        </w:tc>
        <w:tc>
          <w:tcPr>
            <w:tcW w:w="109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0"/>
              <w:ind w:left="225" w:right="19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83,40%</w:t>
            </w:r>
          </w:p>
        </w:tc>
        <w:tc>
          <w:tcPr>
            <w:tcW w:w="1424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100"/>
              <w:ind w:left="111" w:right="92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38,57%</w:t>
            </w:r>
          </w:p>
        </w:tc>
      </w:tr>
      <w:tr>
        <w:trPr>
          <w:trHeight w:val="368" w:hRule="atLeast"/>
        </w:trPr>
        <w:tc>
          <w:tcPr>
            <w:tcW w:w="109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13"/>
              <w:ind w:left="230" w:right="24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Ta</w:t>
            </w:r>
            <w:r>
              <w:rPr>
                <w:rFonts w:ascii="Arial"/>
                <w:b/>
                <w:color w:val="1D7CB3"/>
                <w:spacing w:val="-26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sa</w:t>
            </w:r>
            <w:r>
              <w:rPr>
                <w:rFonts w:ascii="Arial"/>
                <w:b/>
                <w:color w:val="1D7CB3"/>
                <w:spacing w:val="18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Neta</w:t>
            </w:r>
            <w:r>
              <w:rPr>
                <w:rFonts w:ascii="Arial"/>
                <w:b/>
                <w:color w:val="1D7CB3"/>
                <w:spacing w:val="18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Cobertura</w:t>
            </w:r>
          </w:p>
        </w:tc>
        <w:tc>
          <w:tcPr>
            <w:tcW w:w="132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99"/>
              <w:ind w:left="134" w:right="106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75,28%</w:t>
            </w:r>
          </w:p>
        </w:tc>
        <w:tc>
          <w:tcPr>
            <w:tcW w:w="10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99"/>
              <w:ind w:left="292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97,79%</w:t>
            </w:r>
          </w:p>
        </w:tc>
        <w:tc>
          <w:tcPr>
            <w:tcW w:w="109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99"/>
              <w:ind w:left="225" w:right="19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54,25%</w:t>
            </w:r>
          </w:p>
        </w:tc>
        <w:tc>
          <w:tcPr>
            <w:tcW w:w="1424" w:type="dxa"/>
            <w:tcBorders>
              <w:left w:val="single" w:sz="8" w:space="0" w:color="000000"/>
              <w:right w:val="nil"/>
            </w:tcBorders>
            <w:shd w:val="clear" w:color="auto" w:fill="DAEDF3"/>
          </w:tcPr>
          <w:p>
            <w:pPr>
              <w:pStyle w:val="TableParagraph"/>
              <w:spacing w:before="99"/>
              <w:ind w:left="111" w:right="92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26,18%</w:t>
            </w:r>
          </w:p>
        </w:tc>
      </w:tr>
      <w:tr>
        <w:trPr>
          <w:trHeight w:val="368" w:hRule="atLeast"/>
        </w:trPr>
        <w:tc>
          <w:tcPr>
            <w:tcW w:w="1092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343"/>
              <w:rPr>
                <w:rFonts w:ascii="Verdana"/>
                <w:sz w:val="15"/>
              </w:rPr>
            </w:pPr>
            <w:r>
              <w:rPr>
                <w:rFonts w:ascii="Verdana"/>
                <w:w w:val="110"/>
                <w:sz w:val="15"/>
              </w:rPr>
              <w:t>2018</w:t>
            </w:r>
          </w:p>
        </w:tc>
        <w:tc>
          <w:tcPr>
            <w:tcW w:w="280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230" w:right="23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Ta</w:t>
            </w:r>
            <w:r>
              <w:rPr>
                <w:rFonts w:ascii="Arial"/>
                <w:b/>
                <w:color w:val="1D7CB3"/>
                <w:spacing w:val="-27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sa</w:t>
            </w:r>
            <w:r>
              <w:rPr>
                <w:rFonts w:ascii="Arial"/>
                <w:b/>
                <w:color w:val="1D7CB3"/>
                <w:spacing w:val="16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Bruta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de</w:t>
            </w:r>
            <w:r>
              <w:rPr>
                <w:rFonts w:ascii="Arial"/>
                <w:b/>
                <w:color w:val="1D7CB3"/>
                <w:spacing w:val="12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Cobertura</w:t>
            </w:r>
          </w:p>
        </w:tc>
        <w:tc>
          <w:tcPr>
            <w:tcW w:w="132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0"/>
              <w:ind w:left="118" w:right="106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104,23%</w:t>
            </w:r>
          </w:p>
        </w:tc>
        <w:tc>
          <w:tcPr>
            <w:tcW w:w="109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0"/>
              <w:ind w:right="23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116,01%</w:t>
            </w:r>
          </w:p>
        </w:tc>
        <w:tc>
          <w:tcPr>
            <w:tcW w:w="109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0"/>
              <w:ind w:left="225" w:right="19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86,58%</w:t>
            </w:r>
          </w:p>
        </w:tc>
        <w:tc>
          <w:tcPr>
            <w:tcW w:w="1424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100"/>
              <w:ind w:left="111" w:right="92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40,53%</w:t>
            </w:r>
          </w:p>
        </w:tc>
      </w:tr>
      <w:tr>
        <w:trPr>
          <w:trHeight w:val="369" w:hRule="atLeast"/>
        </w:trPr>
        <w:tc>
          <w:tcPr>
            <w:tcW w:w="109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13"/>
              <w:ind w:left="230" w:right="24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Ta</w:t>
            </w:r>
            <w:r>
              <w:rPr>
                <w:rFonts w:ascii="Arial"/>
                <w:b/>
                <w:color w:val="1D7CB3"/>
                <w:spacing w:val="-26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sa</w:t>
            </w:r>
            <w:r>
              <w:rPr>
                <w:rFonts w:ascii="Arial"/>
                <w:b/>
                <w:color w:val="1D7CB3"/>
                <w:spacing w:val="18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Neta</w:t>
            </w:r>
            <w:r>
              <w:rPr>
                <w:rFonts w:ascii="Arial"/>
                <w:b/>
                <w:color w:val="1D7CB3"/>
                <w:spacing w:val="18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Cobertura</w:t>
            </w:r>
          </w:p>
        </w:tc>
        <w:tc>
          <w:tcPr>
            <w:tcW w:w="132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4"/>
              <w:ind w:left="122" w:right="10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333333"/>
                <w:w w:val="130"/>
                <w:sz w:val="13"/>
              </w:rPr>
              <w:t>78,66%</w:t>
            </w:r>
          </w:p>
        </w:tc>
        <w:tc>
          <w:tcPr>
            <w:tcW w:w="10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0"/>
              <w:ind w:left="292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98,67%</w:t>
            </w:r>
          </w:p>
        </w:tc>
        <w:tc>
          <w:tcPr>
            <w:tcW w:w="109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0"/>
              <w:ind w:left="225" w:right="19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56,31%</w:t>
            </w:r>
          </w:p>
        </w:tc>
        <w:tc>
          <w:tcPr>
            <w:tcW w:w="1424" w:type="dxa"/>
            <w:tcBorders>
              <w:left w:val="single" w:sz="8" w:space="0" w:color="000000"/>
              <w:right w:val="nil"/>
            </w:tcBorders>
            <w:shd w:val="clear" w:color="auto" w:fill="DAEDF3"/>
          </w:tcPr>
          <w:p>
            <w:pPr>
              <w:pStyle w:val="TableParagraph"/>
              <w:spacing w:before="100"/>
              <w:ind w:left="111" w:right="92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27,43%</w:t>
            </w:r>
          </w:p>
        </w:tc>
      </w:tr>
      <w:tr>
        <w:trPr>
          <w:trHeight w:val="368" w:hRule="atLeast"/>
        </w:trPr>
        <w:tc>
          <w:tcPr>
            <w:tcW w:w="1092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343"/>
              <w:rPr>
                <w:rFonts w:ascii="Verdana"/>
                <w:sz w:val="15"/>
              </w:rPr>
            </w:pPr>
            <w:r>
              <w:rPr>
                <w:rFonts w:ascii="Verdana"/>
                <w:w w:val="110"/>
                <w:sz w:val="15"/>
              </w:rPr>
              <w:t>2019</w:t>
            </w:r>
          </w:p>
        </w:tc>
        <w:tc>
          <w:tcPr>
            <w:tcW w:w="280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230" w:right="23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Ta</w:t>
            </w:r>
            <w:r>
              <w:rPr>
                <w:rFonts w:ascii="Arial"/>
                <w:b/>
                <w:color w:val="1D7CB3"/>
                <w:spacing w:val="-27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sa</w:t>
            </w:r>
            <w:r>
              <w:rPr>
                <w:rFonts w:ascii="Arial"/>
                <w:b/>
                <w:color w:val="1D7CB3"/>
                <w:spacing w:val="16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Bruta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de</w:t>
            </w:r>
            <w:r>
              <w:rPr>
                <w:rFonts w:ascii="Arial"/>
                <w:b/>
                <w:color w:val="1D7CB3"/>
                <w:spacing w:val="12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Cobertura</w:t>
            </w:r>
          </w:p>
        </w:tc>
        <w:tc>
          <w:tcPr>
            <w:tcW w:w="132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118" w:right="106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100,45%</w:t>
            </w:r>
          </w:p>
        </w:tc>
        <w:tc>
          <w:tcPr>
            <w:tcW w:w="109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right="23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116,62%</w:t>
            </w:r>
          </w:p>
        </w:tc>
        <w:tc>
          <w:tcPr>
            <w:tcW w:w="109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225" w:right="19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85,90%</w:t>
            </w:r>
          </w:p>
        </w:tc>
        <w:tc>
          <w:tcPr>
            <w:tcW w:w="1424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99"/>
              <w:ind w:left="111" w:right="92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40,14%</w:t>
            </w:r>
          </w:p>
        </w:tc>
      </w:tr>
      <w:tr>
        <w:trPr>
          <w:trHeight w:val="368" w:hRule="atLeast"/>
        </w:trPr>
        <w:tc>
          <w:tcPr>
            <w:tcW w:w="109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13"/>
              <w:ind w:left="230" w:right="24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Ta</w:t>
            </w:r>
            <w:r>
              <w:rPr>
                <w:rFonts w:ascii="Arial"/>
                <w:b/>
                <w:color w:val="1D7CB3"/>
                <w:spacing w:val="-26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sa</w:t>
            </w:r>
            <w:r>
              <w:rPr>
                <w:rFonts w:ascii="Arial"/>
                <w:b/>
                <w:color w:val="1D7CB3"/>
                <w:spacing w:val="18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Neta</w:t>
            </w:r>
            <w:r>
              <w:rPr>
                <w:rFonts w:ascii="Arial"/>
                <w:b/>
                <w:color w:val="1D7CB3"/>
                <w:spacing w:val="18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Cobertura</w:t>
            </w:r>
          </w:p>
        </w:tc>
        <w:tc>
          <w:tcPr>
            <w:tcW w:w="132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0"/>
              <w:ind w:left="134" w:right="106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75,91%</w:t>
            </w:r>
          </w:p>
        </w:tc>
        <w:tc>
          <w:tcPr>
            <w:tcW w:w="10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4"/>
              <w:ind w:right="197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333333"/>
                <w:w w:val="130"/>
                <w:sz w:val="13"/>
              </w:rPr>
              <w:t>100,31%</w:t>
            </w:r>
          </w:p>
        </w:tc>
        <w:tc>
          <w:tcPr>
            <w:tcW w:w="109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0"/>
              <w:ind w:left="225" w:right="19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57,67%</w:t>
            </w:r>
          </w:p>
        </w:tc>
        <w:tc>
          <w:tcPr>
            <w:tcW w:w="1424" w:type="dxa"/>
            <w:tcBorders>
              <w:left w:val="single" w:sz="8" w:space="0" w:color="000000"/>
              <w:right w:val="nil"/>
            </w:tcBorders>
            <w:shd w:val="clear" w:color="auto" w:fill="DAEDF3"/>
          </w:tcPr>
          <w:p>
            <w:pPr>
              <w:pStyle w:val="TableParagraph"/>
              <w:spacing w:before="100"/>
              <w:ind w:left="111" w:right="92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27,46%</w:t>
            </w:r>
          </w:p>
        </w:tc>
      </w:tr>
      <w:tr>
        <w:trPr>
          <w:trHeight w:val="369" w:hRule="atLeast"/>
        </w:trPr>
        <w:tc>
          <w:tcPr>
            <w:tcW w:w="1092" w:type="dxa"/>
            <w:vMerge w:val="restart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343"/>
              <w:rPr>
                <w:rFonts w:ascii="Verdana"/>
                <w:sz w:val="15"/>
              </w:rPr>
            </w:pPr>
            <w:r>
              <w:rPr>
                <w:rFonts w:ascii="Verdana"/>
                <w:w w:val="110"/>
                <w:sz w:val="15"/>
              </w:rPr>
              <w:t>2020</w:t>
            </w:r>
          </w:p>
        </w:tc>
        <w:tc>
          <w:tcPr>
            <w:tcW w:w="280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230" w:right="23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Ta</w:t>
            </w:r>
            <w:r>
              <w:rPr>
                <w:rFonts w:ascii="Arial"/>
                <w:b/>
                <w:color w:val="1D7CB3"/>
                <w:spacing w:val="-27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sa</w:t>
            </w:r>
            <w:r>
              <w:rPr>
                <w:rFonts w:ascii="Arial"/>
                <w:b/>
                <w:color w:val="1D7CB3"/>
                <w:spacing w:val="16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Bruta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de</w:t>
            </w:r>
            <w:r>
              <w:rPr>
                <w:rFonts w:ascii="Arial"/>
                <w:b/>
                <w:color w:val="1D7CB3"/>
                <w:spacing w:val="12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Cobertura</w:t>
            </w:r>
          </w:p>
        </w:tc>
        <w:tc>
          <w:tcPr>
            <w:tcW w:w="132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0"/>
              <w:ind w:left="134" w:right="106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97,74%</w:t>
            </w:r>
          </w:p>
        </w:tc>
        <w:tc>
          <w:tcPr>
            <w:tcW w:w="109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0"/>
              <w:ind w:right="23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116,43%</w:t>
            </w:r>
          </w:p>
        </w:tc>
        <w:tc>
          <w:tcPr>
            <w:tcW w:w="109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0"/>
              <w:ind w:left="225" w:right="19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85,80%</w:t>
            </w:r>
          </w:p>
        </w:tc>
        <w:tc>
          <w:tcPr>
            <w:tcW w:w="1424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100"/>
              <w:ind w:left="111" w:right="92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42,49%</w:t>
            </w:r>
          </w:p>
        </w:tc>
      </w:tr>
      <w:tr>
        <w:trPr>
          <w:trHeight w:val="372" w:hRule="atLeast"/>
        </w:trPr>
        <w:tc>
          <w:tcPr>
            <w:tcW w:w="109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13"/>
              <w:ind w:left="230" w:right="24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Ta</w:t>
            </w:r>
            <w:r>
              <w:rPr>
                <w:rFonts w:ascii="Arial"/>
                <w:b/>
                <w:color w:val="1D7CB3"/>
                <w:spacing w:val="-26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sa</w:t>
            </w:r>
            <w:r>
              <w:rPr>
                <w:rFonts w:ascii="Arial"/>
                <w:b/>
                <w:color w:val="1D7CB3"/>
                <w:spacing w:val="18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Neta</w:t>
            </w:r>
            <w:r>
              <w:rPr>
                <w:rFonts w:ascii="Arial"/>
                <w:b/>
                <w:color w:val="1D7CB3"/>
                <w:spacing w:val="18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Cobertura</w:t>
            </w:r>
          </w:p>
        </w:tc>
        <w:tc>
          <w:tcPr>
            <w:tcW w:w="1328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99"/>
              <w:ind w:left="134" w:right="106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75,72%</w:t>
            </w:r>
          </w:p>
        </w:tc>
        <w:tc>
          <w:tcPr>
            <w:tcW w:w="1091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99"/>
              <w:ind w:right="22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101,06%</w:t>
            </w:r>
          </w:p>
        </w:tc>
        <w:tc>
          <w:tcPr>
            <w:tcW w:w="1092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4"/>
              <w:ind w:left="225" w:right="21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333333"/>
                <w:w w:val="130"/>
                <w:sz w:val="13"/>
              </w:rPr>
              <w:t>58,33%</w:t>
            </w:r>
          </w:p>
        </w:tc>
        <w:tc>
          <w:tcPr>
            <w:tcW w:w="1424" w:type="dxa"/>
            <w:tcBorders>
              <w:left w:val="single" w:sz="8" w:space="0" w:color="000000"/>
              <w:bottom w:val="nil"/>
              <w:right w:val="nil"/>
            </w:tcBorders>
            <w:shd w:val="clear" w:color="auto" w:fill="DAEDF3"/>
          </w:tcPr>
          <w:p>
            <w:pPr>
              <w:pStyle w:val="TableParagraph"/>
              <w:spacing w:before="104"/>
              <w:ind w:left="111" w:right="10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333333"/>
                <w:w w:val="130"/>
                <w:sz w:val="13"/>
              </w:rPr>
              <w:t>28,64%</w:t>
            </w:r>
          </w:p>
        </w:tc>
      </w:tr>
    </w:tbl>
    <w:p>
      <w:pPr>
        <w:spacing w:before="0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2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2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ind w:left="278" w:right="1068"/>
        <w:jc w:val="both"/>
      </w:pPr>
      <w:r>
        <w:rPr/>
        <w:t>Con la intención de conocer las particularidades educativas del Departamento en la tabla anterior se</w:t>
      </w:r>
      <w:r>
        <w:rPr>
          <w:spacing w:val="1"/>
        </w:rPr>
        <w:t> </w:t>
      </w:r>
      <w:r>
        <w:rPr/>
        <w:t>observan las ratios de los indicadores de cobertura neta y Bruta, para los niveles educativos y un plazo de</w:t>
      </w:r>
      <w:r>
        <w:rPr>
          <w:spacing w:val="-47"/>
        </w:rPr>
        <w:t> </w:t>
      </w:r>
      <w:r>
        <w:rPr/>
        <w:t>4 años. Es evidente que la educación preprimaria reporta una alta cobertura durante el periodo 2017‐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TNE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(75.28%),</w:t>
      </w:r>
      <w:r>
        <w:rPr>
          <w:spacing w:val="1"/>
        </w:rPr>
        <w:t> </w:t>
      </w:r>
      <w:r>
        <w:rPr/>
        <w:t>(78.66%),</w:t>
      </w:r>
      <w:r>
        <w:rPr>
          <w:spacing w:val="1"/>
        </w:rPr>
        <w:t> </w:t>
      </w:r>
      <w:r>
        <w:rPr/>
        <w:t>(75.91%)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(75.72%)</w:t>
      </w:r>
      <w:r>
        <w:rPr>
          <w:spacing w:val="1"/>
        </w:rPr>
        <w:t> </w:t>
      </w:r>
      <w:r>
        <w:rPr/>
        <w:t>respectivamente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indicados.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esta</w:t>
      </w:r>
      <w:r>
        <w:rPr>
          <w:spacing w:val="-6"/>
        </w:rPr>
        <w:t> </w:t>
      </w:r>
      <w:r>
        <w:rPr/>
        <w:t>razón,</w:t>
      </w:r>
      <w:r>
        <w:rPr>
          <w:spacing w:val="-4"/>
        </w:rPr>
        <w:t> </w:t>
      </w:r>
      <w:r>
        <w:rPr/>
        <w:t>siete</w:t>
      </w:r>
      <w:r>
        <w:rPr>
          <w:spacing w:val="-5"/>
        </w:rPr>
        <w:t> </w:t>
      </w:r>
      <w:r>
        <w:rPr/>
        <w:t>(7)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cada</w:t>
      </w:r>
      <w:r>
        <w:rPr>
          <w:spacing w:val="-7"/>
        </w:rPr>
        <w:t> </w:t>
      </w:r>
      <w:r>
        <w:rPr/>
        <w:t>10</w:t>
      </w:r>
      <w:r>
        <w:rPr>
          <w:spacing w:val="-4"/>
        </w:rPr>
        <w:t> </w:t>
      </w:r>
      <w:r>
        <w:rPr/>
        <w:t>niños,</w:t>
      </w:r>
      <w:r>
        <w:rPr>
          <w:spacing w:val="-8"/>
        </w:rPr>
        <w:t> </w:t>
      </w:r>
      <w:r>
        <w:rPr/>
        <w:t>están</w:t>
      </w:r>
      <w:r>
        <w:rPr>
          <w:spacing w:val="-5"/>
        </w:rPr>
        <w:t> </w:t>
      </w:r>
      <w:r>
        <w:rPr/>
        <w:t>accediendo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este</w:t>
      </w:r>
      <w:r>
        <w:rPr>
          <w:spacing w:val="-5"/>
        </w:rPr>
        <w:t> </w:t>
      </w:r>
      <w:r>
        <w:rPr/>
        <w:t>nivel.</w:t>
      </w:r>
      <w:r>
        <w:rPr>
          <w:spacing w:val="-5"/>
        </w:rPr>
        <w:t> </w:t>
      </w:r>
      <w:r>
        <w:rPr/>
        <w:t>Además,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evidenciar</w:t>
      </w:r>
      <w:r>
        <w:rPr>
          <w:spacing w:val="-47"/>
        </w:rPr>
        <w:t> </w:t>
      </w:r>
      <w:r>
        <w:rPr/>
        <w:t>un</w:t>
      </w:r>
      <w:r>
        <w:rPr>
          <w:spacing w:val="-2"/>
        </w:rPr>
        <w:t> </w:t>
      </w:r>
      <w:r>
        <w:rPr/>
        <w:t>39%</w:t>
      </w:r>
      <w:r>
        <w:rPr>
          <w:spacing w:val="-4"/>
        </w:rPr>
        <w:t> </w:t>
      </w:r>
      <w:r>
        <w:rPr/>
        <w:t>más con</w:t>
      </w:r>
      <w:r>
        <w:rPr>
          <w:spacing w:val="-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del TNE Nacional (47%).</w:t>
      </w:r>
    </w:p>
    <w:p>
      <w:pPr>
        <w:pStyle w:val="BodyText"/>
        <w:spacing w:before="2"/>
      </w:pPr>
    </w:p>
    <w:p>
      <w:pPr>
        <w:pStyle w:val="BodyText"/>
        <w:ind w:left="278" w:right="1073"/>
        <w:jc w:val="both"/>
      </w:pPr>
      <w:r>
        <w:rPr/>
        <w:t>Las cifras aquí presentadas parecen confirmar que en el nivel primaria se registran mayores valores de</w:t>
      </w:r>
      <w:r>
        <w:rPr>
          <w:spacing w:val="1"/>
        </w:rPr>
        <w:t> </w:t>
      </w:r>
      <w:r>
        <w:rPr/>
        <w:t>cobertura,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van</w:t>
      </w:r>
      <w:r>
        <w:rPr>
          <w:spacing w:val="-8"/>
        </w:rPr>
        <w:t> </w:t>
      </w:r>
      <w:r>
        <w:rPr/>
        <w:t>de</w:t>
      </w:r>
      <w:r>
        <w:rPr>
          <w:spacing w:val="-4"/>
        </w:rPr>
        <w:t> </w:t>
      </w:r>
      <w:r>
        <w:rPr/>
        <w:t>(97.79%),</w:t>
      </w:r>
      <w:r>
        <w:rPr>
          <w:spacing w:val="-6"/>
        </w:rPr>
        <w:t> </w:t>
      </w:r>
      <w:r>
        <w:rPr/>
        <w:t>(96.67%),</w:t>
      </w:r>
      <w:r>
        <w:rPr>
          <w:spacing w:val="-7"/>
        </w:rPr>
        <w:t> </w:t>
      </w:r>
      <w:r>
        <w:rPr/>
        <w:t>(100.31%)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/>
        <w:t>(101.06%)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cada</w:t>
      </w:r>
      <w:r>
        <w:rPr>
          <w:spacing w:val="-4"/>
        </w:rPr>
        <w:t> </w:t>
      </w:r>
      <w:r>
        <w:rPr/>
        <w:t>año</w:t>
      </w:r>
      <w:r>
        <w:rPr>
          <w:spacing w:val="-5"/>
        </w:rPr>
        <w:t> </w:t>
      </w:r>
      <w:r>
        <w:rPr/>
        <w:t>respectivamente.</w:t>
      </w:r>
      <w:r>
        <w:rPr>
          <w:spacing w:val="-4"/>
        </w:rPr>
        <w:t> </w:t>
      </w:r>
      <w:r>
        <w:rPr/>
        <w:t>El</w:t>
      </w:r>
      <w:r>
        <w:rPr>
          <w:spacing w:val="-7"/>
        </w:rPr>
        <w:t> </w:t>
      </w:r>
      <w:r>
        <w:rPr/>
        <w:t>valor</w:t>
      </w:r>
      <w:r>
        <w:rPr>
          <w:spacing w:val="-47"/>
        </w:rPr>
        <w:t> </w:t>
      </w:r>
      <w:r>
        <w:rPr/>
        <w:t>promedio de la TNE de Escuintla es de un (99%) durante el periodo fue mayor al TNE Nacional (77.5%) al</w:t>
      </w:r>
      <w:r>
        <w:rPr>
          <w:spacing w:val="1"/>
        </w:rPr>
        <w:t> </w:t>
      </w:r>
      <w:r>
        <w:rPr/>
        <w:t>último valor registrado en el 2019. En otras palabras, el 100% de los niños están siendo atendidos en</w:t>
      </w:r>
      <w:r>
        <w:rPr>
          <w:spacing w:val="1"/>
        </w:rPr>
        <w:t> </w:t>
      </w:r>
      <w:r>
        <w:rPr/>
        <w:t>primaria.</w:t>
      </w:r>
    </w:p>
    <w:p>
      <w:pPr>
        <w:pStyle w:val="BodyText"/>
        <w:rPr>
          <w:sz w:val="20"/>
        </w:rPr>
      </w:pPr>
    </w:p>
    <w:p>
      <w:pPr>
        <w:pStyle w:val="BodyText"/>
        <w:ind w:left="278" w:right="1073"/>
        <w:jc w:val="both"/>
      </w:pPr>
      <w:r>
        <w:rPr/>
        <w:t>Por lo que se refiere a educación básica, los valores promedio para el período presentan un aumento</w:t>
      </w:r>
      <w:r>
        <w:rPr>
          <w:spacing w:val="1"/>
        </w:rPr>
        <w:t> </w:t>
      </w:r>
      <w:r>
        <w:rPr/>
        <w:t>considerable respecto con los datos nacionales (TNE:45.49%), debido a que reportan valores que van</w:t>
      </w:r>
      <w:r>
        <w:rPr>
          <w:spacing w:val="1"/>
        </w:rPr>
        <w:t> </w:t>
      </w:r>
      <w:r>
        <w:rPr/>
        <w:t>desde (54.25%), (56.31%), (57.67%) y (58.33%), respectivamente para el período analizado. Todo esto</w:t>
      </w:r>
      <w:r>
        <w:rPr>
          <w:spacing w:val="1"/>
        </w:rPr>
        <w:t> </w:t>
      </w:r>
      <w:r>
        <w:rPr/>
        <w:t>parece</w:t>
      </w:r>
      <w:r>
        <w:rPr>
          <w:spacing w:val="-1"/>
        </w:rPr>
        <w:t> </w:t>
      </w:r>
      <w:r>
        <w:rPr/>
        <w:t>confirmar que</w:t>
      </w:r>
      <w:r>
        <w:rPr>
          <w:spacing w:val="-3"/>
        </w:rPr>
        <w:t> </w:t>
      </w:r>
      <w:r>
        <w:rPr/>
        <w:t>más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60%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3"/>
        </w:rPr>
        <w:t> </w:t>
      </w:r>
      <w:r>
        <w:rPr/>
        <w:t>adolescente</w:t>
      </w:r>
      <w:r>
        <w:rPr>
          <w:spacing w:val="-3"/>
        </w:rPr>
        <w:t> </w:t>
      </w:r>
      <w:r>
        <w:rPr/>
        <w:t>de Escuintla</w:t>
      </w:r>
      <w:r>
        <w:rPr>
          <w:spacing w:val="-1"/>
        </w:rPr>
        <w:t> </w:t>
      </w:r>
      <w:r>
        <w:rPr/>
        <w:t>asiste</w:t>
      </w:r>
      <w:r>
        <w:rPr>
          <w:spacing w:val="1"/>
        </w:rPr>
        <w:t> </w:t>
      </w:r>
      <w:r>
        <w:rPr/>
        <w:t>al ciclo básico.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  <w:r>
        <w:rPr/>
        <w:pict>
          <v:rect style="position:absolute;margin-left:563.880005pt;margin-top:18.550360pt;width:25.44pt;height:1.4399pt;mso-position-horizontal-relative:page;mso-position-vertical-relative:paragraph;z-index:-1544396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143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599424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39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0"/>
        <w:jc w:val="both"/>
      </w:pPr>
      <w:r>
        <w:rPr/>
        <w:t>A diferencia de los niveles anteriores, diversificado muestra un incremento del 3,42% de cobertura con</w:t>
      </w:r>
      <w:r>
        <w:rPr>
          <w:spacing w:val="1"/>
        </w:rPr>
        <w:t> </w:t>
      </w:r>
      <w:r>
        <w:rPr/>
        <w:t>respecto del TNE Nacional (24%), debido a que posee una tasa promedio del 27%. La razón de esta</w:t>
      </w:r>
      <w:r>
        <w:rPr>
          <w:spacing w:val="1"/>
        </w:rPr>
        <w:t> </w:t>
      </w:r>
      <w:r>
        <w:rPr/>
        <w:t>reducción de población estudiantil con respecto de los otros niveles se debe a una alta deserción escolar</w:t>
      </w:r>
      <w:r>
        <w:rPr>
          <w:spacing w:val="1"/>
        </w:rPr>
        <w:t> </w:t>
      </w:r>
      <w:r>
        <w:rPr/>
        <w:t>de adolescentes que a la vida laboral abandonando su educación. Cabe aclarar que los motivos de retiro</w:t>
      </w:r>
      <w:r>
        <w:rPr>
          <w:spacing w:val="1"/>
        </w:rPr>
        <w:t> </w:t>
      </w:r>
      <w:r>
        <w:rPr/>
        <w:t>más</w:t>
      </w:r>
      <w:r>
        <w:rPr>
          <w:spacing w:val="4"/>
        </w:rPr>
        <w:t> </w:t>
      </w:r>
      <w:r>
        <w:rPr/>
        <w:t>reportados</w:t>
      </w:r>
      <w:r>
        <w:rPr>
          <w:spacing w:val="4"/>
        </w:rPr>
        <w:t> </w:t>
      </w:r>
      <w:r>
        <w:rPr/>
        <w:t>para</w:t>
      </w:r>
      <w:r>
        <w:rPr>
          <w:spacing w:val="3"/>
        </w:rPr>
        <w:t> </w:t>
      </w:r>
      <w:r>
        <w:rPr/>
        <w:t>este</w:t>
      </w:r>
      <w:r>
        <w:rPr>
          <w:spacing w:val="4"/>
        </w:rPr>
        <w:t> </w:t>
      </w:r>
      <w:r>
        <w:rPr/>
        <w:t>departamento</w:t>
      </w:r>
      <w:r>
        <w:rPr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/>
        <w:t>comprenden</w:t>
      </w:r>
      <w:r>
        <w:rPr>
          <w:spacing w:val="6"/>
        </w:rPr>
        <w:t> </w:t>
      </w:r>
      <w:r>
        <w:rPr/>
        <w:t>desde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siguientes</w:t>
      </w:r>
      <w:r>
        <w:rPr>
          <w:spacing w:val="7"/>
        </w:rPr>
        <w:t> </w:t>
      </w:r>
      <w:r>
        <w:rPr/>
        <w:t>factores:</w:t>
      </w:r>
      <w:r>
        <w:rPr>
          <w:spacing w:val="5"/>
        </w:rPr>
        <w:t> </w:t>
      </w:r>
      <w:r>
        <w:rPr/>
        <w:t>1.</w:t>
      </w:r>
      <w:r>
        <w:rPr>
          <w:spacing w:val="3"/>
        </w:rPr>
        <w:t> </w:t>
      </w:r>
      <w:r>
        <w:rPr/>
        <w:t>No</w:t>
      </w:r>
      <w:r>
        <w:rPr>
          <w:spacing w:val="5"/>
        </w:rPr>
        <w:t> </w:t>
      </w:r>
      <w:r>
        <w:rPr/>
        <w:t>le</w:t>
      </w:r>
      <w:r>
        <w:rPr>
          <w:spacing w:val="6"/>
        </w:rPr>
        <w:t> </w:t>
      </w:r>
      <w:r>
        <w:rPr/>
        <w:t>interesa.</w:t>
      </w:r>
    </w:p>
    <w:p>
      <w:pPr>
        <w:pStyle w:val="BodyText"/>
        <w:spacing w:line="267" w:lineRule="exact"/>
        <w:ind w:left="278"/>
        <w:jc w:val="both"/>
      </w:pPr>
      <w:r>
        <w:rPr/>
        <w:t>2.</w:t>
      </w:r>
      <w:r>
        <w:rPr>
          <w:spacing w:val="-2"/>
        </w:rPr>
        <w:t> </w:t>
      </w:r>
      <w:r>
        <w:rPr/>
        <w:t>Otros.</w:t>
      </w:r>
      <w:r>
        <w:rPr>
          <w:spacing w:val="-3"/>
        </w:rPr>
        <w:t> </w:t>
      </w:r>
      <w:r>
        <w:rPr/>
        <w:t>3.</w:t>
      </w:r>
      <w:r>
        <w:rPr>
          <w:spacing w:val="-2"/>
        </w:rPr>
        <w:t> </w:t>
      </w:r>
      <w:r>
        <w:rPr/>
        <w:t>Retiro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Traslado y</w:t>
      </w:r>
      <w:r>
        <w:rPr>
          <w:spacing w:val="-1"/>
        </w:rPr>
        <w:t> </w:t>
      </w:r>
      <w:r>
        <w:rPr/>
        <w:t>4.</w:t>
      </w:r>
      <w:r>
        <w:rPr>
          <w:spacing w:val="-3"/>
        </w:rPr>
        <w:t> </w:t>
      </w:r>
      <w:r>
        <w:rPr/>
        <w:t>Trabajo.</w:t>
      </w:r>
    </w:p>
    <w:p>
      <w:pPr>
        <w:pStyle w:val="BodyText"/>
        <w:spacing w:before="8"/>
        <w:rPr>
          <w:sz w:val="19"/>
        </w:rPr>
      </w:pPr>
    </w:p>
    <w:p>
      <w:pPr>
        <w:pStyle w:val="Heading3"/>
        <w:numPr>
          <w:ilvl w:val="2"/>
          <w:numId w:val="32"/>
        </w:numPr>
        <w:tabs>
          <w:tab w:pos="999" w:val="left" w:leader="none"/>
        </w:tabs>
        <w:spacing w:line="240" w:lineRule="auto" w:before="0" w:after="0"/>
        <w:ind w:left="998" w:right="0" w:hanging="721"/>
        <w:jc w:val="both"/>
      </w:pPr>
      <w:bookmarkStart w:name="_bookmark168" w:id="269"/>
      <w:bookmarkEnd w:id="269"/>
      <w:r>
        <w:rPr>
          <w:b w:val="0"/>
        </w:rPr>
      </w:r>
      <w:bookmarkStart w:name="_bookmark168" w:id="270"/>
      <w:bookmarkEnd w:id="270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Cobertura:</w:t>
      </w:r>
      <w:r>
        <w:rPr>
          <w:spacing w:val="-3"/>
        </w:rPr>
        <w:t> </w:t>
      </w:r>
      <w:r>
        <w:rPr/>
        <w:t>Tasa</w:t>
      </w:r>
      <w:r>
        <w:rPr>
          <w:spacing w:val="-3"/>
        </w:rPr>
        <w:t> </w:t>
      </w:r>
      <w:r>
        <w:rPr/>
        <w:t>Bruta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Déficit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departamento,</w:t>
      </w:r>
      <w:r>
        <w:rPr>
          <w:spacing w:val="-1"/>
        </w:rPr>
        <w:t> </w:t>
      </w:r>
      <w:r>
        <w:rPr/>
        <w:t>sexo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etnia.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278" w:right="1074"/>
        <w:jc w:val="both"/>
      </w:pPr>
      <w:r>
        <w:rPr/>
        <w:pict>
          <v:group style="position:absolute;margin-left:71.736877pt;margin-top:30.977446pt;width:469.65pt;height:177.6pt;mso-position-horizontal-relative:page;mso-position-vertical-relative:paragraph;z-index:-15442432;mso-wrap-distance-left:0;mso-wrap-distance-right:0" coordorigin="1435,620" coordsize="9393,3552">
            <v:rect style="position:absolute;left:1440;top:625;width:9382;height:3541" filled="true" fillcolor="#ffffff" stroked="false">
              <v:fill type="solid"/>
            </v:rect>
            <v:shape style="position:absolute;left:1906;top:3604;width:1790;height:2" coordorigin="1907,3605" coordsize="1790,0" path="m1907,3605l2358,3605m2523,3605l2554,3605m2809,3605l3696,3605e" filled="false" stroked="true" strokeweight=".542867pt" strokecolor="#888888">
              <v:path arrowok="t"/>
              <v:stroke dashstyle="solid"/>
            </v:shape>
            <v:shape style="position:absolute;left:3862;top:3602;width:4752;height:6" coordorigin="3862,3602" coordsize="4752,6" path="m3862,3608l3891,3608m4147,3608l5230,3608m5486,3608l6584,3608m6839,3608l7922,3608m8177,3608l8614,3608m3862,3602l3891,3602m4147,3602l5230,3602m5486,3602l6584,3602m6839,3602l7922,3602m8177,3602l8614,3602e" filled="false" stroked="true" strokeweight=".271429pt" strokecolor="#888888">
              <v:path arrowok="t"/>
              <v:stroke dashstyle="solid"/>
            </v:shape>
            <v:shape style="position:absolute;left:1906;top:3065;width:6708;height:270" coordorigin="1907,3065" coordsize="6708,270" path="m1907,3335l2554,3335m2809,3335l3891,3335m4147,3335l5230,3335m5486,3335l6584,3335m6839,3335l7922,3335m8072,3335l8614,3335m1907,3065l2554,3065m2809,3065l3891,3065m4147,3065l5230,3065m5486,3065l6584,3065e" filled="false" stroked="true" strokeweight=".542867pt" strokecolor="#888888">
              <v:path arrowok="t"/>
              <v:stroke dashstyle="solid"/>
            </v:shape>
            <v:line style="position:absolute" from="1907,2796" to="2554,2796" stroked="true" strokeweight=".542867pt" strokecolor="#888888">
              <v:stroke dashstyle="solid"/>
            </v:line>
            <v:shape style="position:absolute;left:2808;top:2795;width:5805;height:2" coordorigin="2809,2796" coordsize="5805,0" path="m2809,2796l3891,2796m4147,2796l5230,2796m5486,2796l6584,2796m6734,2796l8614,2796e" filled="false" stroked="true" strokeweight=".542867pt" strokecolor="#888888">
              <v:path arrowok="t"/>
              <v:stroke dashstyle="solid"/>
            </v:shape>
            <v:line style="position:absolute" from="1907,2526" to="2554,2526" stroked="true" strokeweight=".542867pt" strokecolor="#888888">
              <v:stroke dashstyle="solid"/>
            </v:line>
            <v:shape style="position:absolute;left:2718;top:2525;width:5896;height:2" coordorigin="2719,2526" coordsize="5896,0" path="m2719,2526l3891,2526m4057,2526l5230,2526m5486,2526l8614,2526e" filled="false" stroked="true" strokeweight=".542867pt" strokecolor="#888888">
              <v:path arrowok="t"/>
              <v:stroke dashstyle="solid"/>
            </v:shape>
            <v:line style="position:absolute" from="1907,2256" to="2554,2256" stroked="true" strokeweight=".542867pt" strokecolor="#888888">
              <v:stroke dashstyle="solid"/>
            </v:line>
            <v:shape style="position:absolute;left:2718;top:2253;width:2512;height:6" coordorigin="2719,2253" coordsize="2512,6" path="m2719,2258l5230,2258m2719,2253l5230,2253e" filled="false" stroked="true" strokeweight=".271434pt" strokecolor="#888888">
              <v:path arrowok="t"/>
              <v:stroke dashstyle="solid"/>
            </v:shape>
            <v:shape style="position:absolute;left:1906;top:1974;width:6708;height:2" coordorigin="1907,1974" coordsize="6708,0" path="m1907,1974l2554,1974m2719,1974l8614,1974e" filled="false" stroked="true" strokeweight=".542867pt" strokecolor="#888888">
              <v:path arrowok="t"/>
              <v:stroke dashstyle="solid"/>
            </v:shape>
            <v:shape style="position:absolute;left:1906;top:1434;width:6708;height:270" coordorigin="1907,1435" coordsize="6708,270" path="m1907,1705l1907,1705,8614,1705m1907,1435l1907,1435,8614,1435e" filled="false" stroked="true" strokeweight=".634946pt" strokecolor="#888888">
              <v:path arrowok="t"/>
              <v:stroke dashstyle="solid"/>
            </v:shape>
            <v:shape style="position:absolute;left:4748;top:3874;width:1505;height:6" coordorigin="4748,3875" coordsize="1505,6" path="m4914,3875l4748,3875,4748,3880,4914,3880,4914,3875xm6253,3875l6087,3875,6087,3880,6253,3880,6253,3875xe" filled="true" fillcolor="#c46627" stroked="false">
              <v:path arrowok="t"/>
              <v:fill type="solid"/>
            </v:shape>
            <v:shape style="position:absolute;left:3606;top:3874;width:1444;height:6" coordorigin="3606,3875" coordsize="1444,6" path="m3696,3875l3606,3875,3606,3880,3696,3880,3696,3875xm5050,3875l4945,3875,4945,3880,5050,3880,5050,3875xe" filled="true" fillcolor="#d29e00" stroked="false">
              <v:path arrowok="t"/>
              <v:fill type="solid"/>
            </v:shape>
            <v:shape style="position:absolute;left:2357;top:3548;width:5535;height:333" coordorigin="2358,3548" coordsize="5535,333" path="m2523,3548l2358,3548,2358,3880,2523,3880,2523,3548xm3862,3593l3696,3593,3696,3880,3862,3880,3862,3593xm5200,3627l5050,3627,5050,3880,5200,3880,5200,3627xm6538,3605l6389,3605,6389,3880,6538,3880,6538,3605xm7892,3683l7726,3683,7726,3880,7892,3880,7892,3683xe" filled="true" fillcolor="#497eaf" stroked="false">
              <v:path arrowok="t"/>
              <v:fill type="solid"/>
            </v:shape>
            <v:shape style="position:absolute;left:2463;top:3626;width:5459;height:254" coordorigin="2464,3627" coordsize="5459,254" path="m2554,3728l2464,3728,2464,3880,2554,3880,2554,3728xm3891,3683l3801,3683,3801,3880,3891,3880,3891,3683xm5230,3740l5140,3740,5140,3880,5230,3880,5230,3740xm6584,3627l6479,3627,6479,3880,6584,3880,6584,3627xm7922,3694l7816,3694,7816,3880,7922,3880,7922,3694xe" filled="true" fillcolor="#5b8e39" stroked="false">
              <v:path arrowok="t"/>
              <v:fill type="solid"/>
            </v:shape>
            <v:shape style="position:absolute;left:2553;top:1761;width:5519;height:2120" coordorigin="2554,1761" coordsize="5519,2120" path="m2719,1761l2554,1761,2554,3880,2719,3880,2719,1761xm4057,2256l3891,2256,3891,3880,4057,3880,4057,2256xm5396,2199l5230,2199,5230,3880,5396,3880,5396,2199xm6734,2728l6584,2728,6584,3880,6734,3880,6734,2728xm8072,3234l7922,3234,7922,3880,8072,3880,8072,3234xe" filled="true" fillcolor="#4471c4" stroked="false">
              <v:path arrowok="t"/>
              <v:fill type="solid"/>
            </v:shape>
            <v:shape style="position:absolute;left:2644;top:2458;width:5534;height:1423" coordorigin="2644,2458" coordsize="5534,1423" path="m2809,2570l2644,2570,2644,3880,2809,3880,2809,2570xm4147,2762l3997,2762,3997,3880,4147,3880,4147,2762xm5486,2458l5335,2458,5335,3880,5486,3880,5486,2458xm6839,3211l6674,3211,6674,3880,6839,3880,6839,3211xm8177,3447l8012,3447,8012,3880,8177,3880,8177,3447xe" filled="true" fillcolor="#ec7c30" stroked="false">
              <v:path arrowok="t"/>
              <v:fill type="solid"/>
            </v:shape>
            <v:shape style="position:absolute;left:2748;top:3874;width:4181;height:6" coordorigin="2749,3875" coordsize="4181,6" path="m2899,3875l2749,3875,2749,3880,2899,3880,2899,3875xm4252,3875l4088,3875,4088,3880,4252,3880,4252,3875xm5591,3875l5425,3875,5425,3880,5591,3880,5591,3875xm6930,3875l6764,3875,6764,3880,6930,3880,6930,3875xe" filled="true" fillcolor="#a4a4a4" stroked="false">
              <v:path arrowok="t"/>
              <v:fill type="solid"/>
            </v:shape>
            <v:rect style="position:absolute;left:5621;top:3874;width:165;height:6" filled="true" fillcolor="#5b9bd4" stroked="false">
              <v:fill type="solid"/>
            </v:rect>
            <v:shape style="position:absolute;left:1914;top:1434;width:6706;height:2446" coordorigin="1914,1435" coordsize="6706,2446" path="m1914,3880l1914,3880,1914,1435m1914,3880l1914,3880,8620,3880e" filled="false" stroked="true" strokeweight=".634946pt" strokecolor="#888888">
              <v:path arrowok="t"/>
              <v:stroke dashstyle="solid"/>
            </v:shape>
            <v:rect style="position:absolute;left:8894;top:1613;width:66;height:49" filled="true" fillcolor="#375da0" stroked="false">
              <v:fill type="solid"/>
            </v:rect>
            <v:rect style="position:absolute;left:8894;top:1812;width:66;height:50" filled="true" fillcolor="#c46627" stroked="false">
              <v:fill type="solid"/>
            </v:rect>
            <v:rect style="position:absolute;left:8894;top:2011;width:66;height:50" filled="true" fillcolor="#878787" stroked="false">
              <v:fill type="solid"/>
            </v:rect>
            <v:rect style="position:absolute;left:8894;top:2210;width:66;height:50" filled="true" fillcolor="#d29e00" stroked="false">
              <v:fill type="solid"/>
            </v:rect>
            <v:rect style="position:absolute;left:8894;top:2409;width:66;height:50" filled="true" fillcolor="#497eaf" stroked="false">
              <v:fill type="solid"/>
            </v:rect>
            <v:rect style="position:absolute;left:8894;top:2608;width:66;height:50" filled="true" fillcolor="#5b8e39" stroked="false">
              <v:fill type="solid"/>
            </v:rect>
            <v:rect style="position:absolute;left:8894;top:2807;width:66;height:50" filled="true" fillcolor="#4471c4" stroked="false">
              <v:fill type="solid"/>
            </v:rect>
            <v:rect style="position:absolute;left:8894;top:3006;width:66;height:50" filled="true" fillcolor="#ec7c30" stroked="false">
              <v:fill type="solid"/>
            </v:rect>
            <v:rect style="position:absolute;left:8894;top:3205;width:66;height:50" filled="true" fillcolor="#a4a4a4" stroked="false">
              <v:fill type="solid"/>
            </v:rect>
            <v:rect style="position:absolute;left:8894;top:3404;width:66;height:50" filled="true" fillcolor="#ffc000" stroked="false">
              <v:fill type="solid"/>
            </v:rect>
            <v:rect style="position:absolute;left:8894;top:3604;width:66;height:49" filled="true" fillcolor="#5b9bd4" stroked="false">
              <v:fill type="solid"/>
            </v:rect>
            <v:rect style="position:absolute;left:8894;top:3803;width:66;height:49" filled="true" fillcolor="#6fac46" stroked="false">
              <v:fill type="solid"/>
            </v:rect>
            <v:shape style="position:absolute;left:1440;top:625;width:9382;height:3541" coordorigin="1441,625" coordsize="9382,3541" path="m1441,625l10822,625m10822,4166l1441,4166,1441,625e" filled="false" stroked="true" strokeweight=".634946pt" strokecolor="#888888">
              <v:path arrowok="t"/>
              <v:stroke dashstyle="solid"/>
            </v:shape>
            <v:shape style="position:absolute;left:1546;top:731;width:7247;height:1864" type="#_x0000_t202" filled="false" stroked="false">
              <v:textbox inset="0,0,0,0">
                <w:txbxContent>
                  <w:p>
                    <w:pPr>
                      <w:spacing w:line="241" w:lineRule="exact" w:before="2"/>
                      <w:ind w:left="1950" w:right="18" w:firstLine="0"/>
                      <w:jc w:val="center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w w:val="125"/>
                        <w:sz w:val="20"/>
                      </w:rPr>
                      <w:t>Escuintla</w:t>
                    </w:r>
                  </w:p>
                  <w:p>
                    <w:pPr>
                      <w:spacing w:line="240" w:lineRule="auto" w:before="0"/>
                      <w:ind w:left="1952" w:right="18" w:firstLine="0"/>
                      <w:jc w:val="center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w w:val="130"/>
                        <w:sz w:val="12"/>
                      </w:rPr>
                      <w:t>Total</w:t>
                    </w:r>
                    <w:r>
                      <w:rPr>
                        <w:rFonts w:ascii="Verdana" w:hAnsi="Verdana"/>
                        <w:spacing w:val="4"/>
                        <w:w w:val="130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30"/>
                        <w:sz w:val="12"/>
                      </w:rPr>
                      <w:t>de</w:t>
                    </w:r>
                    <w:r>
                      <w:rPr>
                        <w:rFonts w:ascii="Verdana" w:hAnsi="Verdana"/>
                        <w:spacing w:val="6"/>
                        <w:w w:val="130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30"/>
                        <w:sz w:val="12"/>
                      </w:rPr>
                      <w:t>población</w:t>
                    </w:r>
                    <w:r>
                      <w:rPr>
                        <w:rFonts w:ascii="Verdana" w:hAnsi="Verdana"/>
                        <w:spacing w:val="5"/>
                        <w:w w:val="130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30"/>
                        <w:sz w:val="12"/>
                      </w:rPr>
                      <w:t>estudiantil</w:t>
                    </w:r>
                    <w:r>
                      <w:rPr>
                        <w:rFonts w:ascii="Verdana" w:hAnsi="Verdana"/>
                        <w:spacing w:val="5"/>
                        <w:w w:val="130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30"/>
                        <w:sz w:val="12"/>
                      </w:rPr>
                      <w:t>por</w:t>
                    </w:r>
                    <w:r>
                      <w:rPr>
                        <w:rFonts w:ascii="Verdana" w:hAnsi="Verdana"/>
                        <w:spacing w:val="6"/>
                        <w:w w:val="130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30"/>
                        <w:sz w:val="12"/>
                      </w:rPr>
                      <w:t>Niveles</w:t>
                    </w:r>
                    <w:r>
                      <w:rPr>
                        <w:rFonts w:ascii="Verdana" w:hAnsi="Verdana"/>
                        <w:spacing w:val="4"/>
                        <w:w w:val="130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30"/>
                        <w:sz w:val="12"/>
                      </w:rPr>
                      <w:t>educativos,</w:t>
                    </w:r>
                    <w:r>
                      <w:rPr>
                        <w:rFonts w:ascii="Verdana" w:hAnsi="Verdana"/>
                        <w:spacing w:val="5"/>
                        <w:w w:val="130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30"/>
                        <w:sz w:val="12"/>
                      </w:rPr>
                      <w:t>etnia</w:t>
                    </w:r>
                    <w:r>
                      <w:rPr>
                        <w:rFonts w:ascii="Verdana" w:hAnsi="Verdana"/>
                        <w:spacing w:val="6"/>
                        <w:w w:val="130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30"/>
                        <w:sz w:val="12"/>
                      </w:rPr>
                      <w:t>y</w:t>
                    </w:r>
                    <w:r>
                      <w:rPr>
                        <w:rFonts w:ascii="Verdana" w:hAnsi="Verdana"/>
                        <w:spacing w:val="5"/>
                        <w:w w:val="130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30"/>
                        <w:sz w:val="12"/>
                      </w:rPr>
                      <w:t>sexo</w:t>
                    </w:r>
                    <w:r>
                      <w:rPr>
                        <w:rFonts w:ascii="Verdana" w:hAnsi="Verdana"/>
                        <w:spacing w:val="-52"/>
                        <w:w w:val="130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30"/>
                        <w:sz w:val="12"/>
                      </w:rPr>
                      <w:t>2017-2021</w:t>
                    </w:r>
                  </w:p>
                  <w:p>
                    <w:pPr>
                      <w:spacing w:before="11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450</w:t>
                    </w:r>
                  </w:p>
                  <w:p>
                    <w:pPr>
                      <w:spacing w:line="240" w:lineRule="auto" w:before="2"/>
                      <w:rPr>
                        <w:sz w:val="11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400</w:t>
                    </w:r>
                  </w:p>
                  <w:p>
                    <w:pPr>
                      <w:spacing w:line="240" w:lineRule="auto" w:before="3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350</w:t>
                    </w:r>
                  </w:p>
                  <w:p>
                    <w:pPr>
                      <w:spacing w:line="240" w:lineRule="auto" w:before="3"/>
                      <w:rPr>
                        <w:sz w:val="11"/>
                      </w:rPr>
                    </w:pPr>
                  </w:p>
                  <w:p>
                    <w:pPr>
                      <w:tabs>
                        <w:tab w:pos="3849" w:val="left" w:leader="none"/>
                        <w:tab w:pos="7095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9"/>
                      </w:rPr>
                    </w:pPr>
                    <w:r>
                      <w:rPr>
                        <w:w w:val="135"/>
                        <w:sz w:val="11"/>
                      </w:rPr>
                      <w:t>300</w:t>
                    </w:r>
                    <w:r>
                      <w:rPr>
                        <w:sz w:val="11"/>
                      </w:rPr>
                      <w:tab/>
                    </w:r>
                    <w:r>
                      <w:rPr>
                        <w:rFonts w:ascii="Verdana"/>
                        <w:w w:val="104"/>
                        <w:position w:val="3"/>
                        <w:sz w:val="9"/>
                        <w:u w:val="single" w:color="888888"/>
                      </w:rPr>
                      <w:t> </w:t>
                    </w:r>
                    <w:r>
                      <w:rPr>
                        <w:rFonts w:ascii="Verdana"/>
                        <w:position w:val="3"/>
                        <w:sz w:val="9"/>
                        <w:u w:val="single" w:color="888888"/>
                      </w:rPr>
                      <w:tab/>
                    </w:r>
                  </w:p>
                  <w:p>
                    <w:pPr>
                      <w:spacing w:line="240" w:lineRule="auto" w:before="4"/>
                      <w:rPr>
                        <w:rFonts w:ascii="Verdana"/>
                        <w:sz w:val="11"/>
                      </w:rPr>
                    </w:pPr>
                  </w:p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1546;top:2755;width:249;height:384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200</w:t>
                    </w:r>
                  </w:p>
                  <w:p>
                    <w:pPr>
                      <w:spacing w:line="240" w:lineRule="auto" w:before="2"/>
                      <w:rPr>
                        <w:sz w:val="11"/>
                      </w:rPr>
                    </w:pPr>
                  </w:p>
                  <w:p>
                    <w:pPr>
                      <w:spacing w:line="133" w:lineRule="exact"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6733;top:2977;width:1930;height:110" type="#_x0000_t202" filled="false" stroked="false">
              <v:textbox inset="0,0,0,0">
                <w:txbxContent>
                  <w:p>
                    <w:pPr>
                      <w:tabs>
                        <w:tab w:pos="1909" w:val="left" w:leader="none"/>
                      </w:tabs>
                      <w:spacing w:line="109" w:lineRule="exact" w:before="0"/>
                      <w:ind w:left="0" w:right="0" w:firstLine="0"/>
                      <w:jc w:val="lef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104"/>
                        <w:sz w:val="9"/>
                        <w:u w:val="single" w:color="888888"/>
                      </w:rPr>
                      <w:t> </w:t>
                    </w:r>
                    <w:r>
                      <w:rPr>
                        <w:rFonts w:ascii="Verdana"/>
                        <w:sz w:val="9"/>
                        <w:u w:val="single" w:color="888888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546;top:3298;width:249;height:384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100</w:t>
                    </w:r>
                  </w:p>
                  <w:p>
                    <w:pPr>
                      <w:spacing w:line="240" w:lineRule="auto" w:before="3"/>
                      <w:rPr>
                        <w:sz w:val="11"/>
                      </w:rPr>
                    </w:pPr>
                  </w:p>
                  <w:p>
                    <w:pPr>
                      <w:spacing w:line="133" w:lineRule="exact" w:before="0"/>
                      <w:ind w:left="75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5761;top:3712;width:97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6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698;top:3842;width:97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6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986;top:1583;width:1632;height:2300" type="#_x0000_t202" filled="false" stroked="false">
              <v:textbox inset="0,0,0,0">
                <w:txbxContent>
                  <w:p>
                    <w:pPr>
                      <w:spacing w:line="436" w:lineRule="auto" w:before="0"/>
                      <w:ind w:left="0" w:right="219" w:firstLine="0"/>
                      <w:jc w:val="lef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120"/>
                        <w:sz w:val="9"/>
                      </w:rPr>
                      <w:t>EXTRANJERO</w:t>
                    </w:r>
                    <w:r>
                      <w:rPr>
                        <w:rFonts w:ascii="Verdana"/>
                        <w:spacing w:val="3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4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HOMBRES</w:t>
                    </w:r>
                    <w:r>
                      <w:rPr>
                        <w:rFonts w:ascii="Verdana"/>
                        <w:spacing w:val="-35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EXTRANJERO - MUJERES</w:t>
                    </w:r>
                    <w:r>
                      <w:rPr>
                        <w:rFonts w:ascii="Verdana"/>
                        <w:spacing w:val="1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49"/>
                        <w:sz w:val="9"/>
                      </w:rPr>
                      <w:t>G</w:t>
                    </w:r>
                    <w:r>
                      <w:rPr>
                        <w:rFonts w:ascii="Verdana"/>
                        <w:w w:val="143"/>
                        <w:sz w:val="9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116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71"/>
                        <w:sz w:val="9"/>
                      </w:rPr>
                      <w:t>I</w:t>
                    </w:r>
                    <w:r>
                      <w:rPr>
                        <w:rFonts w:ascii="Verdana"/>
                        <w:w w:val="112"/>
                        <w:sz w:val="9"/>
                      </w:rPr>
                      <w:t>F</w:t>
                    </w:r>
                    <w:r>
                      <w:rPr>
                        <w:rFonts w:ascii="Verdana"/>
                        <w:w w:val="118"/>
                        <w:sz w:val="9"/>
                      </w:rPr>
                      <w:t>U</w:t>
                    </w:r>
                    <w:r>
                      <w:rPr>
                        <w:rFonts w:ascii="Verdana"/>
                        <w:w w:val="131"/>
                        <w:sz w:val="9"/>
                      </w:rPr>
                      <w:t>N</w:t>
                    </w:r>
                    <w:r>
                      <w:rPr>
                        <w:rFonts w:ascii="Verdana"/>
                        <w:w w:val="143"/>
                        <w:sz w:val="9"/>
                      </w:rPr>
                      <w:t>A</w:t>
                    </w:r>
                    <w:r>
                      <w:rPr>
                        <w:rFonts w:ascii="Verdana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97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H</w:t>
                    </w:r>
                    <w:r>
                      <w:rPr>
                        <w:rFonts w:ascii="Verdana"/>
                        <w:spacing w:val="1"/>
                        <w:w w:val="146"/>
                        <w:sz w:val="9"/>
                      </w:rPr>
                      <w:t>O</w:t>
                    </w:r>
                    <w:r>
                      <w:rPr>
                        <w:rFonts w:ascii="Verdana"/>
                        <w:w w:val="145"/>
                        <w:sz w:val="9"/>
                      </w:rPr>
                      <w:t>M</w:t>
                    </w:r>
                    <w:r>
                      <w:rPr>
                        <w:rFonts w:ascii="Verdana"/>
                        <w:w w:val="111"/>
                        <w:sz w:val="9"/>
                      </w:rPr>
                      <w:t>B</w:t>
                    </w:r>
                    <w:r>
                      <w:rPr>
                        <w:rFonts w:ascii="Verdana"/>
                        <w:w w:val="116"/>
                        <w:sz w:val="9"/>
                      </w:rPr>
                      <w:t>R</w:t>
                    </w:r>
                    <w:r>
                      <w:rPr>
                        <w:rFonts w:ascii="Verdana"/>
                        <w:w w:val="112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96"/>
                        <w:sz w:val="9"/>
                      </w:rPr>
                      <w:t>S </w:t>
                    </w:r>
                    <w:r>
                      <w:rPr>
                        <w:rFonts w:ascii="Verdana"/>
                        <w:w w:val="149"/>
                        <w:sz w:val="9"/>
                      </w:rPr>
                      <w:t>G</w:t>
                    </w:r>
                    <w:r>
                      <w:rPr>
                        <w:rFonts w:ascii="Verdana"/>
                        <w:w w:val="143"/>
                        <w:sz w:val="9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116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71"/>
                        <w:sz w:val="9"/>
                      </w:rPr>
                      <w:t>I</w:t>
                    </w:r>
                    <w:r>
                      <w:rPr>
                        <w:rFonts w:ascii="Verdana"/>
                        <w:w w:val="112"/>
                        <w:sz w:val="9"/>
                      </w:rPr>
                      <w:t>F</w:t>
                    </w:r>
                    <w:r>
                      <w:rPr>
                        <w:rFonts w:ascii="Verdana"/>
                        <w:w w:val="118"/>
                        <w:sz w:val="9"/>
                      </w:rPr>
                      <w:t>U</w:t>
                    </w:r>
                    <w:r>
                      <w:rPr>
                        <w:rFonts w:ascii="Verdana"/>
                        <w:w w:val="131"/>
                        <w:sz w:val="9"/>
                      </w:rPr>
                      <w:t>N</w:t>
                    </w:r>
                    <w:r>
                      <w:rPr>
                        <w:rFonts w:ascii="Verdana"/>
                        <w:w w:val="143"/>
                        <w:sz w:val="9"/>
                      </w:rPr>
                      <w:t>A</w:t>
                    </w:r>
                    <w:r>
                      <w:rPr>
                        <w:rFonts w:ascii="Verdana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97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45"/>
                        <w:sz w:val="9"/>
                      </w:rPr>
                      <w:t>M</w:t>
                    </w:r>
                    <w:r>
                      <w:rPr>
                        <w:rFonts w:ascii="Verdana"/>
                        <w:w w:val="118"/>
                        <w:sz w:val="9"/>
                      </w:rPr>
                      <w:t>U</w:t>
                    </w:r>
                    <w:r>
                      <w:rPr>
                        <w:rFonts w:ascii="Verdana"/>
                        <w:w w:val="140"/>
                        <w:sz w:val="9"/>
                      </w:rPr>
                      <w:t>J</w:t>
                    </w:r>
                    <w:r>
                      <w:rPr>
                        <w:rFonts w:ascii="Verdana"/>
                        <w:w w:val="112"/>
                        <w:sz w:val="9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w w:val="116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1"/>
                        <w:w w:val="112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96"/>
                        <w:sz w:val="9"/>
                      </w:rPr>
                      <w:t>S </w:t>
                    </w:r>
                    <w:r>
                      <w:rPr>
                        <w:rFonts w:ascii="Verdana"/>
                        <w:spacing w:val="-1"/>
                        <w:w w:val="110"/>
                        <w:sz w:val="9"/>
                      </w:rPr>
                      <w:t>L</w:t>
                    </w:r>
                    <w:r>
                      <w:rPr>
                        <w:rFonts w:ascii="Verdana"/>
                        <w:w w:val="143"/>
                        <w:sz w:val="9"/>
                      </w:rPr>
                      <w:t>A</w:t>
                    </w:r>
                    <w:r>
                      <w:rPr>
                        <w:rFonts w:ascii="Verdana"/>
                        <w:w w:val="128"/>
                        <w:sz w:val="9"/>
                      </w:rPr>
                      <w:t>D</w:t>
                    </w:r>
                    <w:r>
                      <w:rPr>
                        <w:rFonts w:ascii="Verdana"/>
                        <w:w w:val="71"/>
                        <w:sz w:val="9"/>
                      </w:rPr>
                      <w:t>I</w:t>
                    </w:r>
                    <w:r>
                      <w:rPr>
                        <w:rFonts w:ascii="Verdana"/>
                        <w:w w:val="131"/>
                        <w:sz w:val="9"/>
                      </w:rPr>
                      <w:t>N</w:t>
                    </w:r>
                    <w:r>
                      <w:rPr>
                        <w:rFonts w:ascii="Verdana"/>
                        <w:w w:val="146"/>
                        <w:sz w:val="9"/>
                      </w:rPr>
                      <w:t>O</w:t>
                    </w:r>
                    <w:r>
                      <w:rPr>
                        <w:rFonts w:ascii="Verdana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97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H</w:t>
                    </w:r>
                    <w:r>
                      <w:rPr>
                        <w:rFonts w:ascii="Verdana"/>
                        <w:w w:val="146"/>
                        <w:sz w:val="9"/>
                      </w:rPr>
                      <w:t>O</w:t>
                    </w:r>
                    <w:r>
                      <w:rPr>
                        <w:rFonts w:ascii="Verdana"/>
                        <w:w w:val="145"/>
                        <w:sz w:val="9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111"/>
                        <w:sz w:val="9"/>
                      </w:rPr>
                      <w:t>B</w:t>
                    </w:r>
                    <w:r>
                      <w:rPr>
                        <w:rFonts w:ascii="Verdana"/>
                        <w:w w:val="116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12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96"/>
                        <w:sz w:val="9"/>
                      </w:rPr>
                      <w:t>S </w:t>
                    </w:r>
                    <w:r>
                      <w:rPr>
                        <w:rFonts w:ascii="Verdana"/>
                        <w:spacing w:val="-1"/>
                        <w:w w:val="110"/>
                        <w:sz w:val="9"/>
                      </w:rPr>
                      <w:t>L</w:t>
                    </w:r>
                    <w:r>
                      <w:rPr>
                        <w:rFonts w:ascii="Verdana"/>
                        <w:w w:val="143"/>
                        <w:sz w:val="9"/>
                      </w:rPr>
                      <w:t>A</w:t>
                    </w:r>
                    <w:r>
                      <w:rPr>
                        <w:rFonts w:ascii="Verdana"/>
                        <w:w w:val="128"/>
                        <w:sz w:val="9"/>
                      </w:rPr>
                      <w:t>D</w:t>
                    </w:r>
                    <w:r>
                      <w:rPr>
                        <w:rFonts w:ascii="Verdana"/>
                        <w:w w:val="71"/>
                        <w:sz w:val="9"/>
                      </w:rPr>
                      <w:t>I</w:t>
                    </w:r>
                    <w:r>
                      <w:rPr>
                        <w:rFonts w:ascii="Verdana"/>
                        <w:w w:val="131"/>
                        <w:sz w:val="9"/>
                      </w:rPr>
                      <w:t>N</w:t>
                    </w:r>
                    <w:r>
                      <w:rPr>
                        <w:rFonts w:ascii="Verdana"/>
                        <w:w w:val="146"/>
                        <w:sz w:val="9"/>
                      </w:rPr>
                      <w:t>O</w:t>
                    </w:r>
                    <w:r>
                      <w:rPr>
                        <w:rFonts w:ascii="Verdana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97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45"/>
                        <w:sz w:val="9"/>
                      </w:rPr>
                      <w:t>M</w:t>
                    </w:r>
                    <w:r>
                      <w:rPr>
                        <w:rFonts w:ascii="Verdana"/>
                        <w:w w:val="118"/>
                        <w:sz w:val="9"/>
                      </w:rPr>
                      <w:t>U</w:t>
                    </w:r>
                    <w:r>
                      <w:rPr>
                        <w:rFonts w:ascii="Verdana"/>
                        <w:spacing w:val="1"/>
                        <w:w w:val="140"/>
                        <w:sz w:val="9"/>
                      </w:rPr>
                      <w:t>J</w:t>
                    </w:r>
                    <w:r>
                      <w:rPr>
                        <w:rFonts w:ascii="Verdana"/>
                        <w:spacing w:val="-1"/>
                        <w:w w:val="112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116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12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96"/>
                        <w:sz w:val="9"/>
                      </w:rPr>
                      <w:t>S  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MAYA</w:t>
                    </w:r>
                    <w:r>
                      <w:rPr>
                        <w:rFonts w:ascii="Verdana"/>
                        <w:spacing w:val="-4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-3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HOMBRES</w:t>
                    </w:r>
                  </w:p>
                  <w:p>
                    <w:pPr>
                      <w:spacing w:line="436" w:lineRule="auto" w:before="0"/>
                      <w:ind w:left="0" w:right="343" w:firstLine="0"/>
                      <w:jc w:val="lef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120"/>
                        <w:sz w:val="9"/>
                      </w:rPr>
                      <w:t>MAYA - MUJERES</w:t>
                    </w:r>
                    <w:r>
                      <w:rPr>
                        <w:rFonts w:ascii="Verdana"/>
                        <w:spacing w:val="1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18"/>
                        <w:sz w:val="9"/>
                      </w:rPr>
                      <w:t>X</w:t>
                    </w:r>
                    <w:r>
                      <w:rPr>
                        <w:rFonts w:ascii="Verdana"/>
                        <w:w w:val="71"/>
                        <w:sz w:val="9"/>
                      </w:rPr>
                      <w:t>I</w:t>
                    </w:r>
                    <w:r>
                      <w:rPr>
                        <w:rFonts w:ascii="Verdana"/>
                        <w:w w:val="131"/>
                        <w:sz w:val="9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w w:val="149"/>
                        <w:sz w:val="9"/>
                      </w:rPr>
                      <w:t>C</w:t>
                    </w:r>
                    <w:r>
                      <w:rPr>
                        <w:rFonts w:ascii="Verdana"/>
                        <w:w w:val="149"/>
                        <w:sz w:val="9"/>
                      </w:rPr>
                      <w:t>A</w:t>
                    </w:r>
                    <w:r>
                      <w:rPr>
                        <w:rFonts w:ascii="Verdana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97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Verdana"/>
                        <w:spacing w:val="-2"/>
                        <w:w w:val="120"/>
                        <w:sz w:val="9"/>
                      </w:rPr>
                      <w:t>H</w:t>
                    </w:r>
                    <w:r>
                      <w:rPr>
                        <w:rFonts w:ascii="Verdana"/>
                        <w:spacing w:val="-2"/>
                        <w:w w:val="146"/>
                        <w:sz w:val="9"/>
                      </w:rPr>
                      <w:t>O</w:t>
                    </w:r>
                    <w:r>
                      <w:rPr>
                        <w:rFonts w:ascii="Verdana"/>
                        <w:spacing w:val="-2"/>
                        <w:w w:val="145"/>
                        <w:sz w:val="9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111"/>
                        <w:sz w:val="9"/>
                      </w:rPr>
                      <w:t>B</w:t>
                    </w:r>
                    <w:r>
                      <w:rPr>
                        <w:rFonts w:ascii="Verdana"/>
                        <w:spacing w:val="-3"/>
                        <w:w w:val="116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-2"/>
                        <w:w w:val="112"/>
                        <w:sz w:val="9"/>
                      </w:rPr>
                      <w:t>E</w:t>
                    </w:r>
                    <w:r>
                      <w:rPr>
                        <w:rFonts w:ascii="Verdana"/>
                        <w:spacing w:val="-2"/>
                        <w:w w:val="96"/>
                        <w:sz w:val="9"/>
                      </w:rPr>
                      <w:t>S</w:t>
                    </w:r>
                    <w:r>
                      <w:rPr>
                        <w:rFonts w:ascii="Verdana"/>
                        <w:w w:val="96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18"/>
                        <w:sz w:val="9"/>
                      </w:rPr>
                      <w:t>X</w:t>
                    </w:r>
                    <w:r>
                      <w:rPr>
                        <w:rFonts w:ascii="Verdana"/>
                        <w:w w:val="71"/>
                        <w:sz w:val="9"/>
                      </w:rPr>
                      <w:t>I</w:t>
                    </w:r>
                    <w:r>
                      <w:rPr>
                        <w:rFonts w:ascii="Verdana"/>
                        <w:w w:val="131"/>
                        <w:sz w:val="9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w w:val="149"/>
                        <w:sz w:val="9"/>
                      </w:rPr>
                      <w:t>C</w:t>
                    </w:r>
                    <w:r>
                      <w:rPr>
                        <w:rFonts w:ascii="Verdana"/>
                        <w:w w:val="149"/>
                        <w:sz w:val="9"/>
                      </w:rPr>
                      <w:t>A</w:t>
                    </w:r>
                    <w:r>
                      <w:rPr>
                        <w:rFonts w:ascii="Verdana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97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45"/>
                        <w:sz w:val="9"/>
                      </w:rPr>
                      <w:t>M</w:t>
                    </w:r>
                    <w:r>
                      <w:rPr>
                        <w:rFonts w:ascii="Verdana"/>
                        <w:w w:val="118"/>
                        <w:sz w:val="9"/>
                      </w:rPr>
                      <w:t>U</w:t>
                    </w:r>
                    <w:r>
                      <w:rPr>
                        <w:rFonts w:ascii="Verdana"/>
                        <w:spacing w:val="-1"/>
                        <w:w w:val="140"/>
                        <w:sz w:val="9"/>
                      </w:rPr>
                      <w:t>J</w:t>
                    </w:r>
                    <w:r>
                      <w:rPr>
                        <w:rFonts w:ascii="Verdana"/>
                        <w:spacing w:val="-1"/>
                        <w:w w:val="112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116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12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96"/>
                        <w:sz w:val="9"/>
                      </w:rPr>
                      <w:t>S</w:t>
                    </w:r>
                  </w:p>
                  <w:p>
                    <w:pPr>
                      <w:spacing w:line="109" w:lineRule="exact" w:before="0"/>
                      <w:ind w:left="0" w:right="0" w:firstLine="0"/>
                      <w:jc w:val="left"/>
                      <w:rPr>
                        <w:rFonts w:ascii="Verdana" w:hAnsi="Verdana"/>
                        <w:sz w:val="9"/>
                      </w:rPr>
                    </w:pPr>
                    <w:r>
                      <w:rPr>
                        <w:rFonts w:ascii="Verdana" w:hAnsi="Verdana"/>
                        <w:w w:val="115"/>
                        <w:sz w:val="9"/>
                      </w:rPr>
                      <w:t>Sin</w:t>
                    </w:r>
                    <w:r>
                      <w:rPr>
                        <w:rFonts w:ascii="Verdana" w:hAnsi="Verdana"/>
                        <w:spacing w:val="29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15"/>
                        <w:sz w:val="9"/>
                      </w:rPr>
                      <w:t>Clasificación</w:t>
                    </w:r>
                    <w:r>
                      <w:rPr>
                        <w:rFonts w:ascii="Verdana" w:hAnsi="Verdana"/>
                        <w:spacing w:val="29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15"/>
                        <w:sz w:val="9"/>
                      </w:rPr>
                      <w:t>-</w:t>
                    </w:r>
                    <w:r>
                      <w:rPr>
                        <w:rFonts w:ascii="Verdana" w:hAnsi="Verdana"/>
                        <w:spacing w:val="30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15"/>
                        <w:sz w:val="9"/>
                      </w:rPr>
                      <w:t>HOMBRES</w:t>
                    </w:r>
                  </w:p>
                  <w:p>
                    <w:pPr>
                      <w:spacing w:before="89"/>
                      <w:ind w:left="0" w:right="0" w:firstLine="0"/>
                      <w:jc w:val="left"/>
                      <w:rPr>
                        <w:rFonts w:ascii="Verdana" w:hAnsi="Verdana"/>
                        <w:sz w:val="9"/>
                      </w:rPr>
                    </w:pPr>
                    <w:r>
                      <w:rPr>
                        <w:rFonts w:ascii="Verdana" w:hAnsi="Verdana"/>
                        <w:w w:val="115"/>
                        <w:sz w:val="9"/>
                      </w:rPr>
                      <w:t>Sin</w:t>
                    </w:r>
                    <w:r>
                      <w:rPr>
                        <w:rFonts w:ascii="Verdana" w:hAnsi="Verdana"/>
                        <w:spacing w:val="26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15"/>
                        <w:sz w:val="9"/>
                      </w:rPr>
                      <w:t>Clasificación</w:t>
                    </w:r>
                    <w:r>
                      <w:rPr>
                        <w:rFonts w:ascii="Verdana" w:hAnsi="Verdana"/>
                        <w:spacing w:val="26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15"/>
                        <w:sz w:val="9"/>
                      </w:rPr>
                      <w:t>-</w:t>
                    </w:r>
                    <w:r>
                      <w:rPr>
                        <w:rFonts w:ascii="Verdana" w:hAnsi="Verdana"/>
                        <w:spacing w:val="26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15"/>
                        <w:sz w:val="9"/>
                      </w:rPr>
                      <w:t>MUJERES</w:t>
                    </w:r>
                  </w:p>
                </w:txbxContent>
              </v:textbox>
              <w10:wrap type="none"/>
            </v:shape>
            <v:shape style="position:absolute;left:2433;top:3980;width:324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3774;top:3980;width:326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5114;top:3980;width:326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6456;top:3980;width:326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7798;top:3980;width:324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2021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Gráfico Nº. Total de población estudiantil por niveles educativos, etnia y sexo para el Departamento de</w:t>
      </w:r>
      <w:r>
        <w:rPr>
          <w:spacing w:val="1"/>
        </w:rPr>
        <w:t> </w:t>
      </w:r>
      <w:r>
        <w:rPr/>
        <w:t>Escuintla</w:t>
      </w:r>
      <w:r>
        <w:rPr>
          <w:spacing w:val="-1"/>
        </w:rPr>
        <w:t> </w:t>
      </w:r>
      <w:r>
        <w:rPr/>
        <w:t>(2017-2021)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1"/>
        <w:ind w:left="278" w:right="1072"/>
        <w:jc w:val="both"/>
      </w:pPr>
      <w:r>
        <w:rPr/>
        <w:t>Este gráfico muestra el total de la población estudiantil por niveles educativos, etnia y sexo durante el</w:t>
      </w:r>
      <w:r>
        <w:rPr>
          <w:spacing w:val="1"/>
        </w:rPr>
        <w:t> </w:t>
      </w:r>
      <w:r>
        <w:rPr/>
        <w:t>período 2017-2021, para el Departamento de Escuintla, Según DIPLAN, (2021), de las cifras anteriores, la</w:t>
      </w:r>
      <w:r>
        <w:rPr>
          <w:spacing w:val="1"/>
        </w:rPr>
        <w:t> </w:t>
      </w:r>
      <w:r>
        <w:rPr/>
        <w:t>proporción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a la</w:t>
      </w:r>
      <w:r>
        <w:rPr>
          <w:spacing w:val="-3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estudiantil</w:t>
      </w:r>
      <w:r>
        <w:rPr>
          <w:spacing w:val="-3"/>
        </w:rPr>
        <w:t> </w:t>
      </w:r>
      <w:r>
        <w:rPr/>
        <w:t>fue</w:t>
      </w:r>
      <w:r>
        <w:rPr>
          <w:spacing w:val="1"/>
        </w:rPr>
        <w:t> </w:t>
      </w:r>
      <w:r>
        <w:rPr/>
        <w:t>como</w:t>
      </w:r>
      <w:r>
        <w:rPr>
          <w:spacing w:val="-2"/>
        </w:rPr>
        <w:t> </w:t>
      </w:r>
      <w:r>
        <w:rPr/>
        <w:t>sigue:</w:t>
      </w:r>
    </w:p>
    <w:p>
      <w:pPr>
        <w:pStyle w:val="BodyText"/>
      </w:pPr>
    </w:p>
    <w:p>
      <w:pPr>
        <w:pStyle w:val="BodyText"/>
        <w:spacing w:before="1"/>
        <w:ind w:left="278" w:right="6486"/>
      </w:pPr>
      <w:r>
        <w:rPr/>
        <w:t>Ladinos: 51% de hombres y 47% de mujeres.</w:t>
      </w:r>
      <w:r>
        <w:rPr>
          <w:spacing w:val="-47"/>
        </w:rPr>
        <w:t> </w:t>
      </w:r>
      <w:r>
        <w:rPr/>
        <w:t>Mayas:</w:t>
      </w:r>
      <w:r>
        <w:rPr>
          <w:spacing w:val="-3"/>
        </w:rPr>
        <w:t> </w:t>
      </w:r>
      <w:r>
        <w:rPr/>
        <w:t>0.9% de</w:t>
      </w:r>
      <w:r>
        <w:rPr>
          <w:spacing w:val="1"/>
        </w:rPr>
        <w:t> </w:t>
      </w:r>
      <w:r>
        <w:rPr/>
        <w:t>hombres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0.8%</w:t>
      </w:r>
      <w:r>
        <w:rPr>
          <w:spacing w:val="-3"/>
        </w:rPr>
        <w:t> </w:t>
      </w:r>
      <w:r>
        <w:rPr/>
        <w:t>mujeres.</w:t>
      </w:r>
    </w:p>
    <w:p>
      <w:pPr>
        <w:pStyle w:val="BodyText"/>
      </w:pPr>
    </w:p>
    <w:p>
      <w:pPr>
        <w:pStyle w:val="BodyText"/>
        <w:ind w:left="278" w:right="1069"/>
        <w:jc w:val="both"/>
      </w:pPr>
      <w:r>
        <w:rPr/>
        <w:t>Al</w:t>
      </w:r>
      <w:r>
        <w:rPr>
          <w:spacing w:val="-9"/>
        </w:rPr>
        <w:t> </w:t>
      </w:r>
      <w:r>
        <w:rPr/>
        <w:t>comparar</w:t>
      </w:r>
      <w:r>
        <w:rPr>
          <w:spacing w:val="-11"/>
        </w:rPr>
        <w:t> </w:t>
      </w:r>
      <w:r>
        <w:rPr/>
        <w:t>estos</w:t>
      </w:r>
      <w:r>
        <w:rPr>
          <w:spacing w:val="-8"/>
        </w:rPr>
        <w:t> </w:t>
      </w:r>
      <w:r>
        <w:rPr/>
        <w:t>resultados</w:t>
      </w:r>
      <w:r>
        <w:rPr>
          <w:spacing w:val="-7"/>
        </w:rPr>
        <w:t> </w:t>
      </w:r>
      <w:r>
        <w:rPr/>
        <w:t>con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información</w:t>
      </w:r>
      <w:r>
        <w:rPr>
          <w:spacing w:val="-8"/>
        </w:rPr>
        <w:t> </w:t>
      </w:r>
      <w:r>
        <w:rPr/>
        <w:t>del</w:t>
      </w:r>
      <w:r>
        <w:rPr>
          <w:spacing w:val="-10"/>
        </w:rPr>
        <w:t> </w:t>
      </w:r>
      <w:r>
        <w:rPr/>
        <w:t>INE,</w:t>
      </w:r>
      <w:r>
        <w:rPr>
          <w:spacing w:val="-8"/>
        </w:rPr>
        <w:t> </w:t>
      </w:r>
      <w:r>
        <w:rPr/>
        <w:t>(2018),</w:t>
      </w:r>
      <w:r>
        <w:rPr>
          <w:spacing w:val="-9"/>
        </w:rPr>
        <w:t> </w:t>
      </w:r>
      <w:r>
        <w:rPr/>
        <w:t>es</w:t>
      </w:r>
      <w:r>
        <w:rPr>
          <w:spacing w:val="-10"/>
        </w:rPr>
        <w:t> </w:t>
      </w:r>
      <w:r>
        <w:rPr/>
        <w:t>posible</w:t>
      </w:r>
      <w:r>
        <w:rPr>
          <w:spacing w:val="-10"/>
        </w:rPr>
        <w:t> </w:t>
      </w:r>
      <w:r>
        <w:rPr/>
        <w:t>evidenciar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si</w:t>
      </w:r>
      <w:r>
        <w:rPr>
          <w:spacing w:val="-11"/>
        </w:rPr>
        <w:t> </w:t>
      </w:r>
      <w:r>
        <w:rPr/>
        <w:t>bien</w:t>
      </w:r>
      <w:r>
        <w:rPr>
          <w:spacing w:val="-7"/>
        </w:rPr>
        <w:t> </w:t>
      </w:r>
      <w:r>
        <w:rPr/>
        <w:t>es</w:t>
      </w:r>
      <w:r>
        <w:rPr>
          <w:spacing w:val="-9"/>
        </w:rPr>
        <w:t> </w:t>
      </w:r>
      <w:r>
        <w:rPr/>
        <w:t>cierto,</w:t>
      </w:r>
      <w:r>
        <w:rPr>
          <w:spacing w:val="-48"/>
        </w:rPr>
        <w:t> </w:t>
      </w:r>
      <w:r>
        <w:rPr/>
        <w:t>si</w:t>
      </w:r>
      <w:r>
        <w:rPr>
          <w:spacing w:val="-1"/>
        </w:rPr>
        <w:t> </w:t>
      </w:r>
      <w:r>
        <w:rPr/>
        <w:t>hay</w:t>
      </w:r>
      <w:r>
        <w:rPr>
          <w:spacing w:val="-3"/>
        </w:rPr>
        <w:t> </w:t>
      </w:r>
      <w:r>
        <w:rPr/>
        <w:t>representatividad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etnias</w:t>
      </w:r>
      <w:r>
        <w:rPr>
          <w:spacing w:val="-4"/>
        </w:rPr>
        <w:t> </w:t>
      </w:r>
      <w:r>
        <w:rPr/>
        <w:t>mayoritarias</w:t>
      </w:r>
      <w:r>
        <w:rPr>
          <w:spacing w:val="-4"/>
        </w:rPr>
        <w:t> </w:t>
      </w:r>
      <w:r>
        <w:rPr/>
        <w:t>por</w:t>
      </w:r>
      <w:r>
        <w:rPr>
          <w:spacing w:val="-1"/>
        </w:rPr>
        <w:t> </w:t>
      </w:r>
      <w:r>
        <w:rPr/>
        <w:t>Departamento (5%</w:t>
      </w:r>
      <w:r>
        <w:rPr>
          <w:spacing w:val="-5"/>
        </w:rPr>
        <w:t> </w:t>
      </w:r>
      <w:r>
        <w:rPr/>
        <w:t>Maya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95%</w:t>
      </w:r>
      <w:r>
        <w:rPr>
          <w:spacing w:val="-3"/>
        </w:rPr>
        <w:t> </w:t>
      </w:r>
      <w:r>
        <w:rPr/>
        <w:t>Ladina),</w:t>
      </w:r>
      <w:r>
        <w:rPr>
          <w:spacing w:val="-4"/>
        </w:rPr>
        <w:t> </w:t>
      </w:r>
      <w:r>
        <w:rPr/>
        <w:t>ésta no se</w:t>
      </w:r>
      <w:r>
        <w:rPr>
          <w:spacing w:val="-48"/>
        </w:rPr>
        <w:t> </w:t>
      </w:r>
      <w:r>
        <w:rPr/>
        <w:t>presenta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misma</w:t>
      </w:r>
      <w:r>
        <w:rPr>
          <w:spacing w:val="1"/>
        </w:rPr>
        <w:t> </w:t>
      </w:r>
      <w:r>
        <w:rPr/>
        <w:t>proporción.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decir,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poblaciones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departamento. Es decir, el acceso al Sistema de Educación Nacional no alcanza un 5% para la etnia maya</w:t>
      </w:r>
      <w:r>
        <w:rPr>
          <w:spacing w:val="1"/>
        </w:rPr>
        <w:t> </w:t>
      </w:r>
      <w:r>
        <w:rPr/>
        <w:t>y respecto de los ladinos se podría decir que 1 de cada 2 (hombre o mujer) tiene posibilidad de recibir</w:t>
      </w:r>
      <w:r>
        <w:rPr>
          <w:spacing w:val="1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en estos</w:t>
      </w:r>
      <w:r>
        <w:rPr>
          <w:spacing w:val="-3"/>
        </w:rPr>
        <w:t> </w:t>
      </w:r>
      <w:r>
        <w:rPr/>
        <w:t>niveles.</w:t>
      </w:r>
    </w:p>
    <w:p>
      <w:pPr>
        <w:pStyle w:val="BodyText"/>
      </w:pPr>
    </w:p>
    <w:p>
      <w:pPr>
        <w:pStyle w:val="BodyText"/>
        <w:ind w:left="278" w:right="1072"/>
        <w:jc w:val="both"/>
      </w:pPr>
      <w:r>
        <w:rPr/>
        <w:t>Por otra parte, respecto del sexo se sigue presentando una brecha de atención en dónde la participación</w:t>
      </w:r>
      <w:r>
        <w:rPr>
          <w:spacing w:val="1"/>
        </w:rPr>
        <w:t> </w:t>
      </w:r>
      <w:r>
        <w:rPr/>
        <w:t>del</w:t>
      </w:r>
      <w:r>
        <w:rPr>
          <w:spacing w:val="-5"/>
        </w:rPr>
        <w:t> </w:t>
      </w:r>
      <w:r>
        <w:rPr/>
        <w:t>hombre</w:t>
      </w:r>
      <w:r>
        <w:rPr>
          <w:spacing w:val="-10"/>
        </w:rPr>
        <w:t> </w:t>
      </w:r>
      <w:r>
        <w:rPr/>
        <w:t>Maya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Ladino,</w:t>
      </w:r>
      <w:r>
        <w:rPr>
          <w:spacing w:val="-7"/>
        </w:rPr>
        <w:t> </w:t>
      </w:r>
      <w:r>
        <w:rPr/>
        <w:t>es</w:t>
      </w:r>
      <w:r>
        <w:rPr>
          <w:spacing w:val="-7"/>
        </w:rPr>
        <w:t> </w:t>
      </w:r>
      <w:r>
        <w:rPr/>
        <w:t>mayor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mujer</w:t>
      </w:r>
      <w:r>
        <w:rPr>
          <w:spacing w:val="-8"/>
        </w:rPr>
        <w:t> </w:t>
      </w:r>
      <w:r>
        <w:rPr/>
        <w:t>-para</w:t>
      </w:r>
      <w:r>
        <w:rPr>
          <w:spacing w:val="-9"/>
        </w:rPr>
        <w:t> </w:t>
      </w:r>
      <w:r>
        <w:rPr/>
        <w:t>ambas</w:t>
      </w:r>
      <w:r>
        <w:rPr>
          <w:spacing w:val="-9"/>
        </w:rPr>
        <w:t> </w:t>
      </w:r>
      <w:r>
        <w:rPr/>
        <w:t>etnias-;</w:t>
      </w:r>
      <w:r>
        <w:rPr>
          <w:spacing w:val="-7"/>
        </w:rPr>
        <w:t> </w:t>
      </w:r>
      <w:r>
        <w:rPr/>
        <w:t>sobre</w:t>
      </w:r>
      <w:r>
        <w:rPr>
          <w:spacing w:val="-10"/>
        </w:rPr>
        <w:t> </w:t>
      </w:r>
      <w:r>
        <w:rPr/>
        <w:t>todo</w:t>
      </w:r>
      <w:r>
        <w:rPr>
          <w:spacing w:val="-7"/>
        </w:rPr>
        <w:t> </w:t>
      </w:r>
      <w:r>
        <w:rPr/>
        <w:t>considerando</w:t>
      </w:r>
      <w:r>
        <w:rPr>
          <w:spacing w:val="-4"/>
        </w:rPr>
        <w:t> </w:t>
      </w:r>
      <w:r>
        <w:rPr/>
        <w:t>que</w:t>
      </w:r>
      <w:r>
        <w:rPr>
          <w:spacing w:val="-47"/>
        </w:rPr>
        <w:t> </w:t>
      </w:r>
      <w:r>
        <w:rPr/>
        <w:t>en</w:t>
      </w:r>
      <w:r>
        <w:rPr>
          <w:spacing w:val="-3"/>
        </w:rPr>
        <w:t> </w:t>
      </w:r>
      <w:r>
        <w:rPr/>
        <w:t>este</w:t>
      </w:r>
      <w:r>
        <w:rPr>
          <w:spacing w:val="-3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50%</w:t>
      </w:r>
      <w:r>
        <w:rPr>
          <w:spacing w:val="-2"/>
        </w:rPr>
        <w:t> </w:t>
      </w:r>
      <w:r>
        <w:rPr/>
        <w:t>es</w:t>
      </w:r>
      <w:r>
        <w:rPr>
          <w:spacing w:val="-5"/>
        </w:rPr>
        <w:t> </w:t>
      </w:r>
      <w:r>
        <w:rPr/>
        <w:t>mujer</w:t>
      </w:r>
      <w:r>
        <w:rPr>
          <w:spacing w:val="-6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50%</w:t>
      </w:r>
      <w:r>
        <w:rPr>
          <w:spacing w:val="-3"/>
        </w:rPr>
        <w:t> </w:t>
      </w:r>
      <w:r>
        <w:rPr/>
        <w:t>es</w:t>
      </w:r>
      <w:r>
        <w:rPr>
          <w:spacing w:val="-2"/>
        </w:rPr>
        <w:t> </w:t>
      </w:r>
      <w:r>
        <w:rPr/>
        <w:t>hombre.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posibilidad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tener</w:t>
      </w:r>
      <w:r>
        <w:rPr>
          <w:spacing w:val="-3"/>
        </w:rPr>
        <w:t> </w:t>
      </w:r>
      <w:r>
        <w:rPr/>
        <w:t>acceso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en</w:t>
      </w:r>
      <w:r>
        <w:rPr>
          <w:spacing w:val="-47"/>
        </w:rPr>
        <w:t> </w:t>
      </w:r>
      <w:r>
        <w:rPr/>
        <w:t>el</w:t>
      </w:r>
      <w:r>
        <w:rPr>
          <w:spacing w:val="-1"/>
        </w:rPr>
        <w:t> </w:t>
      </w:r>
      <w:r>
        <w:rPr/>
        <w:t>sistema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reduce</w:t>
      </w:r>
      <w:r>
        <w:rPr>
          <w:spacing w:val="-2"/>
        </w:rPr>
        <w:t> </w:t>
      </w:r>
      <w:r>
        <w:rPr/>
        <w:t>si se</w:t>
      </w:r>
      <w:r>
        <w:rPr>
          <w:spacing w:val="-2"/>
        </w:rPr>
        <w:t> </w:t>
      </w:r>
      <w:r>
        <w:rPr/>
        <w:t>es mujer.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pict>
          <v:rect style="position:absolute;margin-left:563.880005pt;margin-top:9.326211pt;width:25.44pt;height:1.4399pt;mso-position-horizontal-relative:page;mso-position-vertical-relative:paragraph;z-index:-1544192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144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00960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0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1"/>
          <w:numId w:val="32"/>
        </w:numPr>
        <w:tabs>
          <w:tab w:pos="854" w:val="left" w:leader="none"/>
          <w:tab w:pos="855" w:val="left" w:leader="none"/>
        </w:tabs>
        <w:spacing w:line="240" w:lineRule="auto" w:before="52" w:after="0"/>
        <w:ind w:left="854" w:right="0" w:hanging="577"/>
        <w:jc w:val="left"/>
      </w:pPr>
      <w:bookmarkStart w:name="_bookmark169" w:id="271"/>
      <w:bookmarkEnd w:id="271"/>
      <w:r>
        <w:rPr>
          <w:b w:val="0"/>
        </w:rPr>
      </w:r>
      <w:bookmarkStart w:name="_bookmark169" w:id="272"/>
      <w:bookmarkEnd w:id="272"/>
      <w:r>
        <w:rPr>
          <w:color w:val="1F4E79"/>
        </w:rPr>
        <w:t>Gu</w:t>
      </w:r>
      <w:r>
        <w:rPr>
          <w:color w:val="1F4E79"/>
        </w:rPr>
        <w:t>atemala</w:t>
      </w:r>
    </w:p>
    <w:p>
      <w:pPr>
        <w:pStyle w:val="BodyText"/>
        <w:rPr>
          <w:b/>
          <w:sz w:val="24"/>
        </w:rPr>
      </w:pPr>
    </w:p>
    <w:p>
      <w:pPr>
        <w:pStyle w:val="Heading3"/>
        <w:numPr>
          <w:ilvl w:val="2"/>
          <w:numId w:val="32"/>
        </w:numPr>
        <w:tabs>
          <w:tab w:pos="998" w:val="left" w:leader="none"/>
          <w:tab w:pos="999" w:val="left" w:leader="none"/>
        </w:tabs>
        <w:spacing w:line="240" w:lineRule="auto" w:before="187" w:after="0"/>
        <w:ind w:left="998" w:right="0" w:hanging="721"/>
        <w:jc w:val="left"/>
      </w:pPr>
      <w:bookmarkStart w:name="_bookmark170" w:id="273"/>
      <w:bookmarkEnd w:id="273"/>
      <w:r>
        <w:rPr>
          <w:b w:val="0"/>
        </w:rPr>
      </w:r>
      <w:bookmarkStart w:name="_bookmark170" w:id="274"/>
      <w:bookmarkEnd w:id="274"/>
      <w:r>
        <w:rPr/>
        <w:t>Inf</w:t>
      </w:r>
      <w:r>
        <w:rPr/>
        <w:t>ormación</w:t>
      </w:r>
      <w:r>
        <w:rPr>
          <w:spacing w:val="-8"/>
        </w:rPr>
        <w:t> </w:t>
      </w:r>
      <w:r>
        <w:rPr/>
        <w:t>General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69"/>
        <w:jc w:val="both"/>
      </w:pPr>
      <w:r>
        <w:rPr/>
        <w:t>De acuerdo con información demográfica del –INE- (2018), en Guatemala hay un total de 3,015,081</w:t>
      </w:r>
      <w:r>
        <w:rPr>
          <w:spacing w:val="1"/>
        </w:rPr>
        <w:t> </w:t>
      </w:r>
      <w:r>
        <w:rPr/>
        <w:t>integrada por el 52% de mujeres y 48% de hombres. Cabe destacar que el 37% de la población son niños</w:t>
      </w:r>
      <w:r>
        <w:rPr>
          <w:spacing w:val="1"/>
        </w:rPr>
        <w:t> </w:t>
      </w:r>
      <w:r>
        <w:rPr/>
        <w:t>o</w:t>
      </w:r>
      <w:r>
        <w:rPr>
          <w:spacing w:val="-4"/>
        </w:rPr>
        <w:t> </w:t>
      </w:r>
      <w:r>
        <w:rPr/>
        <w:t>adolescentes,</w:t>
      </w:r>
      <w:r>
        <w:rPr>
          <w:spacing w:val="-8"/>
        </w:rPr>
        <w:t> </w:t>
      </w:r>
      <w:r>
        <w:rPr/>
        <w:t>ya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5"/>
        </w:rPr>
        <w:t> </w:t>
      </w:r>
      <w:r>
        <w:rPr/>
        <w:t>encuentran</w:t>
      </w:r>
      <w:r>
        <w:rPr>
          <w:spacing w:val="-5"/>
        </w:rPr>
        <w:t> </w:t>
      </w:r>
      <w:r>
        <w:rPr/>
        <w:t>entre</w:t>
      </w:r>
      <w:r>
        <w:rPr>
          <w:spacing w:val="-7"/>
        </w:rPr>
        <w:t> </w:t>
      </w:r>
      <w:r>
        <w:rPr/>
        <w:t>el</w:t>
      </w:r>
      <w:r>
        <w:rPr>
          <w:spacing w:val="-4"/>
        </w:rPr>
        <w:t> </w:t>
      </w:r>
      <w:r>
        <w:rPr/>
        <w:t>rango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0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19</w:t>
      </w:r>
      <w:r>
        <w:rPr>
          <w:spacing w:val="-6"/>
        </w:rPr>
        <w:t> </w:t>
      </w:r>
      <w:r>
        <w:rPr/>
        <w:t>años.</w:t>
      </w:r>
      <w:r>
        <w:rPr>
          <w:spacing w:val="35"/>
        </w:rPr>
        <w:t> </w:t>
      </w:r>
      <w:r>
        <w:rPr/>
        <w:t>De</w:t>
      </w:r>
      <w:r>
        <w:rPr>
          <w:spacing w:val="-7"/>
        </w:rPr>
        <w:t> </w:t>
      </w:r>
      <w:r>
        <w:rPr/>
        <w:t>este</w:t>
      </w:r>
      <w:r>
        <w:rPr>
          <w:spacing w:val="-6"/>
        </w:rPr>
        <w:t> </w:t>
      </w:r>
      <w:r>
        <w:rPr/>
        <w:t>total,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91%</w:t>
      </w:r>
      <w:r>
        <w:rPr>
          <w:spacing w:val="-7"/>
        </w:rPr>
        <w:t> </w:t>
      </w:r>
      <w:r>
        <w:rPr/>
        <w:t>reside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área</w:t>
      </w:r>
      <w:r>
        <w:rPr>
          <w:spacing w:val="-47"/>
        </w:rPr>
        <w:t> </w:t>
      </w:r>
      <w:r>
        <w:rPr/>
        <w:t>urbana, mientras que el restante 9% es del área rural. De ellos, el 86% se reconoce mayoritariamente</w:t>
      </w:r>
      <w:r>
        <w:rPr>
          <w:spacing w:val="1"/>
        </w:rPr>
        <w:t> </w:t>
      </w:r>
      <w:r>
        <w:rPr/>
        <w:t>Ladina, mientras que el 13% es la etnia Maya. Por otra parte, la comunidad lingüística en la ciudad es</w:t>
      </w:r>
      <w:r>
        <w:rPr>
          <w:spacing w:val="1"/>
        </w:rPr>
        <w:t> </w:t>
      </w:r>
      <w:r>
        <w:rPr/>
        <w:t>Kaqchiquel 68%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el K’iche’</w:t>
      </w:r>
      <w:r>
        <w:rPr>
          <w:spacing w:val="-3"/>
        </w:rPr>
        <w:t> </w:t>
      </w:r>
      <w:r>
        <w:rPr/>
        <w:t>(99%).</w:t>
      </w:r>
    </w:p>
    <w:p>
      <w:pPr>
        <w:pStyle w:val="BodyText"/>
        <w:spacing w:before="10"/>
        <w:rPr>
          <w:sz w:val="19"/>
        </w:rPr>
      </w:pPr>
    </w:p>
    <w:p>
      <w:pPr>
        <w:pStyle w:val="Heading3"/>
        <w:numPr>
          <w:ilvl w:val="2"/>
          <w:numId w:val="32"/>
        </w:numPr>
        <w:tabs>
          <w:tab w:pos="998" w:val="left" w:leader="none"/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171" w:id="275"/>
      <w:bookmarkEnd w:id="275"/>
      <w:r>
        <w:rPr>
          <w:b w:val="0"/>
        </w:rPr>
      </w:r>
      <w:bookmarkStart w:name="_bookmark171" w:id="276"/>
      <w:bookmarkEnd w:id="276"/>
      <w:r>
        <w:rPr/>
        <w:t>Situ</w:t>
      </w:r>
      <w:r>
        <w:rPr/>
        <w:t>ación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Sistema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Nacional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 w:after="7"/>
        <w:ind w:left="278"/>
        <w:jc w:val="both"/>
      </w:pPr>
      <w:r>
        <w:rPr/>
        <w:t>Tabla</w:t>
      </w:r>
      <w:r>
        <w:rPr>
          <w:spacing w:val="-2"/>
        </w:rPr>
        <w:t> </w:t>
      </w:r>
      <w:r>
        <w:rPr/>
        <w:t>Nº.</w:t>
      </w:r>
      <w:r>
        <w:rPr>
          <w:spacing w:val="-1"/>
        </w:rPr>
        <w:t> </w:t>
      </w:r>
      <w:r>
        <w:rPr/>
        <w:t>Total</w:t>
      </w:r>
      <w:r>
        <w:rPr>
          <w:spacing w:val="-2"/>
        </w:rPr>
        <w:t> </w:t>
      </w:r>
      <w:r>
        <w:rPr/>
        <w:t>de estudiantes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Nivel</w:t>
      </w:r>
      <w:r>
        <w:rPr>
          <w:spacing w:val="-1"/>
        </w:rPr>
        <w:t> </w:t>
      </w:r>
      <w:r>
        <w:rPr/>
        <w:t>Educativo para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Guatemala</w:t>
      </w:r>
      <w:r>
        <w:rPr>
          <w:spacing w:val="45"/>
        </w:rPr>
        <w:t> </w:t>
      </w:r>
      <w:r>
        <w:rPr/>
        <w:t>(2017</w:t>
      </w:r>
      <w:r>
        <w:rPr>
          <w:spacing w:val="-3"/>
        </w:rPr>
        <w:t> </w:t>
      </w:r>
      <w:r>
        <w:rPr/>
        <w:t>al</w:t>
      </w:r>
      <w:r>
        <w:rPr>
          <w:spacing w:val="-1"/>
        </w:rPr>
        <w:t> </w:t>
      </w:r>
      <w:r>
        <w:rPr/>
        <w:t>2021)</w:t>
      </w:r>
    </w:p>
    <w:tbl>
      <w:tblPr>
        <w:tblW w:w="0" w:type="auto"/>
        <w:jc w:val="left"/>
        <w:tblInd w:w="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1496"/>
        <w:gridCol w:w="1047"/>
        <w:gridCol w:w="1343"/>
        <w:gridCol w:w="883"/>
        <w:gridCol w:w="1552"/>
        <w:gridCol w:w="1253"/>
      </w:tblGrid>
      <w:tr>
        <w:trPr>
          <w:trHeight w:val="413" w:hRule="atLeast"/>
        </w:trPr>
        <w:tc>
          <w:tcPr>
            <w:tcW w:w="1249" w:type="dxa"/>
            <w:tcBorders>
              <w:bottom w:val="single" w:sz="8" w:space="0" w:color="8EA9DB"/>
            </w:tcBorders>
            <w:shd w:val="clear" w:color="auto" w:fill="D9E0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6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193" w:lineRule="exact"/>
              <w:ind w:left="121" w:right="7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PREPRIMARIA</w:t>
            </w:r>
          </w:p>
        </w:tc>
        <w:tc>
          <w:tcPr>
            <w:tcW w:w="1047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193" w:lineRule="exact"/>
              <w:ind w:left="71" w:right="4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PRIMARIA</w:t>
            </w:r>
          </w:p>
        </w:tc>
        <w:tc>
          <w:tcPr>
            <w:tcW w:w="1343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92" w:lineRule="exact"/>
              <w:ind w:left="43" w:right="7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PRIMARIA</w:t>
            </w:r>
            <w:r>
              <w:rPr>
                <w:rFonts w:ascii="Arial"/>
                <w:b/>
                <w:color w:val="FFFFFF"/>
                <w:spacing w:val="-10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DE</w:t>
            </w:r>
          </w:p>
          <w:p>
            <w:pPr>
              <w:pStyle w:val="TableParagraph"/>
              <w:spacing w:line="193" w:lineRule="exact" w:before="11"/>
              <w:ind w:left="36" w:right="7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ADULTOS</w:t>
            </w:r>
          </w:p>
        </w:tc>
        <w:tc>
          <w:tcPr>
            <w:tcW w:w="883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193" w:lineRule="exact"/>
              <w:ind w:left="72" w:right="7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BASICO</w:t>
            </w:r>
          </w:p>
        </w:tc>
        <w:tc>
          <w:tcPr>
            <w:tcW w:w="1552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193" w:lineRule="exact"/>
              <w:ind w:left="63" w:right="3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DIVERSIFICADO</w:t>
            </w:r>
          </w:p>
        </w:tc>
        <w:tc>
          <w:tcPr>
            <w:tcW w:w="1253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193" w:lineRule="exact"/>
              <w:ind w:right="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Total</w:t>
            </w:r>
            <w:r>
              <w:rPr>
                <w:rFonts w:ascii="Arial"/>
                <w:b/>
                <w:color w:val="FFFFFF"/>
                <w:spacing w:val="-10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general</w:t>
            </w:r>
          </w:p>
        </w:tc>
      </w:tr>
      <w:tr>
        <w:trPr>
          <w:trHeight w:val="200" w:hRule="atLeast"/>
        </w:trPr>
        <w:tc>
          <w:tcPr>
            <w:tcW w:w="1249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79" w:lineRule="exact"/>
              <w:ind w:left="42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2017</w:t>
            </w:r>
          </w:p>
        </w:tc>
        <w:tc>
          <w:tcPr>
            <w:tcW w:w="1496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79" w:lineRule="exact"/>
              <w:ind w:left="114" w:right="7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129,087</w:t>
            </w:r>
          </w:p>
        </w:tc>
        <w:tc>
          <w:tcPr>
            <w:tcW w:w="1047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79" w:lineRule="exact"/>
              <w:ind w:left="71" w:righ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424,279</w:t>
            </w:r>
          </w:p>
        </w:tc>
        <w:tc>
          <w:tcPr>
            <w:tcW w:w="1343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79" w:lineRule="exact"/>
              <w:ind w:left="38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14,037</w:t>
            </w:r>
          </w:p>
        </w:tc>
        <w:tc>
          <w:tcPr>
            <w:tcW w:w="883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79" w:lineRule="exact"/>
              <w:ind w:left="55" w:right="7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243,487</w:t>
            </w:r>
          </w:p>
        </w:tc>
        <w:tc>
          <w:tcPr>
            <w:tcW w:w="1552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79" w:lineRule="exact"/>
              <w:ind w:left="47" w:righ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141,686</w:t>
            </w:r>
          </w:p>
        </w:tc>
        <w:tc>
          <w:tcPr>
            <w:tcW w:w="1253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7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952,576</w:t>
            </w:r>
          </w:p>
        </w:tc>
      </w:tr>
      <w:tr>
        <w:trPr>
          <w:trHeight w:val="217" w:hRule="atLeast"/>
        </w:trPr>
        <w:tc>
          <w:tcPr>
            <w:tcW w:w="1249" w:type="dxa"/>
          </w:tcPr>
          <w:p>
            <w:pPr>
              <w:pStyle w:val="TableParagraph"/>
              <w:spacing w:line="194" w:lineRule="exact" w:before="3"/>
              <w:ind w:left="42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2018</w:t>
            </w:r>
          </w:p>
        </w:tc>
        <w:tc>
          <w:tcPr>
            <w:tcW w:w="1496" w:type="dxa"/>
          </w:tcPr>
          <w:p>
            <w:pPr>
              <w:pStyle w:val="TableParagraph"/>
              <w:spacing w:line="194" w:lineRule="exact" w:before="3"/>
              <w:ind w:left="104" w:right="7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132,112</w:t>
            </w:r>
          </w:p>
        </w:tc>
        <w:tc>
          <w:tcPr>
            <w:tcW w:w="1047" w:type="dxa"/>
          </w:tcPr>
          <w:p>
            <w:pPr>
              <w:pStyle w:val="TableParagraph"/>
              <w:spacing w:line="194" w:lineRule="exact" w:before="3"/>
              <w:ind w:left="71" w:righ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421,556</w:t>
            </w:r>
          </w:p>
        </w:tc>
        <w:tc>
          <w:tcPr>
            <w:tcW w:w="1343" w:type="dxa"/>
          </w:tcPr>
          <w:p>
            <w:pPr>
              <w:pStyle w:val="TableParagraph"/>
              <w:spacing w:line="194" w:lineRule="exact" w:before="3"/>
              <w:ind w:left="38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13,176</w:t>
            </w:r>
          </w:p>
        </w:tc>
        <w:tc>
          <w:tcPr>
            <w:tcW w:w="883" w:type="dxa"/>
          </w:tcPr>
          <w:p>
            <w:pPr>
              <w:pStyle w:val="TableParagraph"/>
              <w:spacing w:line="194" w:lineRule="exact" w:before="3"/>
              <w:ind w:left="55" w:right="7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240,432</w:t>
            </w:r>
          </w:p>
        </w:tc>
        <w:tc>
          <w:tcPr>
            <w:tcW w:w="1552" w:type="dxa"/>
          </w:tcPr>
          <w:p>
            <w:pPr>
              <w:pStyle w:val="TableParagraph"/>
              <w:spacing w:line="194" w:lineRule="exact" w:before="3"/>
              <w:ind w:left="47" w:righ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143,209</w:t>
            </w:r>
          </w:p>
        </w:tc>
        <w:tc>
          <w:tcPr>
            <w:tcW w:w="1253" w:type="dxa"/>
          </w:tcPr>
          <w:p>
            <w:pPr>
              <w:pStyle w:val="TableParagraph"/>
              <w:spacing w:line="194" w:lineRule="exact" w:before="3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950,485</w:t>
            </w:r>
          </w:p>
        </w:tc>
      </w:tr>
      <w:tr>
        <w:trPr>
          <w:trHeight w:val="217" w:hRule="atLeast"/>
        </w:trPr>
        <w:tc>
          <w:tcPr>
            <w:tcW w:w="1249" w:type="dxa"/>
          </w:tcPr>
          <w:p>
            <w:pPr>
              <w:pStyle w:val="TableParagraph"/>
              <w:spacing w:line="195" w:lineRule="exact" w:before="3"/>
              <w:ind w:left="42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2019</w:t>
            </w:r>
          </w:p>
        </w:tc>
        <w:tc>
          <w:tcPr>
            <w:tcW w:w="1496" w:type="dxa"/>
          </w:tcPr>
          <w:p>
            <w:pPr>
              <w:pStyle w:val="TableParagraph"/>
              <w:spacing w:line="195" w:lineRule="exact" w:before="3"/>
              <w:ind w:left="114" w:right="7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131,755</w:t>
            </w:r>
          </w:p>
        </w:tc>
        <w:tc>
          <w:tcPr>
            <w:tcW w:w="1047" w:type="dxa"/>
          </w:tcPr>
          <w:p>
            <w:pPr>
              <w:pStyle w:val="TableParagraph"/>
              <w:spacing w:line="195" w:lineRule="exact" w:before="3"/>
              <w:ind w:left="71" w:righ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419,313</w:t>
            </w:r>
          </w:p>
        </w:tc>
        <w:tc>
          <w:tcPr>
            <w:tcW w:w="1343" w:type="dxa"/>
          </w:tcPr>
          <w:p>
            <w:pPr>
              <w:pStyle w:val="TableParagraph"/>
              <w:spacing w:line="195" w:lineRule="exact" w:before="3"/>
              <w:ind w:left="38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10,620</w:t>
            </w:r>
          </w:p>
        </w:tc>
        <w:tc>
          <w:tcPr>
            <w:tcW w:w="883" w:type="dxa"/>
          </w:tcPr>
          <w:p>
            <w:pPr>
              <w:pStyle w:val="TableParagraph"/>
              <w:spacing w:line="195" w:lineRule="exact" w:before="3"/>
              <w:ind w:left="55" w:right="7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235,235</w:t>
            </w:r>
          </w:p>
        </w:tc>
        <w:tc>
          <w:tcPr>
            <w:tcW w:w="1552" w:type="dxa"/>
          </w:tcPr>
          <w:p>
            <w:pPr>
              <w:pStyle w:val="TableParagraph"/>
              <w:spacing w:line="195" w:lineRule="exact" w:before="3"/>
              <w:ind w:left="47" w:righ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141,349</w:t>
            </w:r>
          </w:p>
        </w:tc>
        <w:tc>
          <w:tcPr>
            <w:tcW w:w="1253" w:type="dxa"/>
          </w:tcPr>
          <w:p>
            <w:pPr>
              <w:pStyle w:val="TableParagraph"/>
              <w:spacing w:line="195" w:lineRule="exact" w:before="3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938,272</w:t>
            </w:r>
          </w:p>
        </w:tc>
      </w:tr>
      <w:tr>
        <w:trPr>
          <w:trHeight w:val="217" w:hRule="atLeast"/>
        </w:trPr>
        <w:tc>
          <w:tcPr>
            <w:tcW w:w="1249" w:type="dxa"/>
          </w:tcPr>
          <w:p>
            <w:pPr>
              <w:pStyle w:val="TableParagraph"/>
              <w:spacing w:line="194" w:lineRule="exact" w:before="3"/>
              <w:ind w:left="42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2020</w:t>
            </w:r>
          </w:p>
        </w:tc>
        <w:tc>
          <w:tcPr>
            <w:tcW w:w="1496" w:type="dxa"/>
          </w:tcPr>
          <w:p>
            <w:pPr>
              <w:pStyle w:val="TableParagraph"/>
              <w:spacing w:line="194" w:lineRule="exact" w:before="3"/>
              <w:ind w:left="114" w:right="7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129,628</w:t>
            </w:r>
          </w:p>
        </w:tc>
        <w:tc>
          <w:tcPr>
            <w:tcW w:w="1047" w:type="dxa"/>
          </w:tcPr>
          <w:p>
            <w:pPr>
              <w:pStyle w:val="TableParagraph"/>
              <w:spacing w:line="194" w:lineRule="exact" w:before="3"/>
              <w:ind w:left="71" w:righ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416,468</w:t>
            </w:r>
          </w:p>
        </w:tc>
        <w:tc>
          <w:tcPr>
            <w:tcW w:w="1343" w:type="dxa"/>
          </w:tcPr>
          <w:p>
            <w:pPr>
              <w:pStyle w:val="TableParagraph"/>
              <w:spacing w:line="194" w:lineRule="exact" w:before="3"/>
              <w:ind w:left="43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8,865</w:t>
            </w:r>
          </w:p>
        </w:tc>
        <w:tc>
          <w:tcPr>
            <w:tcW w:w="883" w:type="dxa"/>
          </w:tcPr>
          <w:p>
            <w:pPr>
              <w:pStyle w:val="TableParagraph"/>
              <w:spacing w:line="194" w:lineRule="exact" w:before="3"/>
              <w:ind w:left="55" w:right="7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226,916</w:t>
            </w:r>
          </w:p>
        </w:tc>
        <w:tc>
          <w:tcPr>
            <w:tcW w:w="1552" w:type="dxa"/>
          </w:tcPr>
          <w:p>
            <w:pPr>
              <w:pStyle w:val="TableParagraph"/>
              <w:spacing w:line="194" w:lineRule="exact" w:before="3"/>
              <w:ind w:left="47" w:righ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138,979</w:t>
            </w:r>
          </w:p>
        </w:tc>
        <w:tc>
          <w:tcPr>
            <w:tcW w:w="1253" w:type="dxa"/>
          </w:tcPr>
          <w:p>
            <w:pPr>
              <w:pStyle w:val="TableParagraph"/>
              <w:spacing w:line="194" w:lineRule="exact" w:before="3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920,856</w:t>
            </w:r>
          </w:p>
        </w:tc>
      </w:tr>
      <w:tr>
        <w:trPr>
          <w:trHeight w:val="210" w:hRule="atLeast"/>
        </w:trPr>
        <w:tc>
          <w:tcPr>
            <w:tcW w:w="1249" w:type="dxa"/>
          </w:tcPr>
          <w:p>
            <w:pPr>
              <w:pStyle w:val="TableParagraph"/>
              <w:spacing w:line="187" w:lineRule="exact" w:before="3"/>
              <w:ind w:left="42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2021</w:t>
            </w:r>
          </w:p>
        </w:tc>
        <w:tc>
          <w:tcPr>
            <w:tcW w:w="1496" w:type="dxa"/>
          </w:tcPr>
          <w:p>
            <w:pPr>
              <w:pStyle w:val="TableParagraph"/>
              <w:spacing w:line="187" w:lineRule="exact" w:before="3"/>
              <w:ind w:left="114" w:right="7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108,436</w:t>
            </w:r>
          </w:p>
        </w:tc>
        <w:tc>
          <w:tcPr>
            <w:tcW w:w="1047" w:type="dxa"/>
          </w:tcPr>
          <w:p>
            <w:pPr>
              <w:pStyle w:val="TableParagraph"/>
              <w:spacing w:line="187" w:lineRule="exact" w:before="3"/>
              <w:ind w:left="71" w:righ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409,618</w:t>
            </w:r>
          </w:p>
        </w:tc>
        <w:tc>
          <w:tcPr>
            <w:tcW w:w="1343" w:type="dxa"/>
          </w:tcPr>
          <w:p>
            <w:pPr>
              <w:pStyle w:val="TableParagraph"/>
              <w:spacing w:line="187" w:lineRule="exact" w:before="3"/>
              <w:ind w:left="43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3,777</w:t>
            </w:r>
          </w:p>
        </w:tc>
        <w:tc>
          <w:tcPr>
            <w:tcW w:w="883" w:type="dxa"/>
          </w:tcPr>
          <w:p>
            <w:pPr>
              <w:pStyle w:val="TableParagraph"/>
              <w:spacing w:line="187" w:lineRule="exact" w:before="3"/>
              <w:ind w:left="55" w:right="7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198,960</w:t>
            </w:r>
          </w:p>
        </w:tc>
        <w:tc>
          <w:tcPr>
            <w:tcW w:w="1552" w:type="dxa"/>
          </w:tcPr>
          <w:p>
            <w:pPr>
              <w:pStyle w:val="TableParagraph"/>
              <w:spacing w:line="187" w:lineRule="exact" w:before="3"/>
              <w:ind w:left="47" w:righ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125,702</w:t>
            </w:r>
          </w:p>
        </w:tc>
        <w:tc>
          <w:tcPr>
            <w:tcW w:w="1253" w:type="dxa"/>
          </w:tcPr>
          <w:p>
            <w:pPr>
              <w:pStyle w:val="TableParagraph"/>
              <w:spacing w:line="187" w:lineRule="exact" w:before="3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846,493</w:t>
            </w:r>
          </w:p>
        </w:tc>
      </w:tr>
    </w:tbl>
    <w:tbl>
      <w:tblPr>
        <w:tblW w:w="0" w:type="auto"/>
        <w:jc w:val="left"/>
        <w:tblInd w:w="2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1367"/>
        <w:gridCol w:w="1314"/>
        <w:gridCol w:w="1018"/>
        <w:gridCol w:w="1274"/>
        <w:gridCol w:w="1326"/>
        <w:gridCol w:w="1270"/>
      </w:tblGrid>
      <w:tr>
        <w:trPr>
          <w:trHeight w:val="202" w:hRule="atLeast"/>
        </w:trPr>
        <w:tc>
          <w:tcPr>
            <w:tcW w:w="1249" w:type="dxa"/>
            <w:tcBorders>
              <w:top w:val="single" w:sz="8" w:space="0" w:color="8EA9DB"/>
            </w:tcBorders>
            <w:shd w:val="clear" w:color="auto" w:fill="D9E0F1"/>
          </w:tcPr>
          <w:p>
            <w:pPr>
              <w:pStyle w:val="TableParagraph"/>
              <w:spacing w:line="183" w:lineRule="exact"/>
              <w:ind w:left="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0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general</w:t>
            </w:r>
          </w:p>
        </w:tc>
        <w:tc>
          <w:tcPr>
            <w:tcW w:w="1367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83" w:lineRule="exact"/>
              <w:ind w:left="4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631,018</w:t>
            </w:r>
          </w:p>
        </w:tc>
        <w:tc>
          <w:tcPr>
            <w:tcW w:w="1314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83" w:lineRule="exact"/>
              <w:ind w:left="28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2,091,234</w:t>
            </w:r>
          </w:p>
        </w:tc>
        <w:tc>
          <w:tcPr>
            <w:tcW w:w="1018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83" w:lineRule="exact"/>
              <w:ind w:left="2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50,475</w:t>
            </w:r>
          </w:p>
        </w:tc>
        <w:tc>
          <w:tcPr>
            <w:tcW w:w="1274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83" w:lineRule="exact"/>
              <w:ind w:left="2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1,145,030</w:t>
            </w:r>
          </w:p>
        </w:tc>
        <w:tc>
          <w:tcPr>
            <w:tcW w:w="1326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83" w:lineRule="exact"/>
              <w:ind w:left="26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690,925</w:t>
            </w:r>
          </w:p>
        </w:tc>
        <w:tc>
          <w:tcPr>
            <w:tcW w:w="1270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83" w:lineRule="exact"/>
              <w:ind w:left="43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4,608,682</w:t>
            </w:r>
          </w:p>
        </w:tc>
      </w:tr>
    </w:tbl>
    <w:p>
      <w:pPr>
        <w:spacing w:before="0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3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3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4"/>
          <w:sz w:val="14"/>
        </w:rPr>
        <w:t> </w:t>
      </w:r>
      <w:r>
        <w:rPr>
          <w:sz w:val="14"/>
        </w:rPr>
        <w:t>Educativa</w:t>
      </w:r>
      <w:r>
        <w:rPr>
          <w:spacing w:val="-2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4"/>
          <w:sz w:val="14"/>
        </w:rPr>
        <w:t> </w:t>
      </w:r>
      <w:r>
        <w:rPr>
          <w:sz w:val="14"/>
        </w:rPr>
        <w:t>2021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278" w:right="1074"/>
        <w:jc w:val="both"/>
      </w:pPr>
      <w:r>
        <w:rPr/>
        <w:t>La ciudad capital de Guatemala es la que presenta la mayor cantidad de población estudiantil a nivel</w:t>
      </w:r>
      <w:r>
        <w:rPr>
          <w:spacing w:val="1"/>
        </w:rPr>
        <w:t> </w:t>
      </w:r>
      <w:r>
        <w:rPr/>
        <w:t>nacional,</w:t>
      </w:r>
      <w:r>
        <w:rPr>
          <w:spacing w:val="-1"/>
        </w:rPr>
        <w:t> </w:t>
      </w:r>
      <w:r>
        <w:rPr/>
        <w:t>por la</w:t>
      </w:r>
      <w:r>
        <w:rPr>
          <w:spacing w:val="-2"/>
        </w:rPr>
        <w:t> </w:t>
      </w:r>
      <w:r>
        <w:rPr/>
        <w:t>misma dinámica de centralización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migración interna</w:t>
      </w:r>
      <w:r>
        <w:rPr>
          <w:spacing w:val="-3"/>
        </w:rPr>
        <w:t> </w:t>
      </w:r>
      <w:r>
        <w:rPr/>
        <w:t>que posee.</w:t>
      </w:r>
    </w:p>
    <w:p>
      <w:pPr>
        <w:pStyle w:val="BodyText"/>
        <w:spacing w:before="1"/>
      </w:pPr>
    </w:p>
    <w:p>
      <w:pPr>
        <w:pStyle w:val="BodyText"/>
        <w:ind w:left="278" w:right="1071"/>
        <w:jc w:val="both"/>
      </w:pPr>
      <w:r>
        <w:rPr/>
        <w:t>En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muestran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cifras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estudiantil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Departamento de Guatemala, durante el intervalo del 2017-2020. Durante el 2017 se tuvo una población</w:t>
      </w:r>
      <w:r>
        <w:rPr>
          <w:spacing w:val="-47"/>
        </w:rPr>
        <w:t> </w:t>
      </w:r>
      <w:r>
        <w:rPr/>
        <w:t>estudiantil total de 952,576. El 2018, mostró una leve reducción de 2,091 alumnos. Respecto del año</w:t>
      </w:r>
      <w:r>
        <w:rPr>
          <w:spacing w:val="1"/>
        </w:rPr>
        <w:t> </w:t>
      </w:r>
      <w:r>
        <w:rPr/>
        <w:t>anterior. Para el 2019, se redujo a 938,271. La tendencia se continuó reduciendo, presentando para el</w:t>
      </w:r>
      <w:r>
        <w:rPr>
          <w:spacing w:val="1"/>
        </w:rPr>
        <w:t> </w:t>
      </w:r>
      <w:r>
        <w:rPr/>
        <w:t>2020 la cifra 920,856, registrándose el dato más bajo con una reducción del 8% para el 2021con 846,493</w:t>
      </w:r>
      <w:r>
        <w:rPr>
          <w:spacing w:val="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el período</w:t>
      </w:r>
      <w:r>
        <w:rPr>
          <w:spacing w:val="1"/>
        </w:rPr>
        <w:t> </w:t>
      </w:r>
      <w:r>
        <w:rPr/>
        <w:t>evaluado.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1"/>
        <w:ind w:left="278" w:right="1070"/>
        <w:jc w:val="both"/>
      </w:pPr>
      <w:r>
        <w:rPr/>
        <w:t>Como se muestra, el nivel que presentó más crecimiento fue la Primaria representando el 50% de la</w:t>
      </w:r>
      <w:r>
        <w:rPr>
          <w:spacing w:val="1"/>
        </w:rPr>
        <w:t> </w:t>
      </w:r>
      <w:r>
        <w:rPr/>
        <w:t>población para este período, seguido del básico con el 19% y finalmente el nivel Preprimaria con un 18%.</w:t>
      </w:r>
      <w:r>
        <w:rPr>
          <w:spacing w:val="-47"/>
        </w:rPr>
        <w:t> </w:t>
      </w:r>
      <w:r>
        <w:rPr/>
        <w:t>La participación de alumnos en el Nivel Diversificado se mantuvo constante durante el período analizado</w:t>
      </w:r>
      <w:r>
        <w:rPr>
          <w:spacing w:val="1"/>
        </w:rPr>
        <w:t> </w:t>
      </w:r>
      <w:r>
        <w:rPr/>
        <w:t>reportando un 7%. Y finalizando, con la Primaria para Adultos, la cual posee una participación ínfima del</w:t>
      </w:r>
      <w:r>
        <w:rPr>
          <w:spacing w:val="1"/>
        </w:rPr>
        <w:t> </w:t>
      </w:r>
      <w:r>
        <w:rPr/>
        <w:t>0.14% de</w:t>
      </w:r>
      <w:r>
        <w:rPr>
          <w:spacing w:val="-2"/>
        </w:rPr>
        <w:t> </w:t>
      </w:r>
      <w:r>
        <w:rPr/>
        <w:t>la población.</w:t>
      </w:r>
    </w:p>
    <w:p>
      <w:pPr>
        <w:pStyle w:val="BodyText"/>
        <w:spacing w:before="4"/>
        <w:rPr>
          <w:sz w:val="15"/>
        </w:rPr>
      </w:pPr>
    </w:p>
    <w:p>
      <w:pPr>
        <w:pStyle w:val="Heading3"/>
        <w:numPr>
          <w:ilvl w:val="2"/>
          <w:numId w:val="32"/>
        </w:numPr>
        <w:tabs>
          <w:tab w:pos="998" w:val="left" w:leader="none"/>
          <w:tab w:pos="999" w:val="left" w:leader="none"/>
        </w:tabs>
        <w:spacing w:line="240" w:lineRule="auto" w:before="52" w:after="0"/>
        <w:ind w:left="998" w:right="0" w:hanging="721"/>
        <w:jc w:val="left"/>
      </w:pPr>
      <w:bookmarkStart w:name="_bookmark172" w:id="277"/>
      <w:bookmarkEnd w:id="277"/>
      <w:r>
        <w:rPr>
          <w:b w:val="0"/>
        </w:rPr>
      </w:r>
      <w:bookmarkStart w:name="_bookmark172" w:id="278"/>
      <w:bookmarkEnd w:id="278"/>
      <w:r>
        <w:rPr>
          <w:shd w:fill="FFFFFF" w:color="auto" w:val="clear"/>
        </w:rPr>
        <w:t>I</w:t>
      </w:r>
      <w:r>
        <w:rPr>
          <w:shd w:fill="FFFFFF" w:color="auto" w:val="clear"/>
        </w:rPr>
        <w:t>ndicador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Cobertura: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Tasa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Neta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Cobertura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278" w:right="1072"/>
        <w:jc w:val="both"/>
      </w:pPr>
      <w:r>
        <w:rPr/>
        <w:t>Para Guatemala, la cobertura educativa medida a través del (TNE) durante el período del 2017 al 2020,</w:t>
      </w:r>
      <w:r>
        <w:rPr>
          <w:spacing w:val="1"/>
        </w:rPr>
        <w:t> </w:t>
      </w:r>
      <w:r>
        <w:rPr/>
        <w:t>evidencia</w:t>
      </w:r>
      <w:r>
        <w:rPr>
          <w:spacing w:val="-6"/>
        </w:rPr>
        <w:t> </w:t>
      </w:r>
      <w:r>
        <w:rPr/>
        <w:t>una</w:t>
      </w:r>
      <w:r>
        <w:rPr>
          <w:spacing w:val="-3"/>
        </w:rPr>
        <w:t> </w:t>
      </w:r>
      <w:r>
        <w:rPr/>
        <w:t>posición</w:t>
      </w:r>
      <w:r>
        <w:rPr>
          <w:spacing w:val="-3"/>
        </w:rPr>
        <w:t> </w:t>
      </w:r>
      <w:r>
        <w:rPr/>
        <w:t>por</w:t>
      </w:r>
      <w:r>
        <w:rPr>
          <w:spacing w:val="-8"/>
        </w:rPr>
        <w:t> </w:t>
      </w:r>
      <w:r>
        <w:rPr/>
        <w:t>arriba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dato</w:t>
      </w:r>
      <w:r>
        <w:rPr>
          <w:spacing w:val="-4"/>
        </w:rPr>
        <w:t> </w:t>
      </w:r>
      <w:r>
        <w:rPr/>
        <w:t>promedio</w:t>
      </w:r>
      <w:r>
        <w:rPr>
          <w:spacing w:val="-2"/>
        </w:rPr>
        <w:t> </w:t>
      </w:r>
      <w:r>
        <w:rPr/>
        <w:t>nacional</w:t>
      </w:r>
      <w:r>
        <w:rPr>
          <w:spacing w:val="-4"/>
        </w:rPr>
        <w:t> </w:t>
      </w:r>
      <w:r>
        <w:rPr/>
        <w:t>al</w:t>
      </w:r>
      <w:r>
        <w:rPr>
          <w:spacing w:val="-4"/>
        </w:rPr>
        <w:t> </w:t>
      </w:r>
      <w:r>
        <w:rPr/>
        <w:t>reportar</w:t>
      </w:r>
      <w:r>
        <w:rPr>
          <w:spacing w:val="-8"/>
        </w:rPr>
        <w:t> </w:t>
      </w:r>
      <w:r>
        <w:rPr/>
        <w:t>más</w:t>
      </w:r>
      <w:r>
        <w:rPr>
          <w:spacing w:val="-2"/>
        </w:rPr>
        <w:t> </w:t>
      </w:r>
      <w:r>
        <w:rPr/>
        <w:t>del</w:t>
      </w:r>
      <w:r>
        <w:rPr>
          <w:spacing w:val="-5"/>
        </w:rPr>
        <w:t> </w:t>
      </w:r>
      <w:r>
        <w:rPr/>
        <w:t>101%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6"/>
        </w:rPr>
        <w:t> </w:t>
      </w:r>
      <w:r>
        <w:rPr/>
        <w:t>cobertura</w:t>
      </w:r>
      <w:r>
        <w:rPr>
          <w:spacing w:val="-6"/>
        </w:rPr>
        <w:t> </w:t>
      </w:r>
      <w:r>
        <w:rPr/>
        <w:t>de</w:t>
      </w:r>
      <w:r>
        <w:rPr>
          <w:spacing w:val="-47"/>
        </w:rPr>
        <w:t> </w:t>
      </w:r>
      <w:r>
        <w:rPr/>
        <w:t>nivel</w:t>
      </w:r>
      <w:r>
        <w:rPr>
          <w:spacing w:val="39"/>
        </w:rPr>
        <w:t> </w:t>
      </w:r>
      <w:r>
        <w:rPr/>
        <w:t>primaria</w:t>
      </w:r>
      <w:r>
        <w:rPr>
          <w:spacing w:val="36"/>
        </w:rPr>
        <w:t> </w:t>
      </w:r>
      <w:r>
        <w:rPr/>
        <w:t>en</w:t>
      </w:r>
      <w:r>
        <w:rPr>
          <w:spacing w:val="40"/>
        </w:rPr>
        <w:t> </w:t>
      </w:r>
      <w:r>
        <w:rPr/>
        <w:t>comparación</w:t>
      </w:r>
      <w:r>
        <w:rPr>
          <w:spacing w:val="38"/>
        </w:rPr>
        <w:t> </w:t>
      </w:r>
      <w:r>
        <w:rPr/>
        <w:t>con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TNE</w:t>
      </w:r>
      <w:r>
        <w:rPr>
          <w:spacing w:val="39"/>
        </w:rPr>
        <w:t> </w:t>
      </w:r>
      <w:r>
        <w:rPr/>
        <w:t>nacional</w:t>
      </w:r>
      <w:r>
        <w:rPr>
          <w:spacing w:val="37"/>
        </w:rPr>
        <w:t> </w:t>
      </w:r>
      <w:r>
        <w:rPr/>
        <w:t>promedio</w:t>
      </w:r>
      <w:r>
        <w:rPr>
          <w:spacing w:val="40"/>
        </w:rPr>
        <w:t> </w:t>
      </w:r>
      <w:r>
        <w:rPr/>
        <w:t>del</w:t>
      </w:r>
      <w:r>
        <w:rPr>
          <w:spacing w:val="39"/>
        </w:rPr>
        <w:t> </w:t>
      </w:r>
      <w:r>
        <w:rPr/>
        <w:t>período</w:t>
      </w:r>
      <w:r>
        <w:rPr>
          <w:spacing w:val="41"/>
        </w:rPr>
        <w:t> </w:t>
      </w:r>
      <w:r>
        <w:rPr/>
        <w:t>(2017-2019)</w:t>
      </w:r>
      <w:r>
        <w:rPr>
          <w:spacing w:val="39"/>
        </w:rPr>
        <w:t> </w:t>
      </w:r>
      <w:r>
        <w:rPr/>
        <w:t>que</w:t>
      </w:r>
      <w:r>
        <w:rPr>
          <w:spacing w:val="38"/>
        </w:rPr>
        <w:t> </w:t>
      </w:r>
      <w:r>
        <w:rPr/>
        <w:t>posee</w:t>
      </w:r>
      <w:r>
        <w:rPr>
          <w:spacing w:val="37"/>
        </w:rPr>
        <w:t> </w:t>
      </w:r>
      <w:r>
        <w:rPr/>
        <w:t>el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pict>
          <v:rect style="position:absolute;margin-left:563.880005pt;margin-top:17.534407pt;width:25.44pt;height:1.4399pt;mso-position-horizontal-relative:page;mso-position-vertical-relative:paragraph;z-index:-1544038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145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03008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0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2"/>
        <w:jc w:val="both"/>
      </w:pPr>
      <w:r>
        <w:rPr/>
        <w:t>77.50%. Como sucede con los otros departamentos, presenta cantidades reducidas en la participación de</w:t>
      </w:r>
      <w:r>
        <w:rPr>
          <w:spacing w:val="-47"/>
        </w:rPr>
        <w:t> </w:t>
      </w:r>
      <w:r>
        <w:rPr/>
        <w:t>los jóvenes en el ciclo básico y diversificado. En la siguiente tabla, se observan las cifras del TNE para el</w:t>
      </w:r>
      <w:r>
        <w:rPr>
          <w:spacing w:val="1"/>
        </w:rPr>
        <w:t> </w:t>
      </w:r>
      <w:r>
        <w:rPr/>
        <w:t>período</w:t>
      </w:r>
      <w:r>
        <w:rPr>
          <w:spacing w:val="-3"/>
        </w:rPr>
        <w:t> </w:t>
      </w:r>
      <w:r>
        <w:rPr/>
        <w:t>2017-2020.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278" w:right="1075"/>
        <w:jc w:val="both"/>
      </w:pPr>
      <w:r>
        <w:rPr/>
        <w:t>Tabla</w:t>
      </w:r>
      <w:r>
        <w:rPr>
          <w:spacing w:val="1"/>
        </w:rPr>
        <w:t> </w:t>
      </w:r>
      <w:r>
        <w:rPr/>
        <w:t>Nº.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Cobertura: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Bruta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Académico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47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de Guatemala</w:t>
      </w:r>
    </w:p>
    <w:p>
      <w:pPr>
        <w:pStyle w:val="BodyText"/>
        <w:ind w:left="276"/>
        <w:rPr>
          <w:sz w:val="20"/>
        </w:rPr>
      </w:pPr>
      <w:r>
        <w:rPr>
          <w:sz w:val="20"/>
        </w:rPr>
        <w:pict>
          <v:group style="width:441.55pt;height:215.7pt;mso-position-horizontal-relative:char;mso-position-vertical-relative:line" coordorigin="0,0" coordsize="8831,4314">
            <v:shape style="position:absolute;left:17;top:14;width:8800;height:1726" coordorigin="17,14" coordsize="8800,1726" path="m8817,14l17,14,17,862,17,877,17,1293,17,1308,17,1740,1134,1740,1134,1308,1134,1293,1134,877,7049,877,8817,14xe" filled="true" fillcolor="#f1f1f1" stroked="false">
              <v:path arrowok="t"/>
              <v:fill type="solid"/>
            </v:shape>
            <v:shape style="position:absolute;left:1117;top:1293;width:5079;height:447" coordorigin="1117,1293" coordsize="5079,447" path="m6196,1293l1117,1293,1117,1740,5280,1740,6196,1293xe" filled="true" fillcolor="#daedf3" stroked="false">
              <v:path arrowok="t"/>
              <v:fill type="solid"/>
            </v:shape>
            <v:shape style="position:absolute;left:17;top:1724;width:1117;height:878" coordorigin="17,1724" coordsize="1117,878" path="m1134,1724l17,1724,17,2156,17,2171,17,2602,1134,2602,1134,2171,1134,2156,1134,1724xe" filled="true" fillcolor="#f1f1f1" stroked="false">
              <v:path arrowok="t"/>
              <v:fill type="solid"/>
            </v:shape>
            <v:shape style="position:absolute;left:1117;top:2156;width:3311;height:446" coordorigin="1117,2156" coordsize="3311,446" path="m4428,2156l1117,2156,1117,2602,3514,2602,4428,2156xe" filled="true" fillcolor="#daedf3" stroked="false">
              <v:path arrowok="t"/>
              <v:fill type="solid"/>
            </v:shape>
            <v:shape style="position:absolute;left:17;top:2587;width:1117;height:878" coordorigin="17,2587" coordsize="1117,878" path="m1134,2587l17,2587,17,3018,17,3034,17,3465,1134,3465,1134,3034,1134,3018,1134,2587xe" filled="true" fillcolor="#f1f1f1" stroked="false">
              <v:path arrowok="t"/>
              <v:fill type="solid"/>
            </v:shape>
            <v:shape style="position:absolute;left:1117;top:3018;width:1545;height:447" coordorigin="1117,3018" coordsize="1545,447" path="m2662,3018l1117,3018,1117,3465,1746,3465,2662,3018xe" filled="true" fillcolor="#daedf3" stroked="false">
              <v:path arrowok="t"/>
              <v:fill type="solid"/>
            </v:shape>
            <v:shape style="position:absolute;left:17;top:3450;width:1117;height:859" coordorigin="17,3450" coordsize="1117,859" path="m1134,3450l17,3450,17,3881,17,3896,17,4309,863,3896,1134,3764,1134,3450xe" filled="true" fillcolor="#f1f1f1" stroked="false">
              <v:path arrowok="t"/>
              <v:fill type="solid"/>
            </v:shape>
            <v:shape style="position:absolute;left:8;top:4;width:8823;height:4309" coordorigin="8,4" coordsize="8823,4309" path="m8,4l8,4313m1126,446l1126,3767m3877,446l3877,2425m5286,446l5286,1737m6404,446l6404,1192m7522,446l7522,646m17,7l8831,7m17,438l7948,438m17,869l7065,869m1134,1301l6179,1301m17,1732l5297,1732m1134,2163l4414,2163m17,2595l3528,2595m1134,3026l2645,3026m17,3457l1762,3457e" filled="false" stroked="true" strokeweight=".78734pt" strokecolor="#000000">
              <v:path arrowok="t"/>
              <v:stroke dashstyle="solid"/>
            </v:shape>
            <v:shape style="position:absolute;left:2699;top:106;width:3457;height:239" type="#_x0000_t202" filled="false" stroked="false">
              <v:textbox inset="0,0,0,0">
                <w:txbxContent>
                  <w:p>
                    <w:pPr>
                      <w:spacing w:line="23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21"/>
                      </w:rPr>
                      <w:t>Departamento</w:t>
                    </w:r>
                    <w:r>
                      <w:rPr>
                        <w:rFonts w:ascii="Arial"/>
                        <w:b/>
                        <w:spacing w:val="19"/>
                        <w:w w:val="115"/>
                        <w:sz w:val="2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21"/>
                      </w:rPr>
                      <w:t>de</w:t>
                    </w:r>
                    <w:r>
                      <w:rPr>
                        <w:rFonts w:ascii="Arial"/>
                        <w:b/>
                        <w:spacing w:val="37"/>
                        <w:w w:val="115"/>
                        <w:sz w:val="21"/>
                      </w:rPr>
                      <w:t> </w:t>
                    </w:r>
                    <w:r>
                      <w:rPr>
                        <w:rFonts w:ascii="Arial"/>
                        <w:b/>
                        <w:spacing w:val="10"/>
                        <w:w w:val="115"/>
                        <w:sz w:val="21"/>
                      </w:rPr>
                      <w:t>Guatemala</w:t>
                    </w:r>
                  </w:p>
                </w:txbxContent>
              </v:textbox>
              <w10:wrap type="none"/>
            </v:shape>
            <v:shape style="position:absolute;left:345;top:544;width:472;height:209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Verdana" w:hAnsi="Verdana"/>
                        <w:sz w:val="17"/>
                      </w:rPr>
                    </w:pPr>
                    <w:r>
                      <w:rPr>
                        <w:rFonts w:ascii="Verdana" w:hAnsi="Verdana"/>
                        <w:w w:val="110"/>
                        <w:sz w:val="17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1306;top:561;width:2375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w w:val="110"/>
                        <w:sz w:val="17"/>
                      </w:rPr>
                      <w:t>Índicadores</w:t>
                    </w:r>
                    <w:r>
                      <w:rPr>
                        <w:rFonts w:ascii="Arial" w:hAnsi="Arial"/>
                        <w:b/>
                        <w:spacing w:val="-4"/>
                        <w:w w:val="11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0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0"/>
                        <w:w w:val="11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0"/>
                        <w:sz w:val="17"/>
                      </w:rPr>
                      <w:t>Cobertura</w:t>
                    </w:r>
                  </w:p>
                </w:txbxContent>
              </v:textbox>
              <w10:wrap type="none"/>
            </v:shape>
            <v:shape style="position:absolute;left:4076;top:561;width:2137;height:190" type="#_x0000_t202" filled="false" stroked="false">
              <v:textbox inset="0,0,0,0">
                <w:txbxContent>
                  <w:p>
                    <w:pPr>
                      <w:tabs>
                        <w:tab w:pos="1391" w:val="left" w:leader="none"/>
                      </w:tabs>
                      <w:spacing w:line="190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3"/>
                        <w:w w:val="110"/>
                        <w:sz w:val="17"/>
                      </w:rPr>
                      <w:t>Preprima</w:t>
                    </w:r>
                    <w:r>
                      <w:rPr>
                        <w:rFonts w:ascii="Arial"/>
                        <w:b/>
                        <w:spacing w:val="-33"/>
                        <w:w w:val="110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17"/>
                      </w:rPr>
                      <w:t>ria</w:t>
                      <w:tab/>
                    </w:r>
                    <w:r>
                      <w:rPr>
                        <w:rFonts w:ascii="Arial"/>
                        <w:b/>
                        <w:spacing w:val="-6"/>
                        <w:w w:val="110"/>
                        <w:sz w:val="17"/>
                      </w:rPr>
                      <w:t>Prima</w:t>
                    </w:r>
                    <w:r>
                      <w:rPr>
                        <w:rFonts w:ascii="Arial"/>
                        <w:b/>
                        <w:spacing w:val="-32"/>
                        <w:w w:val="110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10"/>
                        <w:sz w:val="17"/>
                      </w:rPr>
                      <w:t>ria</w:t>
                    </w:r>
                  </w:p>
                </w:txbxContent>
              </v:textbox>
              <w10:wrap type="none"/>
            </v:shape>
            <v:shape style="position:absolute;left:6654;top:561;width:620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pacing w:val="-6"/>
                        <w:w w:val="110"/>
                        <w:sz w:val="17"/>
                      </w:rPr>
                      <w:t>Bá</w:t>
                    </w:r>
                    <w:r>
                      <w:rPr>
                        <w:rFonts w:ascii="Arial" w:hAnsi="Arial"/>
                        <w:b/>
                        <w:spacing w:val="-33"/>
                        <w:w w:val="11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6"/>
                        <w:w w:val="110"/>
                        <w:sz w:val="17"/>
                      </w:rPr>
                      <w:t>sico</w:t>
                    </w:r>
                  </w:p>
                </w:txbxContent>
              </v:textbox>
              <w10:wrap type="none"/>
            </v:shape>
            <v:shape style="position:absolute;left:1582;top:1004;width:1822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1D7CB3"/>
                        <w:spacing w:val="-4"/>
                        <w:w w:val="110"/>
                        <w:sz w:val="14"/>
                      </w:rPr>
                      <w:t>Ta</w:t>
                    </w:r>
                    <w:r>
                      <w:rPr>
                        <w:rFonts w:ascii="Arial"/>
                        <w:b/>
                        <w:color w:val="1D7CB3"/>
                        <w:spacing w:val="-27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4"/>
                        <w:w w:val="110"/>
                        <w:sz w:val="14"/>
                      </w:rPr>
                      <w:t>sa</w:t>
                    </w:r>
                    <w:r>
                      <w:rPr>
                        <w:rFonts w:ascii="Arial"/>
                        <w:b/>
                        <w:color w:val="1D7CB3"/>
                        <w:spacing w:val="16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3"/>
                        <w:w w:val="110"/>
                        <w:sz w:val="14"/>
                      </w:rPr>
                      <w:t>Bruta</w:t>
                    </w:r>
                    <w:r>
                      <w:rPr>
                        <w:rFonts w:ascii="Arial"/>
                        <w:b/>
                        <w:color w:val="1D7CB3"/>
                        <w:spacing w:val="17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3"/>
                        <w:w w:val="110"/>
                        <w:sz w:val="14"/>
                      </w:rPr>
                      <w:t>de</w:t>
                    </w:r>
                    <w:r>
                      <w:rPr>
                        <w:rFonts w:ascii="Arial"/>
                        <w:b/>
                        <w:color w:val="1D7CB3"/>
                        <w:spacing w:val="12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3"/>
                        <w:w w:val="110"/>
                        <w:sz w:val="14"/>
                      </w:rPr>
                      <w:t>Cobertura</w:t>
                    </w:r>
                  </w:p>
                </w:txbxContent>
              </v:textbox>
              <w10:wrap type="none"/>
            </v:shape>
            <v:shape style="position:absolute;left:4281;top:989;width:635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333333"/>
                        <w:w w:val="110"/>
                        <w:sz w:val="14"/>
                      </w:rPr>
                      <w:t>105,70%</w:t>
                    </w:r>
                  </w:p>
                </w:txbxContent>
              </v:textbox>
              <w10:wrap type="none"/>
            </v:shape>
            <v:shape style="position:absolute;left:5536;top:989;width:627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333333"/>
                        <w:w w:val="110"/>
                        <w:sz w:val="14"/>
                      </w:rPr>
                      <w:t>114,45%</w:t>
                    </w:r>
                  </w:p>
                </w:txbxContent>
              </v:textbox>
              <w10:wrap type="none"/>
            </v:shape>
            <v:shape style="position:absolute;left:6654;top:989;width:107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333333"/>
                        <w:w w:val="111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61;top:1192;width:438;height:209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Verdana"/>
                        <w:sz w:val="17"/>
                      </w:rPr>
                    </w:pPr>
                    <w:r>
                      <w:rPr>
                        <w:rFonts w:ascii="Verdana"/>
                        <w:sz w:val="17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1582;top:1437;width:1803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1D7CB3"/>
                        <w:spacing w:val="-1"/>
                        <w:w w:val="110"/>
                        <w:sz w:val="14"/>
                      </w:rPr>
                      <w:t>Ta</w:t>
                    </w:r>
                    <w:r>
                      <w:rPr>
                        <w:rFonts w:ascii="Arial"/>
                        <w:b/>
                        <w:color w:val="1D7CB3"/>
                        <w:spacing w:val="-27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1"/>
                        <w:w w:val="110"/>
                        <w:sz w:val="14"/>
                      </w:rPr>
                      <w:t>sa</w:t>
                    </w:r>
                    <w:r>
                      <w:rPr>
                        <w:rFonts w:ascii="Arial"/>
                        <w:b/>
                        <w:color w:val="1D7CB3"/>
                        <w:spacing w:val="18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1"/>
                        <w:w w:val="110"/>
                        <w:sz w:val="14"/>
                      </w:rPr>
                      <w:t>Neta</w:t>
                    </w:r>
                    <w:r>
                      <w:rPr>
                        <w:rFonts w:ascii="Arial"/>
                        <w:b/>
                        <w:color w:val="1D7CB3"/>
                        <w:spacing w:val="18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1"/>
                        <w:w w:val="110"/>
                        <w:sz w:val="14"/>
                      </w:rPr>
                      <w:t>de</w:t>
                    </w:r>
                    <w:r>
                      <w:rPr>
                        <w:rFonts w:ascii="Arial"/>
                        <w:b/>
                        <w:color w:val="1D7CB3"/>
                        <w:spacing w:val="14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1"/>
                        <w:w w:val="110"/>
                        <w:sz w:val="14"/>
                      </w:rPr>
                      <w:t>Cobertura</w:t>
                    </w:r>
                  </w:p>
                </w:txbxContent>
              </v:textbox>
              <w10:wrap type="none"/>
            </v:shape>
            <v:shape style="position:absolute;left:4316;top:1420;width:548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333333"/>
                        <w:w w:val="110"/>
                        <w:sz w:val="14"/>
                      </w:rPr>
                      <w:t>77,26%</w:t>
                    </w:r>
                  </w:p>
                </w:txbxContent>
              </v:textbox>
              <w10:wrap type="none"/>
            </v:shape>
            <v:shape style="position:absolute;left:5536;top:1420;width:28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333333"/>
                        <w:w w:val="110"/>
                        <w:sz w:val="14"/>
                      </w:rPr>
                      <w:t>102</w:t>
                    </w:r>
                  </w:p>
                </w:txbxContent>
              </v:textbox>
              <w10:wrap type="none"/>
            </v:shape>
            <v:shape style="position:absolute;left:1582;top:1867;width:1822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1D7CB3"/>
                        <w:spacing w:val="-4"/>
                        <w:w w:val="110"/>
                        <w:sz w:val="14"/>
                      </w:rPr>
                      <w:t>Ta</w:t>
                    </w:r>
                    <w:r>
                      <w:rPr>
                        <w:rFonts w:ascii="Arial"/>
                        <w:b/>
                        <w:color w:val="1D7CB3"/>
                        <w:spacing w:val="-27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4"/>
                        <w:w w:val="110"/>
                        <w:sz w:val="14"/>
                      </w:rPr>
                      <w:t>sa</w:t>
                    </w:r>
                    <w:r>
                      <w:rPr>
                        <w:rFonts w:ascii="Arial"/>
                        <w:b/>
                        <w:color w:val="1D7CB3"/>
                        <w:spacing w:val="16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3"/>
                        <w:w w:val="110"/>
                        <w:sz w:val="14"/>
                      </w:rPr>
                      <w:t>Bruta</w:t>
                    </w:r>
                    <w:r>
                      <w:rPr>
                        <w:rFonts w:ascii="Arial"/>
                        <w:b/>
                        <w:color w:val="1D7CB3"/>
                        <w:spacing w:val="17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3"/>
                        <w:w w:val="110"/>
                        <w:sz w:val="14"/>
                      </w:rPr>
                      <w:t>de</w:t>
                    </w:r>
                    <w:r>
                      <w:rPr>
                        <w:rFonts w:ascii="Arial"/>
                        <w:b/>
                        <w:color w:val="1D7CB3"/>
                        <w:spacing w:val="12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3"/>
                        <w:w w:val="110"/>
                        <w:sz w:val="14"/>
                      </w:rPr>
                      <w:t>Cobertura</w:t>
                    </w:r>
                  </w:p>
                </w:txbxContent>
              </v:textbox>
              <w10:wrap type="none"/>
            </v:shape>
            <v:shape style="position:absolute;left:4281;top:1852;width:635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333333"/>
                        <w:w w:val="110"/>
                        <w:sz w:val="14"/>
                      </w:rPr>
                      <w:t>107,10%</w:t>
                    </w:r>
                  </w:p>
                </w:txbxContent>
              </v:textbox>
              <w10:wrap type="none"/>
            </v:shape>
            <v:shape style="position:absolute;left:361;top:2054;width:438;height:209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Verdana"/>
                        <w:sz w:val="17"/>
                      </w:rPr>
                    </w:pPr>
                    <w:r>
                      <w:rPr>
                        <w:rFonts w:ascii="Verdana"/>
                        <w:sz w:val="17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1582;top:2298;width:1803;height:589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1D7CB3"/>
                        <w:spacing w:val="-1"/>
                        <w:w w:val="110"/>
                        <w:sz w:val="14"/>
                      </w:rPr>
                      <w:t>Ta</w:t>
                    </w:r>
                    <w:r>
                      <w:rPr>
                        <w:rFonts w:ascii="Arial"/>
                        <w:b/>
                        <w:color w:val="1D7CB3"/>
                        <w:spacing w:val="-27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1"/>
                        <w:w w:val="110"/>
                        <w:sz w:val="14"/>
                      </w:rPr>
                      <w:t>sa</w:t>
                    </w:r>
                    <w:r>
                      <w:rPr>
                        <w:rFonts w:ascii="Arial"/>
                        <w:b/>
                        <w:color w:val="1D7CB3"/>
                        <w:spacing w:val="18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1"/>
                        <w:w w:val="110"/>
                        <w:sz w:val="14"/>
                      </w:rPr>
                      <w:t>Neta</w:t>
                    </w:r>
                    <w:r>
                      <w:rPr>
                        <w:rFonts w:ascii="Arial"/>
                        <w:b/>
                        <w:color w:val="1D7CB3"/>
                        <w:spacing w:val="18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1"/>
                        <w:w w:val="110"/>
                        <w:sz w:val="14"/>
                      </w:rPr>
                      <w:t>de</w:t>
                    </w:r>
                    <w:r>
                      <w:rPr>
                        <w:rFonts w:ascii="Arial"/>
                        <w:b/>
                        <w:color w:val="1D7CB3"/>
                        <w:spacing w:val="14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1"/>
                        <w:w w:val="110"/>
                        <w:sz w:val="14"/>
                      </w:rPr>
                      <w:t>Cobertura</w:t>
                    </w:r>
                  </w:p>
                  <w:p>
                    <w:pPr>
                      <w:spacing w:line="240" w:lineRule="auto" w:before="6"/>
                      <w:rPr>
                        <w:rFonts w:ascii="Arial"/>
                        <w:b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1D7CB3"/>
                        <w:spacing w:val="-3"/>
                        <w:w w:val="110"/>
                        <w:sz w:val="14"/>
                      </w:rPr>
                      <w:t>Ta</w:t>
                    </w:r>
                    <w:r>
                      <w:rPr>
                        <w:rFonts w:ascii="Arial"/>
                        <w:b/>
                        <w:color w:val="1D7CB3"/>
                        <w:spacing w:val="-27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3"/>
                        <w:w w:val="110"/>
                        <w:sz w:val="14"/>
                      </w:rPr>
                      <w:t>sa</w:t>
                    </w:r>
                    <w:r>
                      <w:rPr>
                        <w:rFonts w:ascii="Arial"/>
                        <w:b/>
                        <w:color w:val="1D7CB3"/>
                        <w:spacing w:val="16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2"/>
                        <w:w w:val="110"/>
                        <w:sz w:val="14"/>
                      </w:rPr>
                      <w:t>Bruta</w:t>
                    </w:r>
                    <w:r>
                      <w:rPr>
                        <w:rFonts w:ascii="Arial"/>
                        <w:b/>
                        <w:color w:val="1D7CB3"/>
                        <w:spacing w:val="17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2"/>
                        <w:w w:val="110"/>
                        <w:sz w:val="14"/>
                      </w:rPr>
                      <w:t>de</w:t>
                    </w:r>
                    <w:r>
                      <w:rPr>
                        <w:rFonts w:ascii="Arial"/>
                        <w:b/>
                        <w:color w:val="1D7CB3"/>
                        <w:spacing w:val="12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2"/>
                        <w:w w:val="110"/>
                        <w:sz w:val="14"/>
                      </w:rPr>
                      <w:t>Cober</w:t>
                    </w:r>
                  </w:p>
                </w:txbxContent>
              </v:textbox>
              <w10:wrap type="none"/>
            </v:shape>
            <v:shape style="position:absolute;left:361;top:2917;width:438;height:209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Verdana"/>
                        <w:sz w:val="17"/>
                      </w:rPr>
                    </w:pPr>
                    <w:r>
                      <w:rPr>
                        <w:rFonts w:ascii="Verdana"/>
                        <w:sz w:val="17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1582;top:3161;width:67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1D7CB3"/>
                        <w:spacing w:val="-4"/>
                        <w:w w:val="110"/>
                        <w:sz w:val="14"/>
                      </w:rPr>
                      <w:t>Ta</w:t>
                    </w:r>
                    <w:r>
                      <w:rPr>
                        <w:rFonts w:ascii="Arial"/>
                        <w:b/>
                        <w:color w:val="1D7CB3"/>
                        <w:spacing w:val="-27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4"/>
                        <w:w w:val="110"/>
                        <w:sz w:val="14"/>
                      </w:rPr>
                      <w:t>sa</w:t>
                    </w:r>
                    <w:r>
                      <w:rPr>
                        <w:rFonts w:ascii="Arial"/>
                        <w:b/>
                        <w:color w:val="1D7CB3"/>
                        <w:spacing w:val="18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4"/>
                        <w:w w:val="110"/>
                        <w:sz w:val="14"/>
                      </w:rPr>
                      <w:t>Net</w:t>
                    </w:r>
                  </w:p>
                </w:txbxContent>
              </v:textbox>
              <w10:wrap type="none"/>
            </v:shape>
            <v:shape style="position:absolute;left:361;top:3779;width:438;height:209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Verdana"/>
                        <w:sz w:val="17"/>
                      </w:rPr>
                    </w:pPr>
                    <w:r>
                      <w:rPr>
                        <w:rFonts w:ascii="Verdana"/>
                        <w:sz w:val="17"/>
                      </w:rPr>
                      <w:t>2020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0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2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2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278" w:right="1068"/>
        <w:jc w:val="both"/>
      </w:pPr>
      <w:r>
        <w:rPr/>
        <w:t>Con el propósito de conocer las particularidades educativas del Departamento en la tabla anterior se</w:t>
      </w:r>
      <w:r>
        <w:rPr>
          <w:spacing w:val="1"/>
        </w:rPr>
        <w:t> </w:t>
      </w:r>
      <w:r>
        <w:rPr/>
        <w:t>observan las ratios de los indicadores de cobertura neta y Bruta, para los niveles educativos y un plazo de</w:t>
      </w:r>
      <w:r>
        <w:rPr>
          <w:spacing w:val="-47"/>
        </w:rPr>
        <w:t> </w:t>
      </w:r>
      <w:r>
        <w:rPr/>
        <w:t>4 años. Es evidente que la educación preprimaria reporta una alta cobertura durante el periodo 2017‐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TNE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(75.28%),</w:t>
      </w:r>
      <w:r>
        <w:rPr>
          <w:spacing w:val="1"/>
        </w:rPr>
        <w:t> </w:t>
      </w:r>
      <w:r>
        <w:rPr/>
        <w:t>(78.66%),</w:t>
      </w:r>
      <w:r>
        <w:rPr>
          <w:spacing w:val="1"/>
        </w:rPr>
        <w:t> </w:t>
      </w:r>
      <w:r>
        <w:rPr/>
        <w:t>(75.91%)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(75.72%)</w:t>
      </w:r>
      <w:r>
        <w:rPr>
          <w:spacing w:val="1"/>
        </w:rPr>
        <w:t> </w:t>
      </w:r>
      <w:r>
        <w:rPr/>
        <w:t>respectivamente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indicados.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esta</w:t>
      </w:r>
      <w:r>
        <w:rPr>
          <w:spacing w:val="-6"/>
        </w:rPr>
        <w:t> </w:t>
      </w:r>
      <w:r>
        <w:rPr/>
        <w:t>razón,</w:t>
      </w:r>
      <w:r>
        <w:rPr>
          <w:spacing w:val="-4"/>
        </w:rPr>
        <w:t> </w:t>
      </w:r>
      <w:r>
        <w:rPr/>
        <w:t>siete</w:t>
      </w:r>
      <w:r>
        <w:rPr>
          <w:spacing w:val="-5"/>
        </w:rPr>
        <w:t> </w:t>
      </w:r>
      <w:r>
        <w:rPr/>
        <w:t>(7)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cada</w:t>
      </w:r>
      <w:r>
        <w:rPr>
          <w:spacing w:val="-7"/>
        </w:rPr>
        <w:t> </w:t>
      </w:r>
      <w:r>
        <w:rPr/>
        <w:t>10</w:t>
      </w:r>
      <w:r>
        <w:rPr>
          <w:spacing w:val="-4"/>
        </w:rPr>
        <w:t> </w:t>
      </w:r>
      <w:r>
        <w:rPr/>
        <w:t>niños,</w:t>
      </w:r>
      <w:r>
        <w:rPr>
          <w:spacing w:val="-8"/>
        </w:rPr>
        <w:t> </w:t>
      </w:r>
      <w:r>
        <w:rPr/>
        <w:t>están</w:t>
      </w:r>
      <w:r>
        <w:rPr>
          <w:spacing w:val="-5"/>
        </w:rPr>
        <w:t> </w:t>
      </w:r>
      <w:r>
        <w:rPr/>
        <w:t>accediendo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este</w:t>
      </w:r>
      <w:r>
        <w:rPr>
          <w:spacing w:val="-5"/>
        </w:rPr>
        <w:t> </w:t>
      </w:r>
      <w:r>
        <w:rPr/>
        <w:t>nivel.</w:t>
      </w:r>
      <w:r>
        <w:rPr>
          <w:spacing w:val="-5"/>
        </w:rPr>
        <w:t> </w:t>
      </w:r>
      <w:r>
        <w:rPr/>
        <w:t>Además,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evidenciar</w:t>
      </w:r>
      <w:r>
        <w:rPr>
          <w:spacing w:val="-47"/>
        </w:rPr>
        <w:t> </w:t>
      </w:r>
      <w:r>
        <w:rPr/>
        <w:t>un</w:t>
      </w:r>
      <w:r>
        <w:rPr>
          <w:spacing w:val="-2"/>
        </w:rPr>
        <w:t> </w:t>
      </w:r>
      <w:r>
        <w:rPr/>
        <w:t>39%</w:t>
      </w:r>
      <w:r>
        <w:rPr>
          <w:spacing w:val="-4"/>
        </w:rPr>
        <w:t> </w:t>
      </w:r>
      <w:r>
        <w:rPr/>
        <w:t>más con</w:t>
      </w:r>
      <w:r>
        <w:rPr>
          <w:spacing w:val="-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del TNE Nacional (47%).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1"/>
        <w:ind w:left="278" w:right="1074"/>
        <w:jc w:val="both"/>
      </w:pPr>
      <w:r>
        <w:rPr/>
        <w:t>Las cifras aquí presentadas parecen confirmar que en el nivel primaria se registran mayores valores de</w:t>
      </w:r>
      <w:r>
        <w:rPr>
          <w:spacing w:val="1"/>
        </w:rPr>
        <w:t> </w:t>
      </w:r>
      <w:r>
        <w:rPr>
          <w:spacing w:val="-1"/>
        </w:rPr>
        <w:t>cobertura,</w:t>
      </w:r>
      <w:r>
        <w:rPr>
          <w:spacing w:val="-12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van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(102.78%),</w:t>
      </w:r>
      <w:r>
        <w:rPr>
          <w:spacing w:val="-12"/>
        </w:rPr>
        <w:t> </w:t>
      </w:r>
      <w:r>
        <w:rPr/>
        <w:t>(102.91%),</w:t>
      </w:r>
      <w:r>
        <w:rPr>
          <w:spacing w:val="-12"/>
        </w:rPr>
        <w:t> </w:t>
      </w:r>
      <w:r>
        <w:rPr/>
        <w:t>(103.59%)</w:t>
      </w:r>
      <w:r>
        <w:rPr>
          <w:spacing w:val="-13"/>
        </w:rPr>
        <w:t> </w:t>
      </w:r>
      <w:r>
        <w:rPr/>
        <w:t>y</w:t>
      </w:r>
      <w:r>
        <w:rPr>
          <w:spacing w:val="-11"/>
        </w:rPr>
        <w:t> </w:t>
      </w:r>
      <w:r>
        <w:rPr/>
        <w:t>(103.5%)</w:t>
      </w:r>
      <w:r>
        <w:rPr>
          <w:spacing w:val="-11"/>
        </w:rPr>
        <w:t> </w:t>
      </w:r>
      <w:r>
        <w:rPr/>
        <w:t>para</w:t>
      </w:r>
      <w:r>
        <w:rPr>
          <w:spacing w:val="-12"/>
        </w:rPr>
        <w:t> </w:t>
      </w:r>
      <w:r>
        <w:rPr/>
        <w:t>cada</w:t>
      </w:r>
      <w:r>
        <w:rPr>
          <w:spacing w:val="-12"/>
        </w:rPr>
        <w:t> </w:t>
      </w:r>
      <w:r>
        <w:rPr/>
        <w:t>año</w:t>
      </w:r>
      <w:r>
        <w:rPr>
          <w:spacing w:val="-10"/>
        </w:rPr>
        <w:t> </w:t>
      </w:r>
      <w:r>
        <w:rPr/>
        <w:t>respectivamente.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valor</w:t>
      </w:r>
      <w:r>
        <w:rPr>
          <w:spacing w:val="-48"/>
        </w:rPr>
        <w:t> </w:t>
      </w:r>
      <w:r>
        <w:rPr/>
        <w:t>promedio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TNE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Guatemala</w:t>
      </w:r>
      <w:r>
        <w:rPr>
          <w:spacing w:val="-11"/>
        </w:rPr>
        <w:t> </w:t>
      </w:r>
      <w:r>
        <w:rPr/>
        <w:t>es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un</w:t>
      </w:r>
      <w:r>
        <w:rPr>
          <w:spacing w:val="-11"/>
        </w:rPr>
        <w:t> </w:t>
      </w:r>
      <w:r>
        <w:rPr/>
        <w:t>(102%%)</w:t>
      </w:r>
      <w:r>
        <w:rPr>
          <w:spacing w:val="-10"/>
        </w:rPr>
        <w:t> </w:t>
      </w:r>
      <w:r>
        <w:rPr/>
        <w:t>durante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periodo</w:t>
      </w:r>
      <w:r>
        <w:rPr>
          <w:spacing w:val="-9"/>
        </w:rPr>
        <w:t> </w:t>
      </w:r>
      <w:r>
        <w:rPr/>
        <w:t>fue</w:t>
      </w:r>
      <w:r>
        <w:rPr>
          <w:spacing w:val="-10"/>
        </w:rPr>
        <w:t> </w:t>
      </w:r>
      <w:r>
        <w:rPr/>
        <w:t>mayor</w:t>
      </w:r>
      <w:r>
        <w:rPr>
          <w:spacing w:val="-10"/>
        </w:rPr>
        <w:t> </w:t>
      </w:r>
      <w:r>
        <w:rPr/>
        <w:t>al</w:t>
      </w:r>
      <w:r>
        <w:rPr>
          <w:spacing w:val="-11"/>
        </w:rPr>
        <w:t> </w:t>
      </w:r>
      <w:r>
        <w:rPr/>
        <w:t>TNE</w:t>
      </w:r>
      <w:r>
        <w:rPr>
          <w:spacing w:val="-11"/>
        </w:rPr>
        <w:t> </w:t>
      </w:r>
      <w:r>
        <w:rPr/>
        <w:t>Nacional</w:t>
      </w:r>
      <w:r>
        <w:rPr>
          <w:spacing w:val="-11"/>
        </w:rPr>
        <w:t> </w:t>
      </w:r>
      <w:r>
        <w:rPr/>
        <w:t>(77.5%)</w:t>
      </w:r>
      <w:r>
        <w:rPr>
          <w:spacing w:val="-47"/>
        </w:rPr>
        <w:t> </w:t>
      </w:r>
      <w:r>
        <w:rPr/>
        <w:t>al</w:t>
      </w:r>
      <w:r>
        <w:rPr>
          <w:spacing w:val="-1"/>
        </w:rPr>
        <w:t> </w:t>
      </w:r>
      <w:r>
        <w:rPr/>
        <w:t>último</w:t>
      </w:r>
      <w:r>
        <w:rPr>
          <w:spacing w:val="-2"/>
        </w:rPr>
        <w:t> </w:t>
      </w:r>
      <w:r>
        <w:rPr/>
        <w:t>valor</w:t>
      </w:r>
      <w:r>
        <w:rPr>
          <w:spacing w:val="-4"/>
        </w:rPr>
        <w:t> </w:t>
      </w:r>
      <w:r>
        <w:rPr/>
        <w:t>registrado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2019.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otras palabras,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100%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niños</w:t>
      </w:r>
      <w:r>
        <w:rPr>
          <w:spacing w:val="-1"/>
        </w:rPr>
        <w:t> </w:t>
      </w:r>
      <w:r>
        <w:rPr/>
        <w:t>están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este nivel.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ind w:left="278" w:right="1072"/>
        <w:jc w:val="both"/>
      </w:pPr>
      <w:r>
        <w:rPr/>
        <w:t>Por lo que se refiere a educación básica, los valores promedio para el período presentan un aumento</w:t>
      </w:r>
      <w:r>
        <w:rPr>
          <w:spacing w:val="1"/>
        </w:rPr>
        <w:t> </w:t>
      </w:r>
      <w:r>
        <w:rPr/>
        <w:t>considerable respecto con los datos nacionales (TNE:45.49%), debido a que reportan valores que van</w:t>
      </w:r>
      <w:r>
        <w:rPr>
          <w:spacing w:val="1"/>
        </w:rPr>
        <w:t> </w:t>
      </w:r>
      <w:r>
        <w:rPr/>
        <w:t>desde (83.32%), (84.09%), (84.45%) y (83.49%), respectivamente para el período analizado. Todo esto</w:t>
      </w:r>
      <w:r>
        <w:rPr>
          <w:spacing w:val="1"/>
        </w:rPr>
        <w:t> </w:t>
      </w:r>
      <w:r>
        <w:rPr/>
        <w:t>parece</w:t>
      </w:r>
      <w:r>
        <w:rPr>
          <w:spacing w:val="-1"/>
        </w:rPr>
        <w:t> </w:t>
      </w:r>
      <w:r>
        <w:rPr/>
        <w:t>confirmar que</w:t>
      </w:r>
      <w:r>
        <w:rPr>
          <w:spacing w:val="-3"/>
        </w:rPr>
        <w:t> </w:t>
      </w:r>
      <w:r>
        <w:rPr/>
        <w:t>más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60%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la población</w:t>
      </w:r>
      <w:r>
        <w:rPr>
          <w:spacing w:val="-4"/>
        </w:rPr>
        <w:t> </w:t>
      </w:r>
      <w:r>
        <w:rPr/>
        <w:t>adolescente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Escuintla asiste</w:t>
      </w:r>
      <w:r>
        <w:rPr>
          <w:spacing w:val="1"/>
        </w:rPr>
        <w:t> </w:t>
      </w:r>
      <w:r>
        <w:rPr/>
        <w:t>al</w:t>
      </w:r>
      <w:r>
        <w:rPr>
          <w:spacing w:val="-1"/>
        </w:rPr>
        <w:t> </w:t>
      </w:r>
      <w:r>
        <w:rPr/>
        <w:t>ciclo</w:t>
      </w:r>
      <w:r>
        <w:rPr>
          <w:spacing w:val="1"/>
        </w:rPr>
        <w:t> </w:t>
      </w:r>
      <w:r>
        <w:rPr/>
        <w:t>básico.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3"/>
        <w:jc w:val="both"/>
      </w:pPr>
      <w:r>
        <w:rPr/>
        <w:t>A diferencia de los niveles anteriores, diversificado muestra una menor proporción, pero, aun así, se</w:t>
      </w:r>
      <w:r>
        <w:rPr>
          <w:spacing w:val="1"/>
        </w:rPr>
        <w:t> </w:t>
      </w:r>
      <w:r>
        <w:rPr/>
        <w:t>encuentra duplicando la cobertura promedio nacional (24%), debido a que presenta una tasa promedio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50%. Es decir,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1 de</w:t>
      </w:r>
      <w:r>
        <w:rPr>
          <w:spacing w:val="-3"/>
        </w:rPr>
        <w:t> </w:t>
      </w:r>
      <w:r>
        <w:rPr/>
        <w:t>cada dos</w:t>
      </w:r>
      <w:r>
        <w:rPr>
          <w:spacing w:val="-2"/>
        </w:rPr>
        <w:t> </w:t>
      </w:r>
      <w:r>
        <w:rPr/>
        <w:t>adolescentes llega</w:t>
      </w:r>
      <w:r>
        <w:rPr>
          <w:spacing w:val="2"/>
        </w:rPr>
        <w:t> </w:t>
      </w:r>
      <w:r>
        <w:rPr/>
        <w:t>a estudiar</w:t>
      </w:r>
      <w:r>
        <w:rPr>
          <w:spacing w:val="-2"/>
        </w:rPr>
        <w:t> </w:t>
      </w:r>
      <w:r>
        <w:rPr/>
        <w:t>el diversificado.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  <w:r>
        <w:rPr/>
        <w:pict>
          <v:rect style="position:absolute;margin-left:563.880005pt;margin-top:19.816652pt;width:25.44pt;height:1.4399pt;mso-position-horizontal-relative:page;mso-position-vertical-relative:paragraph;z-index:-1543833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146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0505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0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pStyle w:val="BodyText"/>
        <w:spacing w:before="56"/>
        <w:ind w:left="278" w:right="1072"/>
        <w:jc w:val="both"/>
      </w:pPr>
      <w:r>
        <w:rPr/>
        <w:t>De acuerdo con INE, 2018 dentro de los principales motivos de deserción en la población de 4 a 29 años,</w:t>
      </w:r>
      <w:r>
        <w:rPr>
          <w:spacing w:val="1"/>
        </w:rPr>
        <w:t> </w:t>
      </w:r>
      <w:r>
        <w:rPr/>
        <w:t>se debe a que debe trabajar (30%) y que no tiene dinero (15%). Por otra parte, dentro de las principales</w:t>
      </w:r>
      <w:r>
        <w:rPr>
          <w:spacing w:val="1"/>
        </w:rPr>
        <w:t> </w:t>
      </w:r>
      <w:r>
        <w:rPr/>
        <w:t>motivaciones identificadas durante el 2020 para este departamento se comprende desde los siguientes</w:t>
      </w:r>
      <w:r>
        <w:rPr>
          <w:spacing w:val="1"/>
        </w:rPr>
        <w:t> </w:t>
      </w:r>
      <w:r>
        <w:rPr/>
        <w:t>factores:</w:t>
      </w:r>
      <w:r>
        <w:rPr>
          <w:spacing w:val="-2"/>
        </w:rPr>
        <w:t> </w:t>
      </w:r>
      <w:r>
        <w:rPr/>
        <w:t>1.</w:t>
      </w:r>
      <w:r>
        <w:rPr>
          <w:spacing w:val="-1"/>
        </w:rPr>
        <w:t> </w:t>
      </w:r>
      <w:r>
        <w:rPr/>
        <w:t>No</w:t>
      </w:r>
      <w:r>
        <w:rPr>
          <w:spacing w:val="1"/>
        </w:rPr>
        <w:t> </w:t>
      </w:r>
      <w:r>
        <w:rPr/>
        <w:t>le</w:t>
      </w:r>
      <w:r>
        <w:rPr>
          <w:spacing w:val="-2"/>
        </w:rPr>
        <w:t> </w:t>
      </w:r>
      <w:r>
        <w:rPr/>
        <w:t>interesa.</w:t>
      </w:r>
      <w:r>
        <w:rPr>
          <w:spacing w:val="-2"/>
        </w:rPr>
        <w:t> </w:t>
      </w:r>
      <w:r>
        <w:rPr/>
        <w:t>2.</w:t>
      </w:r>
      <w:r>
        <w:rPr>
          <w:spacing w:val="49"/>
        </w:rPr>
        <w:t> </w:t>
      </w:r>
      <w:r>
        <w:rPr/>
        <w:t>Retiro</w:t>
      </w:r>
      <w:r>
        <w:rPr>
          <w:spacing w:val="1"/>
        </w:rPr>
        <w:t> </w:t>
      </w:r>
      <w:r>
        <w:rPr/>
        <w:t>por</w:t>
      </w:r>
      <w:r>
        <w:rPr>
          <w:spacing w:val="-4"/>
        </w:rPr>
        <w:t> </w:t>
      </w:r>
      <w:r>
        <w:rPr/>
        <w:t>traslado.</w:t>
      </w:r>
      <w:r>
        <w:rPr>
          <w:spacing w:val="-1"/>
        </w:rPr>
        <w:t> </w:t>
      </w:r>
      <w:r>
        <w:rPr/>
        <w:t>3.</w:t>
      </w:r>
      <w:r>
        <w:rPr>
          <w:spacing w:val="-3"/>
        </w:rPr>
        <w:t> </w:t>
      </w:r>
      <w:r>
        <w:rPr/>
        <w:t>Trabajo.</w:t>
      </w:r>
      <w:r>
        <w:rPr>
          <w:spacing w:val="-1"/>
        </w:rPr>
        <w:t> </w:t>
      </w:r>
      <w:r>
        <w:rPr/>
        <w:t>Entre</w:t>
      </w:r>
      <w:r>
        <w:rPr>
          <w:spacing w:val="-2"/>
        </w:rPr>
        <w:t> </w:t>
      </w:r>
      <w:r>
        <w:rPr/>
        <w:t>otros.</w:t>
      </w:r>
    </w:p>
    <w:p>
      <w:pPr>
        <w:pStyle w:val="BodyText"/>
        <w:spacing w:before="9"/>
        <w:rPr>
          <w:sz w:val="19"/>
        </w:rPr>
      </w:pPr>
    </w:p>
    <w:p>
      <w:pPr>
        <w:pStyle w:val="Heading3"/>
        <w:numPr>
          <w:ilvl w:val="2"/>
          <w:numId w:val="32"/>
        </w:numPr>
        <w:tabs>
          <w:tab w:pos="998" w:val="left" w:leader="none"/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173" w:id="279"/>
      <w:bookmarkEnd w:id="279"/>
      <w:r>
        <w:rPr>
          <w:b w:val="0"/>
        </w:rPr>
      </w:r>
      <w:bookmarkStart w:name="_bookmark173" w:id="280"/>
      <w:bookmarkEnd w:id="280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Cobertura:</w:t>
      </w:r>
      <w:r>
        <w:rPr>
          <w:spacing w:val="-3"/>
        </w:rPr>
        <w:t> </w:t>
      </w:r>
      <w:r>
        <w:rPr/>
        <w:t>Tasa</w:t>
      </w:r>
      <w:r>
        <w:rPr>
          <w:spacing w:val="-3"/>
        </w:rPr>
        <w:t> </w:t>
      </w:r>
      <w:r>
        <w:rPr/>
        <w:t>Bruta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Déficit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departamento,</w:t>
      </w:r>
      <w:r>
        <w:rPr>
          <w:spacing w:val="-1"/>
        </w:rPr>
        <w:t> </w:t>
      </w:r>
      <w:r>
        <w:rPr/>
        <w:t>sexo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etnia.</w:t>
      </w: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spacing w:line="237" w:lineRule="auto"/>
        <w:ind w:left="278" w:right="1077"/>
        <w:jc w:val="both"/>
      </w:pPr>
      <w:r>
        <w:rPr/>
        <w:t>Gráfico Nº. Total de población estudiantil por niveles educativos, etnia y sexo para el Departamento de</w:t>
      </w:r>
      <w:r>
        <w:rPr>
          <w:spacing w:val="1"/>
        </w:rPr>
        <w:t> </w:t>
      </w:r>
      <w:r>
        <w:rPr/>
        <w:t>Guatemala</w:t>
      </w:r>
      <w:r>
        <w:rPr>
          <w:spacing w:val="-2"/>
        </w:rPr>
        <w:t> </w:t>
      </w:r>
      <w:r>
        <w:rPr/>
        <w:t>(2017-2021)</w:t>
      </w:r>
    </w:p>
    <w:p>
      <w:pPr>
        <w:pStyle w:val="BodyText"/>
        <w:spacing w:before="11"/>
        <w:rPr>
          <w:sz w:val="8"/>
        </w:rPr>
      </w:pPr>
      <w:r>
        <w:rPr/>
        <w:pict>
          <v:group style="position:absolute;margin-left:60.949707pt;margin-top:7.427975pt;width:480.2pt;height:178.2pt;mso-position-horizontal-relative:page;mso-position-vertical-relative:paragraph;z-index:-15436800;mso-wrap-distance-left:0;mso-wrap-distance-right:0" coordorigin="1219,149" coordsize="9604,3564">
            <v:rect style="position:absolute;left:1224;top:154;width:9592;height:3553" filled="true" fillcolor="#ffffff" stroked="false">
              <v:fill type="solid"/>
            </v:rect>
            <v:shape style="position:absolute;left:1700;top:3143;width:1827;height:2" coordorigin="1701,3144" coordsize="1827,0" path="m1701,3144l2161,3144m2330,3144l2361,3144m2621,3144l3527,3144e" filled="false" stroked="true" strokeweight=".544674pt" strokecolor="#888888">
              <v:path arrowok="t"/>
              <v:stroke dashstyle="solid"/>
            </v:shape>
            <v:shape style="position:absolute;left:3696;top:3141;width:4864;height:6" coordorigin="3696,3141" coordsize="4864,6" path="m3696,3147l3727,3147m3988,3147l5108,3147m5369,3147l6475,3147m6736,3147l7841,3147m8101,3147l8560,3147m3696,3141l3727,3141m3988,3141l5108,3141m5369,3141l6475,3141m6736,3141l7841,3141m8101,3141l8560,3141e" filled="false" stroked="true" strokeweight=".272337pt" strokecolor="#888888">
              <v:path arrowok="t"/>
              <v:stroke dashstyle="solid"/>
            </v:shape>
            <v:shape style="position:absolute;left:1700;top:1790;width:6860;height:1083" coordorigin="1701,1790" coordsize="6860,1083" path="m1701,2873l2361,2873m2621,2873l3727,2873m3988,2873l5108,2873m5369,2873l6475,2873m6736,2873l7841,2873m8009,2873l8560,2873m1701,2603l2361,2603m2621,2603l3727,2603m3988,2603l5108,2603m5369,2603l6475,2603m1701,2332l2361,2332m2621,2332l3727,2332m3988,2332l5108,2332m5369,2332l6475,2332m6643,2332l8560,2332m1701,2061l2361,2061m2529,2061l3727,2061m3896,2061l5108,2061m5369,2061l8560,2061m1701,1790l2361,1790e" filled="false" stroked="true" strokeweight=".544674pt" strokecolor="#888888">
              <v:path arrowok="t"/>
              <v:stroke dashstyle="solid"/>
            </v:shape>
            <v:shape style="position:absolute;left:2529;top:1787;width:2579;height:6" coordorigin="2529,1788" coordsize="2579,6" path="m2529,1793l5108,1793m2529,1788l5108,1788e" filled="false" stroked="true" strokeweight=".272336pt" strokecolor="#888888">
              <v:path arrowok="t"/>
              <v:stroke dashstyle="solid"/>
            </v:shape>
            <v:shape style="position:absolute;left:1700;top:1508;width:6860;height:2" coordorigin="1701,1508" coordsize="6860,0" path="m1701,1508l2361,1508m2529,1508l8560,1508e" filled="false" stroked="true" strokeweight=".544674pt" strokecolor="#888888">
              <v:path arrowok="t"/>
              <v:stroke dashstyle="solid"/>
            </v:shape>
            <v:shape style="position:absolute;left:1700;top:966;width:6860;height:271" coordorigin="1701,967" coordsize="6860,271" path="m1701,1237l1701,1237,8560,1237m1701,967l1701,967,8560,967e" filled="false" stroked="true" strokeweight=".643376pt" strokecolor="#888888">
              <v:path arrowok="t"/>
              <v:stroke dashstyle="solid"/>
            </v:shape>
            <v:shape style="position:absolute;left:4601;top:3414;width:1536;height:6" coordorigin="4602,3415" coordsize="1536,6" path="m4771,3415l4602,3415,4602,3421,4771,3421,4771,3415xm6137,3415l5983,3415,5983,3421,6137,3421,6137,3415xe" filled="true" fillcolor="#c46627" stroked="false">
              <v:path arrowok="t"/>
              <v:fill type="solid"/>
            </v:shape>
            <v:shape style="position:absolute;left:3435;top:3414;width:1474;height:6" coordorigin="3435,3415" coordsize="1474,6" path="m3527,3415l3435,3415,3435,3421,3527,3421,3527,3415xm4909,3415l4802,3415,4802,3421,4909,3421,4909,3415xe" filled="true" fillcolor="#d29e00" stroked="false">
              <v:path arrowok="t"/>
              <v:fill type="solid"/>
            </v:shape>
            <v:shape style="position:absolute;left:2160;top:3087;width:5649;height:334" coordorigin="2161,3087" coordsize="5649,334" path="m2330,3087l2161,3087,2161,3421,2330,3421,2330,3087xm3696,3132l3527,3132,3527,3421,3696,3421,3696,3132xm5062,3166l4909,3166,4909,3421,5062,3421,5062,3166xm6443,3144l6275,3144,6275,3421,6443,3421,6443,3144xm7810,3222l7641,3222,7641,3421,7810,3421,7810,3222xe" filled="true" fillcolor="#497eaf" stroked="false">
              <v:path arrowok="t"/>
              <v:fill type="solid"/>
            </v:shape>
            <v:shape style="position:absolute;left:2269;top:3166;width:5572;height:255" coordorigin="2269,3166" coordsize="5572,255" path="m2361,3267l2269,3267,2269,3421,2361,3421,2361,3267xm3727,3222l3635,3222,3635,3421,3727,3421,3727,3222xm5108,3279l5001,3279,5001,3421,5108,3421,5108,3279xm6475,3166l6367,3166,6367,3421,6475,3421,6475,3166xm7841,3234l7749,3234,7749,3421,7841,3421,7841,3234xe" filled="true" fillcolor="#5b8e39" stroked="false">
              <v:path arrowok="t"/>
              <v:fill type="solid"/>
            </v:shape>
            <v:shape style="position:absolute;left:2361;top:1294;width:5648;height:2127" coordorigin="2361,1294" coordsize="5648,2127" path="m2529,1294l2361,1294,2361,3421,2529,3421,2529,1294xm3896,1790l3727,1790,3727,3421,3896,3421,3896,1790xm5262,1734l5108,1734,5108,3421,5262,3421,5262,1734xm6643,2264l6475,2264,6475,3421,6643,3421,6643,2264xm8009,2772l7841,2772,7841,3421,8009,3421,8009,2772xe" filled="true" fillcolor="#4471c4" stroked="false">
              <v:path arrowok="t"/>
              <v:fill type="solid"/>
            </v:shape>
            <v:shape style="position:absolute;left:2453;top:1993;width:5648;height:1428" coordorigin="2453,1993" coordsize="5648,1428" path="m2621,2106l2453,2106,2453,3421,2621,3421,2621,2106xm3988,2298l3835,2298,3835,3421,3988,3421,3988,2298xm5369,1993l5200,1993,5200,3421,5369,3421,5369,1993xm6736,2749l6567,2749,6567,3421,6736,3421,6736,2749xm8101,2986l7948,2986,7948,3421,8101,3421,8101,2986xe" filled="true" fillcolor="#ec7c30" stroked="false">
              <v:path arrowok="t"/>
              <v:fill type="solid"/>
            </v:shape>
            <v:shape style="position:absolute;left:2560;top:3414;width:4268;height:6" coordorigin="2560,3415" coordsize="4268,6" path="m2730,3415l2560,3415,2560,3421,2730,3421,2730,3415xm4095,3415l3927,3415,3927,3421,4095,3421,4095,3415xm5462,3415l5292,3415,5292,3421,5462,3421,5462,3415xm6828,3415l6674,3415,6674,3421,6828,3421,6828,3415xe" filled="true" fillcolor="#a4a4a4" stroked="false">
              <v:path arrowok="t"/>
              <v:fill type="solid"/>
            </v:shape>
            <v:rect style="position:absolute;left:5492;top:3414;width:169;height:6" filled="true" fillcolor="#5b9bd4" stroked="false">
              <v:fill type="solid"/>
            </v:rect>
            <v:shape style="position:absolute;left:1708;top:966;width:6852;height:2454" coordorigin="1709,967" coordsize="6852,2454" path="m1709,3420l1709,3420,1709,967m1709,3420l1709,3420,8560,3420e" filled="false" stroked="true" strokeweight=".643376pt" strokecolor="#888888">
              <v:path arrowok="t"/>
              <v:stroke dashstyle="solid"/>
            </v:shape>
            <v:rect style="position:absolute;left:8840;top:1145;width:67;height:49" filled="true" fillcolor="#375da0" stroked="false">
              <v:fill type="solid"/>
            </v:rect>
            <v:rect style="position:absolute;left:8840;top:1345;width:67;height:50" filled="true" fillcolor="#c46627" stroked="false">
              <v:fill type="solid"/>
            </v:rect>
            <v:rect style="position:absolute;left:8840;top:1545;width:67;height:50" filled="true" fillcolor="#878787" stroked="false">
              <v:fill type="solid"/>
            </v:rect>
            <v:rect style="position:absolute;left:8840;top:1744;width:67;height:50" filled="true" fillcolor="#d29e00" stroked="false">
              <v:fill type="solid"/>
            </v:rect>
            <v:rect style="position:absolute;left:8840;top:1944;width:67;height:51" filled="true" fillcolor="#497eaf" stroked="false">
              <v:fill type="solid"/>
            </v:rect>
            <v:rect style="position:absolute;left:8840;top:2143;width:67;height:51" filled="true" fillcolor="#5b8e39" stroked="false">
              <v:fill type="solid"/>
            </v:rect>
            <v:rect style="position:absolute;left:8840;top:2343;width:67;height:51" filled="true" fillcolor="#4471c4" stroked="false">
              <v:fill type="solid"/>
            </v:rect>
            <v:rect style="position:absolute;left:8840;top:2543;width:67;height:50" filled="true" fillcolor="#ec7c30" stroked="false">
              <v:fill type="solid"/>
            </v:rect>
            <v:rect style="position:absolute;left:8840;top:2742;width:67;height:50" filled="true" fillcolor="#a4a4a4" stroked="false">
              <v:fill type="solid"/>
            </v:rect>
            <v:rect style="position:absolute;left:8840;top:2942;width:67;height:50" filled="true" fillcolor="#ffc000" stroked="false">
              <v:fill type="solid"/>
            </v:rect>
            <v:rect style="position:absolute;left:8840;top:3143;width:67;height:49" filled="true" fillcolor="#5b9bd4" stroked="false">
              <v:fill type="solid"/>
            </v:rect>
            <v:rect style="position:absolute;left:8840;top:3342;width:67;height:49" filled="true" fillcolor="#6fac46" stroked="false">
              <v:fill type="solid"/>
            </v:rect>
            <v:rect style="position:absolute;left:1224;top:154;width:9592;height:3553" filled="false" stroked="true" strokeweight=".568481pt" strokecolor="#888888">
              <v:stroke dashstyle="solid"/>
            </v:rect>
            <v:shape style="position:absolute;left:1333;top:260;width:7400;height:1871" type="#_x0000_t202" filled="false" stroked="false">
              <v:textbox inset="0,0,0,0">
                <w:txbxContent>
                  <w:p>
                    <w:pPr>
                      <w:spacing w:line="241" w:lineRule="exact" w:before="3"/>
                      <w:ind w:left="1995" w:right="18" w:firstLine="0"/>
                      <w:jc w:val="center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w w:val="140"/>
                        <w:sz w:val="20"/>
                      </w:rPr>
                      <w:t>Guatemala</w:t>
                    </w:r>
                  </w:p>
                  <w:p>
                    <w:pPr>
                      <w:spacing w:line="240" w:lineRule="auto" w:before="0"/>
                      <w:ind w:left="1996" w:right="18" w:firstLine="0"/>
                      <w:jc w:val="center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w w:val="135"/>
                        <w:sz w:val="12"/>
                      </w:rPr>
                      <w:t>Total</w:t>
                    </w:r>
                    <w:r>
                      <w:rPr>
                        <w:rFonts w:ascii="Verdana" w:hAnsi="Verdana"/>
                        <w:spacing w:val="-5"/>
                        <w:w w:val="13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35"/>
                        <w:sz w:val="12"/>
                      </w:rPr>
                      <w:t>de</w:t>
                    </w:r>
                    <w:r>
                      <w:rPr>
                        <w:rFonts w:ascii="Verdana" w:hAnsi="Verdana"/>
                        <w:spacing w:val="-3"/>
                        <w:w w:val="13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35"/>
                        <w:sz w:val="12"/>
                      </w:rPr>
                      <w:t>población</w:t>
                    </w:r>
                    <w:r>
                      <w:rPr>
                        <w:rFonts w:ascii="Verdana" w:hAnsi="Verdana"/>
                        <w:spacing w:val="-5"/>
                        <w:w w:val="13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35"/>
                        <w:sz w:val="12"/>
                      </w:rPr>
                      <w:t>estudiantil</w:t>
                    </w:r>
                    <w:r>
                      <w:rPr>
                        <w:rFonts w:ascii="Verdana" w:hAnsi="Verdana"/>
                        <w:spacing w:val="-5"/>
                        <w:w w:val="13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35"/>
                        <w:sz w:val="12"/>
                      </w:rPr>
                      <w:t>por</w:t>
                    </w:r>
                    <w:r>
                      <w:rPr>
                        <w:rFonts w:ascii="Verdana" w:hAnsi="Verdana"/>
                        <w:spacing w:val="-3"/>
                        <w:w w:val="13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35"/>
                        <w:sz w:val="12"/>
                      </w:rPr>
                      <w:t>Niveles</w:t>
                    </w:r>
                    <w:r>
                      <w:rPr>
                        <w:rFonts w:ascii="Verdana" w:hAnsi="Verdana"/>
                        <w:spacing w:val="-5"/>
                        <w:w w:val="13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35"/>
                        <w:sz w:val="12"/>
                      </w:rPr>
                      <w:t>educativos,</w:t>
                    </w:r>
                    <w:r>
                      <w:rPr>
                        <w:rFonts w:ascii="Verdana" w:hAnsi="Verdana"/>
                        <w:spacing w:val="-4"/>
                        <w:w w:val="13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35"/>
                        <w:sz w:val="12"/>
                      </w:rPr>
                      <w:t>etnia</w:t>
                    </w:r>
                    <w:r>
                      <w:rPr>
                        <w:rFonts w:ascii="Verdana" w:hAnsi="Verdana"/>
                        <w:spacing w:val="-4"/>
                        <w:w w:val="13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35"/>
                        <w:sz w:val="12"/>
                      </w:rPr>
                      <w:t>y</w:t>
                    </w:r>
                    <w:r>
                      <w:rPr>
                        <w:rFonts w:ascii="Verdana" w:hAnsi="Verdana"/>
                        <w:spacing w:val="-4"/>
                        <w:w w:val="13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35"/>
                        <w:sz w:val="12"/>
                      </w:rPr>
                      <w:t>sexo</w:t>
                    </w:r>
                    <w:r>
                      <w:rPr>
                        <w:rFonts w:ascii="Verdana" w:hAnsi="Verdana"/>
                        <w:spacing w:val="-54"/>
                        <w:w w:val="13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35"/>
                        <w:sz w:val="12"/>
                      </w:rPr>
                      <w:t>2017-2021</w:t>
                    </w:r>
                  </w:p>
                  <w:p>
                    <w:pPr>
                      <w:spacing w:before="11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40"/>
                        <w:sz w:val="11"/>
                      </w:rPr>
                      <w:t>450</w:t>
                    </w:r>
                  </w:p>
                  <w:p>
                    <w:pPr>
                      <w:spacing w:line="240" w:lineRule="auto" w:before="4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40"/>
                        <w:sz w:val="11"/>
                      </w:rPr>
                      <w:t>400</w:t>
                    </w:r>
                  </w:p>
                  <w:p>
                    <w:pPr>
                      <w:spacing w:line="240" w:lineRule="auto" w:before="4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40"/>
                        <w:sz w:val="11"/>
                      </w:rPr>
                      <w:t>350</w:t>
                    </w:r>
                  </w:p>
                  <w:p>
                    <w:pPr>
                      <w:spacing w:line="240" w:lineRule="auto" w:before="4"/>
                      <w:rPr>
                        <w:sz w:val="11"/>
                      </w:rPr>
                    </w:pPr>
                  </w:p>
                  <w:p>
                    <w:pPr>
                      <w:tabs>
                        <w:tab w:pos="3928" w:val="left" w:leader="none"/>
                        <w:tab w:pos="7256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9"/>
                      </w:rPr>
                    </w:pPr>
                    <w:r>
                      <w:rPr>
                        <w:w w:val="140"/>
                        <w:sz w:val="11"/>
                      </w:rPr>
                      <w:t>300</w:t>
                    </w:r>
                    <w:r>
                      <w:rPr>
                        <w:sz w:val="11"/>
                      </w:rPr>
                      <w:tab/>
                    </w:r>
                    <w:r>
                      <w:rPr>
                        <w:rFonts w:ascii="Verdana"/>
                        <w:w w:val="106"/>
                        <w:position w:val="3"/>
                        <w:sz w:val="9"/>
                        <w:u w:val="single" w:color="888888"/>
                      </w:rPr>
                      <w:t> </w:t>
                    </w:r>
                    <w:r>
                      <w:rPr>
                        <w:rFonts w:ascii="Verdana"/>
                        <w:position w:val="3"/>
                        <w:sz w:val="9"/>
                        <w:u w:val="single" w:color="888888"/>
                      </w:rPr>
                      <w:tab/>
                    </w:r>
                  </w:p>
                  <w:p>
                    <w:pPr>
                      <w:spacing w:line="240" w:lineRule="auto" w:before="5"/>
                      <w:rPr>
                        <w:rFonts w:ascii="Verdana"/>
                        <w:sz w:val="11"/>
                      </w:rPr>
                    </w:pPr>
                  </w:p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40"/>
                        <w:sz w:val="11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1333;top:2291;width:253;height:385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40"/>
                        <w:sz w:val="11"/>
                      </w:rPr>
                      <w:t>200</w:t>
                    </w:r>
                  </w:p>
                  <w:p>
                    <w:pPr>
                      <w:spacing w:line="240" w:lineRule="auto" w:before="3"/>
                      <w:rPr>
                        <w:sz w:val="11"/>
                      </w:rPr>
                    </w:pPr>
                  </w:p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40"/>
                        <w:sz w:val="11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6643;top:2514;width:1967;height:110" type="#_x0000_t202" filled="false" stroked="false">
              <v:textbox inset="0,0,0,0">
                <w:txbxContent>
                  <w:p>
                    <w:pPr>
                      <w:tabs>
                        <w:tab w:pos="1946" w:val="left" w:leader="none"/>
                      </w:tabs>
                      <w:spacing w:line="109" w:lineRule="exact" w:before="0"/>
                      <w:ind w:left="0" w:right="0" w:firstLine="0"/>
                      <w:jc w:val="lef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106"/>
                        <w:sz w:val="9"/>
                        <w:u w:val="single" w:color="888888"/>
                      </w:rPr>
                      <w:t> </w:t>
                    </w:r>
                    <w:r>
                      <w:rPr>
                        <w:rFonts w:ascii="Verdana"/>
                        <w:sz w:val="9"/>
                        <w:u w:val="single" w:color="888888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333;top:2836;width:253;height:386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40"/>
                        <w:sz w:val="11"/>
                      </w:rPr>
                      <w:t>100</w:t>
                    </w:r>
                  </w:p>
                  <w:p>
                    <w:pPr>
                      <w:spacing w:line="240" w:lineRule="auto" w:before="4"/>
                      <w:rPr>
                        <w:sz w:val="11"/>
                      </w:rPr>
                    </w:pPr>
                  </w:p>
                  <w:p>
                    <w:pPr>
                      <w:spacing w:line="133" w:lineRule="exact" w:before="0"/>
                      <w:ind w:left="76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40"/>
                        <w:sz w:val="11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5638;top:3251;width:98;height:113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9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488;top:3381;width:98;height:113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9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934;top:1115;width:1666;height:2307" type="#_x0000_t202" filled="false" stroked="false">
              <v:textbox inset="0,0,0,0">
                <w:txbxContent>
                  <w:p>
                    <w:pPr>
                      <w:spacing w:line="439" w:lineRule="auto" w:before="0"/>
                      <w:ind w:left="0" w:right="224" w:firstLine="0"/>
                      <w:jc w:val="lef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120"/>
                        <w:sz w:val="9"/>
                      </w:rPr>
                      <w:t>EXTRANJERO</w:t>
                    </w:r>
                    <w:r>
                      <w:rPr>
                        <w:rFonts w:ascii="Verdana"/>
                        <w:spacing w:val="15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15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HOMBRES</w:t>
                    </w:r>
                    <w:r>
                      <w:rPr>
                        <w:rFonts w:ascii="Verdana"/>
                        <w:spacing w:val="-35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EXTRANJERO</w:t>
                    </w:r>
                    <w:r>
                      <w:rPr>
                        <w:rFonts w:ascii="Verdana"/>
                        <w:spacing w:val="4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5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MUJERES</w:t>
                    </w:r>
                    <w:r>
                      <w:rPr>
                        <w:rFonts w:ascii="Verdana"/>
                        <w:spacing w:val="1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52"/>
                        <w:sz w:val="9"/>
                      </w:rPr>
                      <w:t>G</w:t>
                    </w:r>
                    <w:r>
                      <w:rPr>
                        <w:rFonts w:ascii="Verdana"/>
                        <w:w w:val="146"/>
                        <w:sz w:val="9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118"/>
                        <w:sz w:val="9"/>
                      </w:rPr>
                      <w:t>R</w:t>
                    </w:r>
                    <w:r>
                      <w:rPr>
                        <w:rFonts w:ascii="Verdana"/>
                        <w:w w:val="72"/>
                        <w:sz w:val="9"/>
                      </w:rPr>
                      <w:t>I</w:t>
                    </w:r>
                    <w:r>
                      <w:rPr>
                        <w:rFonts w:ascii="Verdana"/>
                        <w:w w:val="114"/>
                        <w:sz w:val="9"/>
                      </w:rPr>
                      <w:t>F</w:t>
                    </w:r>
                    <w:r>
                      <w:rPr>
                        <w:rFonts w:ascii="Verdana"/>
                        <w:w w:val="121"/>
                        <w:sz w:val="9"/>
                      </w:rPr>
                      <w:t>U</w:t>
                    </w:r>
                    <w:r>
                      <w:rPr>
                        <w:rFonts w:ascii="Verdana"/>
                        <w:w w:val="134"/>
                        <w:sz w:val="9"/>
                      </w:rPr>
                      <w:t>N</w:t>
                    </w:r>
                    <w:r>
                      <w:rPr>
                        <w:rFonts w:ascii="Verdana"/>
                        <w:w w:val="146"/>
                        <w:sz w:val="9"/>
                      </w:rPr>
                      <w:t>A</w:t>
                    </w:r>
                    <w:r>
                      <w:rPr>
                        <w:rFonts w:ascii="Verdana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3"/>
                        <w:sz w:val="9"/>
                      </w:rPr>
                      <w:t>H</w:t>
                    </w:r>
                    <w:r>
                      <w:rPr>
                        <w:rFonts w:ascii="Verdana"/>
                        <w:w w:val="149"/>
                        <w:sz w:val="9"/>
                      </w:rPr>
                      <w:t>O</w:t>
                    </w:r>
                    <w:r>
                      <w:rPr>
                        <w:rFonts w:ascii="Verdana"/>
                        <w:w w:val="148"/>
                        <w:sz w:val="9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113"/>
                        <w:sz w:val="9"/>
                      </w:rPr>
                      <w:t>B</w:t>
                    </w:r>
                    <w:r>
                      <w:rPr>
                        <w:rFonts w:ascii="Verdana"/>
                        <w:w w:val="118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15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98"/>
                        <w:sz w:val="9"/>
                      </w:rPr>
                      <w:t>S </w:t>
                    </w:r>
                    <w:r>
                      <w:rPr>
                        <w:rFonts w:ascii="Verdana"/>
                        <w:w w:val="152"/>
                        <w:sz w:val="9"/>
                      </w:rPr>
                      <w:t>G</w:t>
                    </w:r>
                    <w:r>
                      <w:rPr>
                        <w:rFonts w:ascii="Verdana"/>
                        <w:w w:val="146"/>
                        <w:sz w:val="9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118"/>
                        <w:sz w:val="9"/>
                      </w:rPr>
                      <w:t>R</w:t>
                    </w:r>
                    <w:r>
                      <w:rPr>
                        <w:rFonts w:ascii="Verdana"/>
                        <w:w w:val="72"/>
                        <w:sz w:val="9"/>
                      </w:rPr>
                      <w:t>I</w:t>
                    </w:r>
                    <w:r>
                      <w:rPr>
                        <w:rFonts w:ascii="Verdana"/>
                        <w:w w:val="114"/>
                        <w:sz w:val="9"/>
                      </w:rPr>
                      <w:t>F</w:t>
                    </w:r>
                    <w:r>
                      <w:rPr>
                        <w:rFonts w:ascii="Verdana"/>
                        <w:w w:val="121"/>
                        <w:sz w:val="9"/>
                      </w:rPr>
                      <w:t>U</w:t>
                    </w:r>
                    <w:r>
                      <w:rPr>
                        <w:rFonts w:ascii="Verdana"/>
                        <w:w w:val="134"/>
                        <w:sz w:val="9"/>
                      </w:rPr>
                      <w:t>N</w:t>
                    </w:r>
                    <w:r>
                      <w:rPr>
                        <w:rFonts w:ascii="Verdana"/>
                        <w:w w:val="146"/>
                        <w:sz w:val="9"/>
                      </w:rPr>
                      <w:t>A</w:t>
                    </w:r>
                    <w:r>
                      <w:rPr>
                        <w:rFonts w:ascii="Verdana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48"/>
                        <w:sz w:val="9"/>
                      </w:rPr>
                      <w:t>M</w:t>
                    </w:r>
                    <w:r>
                      <w:rPr>
                        <w:rFonts w:ascii="Verdana"/>
                        <w:w w:val="121"/>
                        <w:sz w:val="9"/>
                      </w:rPr>
                      <w:t>U</w:t>
                    </w:r>
                    <w:r>
                      <w:rPr>
                        <w:rFonts w:ascii="Verdana"/>
                        <w:spacing w:val="1"/>
                        <w:w w:val="143"/>
                        <w:sz w:val="9"/>
                      </w:rPr>
                      <w:t>J</w:t>
                    </w:r>
                    <w:r>
                      <w:rPr>
                        <w:rFonts w:ascii="Verdana"/>
                        <w:spacing w:val="-1"/>
                        <w:w w:val="115"/>
                        <w:sz w:val="9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w w:val="118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1"/>
                        <w:w w:val="115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98"/>
                        <w:sz w:val="9"/>
                      </w:rPr>
                      <w:t>S </w:t>
                    </w:r>
                    <w:r>
                      <w:rPr>
                        <w:rFonts w:ascii="Verdana"/>
                        <w:spacing w:val="-1"/>
                        <w:w w:val="112"/>
                        <w:sz w:val="9"/>
                      </w:rPr>
                      <w:t>L</w:t>
                    </w:r>
                    <w:r>
                      <w:rPr>
                        <w:rFonts w:ascii="Verdana"/>
                        <w:w w:val="146"/>
                        <w:sz w:val="9"/>
                      </w:rPr>
                      <w:t>A</w:t>
                    </w:r>
                    <w:r>
                      <w:rPr>
                        <w:rFonts w:ascii="Verdana"/>
                        <w:w w:val="131"/>
                        <w:sz w:val="9"/>
                      </w:rPr>
                      <w:t>D</w:t>
                    </w:r>
                    <w:r>
                      <w:rPr>
                        <w:rFonts w:ascii="Verdana"/>
                        <w:w w:val="72"/>
                        <w:sz w:val="9"/>
                      </w:rPr>
                      <w:t>I</w:t>
                    </w:r>
                    <w:r>
                      <w:rPr>
                        <w:rFonts w:ascii="Verdana"/>
                        <w:w w:val="134"/>
                        <w:sz w:val="9"/>
                      </w:rPr>
                      <w:t>N</w:t>
                    </w:r>
                    <w:r>
                      <w:rPr>
                        <w:rFonts w:ascii="Verdana"/>
                        <w:w w:val="149"/>
                        <w:sz w:val="9"/>
                      </w:rPr>
                      <w:t>O</w:t>
                    </w:r>
                    <w:r>
                      <w:rPr>
                        <w:rFonts w:ascii="Verdana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3"/>
                        <w:sz w:val="9"/>
                      </w:rPr>
                      <w:t>H</w:t>
                    </w:r>
                    <w:r>
                      <w:rPr>
                        <w:rFonts w:ascii="Verdana"/>
                        <w:spacing w:val="1"/>
                        <w:w w:val="149"/>
                        <w:sz w:val="9"/>
                      </w:rPr>
                      <w:t>O</w:t>
                    </w:r>
                    <w:r>
                      <w:rPr>
                        <w:rFonts w:ascii="Verdana"/>
                        <w:w w:val="148"/>
                        <w:sz w:val="9"/>
                      </w:rPr>
                      <w:t>M</w:t>
                    </w:r>
                    <w:r>
                      <w:rPr>
                        <w:rFonts w:ascii="Verdana"/>
                        <w:w w:val="113"/>
                        <w:sz w:val="9"/>
                      </w:rPr>
                      <w:t>B</w:t>
                    </w:r>
                    <w:r>
                      <w:rPr>
                        <w:rFonts w:ascii="Verdana"/>
                        <w:w w:val="118"/>
                        <w:sz w:val="9"/>
                      </w:rPr>
                      <w:t>R</w:t>
                    </w:r>
                    <w:r>
                      <w:rPr>
                        <w:rFonts w:ascii="Verdana"/>
                        <w:w w:val="115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98"/>
                        <w:sz w:val="9"/>
                      </w:rPr>
                      <w:t>S </w:t>
                    </w:r>
                    <w:r>
                      <w:rPr>
                        <w:rFonts w:ascii="Verdana"/>
                        <w:spacing w:val="-1"/>
                        <w:w w:val="112"/>
                        <w:sz w:val="9"/>
                      </w:rPr>
                      <w:t>L</w:t>
                    </w:r>
                    <w:r>
                      <w:rPr>
                        <w:rFonts w:ascii="Verdana"/>
                        <w:w w:val="146"/>
                        <w:sz w:val="9"/>
                      </w:rPr>
                      <w:t>A</w:t>
                    </w:r>
                    <w:r>
                      <w:rPr>
                        <w:rFonts w:ascii="Verdana"/>
                        <w:w w:val="131"/>
                        <w:sz w:val="9"/>
                      </w:rPr>
                      <w:t>D</w:t>
                    </w:r>
                    <w:r>
                      <w:rPr>
                        <w:rFonts w:ascii="Verdana"/>
                        <w:w w:val="72"/>
                        <w:sz w:val="9"/>
                      </w:rPr>
                      <w:t>I</w:t>
                    </w:r>
                    <w:r>
                      <w:rPr>
                        <w:rFonts w:ascii="Verdana"/>
                        <w:w w:val="134"/>
                        <w:sz w:val="9"/>
                      </w:rPr>
                      <w:t>N</w:t>
                    </w:r>
                    <w:r>
                      <w:rPr>
                        <w:rFonts w:ascii="Verdana"/>
                        <w:w w:val="149"/>
                        <w:sz w:val="9"/>
                      </w:rPr>
                      <w:t>O</w:t>
                    </w:r>
                    <w:r>
                      <w:rPr>
                        <w:rFonts w:ascii="Verdana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48"/>
                        <w:sz w:val="9"/>
                      </w:rPr>
                      <w:t>M</w:t>
                    </w:r>
                    <w:r>
                      <w:rPr>
                        <w:rFonts w:ascii="Verdana"/>
                        <w:w w:val="121"/>
                        <w:sz w:val="9"/>
                      </w:rPr>
                      <w:t>U</w:t>
                    </w:r>
                    <w:r>
                      <w:rPr>
                        <w:rFonts w:ascii="Verdana"/>
                        <w:w w:val="143"/>
                        <w:sz w:val="9"/>
                      </w:rPr>
                      <w:t>J</w:t>
                    </w:r>
                    <w:r>
                      <w:rPr>
                        <w:rFonts w:ascii="Verdana"/>
                        <w:w w:val="115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118"/>
                        <w:sz w:val="9"/>
                      </w:rPr>
                      <w:t>R</w:t>
                    </w:r>
                    <w:r>
                      <w:rPr>
                        <w:rFonts w:ascii="Verdana"/>
                        <w:w w:val="115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98"/>
                        <w:sz w:val="9"/>
                      </w:rPr>
                      <w:t>S 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MAYA</w:t>
                    </w:r>
                    <w:r>
                      <w:rPr>
                        <w:rFonts w:ascii="Verdana"/>
                        <w:spacing w:val="-2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-1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HOMBRES</w:t>
                    </w:r>
                  </w:p>
                  <w:p>
                    <w:pPr>
                      <w:spacing w:line="436" w:lineRule="auto" w:before="0"/>
                      <w:ind w:left="0" w:right="585" w:firstLine="0"/>
                      <w:jc w:val="lef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120"/>
                        <w:sz w:val="9"/>
                      </w:rPr>
                      <w:t>MAYA</w:t>
                    </w:r>
                    <w:r>
                      <w:rPr>
                        <w:rFonts w:ascii="Verdana"/>
                        <w:spacing w:val="1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2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MUJERES</w:t>
                    </w:r>
                    <w:r>
                      <w:rPr>
                        <w:rFonts w:ascii="Verdana"/>
                        <w:spacing w:val="1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X</w:t>
                    </w:r>
                    <w:r>
                      <w:rPr>
                        <w:rFonts w:ascii="Verdana"/>
                        <w:spacing w:val="-1"/>
                        <w:w w:val="72"/>
                        <w:sz w:val="9"/>
                      </w:rPr>
                      <w:t>I</w:t>
                    </w:r>
                    <w:r>
                      <w:rPr>
                        <w:rFonts w:ascii="Verdana"/>
                        <w:w w:val="134"/>
                        <w:sz w:val="9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w w:val="152"/>
                        <w:sz w:val="9"/>
                      </w:rPr>
                      <w:t>C</w:t>
                    </w:r>
                    <w:r>
                      <w:rPr>
                        <w:rFonts w:ascii="Verdana"/>
                        <w:w w:val="152"/>
                        <w:sz w:val="9"/>
                      </w:rPr>
                      <w:t>A</w:t>
                    </w:r>
                    <w:r>
                      <w:rPr>
                        <w:rFonts w:ascii="Verdana"/>
                        <w:spacing w:val="3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3"/>
                        <w:sz w:val="9"/>
                      </w:rPr>
                      <w:t>H</w:t>
                    </w:r>
                    <w:r>
                      <w:rPr>
                        <w:rFonts w:ascii="Verdana"/>
                        <w:spacing w:val="-1"/>
                        <w:w w:val="149"/>
                        <w:sz w:val="9"/>
                      </w:rPr>
                      <w:t>O</w:t>
                    </w:r>
                    <w:r>
                      <w:rPr>
                        <w:rFonts w:ascii="Verdana"/>
                        <w:w w:val="148"/>
                        <w:sz w:val="9"/>
                      </w:rPr>
                      <w:t>M</w:t>
                    </w:r>
                    <w:r>
                      <w:rPr>
                        <w:rFonts w:ascii="Verdana"/>
                        <w:w w:val="113"/>
                        <w:sz w:val="9"/>
                      </w:rPr>
                      <w:t>B</w:t>
                    </w:r>
                    <w:r>
                      <w:rPr>
                        <w:rFonts w:ascii="Verdana"/>
                        <w:spacing w:val="-1"/>
                        <w:w w:val="118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1"/>
                        <w:w w:val="115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98"/>
                        <w:sz w:val="9"/>
                      </w:rPr>
                      <w:t>S 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X</w:t>
                    </w:r>
                    <w:r>
                      <w:rPr>
                        <w:rFonts w:ascii="Verdana"/>
                        <w:spacing w:val="-1"/>
                        <w:w w:val="72"/>
                        <w:sz w:val="9"/>
                      </w:rPr>
                      <w:t>I</w:t>
                    </w:r>
                    <w:r>
                      <w:rPr>
                        <w:rFonts w:ascii="Verdana"/>
                        <w:w w:val="134"/>
                        <w:sz w:val="9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w w:val="152"/>
                        <w:sz w:val="9"/>
                      </w:rPr>
                      <w:t>C</w:t>
                    </w:r>
                    <w:r>
                      <w:rPr>
                        <w:rFonts w:ascii="Verdana"/>
                        <w:w w:val="152"/>
                        <w:sz w:val="9"/>
                      </w:rPr>
                      <w:t>A</w:t>
                    </w:r>
                    <w:r>
                      <w:rPr>
                        <w:rFonts w:ascii="Verdana"/>
                        <w:spacing w:val="3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48"/>
                        <w:sz w:val="9"/>
                      </w:rPr>
                      <w:t>M</w:t>
                    </w:r>
                    <w:r>
                      <w:rPr>
                        <w:rFonts w:ascii="Verdana"/>
                        <w:w w:val="121"/>
                        <w:sz w:val="9"/>
                      </w:rPr>
                      <w:t>U</w:t>
                    </w:r>
                    <w:r>
                      <w:rPr>
                        <w:rFonts w:ascii="Verdana"/>
                        <w:spacing w:val="-1"/>
                        <w:w w:val="143"/>
                        <w:sz w:val="9"/>
                      </w:rPr>
                      <w:t>J</w:t>
                    </w:r>
                    <w:r>
                      <w:rPr>
                        <w:rFonts w:ascii="Verdana"/>
                        <w:w w:val="115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118"/>
                        <w:sz w:val="9"/>
                      </w:rPr>
                      <w:t>R</w:t>
                    </w:r>
                    <w:r>
                      <w:rPr>
                        <w:rFonts w:ascii="Verdana"/>
                        <w:w w:val="115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98"/>
                        <w:sz w:val="9"/>
                      </w:rPr>
                      <w:t>S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 w:hAnsi="Verdana"/>
                        <w:sz w:val="9"/>
                      </w:rPr>
                    </w:pPr>
                    <w:r>
                      <w:rPr>
                        <w:rFonts w:ascii="Verdana" w:hAnsi="Verdana"/>
                        <w:w w:val="120"/>
                        <w:sz w:val="9"/>
                      </w:rPr>
                      <w:t>Sin</w:t>
                    </w:r>
                    <w:r>
                      <w:rPr>
                        <w:rFonts w:ascii="Verdana" w:hAnsi="Verdana"/>
                        <w:spacing w:val="22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20"/>
                        <w:sz w:val="9"/>
                      </w:rPr>
                      <w:t>Clasificación</w:t>
                    </w:r>
                    <w:r>
                      <w:rPr>
                        <w:rFonts w:ascii="Verdana" w:hAnsi="Verdana"/>
                        <w:spacing w:val="22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20"/>
                        <w:sz w:val="9"/>
                      </w:rPr>
                      <w:t>-</w:t>
                    </w:r>
                    <w:r>
                      <w:rPr>
                        <w:rFonts w:ascii="Verdana" w:hAnsi="Verdana"/>
                        <w:spacing w:val="21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20"/>
                        <w:sz w:val="9"/>
                      </w:rPr>
                      <w:t>HOMBRES</w:t>
                    </w:r>
                  </w:p>
                  <w:p>
                    <w:pPr>
                      <w:spacing w:before="89"/>
                      <w:ind w:left="0" w:right="0" w:firstLine="0"/>
                      <w:jc w:val="left"/>
                      <w:rPr>
                        <w:rFonts w:ascii="Verdana" w:hAnsi="Verdana"/>
                        <w:sz w:val="9"/>
                      </w:rPr>
                    </w:pPr>
                    <w:r>
                      <w:rPr>
                        <w:rFonts w:ascii="Verdana" w:hAnsi="Verdana"/>
                        <w:w w:val="120"/>
                        <w:sz w:val="9"/>
                      </w:rPr>
                      <w:t>Sin</w:t>
                    </w:r>
                    <w:r>
                      <w:rPr>
                        <w:rFonts w:ascii="Verdana" w:hAnsi="Verdana"/>
                        <w:spacing w:val="18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20"/>
                        <w:sz w:val="9"/>
                      </w:rPr>
                      <w:t>Clasificación</w:t>
                    </w:r>
                    <w:r>
                      <w:rPr>
                        <w:rFonts w:ascii="Verdana" w:hAnsi="Verdana"/>
                        <w:spacing w:val="18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20"/>
                        <w:sz w:val="9"/>
                      </w:rPr>
                      <w:t>-</w:t>
                    </w:r>
                    <w:r>
                      <w:rPr>
                        <w:rFonts w:ascii="Verdana" w:hAnsi="Verdana"/>
                        <w:spacing w:val="17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20"/>
                        <w:sz w:val="9"/>
                      </w:rPr>
                      <w:t>MUJERES</w:t>
                    </w:r>
                  </w:p>
                </w:txbxContent>
              </v:textbox>
              <w10:wrap type="none"/>
            </v:shape>
            <v:shape style="position:absolute;left:2237;top:3520;width:332;height:113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40"/>
                        <w:sz w:val="11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3608;top:3520;width:331;height:113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40"/>
                        <w:sz w:val="11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4978;top:3520;width:332;height:113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40"/>
                        <w:sz w:val="11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6350;top:3520;width:331;height:113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40"/>
                        <w:sz w:val="11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7720;top:3520;width:332;height:113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40"/>
                        <w:sz w:val="11"/>
                      </w:rPr>
                      <w:t>2021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ind w:left="278" w:right="1073"/>
        <w:jc w:val="both"/>
      </w:pPr>
      <w:r>
        <w:rPr/>
        <w:t>Este gráfico muestra el total de la población estudiantil por niveles educativos, etnia y sexo durante el</w:t>
      </w:r>
      <w:r>
        <w:rPr>
          <w:spacing w:val="1"/>
        </w:rPr>
        <w:t> </w:t>
      </w:r>
      <w:r>
        <w:rPr/>
        <w:t>período 2017-2021, para el Departamento de Guatemala, Según DIPLAN, (2021), de las cifras anteriores,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proporción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atención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la población</w:t>
      </w:r>
      <w:r>
        <w:rPr>
          <w:spacing w:val="-1"/>
        </w:rPr>
        <w:t> </w:t>
      </w:r>
      <w:r>
        <w:rPr/>
        <w:t>estudiantil fue</w:t>
      </w:r>
      <w:r>
        <w:rPr>
          <w:spacing w:val="1"/>
        </w:rPr>
        <w:t> </w:t>
      </w:r>
      <w:r>
        <w:rPr/>
        <w:t>como sigue:</w:t>
      </w:r>
    </w:p>
    <w:p>
      <w:pPr>
        <w:pStyle w:val="BodyText"/>
        <w:spacing w:before="1"/>
      </w:pPr>
    </w:p>
    <w:p>
      <w:pPr>
        <w:pStyle w:val="BodyText"/>
        <w:ind w:left="278" w:right="6319"/>
      </w:pPr>
      <w:r>
        <w:rPr/>
        <w:t>Ladinos: 46.4% de hombres y 45% de mujeres.</w:t>
      </w:r>
      <w:r>
        <w:rPr>
          <w:spacing w:val="-47"/>
        </w:rPr>
        <w:t> </w:t>
      </w:r>
      <w:r>
        <w:rPr/>
        <w:t>Mayas:</w:t>
      </w:r>
      <w:r>
        <w:rPr>
          <w:spacing w:val="-3"/>
        </w:rPr>
        <w:t> </w:t>
      </w:r>
      <w:r>
        <w:rPr/>
        <w:t>4.4%</w:t>
      </w:r>
      <w:r>
        <w:rPr>
          <w:spacing w:val="1"/>
        </w:rPr>
        <w:t> </w:t>
      </w:r>
      <w:r>
        <w:rPr/>
        <w:t>de hombres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3.9%</w:t>
      </w:r>
      <w:r>
        <w:rPr>
          <w:spacing w:val="-2"/>
        </w:rPr>
        <w:t> </w:t>
      </w:r>
      <w:r>
        <w:rPr/>
        <w:t>mujeres.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69"/>
        <w:jc w:val="both"/>
      </w:pPr>
      <w:r>
        <w:rPr>
          <w:spacing w:val="-1"/>
        </w:rPr>
        <w:t>Al</w:t>
      </w:r>
      <w:r>
        <w:rPr>
          <w:spacing w:val="-10"/>
        </w:rPr>
        <w:t> </w:t>
      </w:r>
      <w:r>
        <w:rPr>
          <w:spacing w:val="-1"/>
        </w:rPr>
        <w:t>comparar</w:t>
      </w:r>
      <w:r>
        <w:rPr>
          <w:spacing w:val="-13"/>
        </w:rPr>
        <w:t> </w:t>
      </w:r>
      <w:r>
        <w:rPr>
          <w:spacing w:val="-1"/>
        </w:rPr>
        <w:t>estos</w:t>
      </w:r>
      <w:r>
        <w:rPr>
          <w:spacing w:val="-9"/>
        </w:rPr>
        <w:t> </w:t>
      </w:r>
      <w:r>
        <w:rPr>
          <w:spacing w:val="-1"/>
        </w:rPr>
        <w:t>resultados</w:t>
      </w:r>
      <w:r>
        <w:rPr>
          <w:spacing w:val="-11"/>
        </w:rPr>
        <w:t> </w:t>
      </w:r>
      <w:r>
        <w:rPr/>
        <w:t>con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información</w:t>
      </w:r>
      <w:r>
        <w:rPr>
          <w:spacing w:val="-10"/>
        </w:rPr>
        <w:t> </w:t>
      </w:r>
      <w:r>
        <w:rPr/>
        <w:t>del</w:t>
      </w:r>
      <w:r>
        <w:rPr>
          <w:spacing w:val="-8"/>
        </w:rPr>
        <w:t> </w:t>
      </w:r>
      <w:r>
        <w:rPr/>
        <w:t>INE,</w:t>
      </w:r>
      <w:r>
        <w:rPr>
          <w:spacing w:val="-9"/>
        </w:rPr>
        <w:t> </w:t>
      </w:r>
      <w:r>
        <w:rPr/>
        <w:t>(2018),</w:t>
      </w:r>
      <w:r>
        <w:rPr>
          <w:spacing w:val="-12"/>
        </w:rPr>
        <w:t> </w:t>
      </w:r>
      <w:r>
        <w:rPr/>
        <w:t>es</w:t>
      </w:r>
      <w:r>
        <w:rPr>
          <w:spacing w:val="-11"/>
        </w:rPr>
        <w:t> </w:t>
      </w:r>
      <w:r>
        <w:rPr/>
        <w:t>posible</w:t>
      </w:r>
      <w:r>
        <w:rPr>
          <w:spacing w:val="-11"/>
        </w:rPr>
        <w:t> </w:t>
      </w:r>
      <w:r>
        <w:rPr/>
        <w:t>evidenciar</w:t>
      </w:r>
      <w:r>
        <w:rPr>
          <w:spacing w:val="-8"/>
        </w:rPr>
        <w:t> </w:t>
      </w:r>
      <w:r>
        <w:rPr/>
        <w:t>que,</w:t>
      </w:r>
      <w:r>
        <w:rPr>
          <w:spacing w:val="-11"/>
        </w:rPr>
        <w:t> </w:t>
      </w:r>
      <w:r>
        <w:rPr/>
        <w:t>si</w:t>
      </w:r>
      <w:r>
        <w:rPr>
          <w:spacing w:val="-11"/>
        </w:rPr>
        <w:t> </w:t>
      </w:r>
      <w:r>
        <w:rPr/>
        <w:t>bien</w:t>
      </w:r>
      <w:r>
        <w:rPr>
          <w:spacing w:val="-12"/>
        </w:rPr>
        <w:t> </w:t>
      </w:r>
      <w:r>
        <w:rPr/>
        <w:t>es</w:t>
      </w:r>
      <w:r>
        <w:rPr>
          <w:spacing w:val="-11"/>
        </w:rPr>
        <w:t> </w:t>
      </w:r>
      <w:r>
        <w:rPr/>
        <w:t>cierto,</w:t>
      </w:r>
      <w:r>
        <w:rPr>
          <w:spacing w:val="-47"/>
        </w:rPr>
        <w:t> </w:t>
      </w:r>
      <w:r>
        <w:rPr/>
        <w:t>si hay representatividad de las etnias mayoritarias por Departamento (13% Maya y 86% Ladina), ésta no</w:t>
      </w:r>
      <w:r>
        <w:rPr>
          <w:spacing w:val="1"/>
        </w:rPr>
        <w:t> </w:t>
      </w:r>
      <w:r>
        <w:rPr/>
        <w:t>se presenta en la misma proporción. Es decir, un niño o adolescente maya en el Departamento de</w:t>
      </w:r>
      <w:r>
        <w:rPr>
          <w:spacing w:val="1"/>
        </w:rPr>
        <w:t> </w:t>
      </w:r>
      <w:r>
        <w:rPr/>
        <w:t>Guatemala, no posee la misma oportunidad o por lo menos, la misma proporción de participación en el</w:t>
      </w:r>
      <w:r>
        <w:rPr>
          <w:spacing w:val="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nacional de</w:t>
      </w:r>
      <w:r>
        <w:rPr>
          <w:spacing w:val="-2"/>
        </w:rPr>
        <w:t> </w:t>
      </w:r>
      <w:r>
        <w:rPr/>
        <w:t>educación.</w:t>
      </w:r>
    </w:p>
    <w:p>
      <w:pPr>
        <w:pStyle w:val="BodyText"/>
        <w:spacing w:before="2"/>
      </w:pPr>
    </w:p>
    <w:p>
      <w:pPr>
        <w:pStyle w:val="BodyText"/>
        <w:ind w:left="278" w:right="1072"/>
        <w:jc w:val="both"/>
      </w:pPr>
      <w:r>
        <w:rPr/>
        <w:t>Por otra parte, respecto del sexo se sigue presentando una brecha de atención en dónde la participación</w:t>
      </w:r>
      <w:r>
        <w:rPr>
          <w:spacing w:val="1"/>
        </w:rPr>
        <w:t> </w:t>
      </w:r>
      <w:r>
        <w:rPr/>
        <w:t>del</w:t>
      </w:r>
      <w:r>
        <w:rPr>
          <w:spacing w:val="-5"/>
        </w:rPr>
        <w:t> </w:t>
      </w:r>
      <w:r>
        <w:rPr/>
        <w:t>hombre</w:t>
      </w:r>
      <w:r>
        <w:rPr>
          <w:spacing w:val="-10"/>
        </w:rPr>
        <w:t> </w:t>
      </w:r>
      <w:r>
        <w:rPr/>
        <w:t>Maya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Ladino,</w:t>
      </w:r>
      <w:r>
        <w:rPr>
          <w:spacing w:val="-7"/>
        </w:rPr>
        <w:t> </w:t>
      </w:r>
      <w:r>
        <w:rPr/>
        <w:t>es</w:t>
      </w:r>
      <w:r>
        <w:rPr>
          <w:spacing w:val="-7"/>
        </w:rPr>
        <w:t> </w:t>
      </w:r>
      <w:r>
        <w:rPr/>
        <w:t>mayor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mujer</w:t>
      </w:r>
      <w:r>
        <w:rPr>
          <w:spacing w:val="-8"/>
        </w:rPr>
        <w:t> </w:t>
      </w:r>
      <w:r>
        <w:rPr/>
        <w:t>-para</w:t>
      </w:r>
      <w:r>
        <w:rPr>
          <w:spacing w:val="-9"/>
        </w:rPr>
        <w:t> </w:t>
      </w:r>
      <w:r>
        <w:rPr/>
        <w:t>ambas</w:t>
      </w:r>
      <w:r>
        <w:rPr>
          <w:spacing w:val="-9"/>
        </w:rPr>
        <w:t> </w:t>
      </w:r>
      <w:r>
        <w:rPr/>
        <w:t>etnias-;</w:t>
      </w:r>
      <w:r>
        <w:rPr>
          <w:spacing w:val="-7"/>
        </w:rPr>
        <w:t> </w:t>
      </w:r>
      <w:r>
        <w:rPr/>
        <w:t>sobre</w:t>
      </w:r>
      <w:r>
        <w:rPr>
          <w:spacing w:val="-10"/>
        </w:rPr>
        <w:t> </w:t>
      </w:r>
      <w:r>
        <w:rPr/>
        <w:t>todo</w:t>
      </w:r>
      <w:r>
        <w:rPr>
          <w:spacing w:val="-7"/>
        </w:rPr>
        <w:t> </w:t>
      </w:r>
      <w:r>
        <w:rPr/>
        <w:t>considerando</w:t>
      </w:r>
      <w:r>
        <w:rPr>
          <w:spacing w:val="-4"/>
        </w:rPr>
        <w:t> </w:t>
      </w:r>
      <w:r>
        <w:rPr/>
        <w:t>que</w:t>
      </w:r>
      <w:r>
        <w:rPr>
          <w:spacing w:val="-47"/>
        </w:rPr>
        <w:t> </w:t>
      </w:r>
      <w:r>
        <w:rPr/>
        <w:t>en este departamento el 52% es mujer y el 48% es hombre. Es decir, el sexo –ser mujer- es un factor</w:t>
      </w:r>
      <w:r>
        <w:rPr>
          <w:spacing w:val="1"/>
        </w:rPr>
        <w:t> </w:t>
      </w:r>
      <w:r>
        <w:rPr/>
        <w:t>desfavorable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denota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cultura de</w:t>
      </w:r>
      <w:r>
        <w:rPr>
          <w:spacing w:val="-3"/>
        </w:rPr>
        <w:t> </w:t>
      </w:r>
      <w:r>
        <w:rPr/>
        <w:t>machismo</w:t>
      </w:r>
      <w:r>
        <w:rPr>
          <w:spacing w:val="1"/>
        </w:rPr>
        <w:t> </w:t>
      </w:r>
      <w:r>
        <w:rPr/>
        <w:t>imperante aún</w:t>
      </w:r>
      <w:r>
        <w:rPr>
          <w:spacing w:val="-4"/>
        </w:rPr>
        <w:t> </w:t>
      </w:r>
      <w:r>
        <w:rPr/>
        <w:t>en la capital</w:t>
      </w:r>
      <w:r>
        <w:rPr>
          <w:spacing w:val="-3"/>
        </w:rPr>
        <w:t> </w:t>
      </w:r>
      <w:r>
        <w:rPr/>
        <w:t>del país.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  <w:r>
        <w:rPr/>
        <w:pict>
          <v:rect style="position:absolute;margin-left:563.880005pt;margin-top:18.577538pt;width:25.44pt;height:1.4399pt;mso-position-horizontal-relative:page;mso-position-vertical-relative:paragraph;z-index:-1543628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147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06592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0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1"/>
          <w:numId w:val="36"/>
        </w:numPr>
        <w:tabs>
          <w:tab w:pos="854" w:val="left" w:leader="none"/>
          <w:tab w:pos="855" w:val="left" w:leader="none"/>
        </w:tabs>
        <w:spacing w:line="240" w:lineRule="auto" w:before="52" w:after="0"/>
        <w:ind w:left="854" w:right="0" w:hanging="577"/>
        <w:jc w:val="left"/>
      </w:pPr>
      <w:bookmarkStart w:name="_bookmark174" w:id="281"/>
      <w:bookmarkEnd w:id="281"/>
      <w:r>
        <w:rPr>
          <w:b w:val="0"/>
        </w:rPr>
      </w:r>
      <w:bookmarkStart w:name="_bookmark174" w:id="282"/>
      <w:bookmarkEnd w:id="282"/>
      <w:r>
        <w:rPr>
          <w:color w:val="1F4E79"/>
        </w:rPr>
        <w:t>Hueh</w:t>
      </w:r>
      <w:r>
        <w:rPr>
          <w:color w:val="1F4E79"/>
        </w:rPr>
        <w:t>uetenango</w:t>
      </w:r>
    </w:p>
    <w:p>
      <w:pPr>
        <w:pStyle w:val="BodyText"/>
        <w:rPr>
          <w:b/>
          <w:sz w:val="24"/>
        </w:rPr>
      </w:pPr>
    </w:p>
    <w:p>
      <w:pPr>
        <w:pStyle w:val="Heading3"/>
        <w:numPr>
          <w:ilvl w:val="2"/>
          <w:numId w:val="36"/>
        </w:numPr>
        <w:tabs>
          <w:tab w:pos="998" w:val="left" w:leader="none"/>
          <w:tab w:pos="999" w:val="left" w:leader="none"/>
        </w:tabs>
        <w:spacing w:line="240" w:lineRule="auto" w:before="187" w:after="0"/>
        <w:ind w:left="998" w:right="0" w:hanging="721"/>
        <w:jc w:val="left"/>
      </w:pPr>
      <w:bookmarkStart w:name="_bookmark175" w:id="283"/>
      <w:bookmarkEnd w:id="283"/>
      <w:r>
        <w:rPr>
          <w:b w:val="0"/>
        </w:rPr>
      </w:r>
      <w:bookmarkStart w:name="_bookmark175" w:id="284"/>
      <w:bookmarkEnd w:id="284"/>
      <w:r>
        <w:rPr/>
        <w:t>Inf</w:t>
      </w:r>
      <w:r>
        <w:rPr/>
        <w:t>ormación</w:t>
      </w:r>
      <w:r>
        <w:rPr>
          <w:spacing w:val="-8"/>
        </w:rPr>
        <w:t> </w:t>
      </w:r>
      <w:r>
        <w:rPr/>
        <w:t>General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/>
        <w:jc w:val="both"/>
      </w:pPr>
      <w:r>
        <w:rPr/>
        <w:t>Según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INE (2018),</w:t>
      </w:r>
      <w:r>
        <w:rPr>
          <w:spacing w:val="1"/>
        </w:rPr>
        <w:t> </w:t>
      </w:r>
      <w:r>
        <w:rPr/>
        <w:t>del total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 población,</w:t>
      </w:r>
      <w:r>
        <w:rPr>
          <w:spacing w:val="4"/>
        </w:rPr>
        <w:t> </w:t>
      </w:r>
      <w:r>
        <w:rPr/>
        <w:t>del</w:t>
      </w:r>
      <w:r>
        <w:rPr>
          <w:spacing w:val="1"/>
        </w:rPr>
        <w:t> </w:t>
      </w:r>
      <w:r>
        <w:rPr/>
        <w:t>Departamento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Huehuetenango</w:t>
      </w:r>
      <w:r>
        <w:rPr>
          <w:spacing w:val="5"/>
        </w:rPr>
        <w:t> </w:t>
      </w:r>
      <w:r>
        <w:rPr/>
        <w:t>es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1,179,669,</w:t>
      </w:r>
      <w:r>
        <w:rPr>
          <w:spacing w:val="1"/>
        </w:rPr>
        <w:t> </w:t>
      </w:r>
      <w:r>
        <w:rPr/>
        <w:t>del</w:t>
      </w:r>
    </w:p>
    <w:p>
      <w:pPr>
        <w:pStyle w:val="BodyText"/>
        <w:ind w:left="3860" w:right="1071"/>
        <w:jc w:val="both"/>
      </w:pPr>
      <w:r>
        <w:rPr/>
        <w:drawing>
          <wp:anchor distT="0" distB="0" distL="0" distR="0" allowOverlap="1" layoutInCell="1" locked="0" behindDoc="0" simplePos="0" relativeHeight="16024064">
            <wp:simplePos x="0" y="0"/>
            <wp:positionH relativeFrom="page">
              <wp:posOffset>900430</wp:posOffset>
            </wp:positionH>
            <wp:positionV relativeFrom="paragraph">
              <wp:posOffset>86406</wp:posOffset>
            </wp:positionV>
            <wp:extent cx="2171700" cy="1943100"/>
            <wp:effectExtent l="0" t="0" r="0" b="0"/>
            <wp:wrapNone/>
            <wp:docPr id="409" name="image122.jpeg" descr="Gráfico, Gráfico de barras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122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48% son hombres y 52% son mujeres. Respecto al pueblo de</w:t>
      </w:r>
      <w:r>
        <w:rPr>
          <w:spacing w:val="1"/>
        </w:rPr>
        <w:t> </w:t>
      </w:r>
      <w:r>
        <w:rPr/>
        <w:t>referencia el 65% se identifica como Maya, mientras que el 35%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reconoce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Ladino.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cuales,</w:t>
      </w:r>
      <w:r>
        <w:rPr>
          <w:spacing w:val="1"/>
        </w:rPr>
        <w:t> </w:t>
      </w:r>
      <w:r>
        <w:rPr/>
        <w:t>mayoritariamente</w:t>
      </w:r>
      <w:r>
        <w:rPr>
          <w:spacing w:val="1"/>
        </w:rPr>
        <w:t> </w:t>
      </w:r>
      <w:r>
        <w:rPr/>
        <w:t>pertenecen</w:t>
      </w:r>
      <w:r>
        <w:rPr>
          <w:spacing w:val="1"/>
        </w:rPr>
        <w:t> </w:t>
      </w:r>
      <w:r>
        <w:rPr/>
        <w:t>a la comunidad</w:t>
      </w:r>
      <w:r>
        <w:rPr>
          <w:spacing w:val="1"/>
        </w:rPr>
        <w:t> </w:t>
      </w:r>
      <w:r>
        <w:rPr/>
        <w:t>lingüística Mam</w:t>
      </w:r>
      <w:r>
        <w:rPr>
          <w:spacing w:val="1"/>
        </w:rPr>
        <w:t> </w:t>
      </w:r>
      <w:r>
        <w:rPr/>
        <w:t>(42%),</w:t>
      </w:r>
      <w:r>
        <w:rPr>
          <w:spacing w:val="1"/>
        </w:rPr>
        <w:t> </w:t>
      </w:r>
      <w:r>
        <w:rPr>
          <w:color w:val="333333"/>
        </w:rPr>
        <w:t>Q'anjob'al</w:t>
      </w:r>
      <w:r>
        <w:rPr>
          <w:color w:val="333333"/>
          <w:spacing w:val="1"/>
        </w:rPr>
        <w:t> </w:t>
      </w:r>
      <w:r>
        <w:rPr>
          <w:color w:val="333333"/>
        </w:rPr>
        <w:t>(24%), Chuj, (12%), Akateka (7%) y Jakalteko/Popti' (7%), entre</w:t>
      </w:r>
      <w:r>
        <w:rPr>
          <w:color w:val="333333"/>
          <w:spacing w:val="1"/>
        </w:rPr>
        <w:t> </w:t>
      </w:r>
      <w:r>
        <w:rPr>
          <w:color w:val="333333"/>
        </w:rPr>
        <w:t>otras.</w:t>
      </w:r>
      <w:r>
        <w:rPr>
          <w:color w:val="333333"/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departamento</w:t>
      </w:r>
      <w:r>
        <w:rPr>
          <w:spacing w:val="-8"/>
        </w:rPr>
        <w:t> </w:t>
      </w:r>
      <w:r>
        <w:rPr/>
        <w:t>es</w:t>
      </w:r>
      <w:r>
        <w:rPr>
          <w:spacing w:val="-9"/>
        </w:rPr>
        <w:t> </w:t>
      </w:r>
      <w:r>
        <w:rPr/>
        <w:t>mayoritariamente</w:t>
      </w:r>
      <w:r>
        <w:rPr>
          <w:spacing w:val="-7"/>
        </w:rPr>
        <w:t> </w:t>
      </w:r>
      <w:r>
        <w:rPr/>
        <w:t>rural</w:t>
      </w:r>
      <w:r>
        <w:rPr>
          <w:spacing w:val="-8"/>
        </w:rPr>
        <w:t> </w:t>
      </w:r>
      <w:r>
        <w:rPr/>
        <w:t>debido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el</w:t>
      </w:r>
      <w:r>
        <w:rPr>
          <w:spacing w:val="-47"/>
        </w:rPr>
        <w:t> </w:t>
      </w:r>
      <w:r>
        <w:rPr/>
        <w:t>72% de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habita</w:t>
      </w:r>
      <w:r>
        <w:rPr>
          <w:spacing w:val="-2"/>
        </w:rPr>
        <w:t> </w:t>
      </w:r>
      <w:r>
        <w:rPr/>
        <w:t>en esta</w:t>
      </w:r>
      <w:r>
        <w:rPr>
          <w:spacing w:val="-2"/>
        </w:rPr>
        <w:t> </w:t>
      </w:r>
      <w:r>
        <w:rPr/>
        <w:t>área.</w:t>
      </w:r>
    </w:p>
    <w:p>
      <w:pPr>
        <w:pStyle w:val="BodyText"/>
        <w:ind w:left="3860" w:right="1071"/>
        <w:jc w:val="both"/>
      </w:pPr>
      <w:r>
        <w:rPr/>
        <w:t>Por otra parte, es una de las regiones que registran mayor índice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desnutrición</w:t>
      </w:r>
      <w:r>
        <w:rPr>
          <w:spacing w:val="-5"/>
        </w:rPr>
        <w:t> </w:t>
      </w:r>
      <w:r>
        <w:rPr/>
        <w:t>crónica.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otras</w:t>
      </w:r>
      <w:r>
        <w:rPr>
          <w:spacing w:val="-7"/>
        </w:rPr>
        <w:t> </w:t>
      </w:r>
      <w:r>
        <w:rPr/>
        <w:t>palabras,</w:t>
      </w:r>
      <w:r>
        <w:rPr>
          <w:spacing w:val="-5"/>
        </w:rPr>
        <w:t> </w:t>
      </w:r>
      <w:r>
        <w:rPr>
          <w:color w:val="111112"/>
        </w:rPr>
        <w:t>uno</w:t>
      </w:r>
      <w:r>
        <w:rPr>
          <w:color w:val="111112"/>
          <w:spacing w:val="-6"/>
        </w:rPr>
        <w:t> </w:t>
      </w:r>
      <w:r>
        <w:rPr>
          <w:color w:val="111112"/>
        </w:rPr>
        <w:t>de</w:t>
      </w:r>
      <w:r>
        <w:rPr>
          <w:color w:val="111112"/>
          <w:spacing w:val="-7"/>
        </w:rPr>
        <w:t> </w:t>
      </w:r>
      <w:r>
        <w:rPr>
          <w:color w:val="111112"/>
        </w:rPr>
        <w:t>cada</w:t>
      </w:r>
      <w:r>
        <w:rPr>
          <w:color w:val="111112"/>
          <w:spacing w:val="-7"/>
        </w:rPr>
        <w:t> </w:t>
      </w:r>
      <w:r>
        <w:rPr>
          <w:color w:val="111112"/>
        </w:rPr>
        <w:t>dos</w:t>
      </w:r>
      <w:r>
        <w:rPr>
          <w:color w:val="111112"/>
          <w:spacing w:val="-5"/>
        </w:rPr>
        <w:t> </w:t>
      </w:r>
      <w:r>
        <w:rPr>
          <w:color w:val="111112"/>
        </w:rPr>
        <w:t>de</w:t>
      </w:r>
      <w:r>
        <w:rPr>
          <w:color w:val="111112"/>
          <w:spacing w:val="-4"/>
        </w:rPr>
        <w:t> </w:t>
      </w:r>
      <w:r>
        <w:rPr>
          <w:color w:val="111112"/>
        </w:rPr>
        <w:t>los</w:t>
      </w:r>
      <w:r>
        <w:rPr>
          <w:color w:val="111112"/>
          <w:spacing w:val="-47"/>
        </w:rPr>
        <w:t> </w:t>
      </w:r>
      <w:r>
        <w:rPr>
          <w:color w:val="111112"/>
        </w:rPr>
        <w:t>menores</w:t>
      </w:r>
      <w:r>
        <w:rPr>
          <w:color w:val="111112"/>
          <w:spacing w:val="1"/>
        </w:rPr>
        <w:t> </w:t>
      </w:r>
      <w:r>
        <w:rPr>
          <w:color w:val="111112"/>
        </w:rPr>
        <w:t>de</w:t>
      </w:r>
      <w:r>
        <w:rPr>
          <w:color w:val="111112"/>
          <w:spacing w:val="1"/>
        </w:rPr>
        <w:t> </w:t>
      </w:r>
      <w:r>
        <w:rPr>
          <w:color w:val="111112"/>
        </w:rPr>
        <w:t>5</w:t>
      </w:r>
      <w:r>
        <w:rPr>
          <w:color w:val="111112"/>
          <w:spacing w:val="1"/>
        </w:rPr>
        <w:t> </w:t>
      </w:r>
      <w:r>
        <w:rPr>
          <w:color w:val="111112"/>
        </w:rPr>
        <w:t>años</w:t>
      </w:r>
      <w:r>
        <w:rPr>
          <w:color w:val="111112"/>
          <w:spacing w:val="1"/>
        </w:rPr>
        <w:t> </w:t>
      </w:r>
      <w:r>
        <w:rPr>
          <w:color w:val="111112"/>
        </w:rPr>
        <w:t>posee</w:t>
      </w:r>
      <w:r>
        <w:rPr>
          <w:color w:val="111112"/>
          <w:spacing w:val="1"/>
        </w:rPr>
        <w:t> </w:t>
      </w:r>
      <w:r>
        <w:rPr>
          <w:color w:val="111112"/>
        </w:rPr>
        <w:t>un</w:t>
      </w:r>
      <w:r>
        <w:rPr>
          <w:color w:val="111112"/>
          <w:spacing w:val="1"/>
        </w:rPr>
        <w:t> </w:t>
      </w:r>
      <w:r>
        <w:rPr>
          <w:color w:val="111112"/>
        </w:rPr>
        <w:t>alto</w:t>
      </w:r>
      <w:r>
        <w:rPr>
          <w:color w:val="111112"/>
          <w:spacing w:val="1"/>
        </w:rPr>
        <w:t> </w:t>
      </w:r>
      <w:r>
        <w:rPr>
          <w:color w:val="111112"/>
        </w:rPr>
        <w:t>grado</w:t>
      </w:r>
      <w:r>
        <w:rPr>
          <w:color w:val="111112"/>
          <w:spacing w:val="1"/>
        </w:rPr>
        <w:t> </w:t>
      </w:r>
      <w:r>
        <w:rPr>
          <w:color w:val="111112"/>
        </w:rPr>
        <w:t>de</w:t>
      </w:r>
      <w:r>
        <w:rPr>
          <w:color w:val="111112"/>
          <w:spacing w:val="1"/>
        </w:rPr>
        <w:t> </w:t>
      </w:r>
      <w:r>
        <w:rPr>
          <w:color w:val="111112"/>
        </w:rPr>
        <w:t>vulnerabilidad</w:t>
      </w:r>
      <w:r>
        <w:rPr>
          <w:color w:val="111112"/>
          <w:spacing w:val="1"/>
        </w:rPr>
        <w:t> </w:t>
      </w:r>
      <w:r>
        <w:rPr>
          <w:color w:val="111112"/>
        </w:rPr>
        <w:t>padecimiento</w:t>
      </w:r>
      <w:r>
        <w:rPr>
          <w:color w:val="111112"/>
          <w:spacing w:val="-4"/>
        </w:rPr>
        <w:t> </w:t>
      </w:r>
      <w:r>
        <w:rPr>
          <w:color w:val="111112"/>
        </w:rPr>
        <w:t>que</w:t>
      </w:r>
      <w:r>
        <w:rPr>
          <w:color w:val="111112"/>
          <w:spacing w:val="-5"/>
        </w:rPr>
        <w:t> </w:t>
      </w:r>
      <w:r>
        <w:rPr>
          <w:color w:val="111112"/>
        </w:rPr>
        <w:t>tiene</w:t>
      </w:r>
      <w:r>
        <w:rPr>
          <w:color w:val="111112"/>
          <w:spacing w:val="-4"/>
        </w:rPr>
        <w:t> </w:t>
      </w:r>
      <w:r>
        <w:rPr>
          <w:color w:val="111112"/>
        </w:rPr>
        <w:t>relación</w:t>
      </w:r>
      <w:r>
        <w:rPr>
          <w:color w:val="111112"/>
          <w:spacing w:val="-6"/>
        </w:rPr>
        <w:t> </w:t>
      </w:r>
      <w:r>
        <w:rPr>
          <w:color w:val="111112"/>
        </w:rPr>
        <w:t>primordialmente</w:t>
      </w:r>
      <w:r>
        <w:rPr>
          <w:color w:val="111112"/>
          <w:spacing w:val="-4"/>
        </w:rPr>
        <w:t> </w:t>
      </w:r>
      <w:r>
        <w:rPr>
          <w:color w:val="111112"/>
        </w:rPr>
        <w:t>con</w:t>
      </w:r>
      <w:r>
        <w:rPr>
          <w:color w:val="111112"/>
          <w:spacing w:val="-9"/>
        </w:rPr>
        <w:t> </w:t>
      </w:r>
      <w:r>
        <w:rPr>
          <w:color w:val="111112"/>
        </w:rPr>
        <w:t>las</w:t>
      </w:r>
      <w:r>
        <w:rPr>
          <w:color w:val="111112"/>
          <w:spacing w:val="-5"/>
        </w:rPr>
        <w:t> </w:t>
      </w:r>
      <w:r>
        <w:rPr>
          <w:color w:val="111112"/>
        </w:rPr>
        <w:t>escasas</w:t>
      </w:r>
      <w:r>
        <w:rPr>
          <w:color w:val="111112"/>
          <w:spacing w:val="-48"/>
        </w:rPr>
        <w:t> </w:t>
      </w:r>
      <w:r>
        <w:rPr>
          <w:color w:val="111112"/>
        </w:rPr>
        <w:t>posibilidades</w:t>
      </w:r>
      <w:r>
        <w:rPr>
          <w:color w:val="111112"/>
          <w:spacing w:val="30"/>
        </w:rPr>
        <w:t> </w:t>
      </w:r>
      <w:r>
        <w:rPr>
          <w:color w:val="111112"/>
        </w:rPr>
        <w:t>de</w:t>
      </w:r>
      <w:r>
        <w:rPr>
          <w:color w:val="111112"/>
          <w:spacing w:val="30"/>
        </w:rPr>
        <w:t> </w:t>
      </w:r>
      <w:r>
        <w:rPr>
          <w:color w:val="111112"/>
        </w:rPr>
        <w:t>desarrollo</w:t>
      </w:r>
      <w:r>
        <w:rPr>
          <w:color w:val="111112"/>
          <w:spacing w:val="32"/>
        </w:rPr>
        <w:t> </w:t>
      </w:r>
      <w:r>
        <w:rPr>
          <w:color w:val="111112"/>
        </w:rPr>
        <w:t>y</w:t>
      </w:r>
      <w:r>
        <w:rPr>
          <w:color w:val="111112"/>
          <w:spacing w:val="30"/>
        </w:rPr>
        <w:t> </w:t>
      </w:r>
      <w:r>
        <w:rPr>
          <w:color w:val="111112"/>
        </w:rPr>
        <w:t>precarias</w:t>
      </w:r>
      <w:r>
        <w:rPr>
          <w:color w:val="111112"/>
          <w:spacing w:val="29"/>
        </w:rPr>
        <w:t> </w:t>
      </w:r>
      <w:r>
        <w:rPr>
          <w:color w:val="111112"/>
        </w:rPr>
        <w:t>condiciones</w:t>
      </w:r>
      <w:r>
        <w:rPr>
          <w:color w:val="111112"/>
          <w:spacing w:val="29"/>
        </w:rPr>
        <w:t> </w:t>
      </w:r>
      <w:r>
        <w:rPr>
          <w:color w:val="111112"/>
        </w:rPr>
        <w:t>de</w:t>
      </w:r>
      <w:r>
        <w:rPr>
          <w:color w:val="111112"/>
          <w:spacing w:val="30"/>
        </w:rPr>
        <w:t> </w:t>
      </w:r>
      <w:r>
        <w:rPr>
          <w:color w:val="111112"/>
        </w:rPr>
        <w:t>vida.</w:t>
      </w:r>
      <w:r>
        <w:rPr>
          <w:color w:val="111112"/>
          <w:spacing w:val="31"/>
        </w:rPr>
        <w:t> </w:t>
      </w:r>
      <w:r>
        <w:rPr/>
        <w:t>De</w:t>
      </w:r>
    </w:p>
    <w:p>
      <w:pPr>
        <w:pStyle w:val="BodyText"/>
        <w:spacing w:before="1"/>
        <w:ind w:left="278" w:right="1071"/>
        <w:jc w:val="both"/>
      </w:pPr>
      <w:r>
        <w:rPr/>
        <w:t>acuerdo a los datos obtenidos de la SESAN (2015), a través del IV Censo Nacional de talla en escolares de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grado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primaria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escolar,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posee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alta</w:t>
      </w:r>
      <w:r>
        <w:rPr>
          <w:spacing w:val="-47"/>
        </w:rPr>
        <w:t> </w:t>
      </w:r>
      <w:r>
        <w:rPr/>
        <w:t>vulnerabilidad</w:t>
      </w:r>
      <w:r>
        <w:rPr>
          <w:spacing w:val="-2"/>
        </w:rPr>
        <w:t> </w:t>
      </w:r>
      <w:r>
        <w:rPr/>
        <w:t>nutricional</w:t>
      </w:r>
      <w:r>
        <w:rPr>
          <w:spacing w:val="-3"/>
        </w:rPr>
        <w:t> </w:t>
      </w:r>
      <w:r>
        <w:rPr/>
        <w:t>al reportar la cifra del</w:t>
      </w:r>
      <w:r>
        <w:rPr>
          <w:spacing w:val="-3"/>
        </w:rPr>
        <w:t> </w:t>
      </w:r>
      <w:r>
        <w:rPr/>
        <w:t>54.5%.</w:t>
      </w:r>
    </w:p>
    <w:p>
      <w:pPr>
        <w:pStyle w:val="BodyText"/>
        <w:spacing w:before="6"/>
        <w:rPr>
          <w:sz w:val="15"/>
        </w:rPr>
      </w:pPr>
    </w:p>
    <w:p>
      <w:pPr>
        <w:pStyle w:val="Heading3"/>
        <w:numPr>
          <w:ilvl w:val="2"/>
          <w:numId w:val="36"/>
        </w:numPr>
        <w:tabs>
          <w:tab w:pos="998" w:val="left" w:leader="none"/>
          <w:tab w:pos="999" w:val="left" w:leader="none"/>
        </w:tabs>
        <w:spacing w:line="240" w:lineRule="auto" w:before="52" w:after="0"/>
        <w:ind w:left="998" w:right="0" w:hanging="721"/>
        <w:jc w:val="left"/>
      </w:pPr>
      <w:bookmarkStart w:name="_bookmark176" w:id="285"/>
      <w:bookmarkEnd w:id="285"/>
      <w:r>
        <w:rPr>
          <w:b w:val="0"/>
        </w:rPr>
      </w:r>
      <w:bookmarkStart w:name="_bookmark176" w:id="286"/>
      <w:bookmarkEnd w:id="286"/>
      <w:r>
        <w:rPr>
          <w:shd w:fill="FFFFFF" w:color="auto" w:val="clear"/>
        </w:rPr>
        <w:t>Sit</w:t>
      </w:r>
      <w:r>
        <w:rPr>
          <w:shd w:fill="FFFFFF" w:color="auto" w:val="clear"/>
        </w:rPr>
        <w:t>uación</w:t>
      </w:r>
      <w:r>
        <w:rPr>
          <w:spacing w:val="-2"/>
          <w:shd w:fill="FFFFFF" w:color="auto" w:val="clear"/>
        </w:rPr>
        <w:t> </w:t>
      </w:r>
      <w:r>
        <w:rPr>
          <w:shd w:fill="FFFFFF" w:color="auto" w:val="clear"/>
        </w:rPr>
        <w:t>del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Sistema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-6"/>
          <w:shd w:fill="FFFFFF" w:color="auto" w:val="clear"/>
        </w:rPr>
        <w:t> </w:t>
      </w:r>
      <w:r>
        <w:rPr>
          <w:shd w:fill="FFFFFF" w:color="auto" w:val="clear"/>
        </w:rPr>
        <w:t>Educación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Nacional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278" w:right="1072"/>
        <w:jc w:val="both"/>
      </w:pPr>
      <w:r>
        <w:rPr/>
        <w:t>Para</w:t>
      </w:r>
      <w:r>
        <w:rPr>
          <w:spacing w:val="-4"/>
        </w:rPr>
        <w:t> </w:t>
      </w:r>
      <w:r>
        <w:rPr/>
        <w:t>comenzar,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2"/>
        </w:rPr>
        <w:t> </w:t>
      </w:r>
      <w:r>
        <w:rPr/>
        <w:t>estudiantil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ha</w:t>
      </w:r>
      <w:r>
        <w:rPr>
          <w:spacing w:val="-1"/>
        </w:rPr>
        <w:t> </w:t>
      </w:r>
      <w:r>
        <w:rPr/>
        <w:t>presentado serias</w:t>
      </w:r>
      <w:r>
        <w:rPr>
          <w:spacing w:val="-6"/>
        </w:rPr>
        <w:t> </w:t>
      </w:r>
      <w:r>
        <w:rPr/>
        <w:t>deficiencias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cobertura</w:t>
      </w:r>
      <w:r>
        <w:rPr>
          <w:spacing w:val="-47"/>
        </w:rPr>
        <w:t> </w:t>
      </w:r>
      <w:r>
        <w:rPr/>
        <w:t>educativa comparado con los datos nacionales. El nivel primario es el que reporta mayor crecimiento con</w:t>
      </w:r>
      <w:r>
        <w:rPr>
          <w:spacing w:val="-47"/>
        </w:rPr>
        <w:t> </w:t>
      </w:r>
      <w:r>
        <w:rPr/>
        <w:t>una importante cantidad de estudiantes registrados, seguido por el ciclo básico y diversificado. A manera</w:t>
      </w:r>
      <w:r>
        <w:rPr>
          <w:spacing w:val="-47"/>
        </w:rPr>
        <w:t> </w:t>
      </w:r>
      <w:r>
        <w:rPr/>
        <w:t>de referencia, se</w:t>
      </w:r>
      <w:r>
        <w:rPr>
          <w:spacing w:val="1"/>
        </w:rPr>
        <w:t> </w:t>
      </w:r>
      <w:r>
        <w:rPr/>
        <w:t>presentan</w:t>
      </w:r>
      <w:r>
        <w:rPr>
          <w:spacing w:val="-3"/>
        </w:rPr>
        <w:t> </w:t>
      </w:r>
      <w:r>
        <w:rPr/>
        <w:t>los datos</w:t>
      </w:r>
      <w:r>
        <w:rPr>
          <w:spacing w:val="-3"/>
        </w:rPr>
        <w:t> </w:t>
      </w:r>
      <w:r>
        <w:rPr/>
        <w:t>absolutos para este</w:t>
      </w:r>
      <w:r>
        <w:rPr>
          <w:spacing w:val="-2"/>
        </w:rPr>
        <w:t> </w:t>
      </w:r>
      <w:r>
        <w:rPr/>
        <w:t>Departamento.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after="4"/>
        <w:ind w:left="278" w:right="1061"/>
      </w:pPr>
      <w:r>
        <w:rPr/>
        <w:t>Tabla</w:t>
      </w:r>
      <w:r>
        <w:rPr>
          <w:spacing w:val="24"/>
        </w:rPr>
        <w:t> </w:t>
      </w:r>
      <w:r>
        <w:rPr/>
        <w:t>Nº.</w:t>
      </w:r>
      <w:r>
        <w:rPr>
          <w:spacing w:val="24"/>
        </w:rPr>
        <w:t> </w:t>
      </w:r>
      <w:r>
        <w:rPr/>
        <w:t>Total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estudiantes</w:t>
      </w:r>
      <w:r>
        <w:rPr>
          <w:spacing w:val="25"/>
        </w:rPr>
        <w:t> </w:t>
      </w:r>
      <w:r>
        <w:rPr/>
        <w:t>por</w:t>
      </w:r>
      <w:r>
        <w:rPr>
          <w:spacing w:val="25"/>
        </w:rPr>
        <w:t> </w:t>
      </w:r>
      <w:r>
        <w:rPr/>
        <w:t>Nivel</w:t>
      </w:r>
      <w:r>
        <w:rPr>
          <w:spacing w:val="25"/>
        </w:rPr>
        <w:t> </w:t>
      </w:r>
      <w:r>
        <w:rPr/>
        <w:t>Educativo</w:t>
      </w:r>
      <w:r>
        <w:rPr>
          <w:spacing w:val="26"/>
        </w:rPr>
        <w:t> </w:t>
      </w:r>
      <w:r>
        <w:rPr/>
        <w:t>para</w:t>
      </w:r>
      <w:r>
        <w:rPr>
          <w:spacing w:val="24"/>
        </w:rPr>
        <w:t> </w:t>
      </w:r>
      <w:r>
        <w:rPr/>
        <w:t>el</w:t>
      </w:r>
      <w:r>
        <w:rPr>
          <w:spacing w:val="22"/>
        </w:rPr>
        <w:t> </w:t>
      </w:r>
      <w:r>
        <w:rPr/>
        <w:t>Departamento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Huehuetenango</w:t>
      </w:r>
      <w:r>
        <w:rPr>
          <w:spacing w:val="23"/>
        </w:rPr>
        <w:t> </w:t>
      </w:r>
      <w:r>
        <w:rPr/>
        <w:t>(2017</w:t>
      </w:r>
      <w:r>
        <w:rPr>
          <w:spacing w:val="25"/>
        </w:rPr>
        <w:t> </w:t>
      </w:r>
      <w:r>
        <w:rPr/>
        <w:t>al</w:t>
      </w:r>
      <w:r>
        <w:rPr>
          <w:spacing w:val="-47"/>
        </w:rPr>
        <w:t> </w:t>
      </w:r>
      <w:r>
        <w:rPr/>
        <w:t>2021)</w:t>
      </w:r>
    </w:p>
    <w:tbl>
      <w:tblPr>
        <w:tblW w:w="0" w:type="auto"/>
        <w:jc w:val="left"/>
        <w:tblInd w:w="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5"/>
        <w:gridCol w:w="1678"/>
        <w:gridCol w:w="1034"/>
        <w:gridCol w:w="1849"/>
        <w:gridCol w:w="695"/>
        <w:gridCol w:w="1297"/>
        <w:gridCol w:w="1142"/>
      </w:tblGrid>
      <w:tr>
        <w:trPr>
          <w:trHeight w:val="396" w:hRule="atLeast"/>
        </w:trPr>
        <w:tc>
          <w:tcPr>
            <w:tcW w:w="1115" w:type="dxa"/>
            <w:tcBorders>
              <w:bottom w:val="single" w:sz="8" w:space="0" w:color="8EA9DB"/>
            </w:tcBorders>
            <w:shd w:val="clear" w:color="auto" w:fill="D9E0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8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168" w:lineRule="exact"/>
              <w:ind w:left="357" w:right="15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PREPRIMARIA</w:t>
            </w:r>
          </w:p>
        </w:tc>
        <w:tc>
          <w:tcPr>
            <w:tcW w:w="1034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168" w:lineRule="exact"/>
              <w:ind w:left="189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PRIMARIA</w:t>
            </w:r>
          </w:p>
        </w:tc>
        <w:tc>
          <w:tcPr>
            <w:tcW w:w="1849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168" w:lineRule="exact"/>
              <w:ind w:left="46" w:right="2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7"/>
                <w:sz w:val="16"/>
              </w:rPr>
              <w:t>PRIMARIA</w:t>
            </w:r>
            <w:r>
              <w:rPr>
                <w:rFonts w:ascii="Arial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7"/>
                <w:sz w:val="16"/>
              </w:rPr>
              <w:t>DE</w:t>
            </w:r>
            <w:r>
              <w:rPr>
                <w:rFonts w:ascii="Arial"/>
                <w:b/>
                <w:color w:val="FFFFFF"/>
                <w:spacing w:val="-25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6"/>
                <w:sz w:val="16"/>
              </w:rPr>
              <w:t>ADULTOS</w:t>
            </w:r>
          </w:p>
        </w:tc>
        <w:tc>
          <w:tcPr>
            <w:tcW w:w="695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168" w:lineRule="exact"/>
              <w:ind w:left="11" w:righ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BASICO</w:t>
            </w:r>
          </w:p>
        </w:tc>
        <w:tc>
          <w:tcPr>
            <w:tcW w:w="1297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168" w:lineRule="exact"/>
              <w:ind w:lef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DIVERSIFICADO</w:t>
            </w:r>
          </w:p>
        </w:tc>
        <w:tc>
          <w:tcPr>
            <w:tcW w:w="1142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168" w:lineRule="exact"/>
              <w:ind w:right="6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Tota</w:t>
            </w:r>
            <w:r>
              <w:rPr>
                <w:rFonts w:ascii="Arial"/>
                <w:b/>
                <w:color w:val="FFFFFF"/>
                <w:spacing w:val="-30"/>
                <w:sz w:val="16"/>
              </w:rPr>
              <w:t> </w:t>
            </w:r>
            <w:r>
              <w:rPr>
                <w:rFonts w:ascii="Arial"/>
                <w:b/>
                <w:color w:val="FFFFFF"/>
                <w:sz w:val="16"/>
              </w:rPr>
              <w:t>l</w:t>
            </w:r>
            <w:r>
              <w:rPr>
                <w:rFonts w:ascii="Arial"/>
                <w:b/>
                <w:color w:val="FFFFFF"/>
                <w:spacing w:val="-6"/>
                <w:sz w:val="16"/>
              </w:rPr>
              <w:t> </w:t>
            </w:r>
            <w:r>
              <w:rPr>
                <w:rFonts w:ascii="Arial"/>
                <w:b/>
                <w:color w:val="FFFFFF"/>
                <w:sz w:val="16"/>
              </w:rPr>
              <w:t>general</w:t>
            </w:r>
          </w:p>
        </w:tc>
      </w:tr>
      <w:tr>
        <w:trPr>
          <w:trHeight w:val="175" w:hRule="atLeast"/>
        </w:trPr>
        <w:tc>
          <w:tcPr>
            <w:tcW w:w="1115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53" w:lineRule="exact"/>
              <w:ind w:left="361" w:right="357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2017</w:t>
            </w:r>
          </w:p>
        </w:tc>
        <w:tc>
          <w:tcPr>
            <w:tcW w:w="1678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53" w:lineRule="exact"/>
              <w:ind w:left="357" w:right="157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34,561</w:t>
            </w:r>
          </w:p>
        </w:tc>
        <w:tc>
          <w:tcPr>
            <w:tcW w:w="1034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53" w:lineRule="exact"/>
              <w:ind w:left="224" w:right="1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194,874</w:t>
            </w:r>
          </w:p>
        </w:tc>
        <w:tc>
          <w:tcPr>
            <w:tcW w:w="1849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53" w:lineRule="exact"/>
              <w:ind w:left="34" w:right="2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517</w:t>
            </w:r>
          </w:p>
        </w:tc>
        <w:tc>
          <w:tcPr>
            <w:tcW w:w="695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53" w:lineRule="exact"/>
              <w:ind w:left="11" w:right="11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36,401</w:t>
            </w:r>
          </w:p>
        </w:tc>
        <w:tc>
          <w:tcPr>
            <w:tcW w:w="1297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53" w:lineRule="exact"/>
              <w:ind w:left="43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16,379</w:t>
            </w:r>
          </w:p>
        </w:tc>
        <w:tc>
          <w:tcPr>
            <w:tcW w:w="1142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53" w:lineRule="exact"/>
              <w:ind w:right="31"/>
              <w:jc w:val="right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282,732</w:t>
            </w:r>
          </w:p>
        </w:tc>
      </w:tr>
      <w:tr>
        <w:trPr>
          <w:trHeight w:val="192" w:hRule="atLeast"/>
        </w:trPr>
        <w:tc>
          <w:tcPr>
            <w:tcW w:w="1115" w:type="dxa"/>
          </w:tcPr>
          <w:p>
            <w:pPr>
              <w:pStyle w:val="TableParagraph"/>
              <w:spacing w:line="160" w:lineRule="exact" w:before="12"/>
              <w:ind w:left="361" w:right="357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2018</w:t>
            </w:r>
          </w:p>
        </w:tc>
        <w:tc>
          <w:tcPr>
            <w:tcW w:w="1678" w:type="dxa"/>
          </w:tcPr>
          <w:p>
            <w:pPr>
              <w:pStyle w:val="TableParagraph"/>
              <w:spacing w:line="160" w:lineRule="exact" w:before="12"/>
              <w:ind w:left="357" w:right="157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37,401</w:t>
            </w:r>
          </w:p>
        </w:tc>
        <w:tc>
          <w:tcPr>
            <w:tcW w:w="1034" w:type="dxa"/>
          </w:tcPr>
          <w:p>
            <w:pPr>
              <w:pStyle w:val="TableParagraph"/>
              <w:spacing w:line="160" w:lineRule="exact" w:before="12"/>
              <w:ind w:left="224" w:right="1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204,345</w:t>
            </w:r>
          </w:p>
        </w:tc>
        <w:tc>
          <w:tcPr>
            <w:tcW w:w="1849" w:type="dxa"/>
          </w:tcPr>
          <w:p>
            <w:pPr>
              <w:pStyle w:val="TableParagraph"/>
              <w:spacing w:line="160" w:lineRule="exact" w:before="12"/>
              <w:ind w:left="34" w:right="2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514</w:t>
            </w:r>
          </w:p>
        </w:tc>
        <w:tc>
          <w:tcPr>
            <w:tcW w:w="695" w:type="dxa"/>
          </w:tcPr>
          <w:p>
            <w:pPr>
              <w:pStyle w:val="TableParagraph"/>
              <w:spacing w:line="160" w:lineRule="exact" w:before="12"/>
              <w:ind w:left="11" w:right="11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35,857</w:t>
            </w:r>
          </w:p>
        </w:tc>
        <w:tc>
          <w:tcPr>
            <w:tcW w:w="1297" w:type="dxa"/>
          </w:tcPr>
          <w:p>
            <w:pPr>
              <w:pStyle w:val="TableParagraph"/>
              <w:spacing w:line="160" w:lineRule="exact" w:before="12"/>
              <w:ind w:left="43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16,104</w:t>
            </w:r>
          </w:p>
        </w:tc>
        <w:tc>
          <w:tcPr>
            <w:tcW w:w="1142" w:type="dxa"/>
          </w:tcPr>
          <w:p>
            <w:pPr>
              <w:pStyle w:val="TableParagraph"/>
              <w:spacing w:line="160" w:lineRule="exact" w:before="12"/>
              <w:ind w:right="31"/>
              <w:jc w:val="right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294,221</w:t>
            </w:r>
          </w:p>
        </w:tc>
      </w:tr>
      <w:tr>
        <w:trPr>
          <w:trHeight w:val="192" w:hRule="atLeast"/>
        </w:trPr>
        <w:tc>
          <w:tcPr>
            <w:tcW w:w="1115" w:type="dxa"/>
          </w:tcPr>
          <w:p>
            <w:pPr>
              <w:pStyle w:val="TableParagraph"/>
              <w:spacing w:line="160" w:lineRule="exact" w:before="12"/>
              <w:ind w:left="361" w:right="357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2019</w:t>
            </w:r>
          </w:p>
        </w:tc>
        <w:tc>
          <w:tcPr>
            <w:tcW w:w="1678" w:type="dxa"/>
          </w:tcPr>
          <w:p>
            <w:pPr>
              <w:pStyle w:val="TableParagraph"/>
              <w:spacing w:line="160" w:lineRule="exact" w:before="12"/>
              <w:ind w:left="357" w:right="157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35,044</w:t>
            </w:r>
          </w:p>
        </w:tc>
        <w:tc>
          <w:tcPr>
            <w:tcW w:w="1034" w:type="dxa"/>
          </w:tcPr>
          <w:p>
            <w:pPr>
              <w:pStyle w:val="TableParagraph"/>
              <w:spacing w:line="160" w:lineRule="exact" w:before="12"/>
              <w:ind w:left="224" w:right="1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201,541</w:t>
            </w:r>
          </w:p>
        </w:tc>
        <w:tc>
          <w:tcPr>
            <w:tcW w:w="1849" w:type="dxa"/>
          </w:tcPr>
          <w:p>
            <w:pPr>
              <w:pStyle w:val="TableParagraph"/>
              <w:spacing w:line="160" w:lineRule="exact" w:before="12"/>
              <w:ind w:left="34" w:right="2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346</w:t>
            </w:r>
          </w:p>
        </w:tc>
        <w:tc>
          <w:tcPr>
            <w:tcW w:w="695" w:type="dxa"/>
          </w:tcPr>
          <w:p>
            <w:pPr>
              <w:pStyle w:val="TableParagraph"/>
              <w:spacing w:line="160" w:lineRule="exact" w:before="12"/>
              <w:ind w:left="11" w:right="11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33,282</w:t>
            </w:r>
          </w:p>
        </w:tc>
        <w:tc>
          <w:tcPr>
            <w:tcW w:w="1297" w:type="dxa"/>
          </w:tcPr>
          <w:p>
            <w:pPr>
              <w:pStyle w:val="TableParagraph"/>
              <w:spacing w:line="160" w:lineRule="exact" w:before="12"/>
              <w:ind w:left="43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15,960</w:t>
            </w:r>
          </w:p>
        </w:tc>
        <w:tc>
          <w:tcPr>
            <w:tcW w:w="1142" w:type="dxa"/>
          </w:tcPr>
          <w:p>
            <w:pPr>
              <w:pStyle w:val="TableParagraph"/>
              <w:spacing w:line="160" w:lineRule="exact" w:before="12"/>
              <w:ind w:right="31"/>
              <w:jc w:val="right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286,173</w:t>
            </w:r>
          </w:p>
        </w:tc>
      </w:tr>
      <w:tr>
        <w:trPr>
          <w:trHeight w:val="192" w:hRule="atLeast"/>
        </w:trPr>
        <w:tc>
          <w:tcPr>
            <w:tcW w:w="1115" w:type="dxa"/>
          </w:tcPr>
          <w:p>
            <w:pPr>
              <w:pStyle w:val="TableParagraph"/>
              <w:spacing w:line="160" w:lineRule="exact" w:before="13"/>
              <w:ind w:left="361" w:right="357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2020</w:t>
            </w:r>
          </w:p>
        </w:tc>
        <w:tc>
          <w:tcPr>
            <w:tcW w:w="1678" w:type="dxa"/>
          </w:tcPr>
          <w:p>
            <w:pPr>
              <w:pStyle w:val="TableParagraph"/>
              <w:spacing w:line="160" w:lineRule="exact" w:before="13"/>
              <w:ind w:left="357" w:right="157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34,279</w:t>
            </w:r>
          </w:p>
        </w:tc>
        <w:tc>
          <w:tcPr>
            <w:tcW w:w="1034" w:type="dxa"/>
          </w:tcPr>
          <w:p>
            <w:pPr>
              <w:pStyle w:val="TableParagraph"/>
              <w:spacing w:line="160" w:lineRule="exact" w:before="13"/>
              <w:ind w:left="224" w:right="1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203,602</w:t>
            </w:r>
          </w:p>
        </w:tc>
        <w:tc>
          <w:tcPr>
            <w:tcW w:w="1849" w:type="dxa"/>
          </w:tcPr>
          <w:p>
            <w:pPr>
              <w:pStyle w:val="TableParagraph"/>
              <w:spacing w:line="160" w:lineRule="exact" w:before="13"/>
              <w:ind w:left="34" w:right="2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264</w:t>
            </w:r>
          </w:p>
        </w:tc>
        <w:tc>
          <w:tcPr>
            <w:tcW w:w="695" w:type="dxa"/>
          </w:tcPr>
          <w:p>
            <w:pPr>
              <w:pStyle w:val="TableParagraph"/>
              <w:spacing w:line="160" w:lineRule="exact" w:before="13"/>
              <w:ind w:left="11" w:right="11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32,383</w:t>
            </w:r>
          </w:p>
        </w:tc>
        <w:tc>
          <w:tcPr>
            <w:tcW w:w="1297" w:type="dxa"/>
          </w:tcPr>
          <w:p>
            <w:pPr>
              <w:pStyle w:val="TableParagraph"/>
              <w:spacing w:line="160" w:lineRule="exact" w:before="13"/>
              <w:ind w:left="43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16,325</w:t>
            </w:r>
          </w:p>
        </w:tc>
        <w:tc>
          <w:tcPr>
            <w:tcW w:w="1142" w:type="dxa"/>
          </w:tcPr>
          <w:p>
            <w:pPr>
              <w:pStyle w:val="TableParagraph"/>
              <w:spacing w:line="160" w:lineRule="exact" w:before="13"/>
              <w:ind w:right="31"/>
              <w:jc w:val="right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286,853</w:t>
            </w:r>
          </w:p>
        </w:tc>
      </w:tr>
      <w:tr>
        <w:trPr>
          <w:trHeight w:val="185" w:hRule="atLeast"/>
        </w:trPr>
        <w:tc>
          <w:tcPr>
            <w:tcW w:w="1115" w:type="dxa"/>
          </w:tcPr>
          <w:p>
            <w:pPr>
              <w:pStyle w:val="TableParagraph"/>
              <w:spacing w:line="153" w:lineRule="exact" w:before="12"/>
              <w:ind w:left="361" w:right="357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2021</w:t>
            </w:r>
          </w:p>
        </w:tc>
        <w:tc>
          <w:tcPr>
            <w:tcW w:w="1678" w:type="dxa"/>
          </w:tcPr>
          <w:p>
            <w:pPr>
              <w:pStyle w:val="TableParagraph"/>
              <w:spacing w:line="153" w:lineRule="exact" w:before="12"/>
              <w:ind w:left="357" w:right="157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39,404</w:t>
            </w:r>
          </w:p>
        </w:tc>
        <w:tc>
          <w:tcPr>
            <w:tcW w:w="1034" w:type="dxa"/>
          </w:tcPr>
          <w:p>
            <w:pPr>
              <w:pStyle w:val="TableParagraph"/>
              <w:spacing w:line="153" w:lineRule="exact" w:before="12"/>
              <w:ind w:left="224" w:right="1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213,059</w:t>
            </w:r>
          </w:p>
        </w:tc>
        <w:tc>
          <w:tcPr>
            <w:tcW w:w="1849" w:type="dxa"/>
          </w:tcPr>
          <w:p>
            <w:pPr>
              <w:pStyle w:val="TableParagraph"/>
              <w:spacing w:line="153" w:lineRule="exact" w:before="12"/>
              <w:ind w:left="34" w:right="2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156</w:t>
            </w:r>
          </w:p>
        </w:tc>
        <w:tc>
          <w:tcPr>
            <w:tcW w:w="695" w:type="dxa"/>
          </w:tcPr>
          <w:p>
            <w:pPr>
              <w:pStyle w:val="TableParagraph"/>
              <w:spacing w:line="153" w:lineRule="exact" w:before="12"/>
              <w:ind w:left="11" w:right="11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30,299</w:t>
            </w:r>
          </w:p>
        </w:tc>
        <w:tc>
          <w:tcPr>
            <w:tcW w:w="1297" w:type="dxa"/>
          </w:tcPr>
          <w:p>
            <w:pPr>
              <w:pStyle w:val="TableParagraph"/>
              <w:spacing w:line="153" w:lineRule="exact" w:before="12"/>
              <w:ind w:left="43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14,749</w:t>
            </w:r>
          </w:p>
        </w:tc>
        <w:tc>
          <w:tcPr>
            <w:tcW w:w="1142" w:type="dxa"/>
          </w:tcPr>
          <w:p>
            <w:pPr>
              <w:pStyle w:val="TableParagraph"/>
              <w:spacing w:line="153" w:lineRule="exact" w:before="12"/>
              <w:ind w:right="31"/>
              <w:jc w:val="right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297,667</w:t>
            </w:r>
          </w:p>
        </w:tc>
      </w:tr>
    </w:tbl>
    <w:tbl>
      <w:tblPr>
        <w:tblW w:w="0" w:type="auto"/>
        <w:jc w:val="left"/>
        <w:tblInd w:w="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5"/>
        <w:gridCol w:w="1575"/>
        <w:gridCol w:w="1470"/>
        <w:gridCol w:w="1190"/>
        <w:gridCol w:w="1205"/>
        <w:gridCol w:w="1111"/>
        <w:gridCol w:w="1153"/>
      </w:tblGrid>
      <w:tr>
        <w:trPr>
          <w:trHeight w:val="205" w:hRule="atLeast"/>
        </w:trPr>
        <w:tc>
          <w:tcPr>
            <w:tcW w:w="1115" w:type="dxa"/>
            <w:tcBorders>
              <w:top w:val="single" w:sz="8" w:space="0" w:color="8EA9DB"/>
            </w:tcBorders>
            <w:shd w:val="clear" w:color="auto" w:fill="D9E0F1"/>
          </w:tcPr>
          <w:p>
            <w:pPr>
              <w:pStyle w:val="TableParagraph"/>
              <w:spacing w:before="18"/>
              <w:ind w:left="4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</w:t>
            </w:r>
            <w:r>
              <w:rPr>
                <w:rFonts w:ascii="Arial"/>
                <w:b/>
                <w:spacing w:val="-2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</w:t>
            </w:r>
            <w:r>
              <w:rPr>
                <w:rFonts w:ascii="Arial"/>
                <w:b/>
                <w:spacing w:val="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general</w:t>
            </w:r>
          </w:p>
        </w:tc>
        <w:tc>
          <w:tcPr>
            <w:tcW w:w="1575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ind w:left="6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180,689</w:t>
            </w:r>
          </w:p>
        </w:tc>
        <w:tc>
          <w:tcPr>
            <w:tcW w:w="1470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ind w:left="3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1,017,421</w:t>
            </w:r>
          </w:p>
        </w:tc>
        <w:tc>
          <w:tcPr>
            <w:tcW w:w="1190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ind w:left="4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1,797</w:t>
            </w:r>
          </w:p>
        </w:tc>
        <w:tc>
          <w:tcPr>
            <w:tcW w:w="1205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ind w:left="3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168,222</w:t>
            </w:r>
          </w:p>
        </w:tc>
        <w:tc>
          <w:tcPr>
            <w:tcW w:w="1111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ind w:left="2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79,517</w:t>
            </w:r>
          </w:p>
        </w:tc>
        <w:tc>
          <w:tcPr>
            <w:tcW w:w="1153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ind w:left="3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1,447,646</w:t>
            </w:r>
          </w:p>
        </w:tc>
      </w:tr>
    </w:tbl>
    <w:p>
      <w:pPr>
        <w:spacing w:before="11"/>
        <w:ind w:left="278" w:right="0" w:firstLine="0"/>
        <w:jc w:val="left"/>
        <w:rPr>
          <w:sz w:val="14"/>
        </w:rPr>
      </w:pPr>
      <w:r>
        <w:rPr>
          <w:sz w:val="14"/>
        </w:rPr>
        <w:t>Fuente:</w:t>
      </w:r>
      <w:r>
        <w:rPr>
          <w:spacing w:val="-2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2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1"/>
        <w:ind w:left="278" w:right="1061"/>
      </w:pPr>
      <w:r>
        <w:rPr/>
        <w:t>Esta</w:t>
      </w:r>
      <w:r>
        <w:rPr>
          <w:spacing w:val="4"/>
        </w:rPr>
        <w:t> </w:t>
      </w:r>
      <w:r>
        <w:rPr/>
        <w:t>tabla</w:t>
      </w:r>
      <w:r>
        <w:rPr>
          <w:spacing w:val="1"/>
        </w:rPr>
        <w:t> </w:t>
      </w:r>
      <w:r>
        <w:rPr/>
        <w:t>muestra,</w:t>
      </w:r>
      <w:r>
        <w:rPr>
          <w:spacing w:val="5"/>
        </w:rPr>
        <w:t> </w:t>
      </w:r>
      <w:r>
        <w:rPr/>
        <w:t>el</w:t>
      </w:r>
      <w:r>
        <w:rPr>
          <w:spacing w:val="1"/>
        </w:rPr>
        <w:t> </w:t>
      </w:r>
      <w:r>
        <w:rPr/>
        <w:t>total</w:t>
      </w:r>
      <w:r>
        <w:rPr>
          <w:spacing w:val="2"/>
        </w:rPr>
        <w:t> </w:t>
      </w:r>
      <w:r>
        <w:rPr/>
        <w:t>de</w:t>
      </w:r>
      <w:r>
        <w:rPr>
          <w:spacing w:val="4"/>
        </w:rPr>
        <w:t> </w:t>
      </w:r>
      <w:r>
        <w:rPr/>
        <w:t>estudiantes</w:t>
      </w:r>
      <w:r>
        <w:rPr>
          <w:spacing w:val="1"/>
        </w:rPr>
        <w:t> </w:t>
      </w:r>
      <w:r>
        <w:rPr/>
        <w:t>por</w:t>
      </w:r>
      <w:r>
        <w:rPr>
          <w:spacing w:val="2"/>
        </w:rPr>
        <w:t> </w:t>
      </w:r>
      <w:r>
        <w:rPr/>
        <w:t>Nivel</w:t>
      </w:r>
      <w:r>
        <w:rPr>
          <w:spacing w:val="1"/>
        </w:rPr>
        <w:t> </w:t>
      </w:r>
      <w:r>
        <w:rPr/>
        <w:t>Educativo</w:t>
      </w:r>
      <w:r>
        <w:rPr>
          <w:spacing w:val="4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3"/>
        </w:rPr>
        <w:t> </w:t>
      </w:r>
      <w:r>
        <w:rPr/>
        <w:t>Departamento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Huehuetenango</w:t>
      </w:r>
      <w:r>
        <w:rPr>
          <w:spacing w:val="-46"/>
        </w:rPr>
        <w:t> </w:t>
      </w:r>
      <w:r>
        <w:rPr/>
        <w:t>durante</w:t>
      </w:r>
      <w:r>
        <w:rPr>
          <w:spacing w:val="-1"/>
        </w:rPr>
        <w:t> </w:t>
      </w:r>
      <w:r>
        <w:rPr/>
        <w:t>el período</w:t>
      </w:r>
      <w:r>
        <w:rPr>
          <w:spacing w:val="1"/>
        </w:rPr>
        <w:t> </w:t>
      </w:r>
      <w:r>
        <w:rPr/>
        <w:t>2017-2021.</w:t>
      </w:r>
    </w:p>
    <w:p>
      <w:pPr>
        <w:pStyle w:val="BodyText"/>
      </w:pPr>
    </w:p>
    <w:p>
      <w:pPr>
        <w:pStyle w:val="BodyText"/>
        <w:ind w:left="278" w:right="1061"/>
      </w:pPr>
      <w:r>
        <w:rPr/>
        <w:t>El</w:t>
      </w:r>
      <w:r>
        <w:rPr>
          <w:spacing w:val="-6"/>
        </w:rPr>
        <w:t> </w:t>
      </w:r>
      <w:r>
        <w:rPr/>
        <w:t>total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estudiantes</w:t>
      </w:r>
      <w:r>
        <w:rPr>
          <w:spacing w:val="-6"/>
        </w:rPr>
        <w:t> </w:t>
      </w:r>
      <w:r>
        <w:rPr/>
        <w:t>atendidos</w:t>
      </w:r>
      <w:r>
        <w:rPr>
          <w:spacing w:val="-6"/>
        </w:rPr>
        <w:t> </w:t>
      </w:r>
      <w:r>
        <w:rPr/>
        <w:t>durante</w:t>
      </w:r>
      <w:r>
        <w:rPr>
          <w:spacing w:val="-5"/>
        </w:rPr>
        <w:t> </w:t>
      </w:r>
      <w:r>
        <w:rPr/>
        <w:t>este</w:t>
      </w:r>
      <w:r>
        <w:rPr>
          <w:spacing w:val="-5"/>
        </w:rPr>
        <w:t> </w:t>
      </w:r>
      <w:r>
        <w:rPr/>
        <w:t>período</w:t>
      </w:r>
      <w:r>
        <w:rPr>
          <w:spacing w:val="-7"/>
        </w:rPr>
        <w:t> </w:t>
      </w:r>
      <w:r>
        <w:rPr/>
        <w:t>fue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1,447,646.</w:t>
      </w:r>
      <w:r>
        <w:rPr>
          <w:spacing w:val="-9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2017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tuvo</w:t>
      </w:r>
      <w:r>
        <w:rPr>
          <w:spacing w:val="-4"/>
        </w:rPr>
        <w:t> </w:t>
      </w:r>
      <w:r>
        <w:rPr/>
        <w:t>una</w:t>
      </w:r>
      <w:r>
        <w:rPr>
          <w:spacing w:val="-6"/>
        </w:rPr>
        <w:t> </w:t>
      </w:r>
      <w:r>
        <w:rPr/>
        <w:t>población</w:t>
      </w:r>
      <w:r>
        <w:rPr>
          <w:spacing w:val="-47"/>
        </w:rPr>
        <w:t> </w:t>
      </w:r>
      <w:r>
        <w:rPr/>
        <w:t>estudiantil</w:t>
      </w:r>
      <w:r>
        <w:rPr>
          <w:spacing w:val="48"/>
        </w:rPr>
        <w:t> </w:t>
      </w:r>
      <w:r>
        <w:rPr/>
        <w:t>total</w:t>
      </w:r>
      <w:r>
        <w:rPr>
          <w:spacing w:val="2"/>
        </w:rPr>
        <w:t> </w:t>
      </w:r>
      <w:r>
        <w:rPr/>
        <w:t>de</w:t>
      </w:r>
      <w:r>
        <w:rPr>
          <w:spacing w:val="47"/>
        </w:rPr>
        <w:t> </w:t>
      </w:r>
      <w:r>
        <w:rPr/>
        <w:t>282,732.</w:t>
      </w:r>
      <w:r>
        <w:rPr>
          <w:spacing w:val="49"/>
        </w:rPr>
        <w:t> </w:t>
      </w:r>
      <w:r>
        <w:rPr/>
        <w:t>El</w:t>
      </w:r>
      <w:r>
        <w:rPr>
          <w:spacing w:val="48"/>
        </w:rPr>
        <w:t> </w:t>
      </w:r>
      <w:r>
        <w:rPr/>
        <w:t>2018,  mostró</w:t>
      </w:r>
      <w:r>
        <w:rPr>
          <w:spacing w:val="3"/>
        </w:rPr>
        <w:t> </w:t>
      </w:r>
      <w:r>
        <w:rPr/>
        <w:t>un</w:t>
      </w:r>
      <w:r>
        <w:rPr>
          <w:spacing w:val="48"/>
        </w:rPr>
        <w:t> </w:t>
      </w:r>
      <w:r>
        <w:rPr/>
        <w:t>pequeño  incremento</w:t>
      </w:r>
      <w:r>
        <w:rPr>
          <w:spacing w:val="1"/>
        </w:rPr>
        <w:t> </w:t>
      </w:r>
      <w:r>
        <w:rPr/>
        <w:t>de  11,489</w:t>
      </w:r>
      <w:r>
        <w:rPr>
          <w:spacing w:val="49"/>
        </w:rPr>
        <w:t> </w:t>
      </w:r>
      <w:r>
        <w:rPr/>
        <w:t>alumnos,</w:t>
      </w:r>
      <w:r>
        <w:rPr>
          <w:spacing w:val="49"/>
        </w:rPr>
        <w:t> </w:t>
      </w:r>
      <w:r>
        <w:rPr/>
        <w:t>lo</w:t>
      </w:r>
      <w:r>
        <w:rPr>
          <w:spacing w:val="3"/>
        </w:rPr>
        <w:t> </w:t>
      </w:r>
      <w:r>
        <w:rPr/>
        <w:t>cual,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pict>
          <v:rect style="position:absolute;margin-left:563.880005pt;margin-top:10.389437pt;width:25.44pt;height:1.4399pt;mso-position-horizontal-relative:page;mso-position-vertical-relative:paragraph;z-index:-1543475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148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08640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1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1"/>
        <w:jc w:val="both"/>
      </w:pPr>
      <w:r>
        <w:rPr/>
        <w:t>representó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incremento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4%.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2019,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redujo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286,173,</w:t>
      </w:r>
      <w:r>
        <w:rPr>
          <w:spacing w:val="1"/>
        </w:rPr>
        <w:t> </w:t>
      </w:r>
      <w:r>
        <w:rPr/>
        <w:t>continuando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ligero</w:t>
      </w:r>
      <w:r>
        <w:rPr>
          <w:spacing w:val="1"/>
        </w:rPr>
        <w:t> </w:t>
      </w:r>
      <w:r>
        <w:rPr/>
        <w:t>decrecimiento de 286,853 en el 2020, explicado en parte por las medidas restrictivas de cierre de centros</w:t>
      </w:r>
      <w:r>
        <w:rPr>
          <w:spacing w:val="-47"/>
        </w:rPr>
        <w:t> </w:t>
      </w:r>
      <w:r>
        <w:rPr/>
        <w:t>educativos por la pandemia. El 2021, muestra un aumento del 4% con respecto del año anterior, al</w:t>
      </w:r>
      <w:r>
        <w:rPr>
          <w:spacing w:val="1"/>
        </w:rPr>
        <w:t> </w:t>
      </w:r>
      <w:r>
        <w:rPr/>
        <w:t>incrementar</w:t>
      </w:r>
      <w:r>
        <w:rPr>
          <w:spacing w:val="-3"/>
        </w:rPr>
        <w:t> </w:t>
      </w:r>
      <w:r>
        <w:rPr/>
        <w:t>en 11,49%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4"/>
        </w:rPr>
        <w:t> </w:t>
      </w:r>
      <w:r>
        <w:rPr/>
        <w:t>estudiantil.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278" w:right="1072"/>
        <w:jc w:val="both"/>
      </w:pPr>
      <w:r>
        <w:rPr/>
        <w:t>A nivel específico, en relación con los niveles educativos el que tuvo mayor crecimiento fue el nivel</w:t>
      </w:r>
      <w:r>
        <w:rPr>
          <w:spacing w:val="1"/>
        </w:rPr>
        <w:t> </w:t>
      </w:r>
      <w:r>
        <w:rPr/>
        <w:t>Primaria representando el 70% de la población para este período. Seguido del nivel Preprimaria con un</w:t>
      </w:r>
      <w:r>
        <w:rPr>
          <w:spacing w:val="1"/>
        </w:rPr>
        <w:t> </w:t>
      </w:r>
      <w:r>
        <w:rPr/>
        <w:t>12% y el ciclo básico 11.6%. La participación de alumnos en el Nivel Diversificado cae drásticamente</w:t>
      </w:r>
      <w:r>
        <w:rPr>
          <w:spacing w:val="1"/>
        </w:rPr>
        <w:t> </w:t>
      </w:r>
      <w:r>
        <w:rPr>
          <w:spacing w:val="-1"/>
        </w:rPr>
        <w:t>reportando</w:t>
      </w:r>
      <w:r>
        <w:rPr>
          <w:spacing w:val="-11"/>
        </w:rPr>
        <w:t> </w:t>
      </w:r>
      <w:r>
        <w:rPr>
          <w:spacing w:val="-1"/>
        </w:rPr>
        <w:t>un</w:t>
      </w:r>
      <w:r>
        <w:rPr>
          <w:spacing w:val="-12"/>
        </w:rPr>
        <w:t> </w:t>
      </w:r>
      <w:r>
        <w:rPr>
          <w:spacing w:val="-1"/>
        </w:rPr>
        <w:t>5%.</w:t>
      </w:r>
      <w:r>
        <w:rPr>
          <w:spacing w:val="-11"/>
        </w:rPr>
        <w:t> </w:t>
      </w:r>
      <w:r>
        <w:rPr>
          <w:spacing w:val="-1"/>
        </w:rPr>
        <w:t>Y</w:t>
      </w:r>
      <w:r>
        <w:rPr>
          <w:spacing w:val="-14"/>
        </w:rPr>
        <w:t> </w:t>
      </w:r>
      <w:r>
        <w:rPr>
          <w:spacing w:val="-1"/>
        </w:rPr>
        <w:t>finalizando,</w:t>
      </w:r>
      <w:r>
        <w:rPr>
          <w:spacing w:val="-11"/>
        </w:rPr>
        <w:t> </w:t>
      </w:r>
      <w:r>
        <w:rPr/>
        <w:t>con</w:t>
      </w:r>
      <w:r>
        <w:rPr>
          <w:spacing w:val="-12"/>
        </w:rPr>
        <w:t> </w:t>
      </w:r>
      <w:r>
        <w:rPr/>
        <w:t>la</w:t>
      </w:r>
      <w:r>
        <w:rPr>
          <w:spacing w:val="-14"/>
        </w:rPr>
        <w:t> </w:t>
      </w:r>
      <w:r>
        <w:rPr/>
        <w:t>Primaria</w:t>
      </w:r>
      <w:r>
        <w:rPr>
          <w:spacing w:val="-11"/>
        </w:rPr>
        <w:t> </w:t>
      </w:r>
      <w:r>
        <w:rPr/>
        <w:t>para</w:t>
      </w:r>
      <w:r>
        <w:rPr>
          <w:spacing w:val="-14"/>
        </w:rPr>
        <w:t> </w:t>
      </w:r>
      <w:r>
        <w:rPr/>
        <w:t>Adultos,</w:t>
      </w:r>
      <w:r>
        <w:rPr>
          <w:spacing w:val="-11"/>
        </w:rPr>
        <w:t> </w:t>
      </w:r>
      <w:r>
        <w:rPr/>
        <w:t>la</w:t>
      </w:r>
      <w:r>
        <w:rPr>
          <w:spacing w:val="-14"/>
        </w:rPr>
        <w:t> </w:t>
      </w:r>
      <w:r>
        <w:rPr/>
        <w:t>cual</w:t>
      </w:r>
      <w:r>
        <w:rPr>
          <w:spacing w:val="-11"/>
        </w:rPr>
        <w:t> </w:t>
      </w:r>
      <w:r>
        <w:rPr/>
        <w:t>posee</w:t>
      </w:r>
      <w:r>
        <w:rPr>
          <w:spacing w:val="-10"/>
        </w:rPr>
        <w:t> </w:t>
      </w:r>
      <w:r>
        <w:rPr/>
        <w:t>una</w:t>
      </w:r>
      <w:r>
        <w:rPr>
          <w:spacing w:val="-12"/>
        </w:rPr>
        <w:t> </w:t>
      </w:r>
      <w:r>
        <w:rPr/>
        <w:t>participación</w:t>
      </w:r>
      <w:r>
        <w:rPr>
          <w:spacing w:val="-12"/>
        </w:rPr>
        <w:t> </w:t>
      </w:r>
      <w:r>
        <w:rPr/>
        <w:t>insignificante</w:t>
      </w:r>
      <w:r>
        <w:rPr>
          <w:spacing w:val="-47"/>
        </w:rPr>
        <w:t> </w:t>
      </w:r>
      <w:r>
        <w:rPr/>
        <w:t>del</w:t>
      </w:r>
      <w:r>
        <w:rPr>
          <w:spacing w:val="-1"/>
        </w:rPr>
        <w:t> </w:t>
      </w:r>
      <w:r>
        <w:rPr/>
        <w:t>0.42%</w:t>
      </w:r>
      <w:r>
        <w:rPr>
          <w:spacing w:val="-2"/>
        </w:rPr>
        <w:t> </w:t>
      </w:r>
      <w:r>
        <w:rPr/>
        <w:t>de la población.</w:t>
      </w:r>
    </w:p>
    <w:p>
      <w:pPr>
        <w:pStyle w:val="BodyText"/>
        <w:spacing w:before="10"/>
        <w:rPr>
          <w:sz w:val="19"/>
        </w:rPr>
      </w:pPr>
    </w:p>
    <w:p>
      <w:pPr>
        <w:pStyle w:val="Heading3"/>
        <w:numPr>
          <w:ilvl w:val="2"/>
          <w:numId w:val="36"/>
        </w:numPr>
        <w:tabs>
          <w:tab w:pos="998" w:val="left" w:leader="none"/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177" w:id="287"/>
      <w:bookmarkEnd w:id="287"/>
      <w:r>
        <w:rPr>
          <w:b w:val="0"/>
        </w:rPr>
      </w:r>
      <w:bookmarkStart w:name="_bookmark177" w:id="288"/>
      <w:bookmarkEnd w:id="288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Cobertura:</w:t>
      </w:r>
      <w:r>
        <w:rPr>
          <w:spacing w:val="-4"/>
        </w:rPr>
        <w:t> </w:t>
      </w:r>
      <w:r>
        <w:rPr/>
        <w:t>Tasa</w:t>
      </w:r>
      <w:r>
        <w:rPr>
          <w:spacing w:val="-3"/>
        </w:rPr>
        <w:t> </w:t>
      </w:r>
      <w:r>
        <w:rPr/>
        <w:t>Neta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Cobertura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278" w:right="1073"/>
        <w:jc w:val="both"/>
      </w:pPr>
      <w:r>
        <w:rPr/>
        <w:t>Para Huehuetenango, la cobertura educativa medida a través del (TNE) durante el período del 2017 al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evidencia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primaria</w:t>
      </w:r>
      <w:r>
        <w:rPr>
          <w:spacing w:val="1"/>
        </w:rPr>
        <w:t> </w:t>
      </w:r>
      <w:r>
        <w:rPr/>
        <w:t>(90.6%),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comparación con la TNE nacional promedio del período (2017-2019) que posee el 77.50%. Como sucede</w:t>
      </w:r>
      <w:r>
        <w:rPr>
          <w:spacing w:val="1"/>
        </w:rPr>
        <w:t> </w:t>
      </w:r>
      <w:r>
        <w:rPr/>
        <w:t>con los otros departamentos, presenta cantidades reducidas en la participación de los jóvenes en el ciclo</w:t>
      </w:r>
      <w:r>
        <w:rPr>
          <w:spacing w:val="1"/>
        </w:rPr>
        <w:t> </w:t>
      </w:r>
      <w:r>
        <w:rPr/>
        <w:t>básico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diversificado.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tabla, se</w:t>
      </w:r>
      <w:r>
        <w:rPr>
          <w:spacing w:val="-3"/>
        </w:rPr>
        <w:t> </w:t>
      </w:r>
      <w:r>
        <w:rPr/>
        <w:t>observan</w:t>
      </w:r>
      <w:r>
        <w:rPr>
          <w:spacing w:val="-2"/>
        </w:rPr>
        <w:t> </w:t>
      </w:r>
      <w:r>
        <w:rPr/>
        <w:t>las cifras</w:t>
      </w:r>
      <w:r>
        <w:rPr>
          <w:spacing w:val="-1"/>
        </w:rPr>
        <w:t> </w:t>
      </w:r>
      <w:r>
        <w:rPr/>
        <w:t>del TNE</w:t>
      </w:r>
      <w:r>
        <w:rPr>
          <w:spacing w:val="-1"/>
        </w:rPr>
        <w:t> </w:t>
      </w:r>
      <w:r>
        <w:rPr/>
        <w:t>para el</w:t>
      </w:r>
      <w:r>
        <w:rPr>
          <w:spacing w:val="-3"/>
        </w:rPr>
        <w:t> </w:t>
      </w:r>
      <w:r>
        <w:rPr/>
        <w:t>período</w:t>
      </w:r>
      <w:r>
        <w:rPr>
          <w:spacing w:val="-3"/>
        </w:rPr>
        <w:t> </w:t>
      </w:r>
      <w:r>
        <w:rPr/>
        <w:t>2017-2020.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ind w:left="278" w:right="1075"/>
        <w:jc w:val="both"/>
      </w:pPr>
      <w:r>
        <w:rPr/>
        <w:t>Tabla</w:t>
      </w:r>
      <w:r>
        <w:rPr>
          <w:spacing w:val="1"/>
        </w:rPr>
        <w:t> </w:t>
      </w:r>
      <w:r>
        <w:rPr/>
        <w:t>Nº.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Cobertura: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Bruta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Académico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47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de Huehuetenango</w:t>
      </w:r>
    </w:p>
    <w:tbl>
      <w:tblPr>
        <w:tblW w:w="0" w:type="auto"/>
        <w:jc w:val="left"/>
        <w:tblInd w:w="2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613"/>
        <w:gridCol w:w="1571"/>
        <w:gridCol w:w="1075"/>
        <w:gridCol w:w="1140"/>
        <w:gridCol w:w="1349"/>
      </w:tblGrid>
      <w:tr>
        <w:trPr>
          <w:trHeight w:val="443" w:hRule="atLeast"/>
        </w:trPr>
        <w:tc>
          <w:tcPr>
            <w:tcW w:w="8824" w:type="dxa"/>
            <w:gridSpan w:val="6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before="85"/>
              <w:ind w:left="2494" w:right="2494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Departamento</w:t>
            </w:r>
            <w:r>
              <w:rPr>
                <w:rFonts w:ascii="Arial"/>
                <w:b/>
                <w:spacing w:val="42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de</w:t>
            </w:r>
            <w:r>
              <w:rPr>
                <w:rFonts w:ascii="Arial"/>
                <w:b/>
                <w:spacing w:val="62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Huehuetenango</w:t>
            </w:r>
          </w:p>
        </w:tc>
      </w:tr>
      <w:tr>
        <w:trPr>
          <w:trHeight w:val="443" w:hRule="atLeast"/>
        </w:trPr>
        <w:tc>
          <w:tcPr>
            <w:tcW w:w="1076" w:type="dxa"/>
            <w:shd w:val="clear" w:color="auto" w:fill="F1F1F1"/>
          </w:tcPr>
          <w:p>
            <w:pPr>
              <w:pStyle w:val="TableParagraph"/>
              <w:spacing w:before="103"/>
              <w:ind w:left="32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Años</w:t>
            </w:r>
          </w:p>
        </w:tc>
        <w:tc>
          <w:tcPr>
            <w:tcW w:w="2613" w:type="dxa"/>
            <w:shd w:val="clear" w:color="auto" w:fill="F1F1F1"/>
          </w:tcPr>
          <w:p>
            <w:pPr>
              <w:pStyle w:val="TableParagraph"/>
              <w:spacing w:before="115"/>
              <w:ind w:left="159" w:right="17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Índicadores</w:t>
            </w:r>
            <w:r>
              <w:rPr>
                <w:rFonts w:ascii="Arial" w:hAnsi="Arial"/>
                <w:b/>
                <w:spacing w:val="-8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48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Cobertura</w:t>
            </w:r>
          </w:p>
        </w:tc>
        <w:tc>
          <w:tcPr>
            <w:tcW w:w="1571" w:type="dxa"/>
            <w:shd w:val="clear" w:color="auto" w:fill="F1F1F1"/>
          </w:tcPr>
          <w:p>
            <w:pPr>
              <w:pStyle w:val="TableParagraph"/>
              <w:spacing w:before="115"/>
              <w:ind w:left="101" w:right="4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Preprimaria</w:t>
            </w:r>
          </w:p>
        </w:tc>
        <w:tc>
          <w:tcPr>
            <w:tcW w:w="1075" w:type="dxa"/>
            <w:shd w:val="clear" w:color="auto" w:fill="F1F1F1"/>
          </w:tcPr>
          <w:p>
            <w:pPr>
              <w:pStyle w:val="TableParagraph"/>
              <w:spacing w:before="115"/>
              <w:ind w:left="158" w:right="16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6"/>
                <w:sz w:val="18"/>
              </w:rPr>
              <w:t>Prima</w:t>
            </w:r>
            <w:r>
              <w:rPr>
                <w:rFonts w:ascii="Arial"/>
                <w:b/>
                <w:spacing w:val="-32"/>
                <w:sz w:val="18"/>
              </w:rPr>
              <w:t> </w:t>
            </w:r>
            <w:r>
              <w:rPr>
                <w:rFonts w:ascii="Arial"/>
                <w:b/>
                <w:spacing w:val="-5"/>
                <w:sz w:val="18"/>
              </w:rPr>
              <w:t>ria</w:t>
            </w:r>
          </w:p>
        </w:tc>
        <w:tc>
          <w:tcPr>
            <w:tcW w:w="1140" w:type="dxa"/>
            <w:shd w:val="clear" w:color="auto" w:fill="F1F1F1"/>
          </w:tcPr>
          <w:p>
            <w:pPr>
              <w:pStyle w:val="TableParagraph"/>
              <w:spacing w:before="115"/>
              <w:ind w:right="266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6"/>
                <w:sz w:val="18"/>
              </w:rPr>
              <w:t>Bá</w:t>
            </w:r>
            <w:r>
              <w:rPr>
                <w:rFonts w:ascii="Arial" w:hAnsi="Arial"/>
                <w:b/>
                <w:spacing w:val="-32"/>
                <w:sz w:val="18"/>
              </w:rPr>
              <w:t> </w:t>
            </w:r>
            <w:r>
              <w:rPr>
                <w:rFonts w:ascii="Arial" w:hAnsi="Arial"/>
                <w:b/>
                <w:spacing w:val="-6"/>
                <w:sz w:val="18"/>
              </w:rPr>
              <w:t>sico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before="115"/>
              <w:ind w:left="97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Diversifica</w:t>
            </w:r>
            <w:r>
              <w:rPr>
                <w:rFonts w:ascii="Arial"/>
                <w:b/>
                <w:spacing w:val="-31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do</w:t>
            </w:r>
          </w:p>
        </w:tc>
      </w:tr>
      <w:tr>
        <w:trPr>
          <w:trHeight w:val="445" w:hRule="atLeast"/>
        </w:trPr>
        <w:tc>
          <w:tcPr>
            <w:tcW w:w="1076" w:type="dxa"/>
            <w:vMerge w:val="restart"/>
            <w:shd w:val="clear" w:color="auto" w:fill="F1F1F1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338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2017</w:t>
            </w:r>
          </w:p>
        </w:tc>
        <w:tc>
          <w:tcPr>
            <w:tcW w:w="2613" w:type="dxa"/>
          </w:tcPr>
          <w:p>
            <w:pPr>
              <w:pStyle w:val="TableParagraph"/>
              <w:spacing w:before="127"/>
              <w:ind w:left="155" w:right="17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1D7CB3"/>
                <w:spacing w:val="-5"/>
                <w:sz w:val="15"/>
              </w:rPr>
              <w:t>Ta</w:t>
            </w:r>
            <w:r>
              <w:rPr>
                <w:rFonts w:ascii="Arial"/>
                <w:b/>
                <w:color w:val="1D7CB3"/>
                <w:spacing w:val="-27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5"/>
                <w:sz w:val="15"/>
              </w:rPr>
              <w:t>sa</w:t>
            </w:r>
            <w:r>
              <w:rPr>
                <w:rFonts w:ascii="Arial"/>
                <w:b/>
                <w:color w:val="1D7CB3"/>
                <w:spacing w:val="1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sz w:val="15"/>
              </w:rPr>
              <w:t>Bruta</w:t>
            </w:r>
            <w:r>
              <w:rPr>
                <w:rFonts w:ascii="Arial"/>
                <w:b/>
                <w:color w:val="1D7CB3"/>
                <w:spacing w:val="1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sz w:val="15"/>
              </w:rPr>
              <w:t>de</w:t>
            </w:r>
            <w:r>
              <w:rPr>
                <w:rFonts w:ascii="Arial"/>
                <w:b/>
                <w:color w:val="1D7CB3"/>
                <w:spacing w:val="11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sz w:val="15"/>
              </w:rPr>
              <w:t>Cobertura</w:t>
            </w:r>
          </w:p>
        </w:tc>
        <w:tc>
          <w:tcPr>
            <w:tcW w:w="1571" w:type="dxa"/>
          </w:tcPr>
          <w:p>
            <w:pPr>
              <w:pStyle w:val="TableParagraph"/>
              <w:spacing w:before="111"/>
              <w:ind w:left="101" w:right="7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47,90%</w:t>
            </w:r>
          </w:p>
        </w:tc>
        <w:tc>
          <w:tcPr>
            <w:tcW w:w="1075" w:type="dxa"/>
          </w:tcPr>
          <w:p>
            <w:pPr>
              <w:pStyle w:val="TableParagraph"/>
              <w:spacing w:before="111"/>
              <w:ind w:left="158" w:right="14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100,27%</w:t>
            </w:r>
          </w:p>
        </w:tc>
        <w:tc>
          <w:tcPr>
            <w:tcW w:w="1140" w:type="dxa"/>
          </w:tcPr>
          <w:p>
            <w:pPr>
              <w:pStyle w:val="TableParagraph"/>
              <w:spacing w:before="111"/>
              <w:ind w:right="28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39,56%</w:t>
            </w:r>
          </w:p>
        </w:tc>
        <w:tc>
          <w:tcPr>
            <w:tcW w:w="1349" w:type="dxa"/>
            <w:tcBorders>
              <w:right w:val="nil"/>
            </w:tcBorders>
          </w:tcPr>
          <w:p>
            <w:pPr>
              <w:pStyle w:val="TableParagraph"/>
              <w:spacing w:before="111"/>
              <w:ind w:left="95" w:right="7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17,79%</w:t>
            </w:r>
          </w:p>
        </w:tc>
      </w:tr>
      <w:tr>
        <w:trPr>
          <w:trHeight w:val="443" w:hRule="atLeast"/>
        </w:trPr>
        <w:tc>
          <w:tcPr>
            <w:tcW w:w="1076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shd w:val="clear" w:color="auto" w:fill="DAEDF3"/>
          </w:tcPr>
          <w:p>
            <w:pPr>
              <w:pStyle w:val="TableParagraph"/>
              <w:spacing w:before="127"/>
              <w:ind w:left="137" w:right="17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1D7CB3"/>
                <w:spacing w:val="-2"/>
                <w:sz w:val="15"/>
              </w:rPr>
              <w:t>Ta</w:t>
            </w:r>
            <w:r>
              <w:rPr>
                <w:rFonts w:ascii="Arial"/>
                <w:b/>
                <w:color w:val="1D7CB3"/>
                <w:spacing w:val="-27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5"/>
              </w:rPr>
              <w:t>sa</w:t>
            </w:r>
            <w:r>
              <w:rPr>
                <w:rFonts w:ascii="Arial"/>
                <w:b/>
                <w:color w:val="1D7CB3"/>
                <w:spacing w:val="16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5"/>
              </w:rPr>
              <w:t>Neta</w:t>
            </w:r>
            <w:r>
              <w:rPr>
                <w:rFonts w:ascii="Arial"/>
                <w:b/>
                <w:color w:val="1D7CB3"/>
                <w:spacing w:val="1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5"/>
              </w:rPr>
              <w:t>de</w:t>
            </w:r>
            <w:r>
              <w:rPr>
                <w:rFonts w:ascii="Arial"/>
                <w:b/>
                <w:color w:val="1D7CB3"/>
                <w:spacing w:val="12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5"/>
              </w:rPr>
              <w:t>Cobertura</w:t>
            </w:r>
          </w:p>
        </w:tc>
        <w:tc>
          <w:tcPr>
            <w:tcW w:w="1571" w:type="dxa"/>
            <w:shd w:val="clear" w:color="auto" w:fill="DAEDF3"/>
          </w:tcPr>
          <w:p>
            <w:pPr>
              <w:pStyle w:val="TableParagraph"/>
              <w:spacing w:before="110"/>
              <w:ind w:left="101" w:right="7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42,12%</w:t>
            </w:r>
          </w:p>
        </w:tc>
        <w:tc>
          <w:tcPr>
            <w:tcW w:w="1075" w:type="dxa"/>
            <w:shd w:val="clear" w:color="auto" w:fill="DAEDF3"/>
          </w:tcPr>
          <w:p>
            <w:pPr>
              <w:pStyle w:val="TableParagraph"/>
              <w:spacing w:before="110"/>
              <w:ind w:left="158" w:right="12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86,37%</w:t>
            </w:r>
          </w:p>
        </w:tc>
        <w:tc>
          <w:tcPr>
            <w:tcW w:w="1140" w:type="dxa"/>
            <w:shd w:val="clear" w:color="auto" w:fill="DAEDF3"/>
          </w:tcPr>
          <w:p>
            <w:pPr>
              <w:pStyle w:val="TableParagraph"/>
              <w:spacing w:before="110"/>
              <w:ind w:right="28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25,52%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spacing w:before="110"/>
              <w:ind w:left="91" w:right="7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333333"/>
                <w:sz w:val="15"/>
              </w:rPr>
              <w:t>11,57%</w:t>
            </w:r>
          </w:p>
        </w:tc>
      </w:tr>
      <w:tr>
        <w:trPr>
          <w:trHeight w:val="443" w:hRule="atLeast"/>
        </w:trPr>
        <w:tc>
          <w:tcPr>
            <w:tcW w:w="1076" w:type="dxa"/>
            <w:vMerge w:val="restart"/>
            <w:shd w:val="clear" w:color="auto" w:fill="F1F1F1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338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2018</w:t>
            </w:r>
          </w:p>
        </w:tc>
        <w:tc>
          <w:tcPr>
            <w:tcW w:w="2613" w:type="dxa"/>
          </w:tcPr>
          <w:p>
            <w:pPr>
              <w:pStyle w:val="TableParagraph"/>
              <w:spacing w:before="127"/>
              <w:ind w:left="155" w:right="17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1D7CB3"/>
                <w:spacing w:val="-5"/>
                <w:sz w:val="15"/>
              </w:rPr>
              <w:t>Ta</w:t>
            </w:r>
            <w:r>
              <w:rPr>
                <w:rFonts w:ascii="Arial"/>
                <w:b/>
                <w:color w:val="1D7CB3"/>
                <w:spacing w:val="-27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5"/>
                <w:sz w:val="15"/>
              </w:rPr>
              <w:t>sa</w:t>
            </w:r>
            <w:r>
              <w:rPr>
                <w:rFonts w:ascii="Arial"/>
                <w:b/>
                <w:color w:val="1D7CB3"/>
                <w:spacing w:val="1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sz w:val="15"/>
              </w:rPr>
              <w:t>Bruta</w:t>
            </w:r>
            <w:r>
              <w:rPr>
                <w:rFonts w:ascii="Arial"/>
                <w:b/>
                <w:color w:val="1D7CB3"/>
                <w:spacing w:val="1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sz w:val="15"/>
              </w:rPr>
              <w:t>de</w:t>
            </w:r>
            <w:r>
              <w:rPr>
                <w:rFonts w:ascii="Arial"/>
                <w:b/>
                <w:color w:val="1D7CB3"/>
                <w:spacing w:val="11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sz w:val="15"/>
              </w:rPr>
              <w:t>Cobertura</w:t>
            </w:r>
          </w:p>
        </w:tc>
        <w:tc>
          <w:tcPr>
            <w:tcW w:w="1571" w:type="dxa"/>
          </w:tcPr>
          <w:p>
            <w:pPr>
              <w:pStyle w:val="TableParagraph"/>
              <w:spacing w:before="111"/>
              <w:ind w:left="101" w:right="7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51,24%</w:t>
            </w:r>
          </w:p>
        </w:tc>
        <w:tc>
          <w:tcPr>
            <w:tcW w:w="1075" w:type="dxa"/>
          </w:tcPr>
          <w:p>
            <w:pPr>
              <w:pStyle w:val="TableParagraph"/>
              <w:spacing w:before="111"/>
              <w:ind w:left="158" w:right="14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102,97%</w:t>
            </w:r>
          </w:p>
        </w:tc>
        <w:tc>
          <w:tcPr>
            <w:tcW w:w="1140" w:type="dxa"/>
          </w:tcPr>
          <w:p>
            <w:pPr>
              <w:pStyle w:val="TableParagraph"/>
              <w:spacing w:before="111"/>
              <w:ind w:right="28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39,32%</w:t>
            </w:r>
          </w:p>
        </w:tc>
        <w:tc>
          <w:tcPr>
            <w:tcW w:w="1349" w:type="dxa"/>
            <w:tcBorders>
              <w:right w:val="nil"/>
            </w:tcBorders>
          </w:tcPr>
          <w:p>
            <w:pPr>
              <w:pStyle w:val="TableParagraph"/>
              <w:spacing w:before="111"/>
              <w:ind w:left="95" w:right="7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17,20%</w:t>
            </w:r>
          </w:p>
        </w:tc>
      </w:tr>
      <w:tr>
        <w:trPr>
          <w:trHeight w:val="445" w:hRule="atLeast"/>
        </w:trPr>
        <w:tc>
          <w:tcPr>
            <w:tcW w:w="1076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shd w:val="clear" w:color="auto" w:fill="DAEDF3"/>
          </w:tcPr>
          <w:p>
            <w:pPr>
              <w:pStyle w:val="TableParagraph"/>
              <w:spacing w:before="127"/>
              <w:ind w:left="137" w:right="17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1D7CB3"/>
                <w:spacing w:val="-2"/>
                <w:sz w:val="15"/>
              </w:rPr>
              <w:t>Ta</w:t>
            </w:r>
            <w:r>
              <w:rPr>
                <w:rFonts w:ascii="Arial"/>
                <w:b/>
                <w:color w:val="1D7CB3"/>
                <w:spacing w:val="-27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5"/>
              </w:rPr>
              <w:t>sa</w:t>
            </w:r>
            <w:r>
              <w:rPr>
                <w:rFonts w:ascii="Arial"/>
                <w:b/>
                <w:color w:val="1D7CB3"/>
                <w:spacing w:val="16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5"/>
              </w:rPr>
              <w:t>Neta</w:t>
            </w:r>
            <w:r>
              <w:rPr>
                <w:rFonts w:ascii="Arial"/>
                <w:b/>
                <w:color w:val="1D7CB3"/>
                <w:spacing w:val="1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5"/>
              </w:rPr>
              <w:t>de</w:t>
            </w:r>
            <w:r>
              <w:rPr>
                <w:rFonts w:ascii="Arial"/>
                <w:b/>
                <w:color w:val="1D7CB3"/>
                <w:spacing w:val="12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5"/>
              </w:rPr>
              <w:t>Cobertura</w:t>
            </w:r>
          </w:p>
        </w:tc>
        <w:tc>
          <w:tcPr>
            <w:tcW w:w="1571" w:type="dxa"/>
            <w:shd w:val="clear" w:color="auto" w:fill="DAEDF3"/>
          </w:tcPr>
          <w:p>
            <w:pPr>
              <w:pStyle w:val="TableParagraph"/>
              <w:spacing w:before="118"/>
              <w:ind w:left="101" w:right="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333333"/>
                <w:w w:val="105"/>
                <w:sz w:val="16"/>
              </w:rPr>
              <w:t>44,64%</w:t>
            </w:r>
          </w:p>
        </w:tc>
        <w:tc>
          <w:tcPr>
            <w:tcW w:w="1075" w:type="dxa"/>
            <w:shd w:val="clear" w:color="auto" w:fill="DAEDF3"/>
          </w:tcPr>
          <w:p>
            <w:pPr>
              <w:pStyle w:val="TableParagraph"/>
              <w:spacing w:before="118"/>
              <w:ind w:left="158" w:right="1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333333"/>
                <w:w w:val="105"/>
                <w:sz w:val="16"/>
              </w:rPr>
              <w:t>88,27%</w:t>
            </w:r>
          </w:p>
        </w:tc>
        <w:tc>
          <w:tcPr>
            <w:tcW w:w="1140" w:type="dxa"/>
            <w:shd w:val="clear" w:color="auto" w:fill="DAEDF3"/>
          </w:tcPr>
          <w:p>
            <w:pPr>
              <w:pStyle w:val="TableParagraph"/>
              <w:spacing w:before="118"/>
              <w:ind w:right="26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333333"/>
                <w:w w:val="105"/>
                <w:sz w:val="16"/>
              </w:rPr>
              <w:t>26,12%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spacing w:before="111"/>
              <w:ind w:left="88" w:right="7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11,33%</w:t>
            </w:r>
          </w:p>
        </w:tc>
      </w:tr>
      <w:tr>
        <w:trPr>
          <w:trHeight w:val="443" w:hRule="atLeast"/>
        </w:trPr>
        <w:tc>
          <w:tcPr>
            <w:tcW w:w="1076" w:type="dxa"/>
            <w:vMerge w:val="restart"/>
            <w:shd w:val="clear" w:color="auto" w:fill="F1F1F1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338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2019</w:t>
            </w:r>
          </w:p>
        </w:tc>
        <w:tc>
          <w:tcPr>
            <w:tcW w:w="2613" w:type="dxa"/>
          </w:tcPr>
          <w:p>
            <w:pPr>
              <w:pStyle w:val="TableParagraph"/>
              <w:spacing w:before="127"/>
              <w:ind w:left="155" w:right="17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1D7CB3"/>
                <w:spacing w:val="-5"/>
                <w:sz w:val="15"/>
              </w:rPr>
              <w:t>Ta</w:t>
            </w:r>
            <w:r>
              <w:rPr>
                <w:rFonts w:ascii="Arial"/>
                <w:b/>
                <w:color w:val="1D7CB3"/>
                <w:spacing w:val="-27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5"/>
                <w:sz w:val="15"/>
              </w:rPr>
              <w:t>sa</w:t>
            </w:r>
            <w:r>
              <w:rPr>
                <w:rFonts w:ascii="Arial"/>
                <w:b/>
                <w:color w:val="1D7CB3"/>
                <w:spacing w:val="1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sz w:val="15"/>
              </w:rPr>
              <w:t>Bruta</w:t>
            </w:r>
            <w:r>
              <w:rPr>
                <w:rFonts w:ascii="Arial"/>
                <w:b/>
                <w:color w:val="1D7CB3"/>
                <w:spacing w:val="1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sz w:val="15"/>
              </w:rPr>
              <w:t>de</w:t>
            </w:r>
            <w:r>
              <w:rPr>
                <w:rFonts w:ascii="Arial"/>
                <w:b/>
                <w:color w:val="1D7CB3"/>
                <w:spacing w:val="11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sz w:val="15"/>
              </w:rPr>
              <w:t>Cobertura</w:t>
            </w:r>
          </w:p>
        </w:tc>
        <w:tc>
          <w:tcPr>
            <w:tcW w:w="1571" w:type="dxa"/>
          </w:tcPr>
          <w:p>
            <w:pPr>
              <w:pStyle w:val="TableParagraph"/>
              <w:spacing w:before="110"/>
              <w:ind w:left="101" w:right="7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47,83%</w:t>
            </w:r>
          </w:p>
        </w:tc>
        <w:tc>
          <w:tcPr>
            <w:tcW w:w="1075" w:type="dxa"/>
          </w:tcPr>
          <w:p>
            <w:pPr>
              <w:pStyle w:val="TableParagraph"/>
              <w:spacing w:before="110"/>
              <w:ind w:left="158" w:right="12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99,29%</w:t>
            </w:r>
          </w:p>
        </w:tc>
        <w:tc>
          <w:tcPr>
            <w:tcW w:w="1140" w:type="dxa"/>
          </w:tcPr>
          <w:p>
            <w:pPr>
              <w:pStyle w:val="TableParagraph"/>
              <w:spacing w:before="110"/>
              <w:ind w:right="28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36,08%</w:t>
            </w:r>
          </w:p>
        </w:tc>
        <w:tc>
          <w:tcPr>
            <w:tcW w:w="1349" w:type="dxa"/>
            <w:tcBorders>
              <w:right w:val="nil"/>
            </w:tcBorders>
          </w:tcPr>
          <w:p>
            <w:pPr>
              <w:pStyle w:val="TableParagraph"/>
              <w:spacing w:before="110"/>
              <w:ind w:left="95" w:right="7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17,30%</w:t>
            </w:r>
          </w:p>
        </w:tc>
      </w:tr>
      <w:tr>
        <w:trPr>
          <w:trHeight w:val="443" w:hRule="atLeast"/>
        </w:trPr>
        <w:tc>
          <w:tcPr>
            <w:tcW w:w="1076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shd w:val="clear" w:color="auto" w:fill="DAEDF3"/>
          </w:tcPr>
          <w:p>
            <w:pPr>
              <w:pStyle w:val="TableParagraph"/>
              <w:spacing w:before="127"/>
              <w:ind w:left="137" w:right="17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1D7CB3"/>
                <w:spacing w:val="-2"/>
                <w:sz w:val="15"/>
              </w:rPr>
              <w:t>Ta</w:t>
            </w:r>
            <w:r>
              <w:rPr>
                <w:rFonts w:ascii="Arial"/>
                <w:b/>
                <w:color w:val="1D7CB3"/>
                <w:spacing w:val="-27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5"/>
              </w:rPr>
              <w:t>sa</w:t>
            </w:r>
            <w:r>
              <w:rPr>
                <w:rFonts w:ascii="Arial"/>
                <w:b/>
                <w:color w:val="1D7CB3"/>
                <w:spacing w:val="16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5"/>
              </w:rPr>
              <w:t>Neta</w:t>
            </w:r>
            <w:r>
              <w:rPr>
                <w:rFonts w:ascii="Arial"/>
                <w:b/>
                <w:color w:val="1D7CB3"/>
                <w:spacing w:val="1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5"/>
              </w:rPr>
              <w:t>de</w:t>
            </w:r>
            <w:r>
              <w:rPr>
                <w:rFonts w:ascii="Arial"/>
                <w:b/>
                <w:color w:val="1D7CB3"/>
                <w:spacing w:val="12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5"/>
              </w:rPr>
              <w:t>Cobertura</w:t>
            </w:r>
          </w:p>
        </w:tc>
        <w:tc>
          <w:tcPr>
            <w:tcW w:w="1571" w:type="dxa"/>
            <w:shd w:val="clear" w:color="auto" w:fill="DAEDF3"/>
          </w:tcPr>
          <w:p>
            <w:pPr>
              <w:pStyle w:val="TableParagraph"/>
              <w:spacing w:before="111"/>
              <w:ind w:left="101" w:right="7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41,55%</w:t>
            </w:r>
          </w:p>
        </w:tc>
        <w:tc>
          <w:tcPr>
            <w:tcW w:w="1075" w:type="dxa"/>
            <w:shd w:val="clear" w:color="auto" w:fill="DAEDF3"/>
          </w:tcPr>
          <w:p>
            <w:pPr>
              <w:pStyle w:val="TableParagraph"/>
              <w:spacing w:before="111"/>
              <w:ind w:left="158" w:right="12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86,27%</w:t>
            </w:r>
          </w:p>
        </w:tc>
        <w:tc>
          <w:tcPr>
            <w:tcW w:w="1140" w:type="dxa"/>
            <w:shd w:val="clear" w:color="auto" w:fill="DAEDF3"/>
          </w:tcPr>
          <w:p>
            <w:pPr>
              <w:pStyle w:val="TableParagraph"/>
              <w:spacing w:before="111"/>
              <w:ind w:right="28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24,84%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spacing w:before="111"/>
              <w:ind w:left="88" w:right="7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11,15%</w:t>
            </w:r>
          </w:p>
        </w:tc>
      </w:tr>
      <w:tr>
        <w:trPr>
          <w:trHeight w:val="445" w:hRule="atLeast"/>
        </w:trPr>
        <w:tc>
          <w:tcPr>
            <w:tcW w:w="1076" w:type="dxa"/>
            <w:vMerge w:val="restart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338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2020</w:t>
            </w:r>
          </w:p>
        </w:tc>
        <w:tc>
          <w:tcPr>
            <w:tcW w:w="2613" w:type="dxa"/>
          </w:tcPr>
          <w:p>
            <w:pPr>
              <w:pStyle w:val="TableParagraph"/>
              <w:spacing w:before="127"/>
              <w:ind w:left="155" w:right="17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1D7CB3"/>
                <w:spacing w:val="-5"/>
                <w:sz w:val="15"/>
              </w:rPr>
              <w:t>Ta</w:t>
            </w:r>
            <w:r>
              <w:rPr>
                <w:rFonts w:ascii="Arial"/>
                <w:b/>
                <w:color w:val="1D7CB3"/>
                <w:spacing w:val="-27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5"/>
                <w:sz w:val="15"/>
              </w:rPr>
              <w:t>sa</w:t>
            </w:r>
            <w:r>
              <w:rPr>
                <w:rFonts w:ascii="Arial"/>
                <w:b/>
                <w:color w:val="1D7CB3"/>
                <w:spacing w:val="1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sz w:val="15"/>
              </w:rPr>
              <w:t>Bruta</w:t>
            </w:r>
            <w:r>
              <w:rPr>
                <w:rFonts w:ascii="Arial"/>
                <w:b/>
                <w:color w:val="1D7CB3"/>
                <w:spacing w:val="1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sz w:val="15"/>
              </w:rPr>
              <w:t>de</w:t>
            </w:r>
            <w:r>
              <w:rPr>
                <w:rFonts w:ascii="Arial"/>
                <w:b/>
                <w:color w:val="1D7CB3"/>
                <w:spacing w:val="11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sz w:val="15"/>
              </w:rPr>
              <w:t>Cobertura</w:t>
            </w:r>
          </w:p>
        </w:tc>
        <w:tc>
          <w:tcPr>
            <w:tcW w:w="1571" w:type="dxa"/>
          </w:tcPr>
          <w:p>
            <w:pPr>
              <w:pStyle w:val="TableParagraph"/>
              <w:spacing w:before="111"/>
              <w:ind w:left="101" w:right="7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46,61%</w:t>
            </w:r>
          </w:p>
        </w:tc>
        <w:tc>
          <w:tcPr>
            <w:tcW w:w="1075" w:type="dxa"/>
          </w:tcPr>
          <w:p>
            <w:pPr>
              <w:pStyle w:val="TableParagraph"/>
              <w:spacing w:before="111"/>
              <w:ind w:left="158" w:right="12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98,37%</w:t>
            </w:r>
          </w:p>
        </w:tc>
        <w:tc>
          <w:tcPr>
            <w:tcW w:w="1140" w:type="dxa"/>
          </w:tcPr>
          <w:p>
            <w:pPr>
              <w:pStyle w:val="TableParagraph"/>
              <w:spacing w:before="111"/>
              <w:ind w:right="28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34,64%</w:t>
            </w:r>
          </w:p>
        </w:tc>
        <w:tc>
          <w:tcPr>
            <w:tcW w:w="1349" w:type="dxa"/>
            <w:tcBorders>
              <w:right w:val="nil"/>
            </w:tcBorders>
          </w:tcPr>
          <w:p>
            <w:pPr>
              <w:pStyle w:val="TableParagraph"/>
              <w:spacing w:before="111"/>
              <w:ind w:left="95" w:right="7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18,02%</w:t>
            </w:r>
          </w:p>
        </w:tc>
      </w:tr>
      <w:tr>
        <w:trPr>
          <w:trHeight w:val="449" w:hRule="atLeast"/>
        </w:trPr>
        <w:tc>
          <w:tcPr>
            <w:tcW w:w="1076" w:type="dxa"/>
            <w:vMerge/>
            <w:tcBorders>
              <w:top w:val="nil"/>
              <w:bottom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bottom w:val="nil"/>
            </w:tcBorders>
            <w:shd w:val="clear" w:color="auto" w:fill="DAEDF3"/>
          </w:tcPr>
          <w:p>
            <w:pPr>
              <w:pStyle w:val="TableParagraph"/>
              <w:spacing w:before="127"/>
              <w:ind w:left="137" w:right="17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1D7CB3"/>
                <w:spacing w:val="-2"/>
                <w:sz w:val="15"/>
              </w:rPr>
              <w:t>Ta</w:t>
            </w:r>
            <w:r>
              <w:rPr>
                <w:rFonts w:ascii="Arial"/>
                <w:b/>
                <w:color w:val="1D7CB3"/>
                <w:spacing w:val="-27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5"/>
              </w:rPr>
              <w:t>sa</w:t>
            </w:r>
            <w:r>
              <w:rPr>
                <w:rFonts w:ascii="Arial"/>
                <w:b/>
                <w:color w:val="1D7CB3"/>
                <w:spacing w:val="16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5"/>
              </w:rPr>
              <w:t>Neta</w:t>
            </w:r>
            <w:r>
              <w:rPr>
                <w:rFonts w:ascii="Arial"/>
                <w:b/>
                <w:color w:val="1D7CB3"/>
                <w:spacing w:val="1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5"/>
              </w:rPr>
              <w:t>de</w:t>
            </w:r>
            <w:r>
              <w:rPr>
                <w:rFonts w:ascii="Arial"/>
                <w:b/>
                <w:color w:val="1D7CB3"/>
                <w:spacing w:val="12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5"/>
              </w:rPr>
              <w:t>Cobertura</w:t>
            </w:r>
          </w:p>
        </w:tc>
        <w:tc>
          <w:tcPr>
            <w:tcW w:w="1571" w:type="dxa"/>
            <w:tcBorders>
              <w:bottom w:val="nil"/>
            </w:tcBorders>
            <w:shd w:val="clear" w:color="auto" w:fill="DAEDF3"/>
          </w:tcPr>
          <w:p>
            <w:pPr>
              <w:pStyle w:val="TableParagraph"/>
              <w:spacing w:before="110"/>
              <w:ind w:left="101" w:right="7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40,48%</w:t>
            </w:r>
          </w:p>
        </w:tc>
        <w:tc>
          <w:tcPr>
            <w:tcW w:w="1075" w:type="dxa"/>
            <w:tcBorders>
              <w:bottom w:val="nil"/>
            </w:tcBorders>
            <w:shd w:val="clear" w:color="auto" w:fill="DAEDF3"/>
          </w:tcPr>
          <w:p>
            <w:pPr>
              <w:pStyle w:val="TableParagraph"/>
              <w:spacing w:before="110"/>
              <w:ind w:left="158" w:right="12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85,80%</w:t>
            </w:r>
          </w:p>
        </w:tc>
        <w:tc>
          <w:tcPr>
            <w:tcW w:w="1140" w:type="dxa"/>
            <w:tcBorders>
              <w:bottom w:val="nil"/>
            </w:tcBorders>
            <w:shd w:val="clear" w:color="auto" w:fill="DAEDF3"/>
          </w:tcPr>
          <w:p>
            <w:pPr>
              <w:pStyle w:val="TableParagraph"/>
              <w:spacing w:before="110"/>
              <w:ind w:right="28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24,68%</w:t>
            </w:r>
          </w:p>
        </w:tc>
        <w:tc>
          <w:tcPr>
            <w:tcW w:w="1349" w:type="dxa"/>
            <w:tcBorders>
              <w:bottom w:val="nil"/>
              <w:right w:val="nil"/>
            </w:tcBorders>
            <w:shd w:val="clear" w:color="auto" w:fill="DAEDF3"/>
          </w:tcPr>
          <w:p>
            <w:pPr>
              <w:pStyle w:val="TableParagraph"/>
              <w:spacing w:before="110"/>
              <w:ind w:left="88" w:right="7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11,50%</w:t>
            </w:r>
          </w:p>
        </w:tc>
      </w:tr>
    </w:tbl>
    <w:p>
      <w:pPr>
        <w:spacing w:before="0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2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2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278" w:right="1073"/>
        <w:jc w:val="both"/>
      </w:pPr>
      <w:r>
        <w:rPr/>
        <w:t>Para la cobertura educativa medida a través del (TNE) para Huehuetenango durante el período del 2017</w:t>
      </w:r>
      <w:r>
        <w:rPr>
          <w:spacing w:val="1"/>
        </w:rPr>
        <w:t> </w:t>
      </w:r>
      <w:r>
        <w:rPr/>
        <w:t>al 2020, evidencia un aumento promedio considerable en la cobertura de nivel primaria (90.6%), en</w:t>
      </w:r>
      <w:r>
        <w:rPr>
          <w:spacing w:val="1"/>
        </w:rPr>
        <w:t> </w:t>
      </w:r>
      <w:r>
        <w:rPr/>
        <w:t>comparación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2"/>
        </w:rPr>
        <w:t> </w:t>
      </w:r>
      <w:r>
        <w:rPr/>
        <w:t>TNE</w:t>
      </w:r>
      <w:r>
        <w:rPr>
          <w:spacing w:val="6"/>
        </w:rPr>
        <w:t> </w:t>
      </w:r>
      <w:r>
        <w:rPr/>
        <w:t>nacional</w:t>
      </w:r>
      <w:r>
        <w:rPr>
          <w:spacing w:val="5"/>
        </w:rPr>
        <w:t> </w:t>
      </w:r>
      <w:r>
        <w:rPr/>
        <w:t>promedio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período</w:t>
      </w:r>
      <w:r>
        <w:rPr>
          <w:spacing w:val="7"/>
        </w:rPr>
        <w:t> </w:t>
      </w:r>
      <w:r>
        <w:rPr/>
        <w:t>(2017-2019)</w:t>
      </w:r>
      <w:r>
        <w:rPr>
          <w:spacing w:val="3"/>
        </w:rPr>
        <w:t> </w:t>
      </w:r>
      <w:r>
        <w:rPr/>
        <w:t>que</w:t>
      </w:r>
      <w:r>
        <w:rPr>
          <w:spacing w:val="6"/>
        </w:rPr>
        <w:t> </w:t>
      </w:r>
      <w:r>
        <w:rPr/>
        <w:t>posee</w:t>
      </w:r>
      <w:r>
        <w:rPr>
          <w:spacing w:val="4"/>
        </w:rPr>
        <w:t> </w:t>
      </w:r>
      <w:r>
        <w:rPr/>
        <w:t>el</w:t>
      </w:r>
      <w:r>
        <w:rPr>
          <w:spacing w:val="6"/>
        </w:rPr>
        <w:t> </w:t>
      </w:r>
      <w:r>
        <w:rPr/>
        <w:t>77.50%.</w:t>
      </w:r>
      <w:r>
        <w:rPr>
          <w:spacing w:val="5"/>
        </w:rPr>
        <w:t> </w:t>
      </w:r>
      <w:r>
        <w:rPr/>
        <w:t>Como</w:t>
      </w:r>
      <w:r>
        <w:rPr>
          <w:spacing w:val="6"/>
        </w:rPr>
        <w:t> </w:t>
      </w:r>
      <w:r>
        <w:rPr/>
        <w:t>sucede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pict>
          <v:rect style="position:absolute;margin-left:563.880005pt;margin-top:19.995949pt;width:25.44pt;height:1.4399pt;mso-position-horizontal-relative:page;mso-position-vertical-relative:paragraph;z-index:-1543270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149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10688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1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6"/>
        <w:jc w:val="both"/>
      </w:pPr>
      <w:r>
        <w:rPr/>
        <w:t>con los otros departamentos, presenta cantidades reducidas en la participación de los jóvenes en el ciclo</w:t>
      </w:r>
      <w:r>
        <w:rPr>
          <w:spacing w:val="1"/>
        </w:rPr>
        <w:t> </w:t>
      </w:r>
      <w:r>
        <w:rPr/>
        <w:t>básico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diversificado.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tabla, se</w:t>
      </w:r>
      <w:r>
        <w:rPr>
          <w:spacing w:val="-3"/>
        </w:rPr>
        <w:t> </w:t>
      </w:r>
      <w:r>
        <w:rPr/>
        <w:t>observan</w:t>
      </w:r>
      <w:r>
        <w:rPr>
          <w:spacing w:val="-2"/>
        </w:rPr>
        <w:t> </w:t>
      </w:r>
      <w:r>
        <w:rPr/>
        <w:t>las cifras</w:t>
      </w:r>
      <w:r>
        <w:rPr>
          <w:spacing w:val="-1"/>
        </w:rPr>
        <w:t> </w:t>
      </w:r>
      <w:r>
        <w:rPr/>
        <w:t>del TNE</w:t>
      </w:r>
      <w:r>
        <w:rPr>
          <w:spacing w:val="-1"/>
        </w:rPr>
        <w:t> </w:t>
      </w:r>
      <w:r>
        <w:rPr/>
        <w:t>para el</w:t>
      </w:r>
      <w:r>
        <w:rPr>
          <w:spacing w:val="-3"/>
        </w:rPr>
        <w:t> </w:t>
      </w:r>
      <w:r>
        <w:rPr/>
        <w:t>período</w:t>
      </w:r>
      <w:r>
        <w:rPr>
          <w:spacing w:val="-3"/>
        </w:rPr>
        <w:t> </w:t>
      </w:r>
      <w:r>
        <w:rPr/>
        <w:t>2017-2020.</w:t>
      </w:r>
    </w:p>
    <w:p>
      <w:pPr>
        <w:pStyle w:val="BodyText"/>
      </w:pPr>
    </w:p>
    <w:p>
      <w:pPr>
        <w:pStyle w:val="BodyText"/>
        <w:ind w:left="278" w:right="1072"/>
        <w:jc w:val="both"/>
      </w:pPr>
      <w:r>
        <w:rPr/>
        <w:t>Este</w:t>
      </w:r>
      <w:r>
        <w:rPr>
          <w:spacing w:val="-5"/>
        </w:rPr>
        <w:t> </w:t>
      </w:r>
      <w:r>
        <w:rPr/>
        <w:t>cuadro,</w:t>
      </w:r>
      <w:r>
        <w:rPr>
          <w:spacing w:val="-3"/>
        </w:rPr>
        <w:t> </w:t>
      </w:r>
      <w:r>
        <w:rPr/>
        <w:t>incorpora</w:t>
      </w:r>
      <w:r>
        <w:rPr>
          <w:spacing w:val="-2"/>
        </w:rPr>
        <w:t> </w:t>
      </w:r>
      <w:r>
        <w:rPr/>
        <w:t>los</w:t>
      </w:r>
      <w:r>
        <w:rPr>
          <w:spacing w:val="-8"/>
        </w:rPr>
        <w:t> </w:t>
      </w:r>
      <w:r>
        <w:rPr/>
        <w:t>principales</w:t>
      </w:r>
      <w:r>
        <w:rPr>
          <w:spacing w:val="-2"/>
        </w:rPr>
        <w:t> </w:t>
      </w:r>
      <w:r>
        <w:rPr/>
        <w:t>indicadores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</w:t>
      </w:r>
      <w:r>
        <w:rPr>
          <w:spacing w:val="-6"/>
        </w:rPr>
        <w:t> </w:t>
      </w:r>
      <w:r>
        <w:rPr/>
        <w:t>para</w:t>
      </w:r>
      <w:r>
        <w:rPr>
          <w:spacing w:val="-5"/>
        </w:rPr>
        <w:t> </w:t>
      </w:r>
      <w:r>
        <w:rPr/>
        <w:t>Huehuetenango.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nivel</w:t>
      </w:r>
      <w:r>
        <w:rPr>
          <w:spacing w:val="-7"/>
        </w:rPr>
        <w:t> </w:t>
      </w:r>
      <w:r>
        <w:rPr/>
        <w:t>Preprimaria,</w:t>
      </w:r>
      <w:r>
        <w:rPr>
          <w:spacing w:val="-47"/>
        </w:rPr>
        <w:t> </w:t>
      </w:r>
      <w:r>
        <w:rPr/>
        <w:t>evidencia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reducción 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periodo</w:t>
      </w:r>
      <w:r>
        <w:rPr>
          <w:spacing w:val="1"/>
        </w:rPr>
        <w:t> </w:t>
      </w:r>
      <w:r>
        <w:rPr/>
        <w:t>2017‐2020,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TNE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(42.12%),</w:t>
      </w:r>
      <w:r>
        <w:rPr>
          <w:spacing w:val="1"/>
        </w:rPr>
        <w:t> </w:t>
      </w:r>
      <w:r>
        <w:rPr/>
        <w:t>(44.64%), (41.55%) y (40.40%) respectivamente durante los años indicados. Lo cual, significa que menos</w:t>
      </w:r>
      <w:r>
        <w:rPr>
          <w:spacing w:val="1"/>
        </w:rPr>
        <w:t> </w:t>
      </w:r>
      <w:r>
        <w:rPr/>
        <w:t>de la</w:t>
      </w:r>
      <w:r>
        <w:rPr>
          <w:spacing w:val="-3"/>
        </w:rPr>
        <w:t> </w:t>
      </w:r>
      <w:r>
        <w:rPr/>
        <w:t>mitad</w:t>
      </w:r>
      <w:r>
        <w:rPr>
          <w:spacing w:val="-1"/>
        </w:rPr>
        <w:t> </w:t>
      </w:r>
      <w:r>
        <w:rPr/>
        <w:t>tiene acceso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este</w:t>
      </w:r>
      <w:r>
        <w:rPr>
          <w:spacing w:val="1"/>
        </w:rPr>
        <w:t> </w:t>
      </w:r>
      <w:r>
        <w:rPr/>
        <w:t>nivel</w:t>
      </w:r>
      <w:r>
        <w:rPr>
          <w:spacing w:val="-3"/>
        </w:rPr>
        <w:t> </w:t>
      </w:r>
      <w:r>
        <w:rPr/>
        <w:t>(TNE: 42.19%).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1"/>
        <w:ind w:left="278" w:right="1073"/>
        <w:jc w:val="both"/>
      </w:pPr>
      <w:r>
        <w:rPr/>
        <w:t>En primaria se</w:t>
      </w:r>
      <w:r>
        <w:rPr>
          <w:spacing w:val="1"/>
        </w:rPr>
        <w:t> </w:t>
      </w:r>
      <w:r>
        <w:rPr/>
        <w:t>registran mayores valores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van de</w:t>
      </w:r>
      <w:r>
        <w:rPr>
          <w:spacing w:val="1"/>
        </w:rPr>
        <w:t> </w:t>
      </w:r>
      <w:r>
        <w:rPr/>
        <w:t>(86.37%), (88.27%),</w:t>
      </w:r>
      <w:r>
        <w:rPr>
          <w:spacing w:val="1"/>
        </w:rPr>
        <w:t> </w:t>
      </w:r>
      <w:r>
        <w:rPr/>
        <w:t>(86.27%) y</w:t>
      </w:r>
      <w:r>
        <w:rPr>
          <w:spacing w:val="1"/>
        </w:rPr>
        <w:t> </w:t>
      </w:r>
      <w:r>
        <w:rPr/>
        <w:t>(85.80%), registrando el mayor dato durante el 2018. De acuerdo con dato promedio de la TNE de</w:t>
      </w:r>
      <w:r>
        <w:rPr>
          <w:spacing w:val="1"/>
        </w:rPr>
        <w:t> </w:t>
      </w:r>
      <w:r>
        <w:rPr/>
        <w:t>Huehuetenango (86.67%) durante el período en comparación con el promedio de la TNE Nacional, este</w:t>
      </w:r>
      <w:r>
        <w:rPr>
          <w:spacing w:val="1"/>
        </w:rPr>
        <w:t> </w:t>
      </w:r>
      <w:r>
        <w:rPr/>
        <w:t>departamento registró un valor por arriba con el 9.17%. En otras palabras, nueve (9) de cada diez (10). Lo</w:t>
      </w:r>
      <w:r>
        <w:rPr>
          <w:spacing w:val="-47"/>
        </w:rPr>
        <w:t> </w:t>
      </w:r>
      <w:r>
        <w:rPr/>
        <w:t>interesante aquí será determinar la tasa neta a nivel municipal para identificar brechas o desigualdades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el sistema.</w:t>
      </w:r>
    </w:p>
    <w:p>
      <w:pPr>
        <w:pStyle w:val="BodyText"/>
        <w:rPr>
          <w:sz w:val="20"/>
        </w:rPr>
      </w:pPr>
    </w:p>
    <w:p>
      <w:pPr>
        <w:pStyle w:val="BodyText"/>
        <w:ind w:left="278" w:right="1069"/>
        <w:jc w:val="both"/>
      </w:pPr>
      <w:r>
        <w:rPr/>
        <w:t>Los valores en el Ciclo básico reportan una tendencia a la baja similar a los datos Nacionales, aunque por</w:t>
      </w:r>
      <w:r>
        <w:rPr>
          <w:spacing w:val="1"/>
        </w:rPr>
        <w:t> </w:t>
      </w:r>
      <w:r>
        <w:rPr/>
        <w:t>debajo del mejor dato reportado en el 2015 (45.9%). Para el período analizado las cantidades que van</w:t>
      </w:r>
      <w:r>
        <w:rPr>
          <w:spacing w:val="1"/>
        </w:rPr>
        <w:t> </w:t>
      </w:r>
      <w:r>
        <w:rPr/>
        <w:t>desde</w:t>
      </w:r>
      <w:r>
        <w:rPr>
          <w:spacing w:val="-1"/>
        </w:rPr>
        <w:t> </w:t>
      </w:r>
      <w:r>
        <w:rPr/>
        <w:t>25.52%,</w:t>
      </w:r>
      <w:r>
        <w:rPr>
          <w:spacing w:val="-2"/>
        </w:rPr>
        <w:t> </w:t>
      </w:r>
      <w:r>
        <w:rPr/>
        <w:t>26.12%</w:t>
      </w:r>
      <w:r>
        <w:rPr>
          <w:spacing w:val="-2"/>
        </w:rPr>
        <w:t> </w:t>
      </w:r>
      <w:r>
        <w:rPr/>
        <w:t>(el año</w:t>
      </w:r>
      <w:r>
        <w:rPr>
          <w:spacing w:val="1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mejor</w:t>
      </w:r>
      <w:r>
        <w:rPr>
          <w:spacing w:val="-3"/>
        </w:rPr>
        <w:t> </w:t>
      </w:r>
      <w:r>
        <w:rPr/>
        <w:t>dato),</w:t>
      </w:r>
      <w:r>
        <w:rPr>
          <w:spacing w:val="-2"/>
        </w:rPr>
        <w:t> </w:t>
      </w:r>
      <w:r>
        <w:rPr/>
        <w:t>24.84%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24.68%.</w:t>
      </w:r>
    </w:p>
    <w:p>
      <w:pPr>
        <w:pStyle w:val="BodyText"/>
        <w:spacing w:before="1"/>
      </w:pPr>
    </w:p>
    <w:p>
      <w:pPr>
        <w:pStyle w:val="BodyText"/>
        <w:ind w:left="278" w:right="1070"/>
        <w:jc w:val="both"/>
      </w:pPr>
      <w:r>
        <w:rPr/>
        <w:t>De modo similar a los datos nacionales, el nivel más bajo de participación en el Sistema Nacional de</w:t>
      </w:r>
      <w:r>
        <w:rPr>
          <w:spacing w:val="1"/>
        </w:rPr>
        <w:t> </w:t>
      </w:r>
      <w:r>
        <w:rPr/>
        <w:t>Educación,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representa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diversificado.</w:t>
      </w:r>
      <w:r>
        <w:rPr>
          <w:spacing w:val="1"/>
        </w:rPr>
        <w:t> </w:t>
      </w:r>
      <w:r>
        <w:rPr/>
        <w:t>(11.57%),</w:t>
      </w:r>
      <w:r>
        <w:rPr>
          <w:spacing w:val="1"/>
        </w:rPr>
        <w:t> </w:t>
      </w:r>
      <w:r>
        <w:rPr/>
        <w:t>(11.33%),</w:t>
      </w:r>
      <w:r>
        <w:rPr>
          <w:spacing w:val="1"/>
        </w:rPr>
        <w:t> </w:t>
      </w:r>
      <w:r>
        <w:rPr/>
        <w:t>(11.15%)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(11.50%).</w:t>
      </w:r>
      <w:r>
        <w:rPr>
          <w:spacing w:val="1"/>
        </w:rPr>
        <w:t> </w:t>
      </w:r>
      <w:r>
        <w:rPr/>
        <w:t>Incluso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Departamento</w:t>
      </w:r>
      <w:r>
        <w:rPr>
          <w:spacing w:val="-7"/>
        </w:rPr>
        <w:t> </w:t>
      </w:r>
      <w:r>
        <w:rPr/>
        <w:t>registra</w:t>
      </w:r>
      <w:r>
        <w:rPr>
          <w:spacing w:val="-7"/>
        </w:rPr>
        <w:t> </w:t>
      </w:r>
      <w:r>
        <w:rPr/>
        <w:t>solamente</w:t>
      </w:r>
      <w:r>
        <w:rPr>
          <w:spacing w:val="-8"/>
        </w:rPr>
        <w:t> </w:t>
      </w:r>
      <w:r>
        <w:rPr/>
        <w:t>1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cada</w:t>
      </w:r>
      <w:r>
        <w:rPr>
          <w:spacing w:val="-9"/>
        </w:rPr>
        <w:t> </w:t>
      </w:r>
      <w:r>
        <w:rPr/>
        <w:t>10</w:t>
      </w:r>
      <w:r>
        <w:rPr>
          <w:spacing w:val="-6"/>
        </w:rPr>
        <w:t> </w:t>
      </w:r>
      <w:r>
        <w:rPr/>
        <w:t>jóvenes</w:t>
      </w:r>
      <w:r>
        <w:rPr>
          <w:spacing w:val="-7"/>
        </w:rPr>
        <w:t> </w:t>
      </w:r>
      <w:r>
        <w:rPr/>
        <w:t>tiene</w:t>
      </w:r>
      <w:r>
        <w:rPr>
          <w:spacing w:val="-6"/>
        </w:rPr>
        <w:t> </w:t>
      </w:r>
      <w:r>
        <w:rPr/>
        <w:t>acceso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educación</w:t>
      </w:r>
      <w:r>
        <w:rPr>
          <w:spacing w:val="-10"/>
        </w:rPr>
        <w:t> </w:t>
      </w:r>
      <w:r>
        <w:rPr/>
        <w:t>en</w:t>
      </w:r>
      <w:r>
        <w:rPr>
          <w:spacing w:val="-7"/>
        </w:rPr>
        <w:t> </w:t>
      </w:r>
      <w:r>
        <w:rPr/>
        <w:t>este</w:t>
      </w:r>
      <w:r>
        <w:rPr>
          <w:spacing w:val="-6"/>
        </w:rPr>
        <w:t> </w:t>
      </w:r>
      <w:r>
        <w:rPr/>
        <w:t>nivel,</w:t>
      </w:r>
      <w:r>
        <w:rPr>
          <w:spacing w:val="-8"/>
        </w:rPr>
        <w:t> </w:t>
      </w:r>
      <w:r>
        <w:rPr/>
        <w:t>hallándose</w:t>
      </w:r>
      <w:r>
        <w:rPr>
          <w:spacing w:val="-48"/>
        </w:rPr>
        <w:t> </w:t>
      </w:r>
      <w:r>
        <w:rPr/>
        <w:t>por debajo de la TNE a nivel nacional cuya tasa de cobertura en educación media es del 24.57%, mientras</w:t>
      </w:r>
      <w:r>
        <w:rPr>
          <w:spacing w:val="-47"/>
        </w:rPr>
        <w:t> </w:t>
      </w:r>
      <w:r>
        <w:rPr/>
        <w:t>que la tasa promedio del departamento se sitúa en 11%.</w:t>
      </w:r>
      <w:r>
        <w:rPr>
          <w:spacing w:val="1"/>
        </w:rPr>
        <w:t> </w:t>
      </w:r>
      <w:r>
        <w:rPr/>
        <w:t>Al igual que el ciclo básico en este nivel se</w:t>
      </w:r>
      <w:r>
        <w:rPr>
          <w:spacing w:val="1"/>
        </w:rPr>
        <w:t> </w:t>
      </w:r>
      <w:r>
        <w:rPr/>
        <w:t>reportan</w:t>
      </w:r>
      <w:r>
        <w:rPr>
          <w:spacing w:val="-5"/>
        </w:rPr>
        <w:t> </w:t>
      </w:r>
      <w:r>
        <w:rPr/>
        <w:t>criterios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deserción</w:t>
      </w:r>
      <w:r>
        <w:rPr>
          <w:spacing w:val="-5"/>
        </w:rPr>
        <w:t> </w:t>
      </w:r>
      <w:r>
        <w:rPr/>
        <w:t>similares</w:t>
      </w:r>
      <w:r>
        <w:rPr>
          <w:spacing w:val="-3"/>
        </w:rPr>
        <w:t> </w:t>
      </w:r>
      <w:r>
        <w:rPr/>
        <w:t>como: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/>
        <w:t>le interesa,</w:t>
      </w:r>
      <w:r>
        <w:rPr>
          <w:spacing w:val="-3"/>
        </w:rPr>
        <w:t> </w:t>
      </w:r>
      <w:r>
        <w:rPr/>
        <w:t>Trabajo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Migración</w:t>
      </w:r>
      <w:r>
        <w:rPr>
          <w:spacing w:val="-2"/>
        </w:rPr>
        <w:t> </w:t>
      </w:r>
      <w:r>
        <w:rPr/>
        <w:t>temporal</w:t>
      </w:r>
      <w:r>
        <w:rPr>
          <w:spacing w:val="-2"/>
        </w:rPr>
        <w:t> </w:t>
      </w:r>
      <w:r>
        <w:rPr/>
        <w:t>señaló</w:t>
      </w:r>
      <w:r>
        <w:rPr>
          <w:spacing w:val="-5"/>
        </w:rPr>
        <w:t> </w:t>
      </w:r>
      <w:r>
        <w:rPr/>
        <w:t>otros</w:t>
      </w:r>
      <w:r>
        <w:rPr>
          <w:spacing w:val="-47"/>
        </w:rPr>
        <w:t> </w:t>
      </w:r>
      <w:r>
        <w:rPr/>
        <w:t>factores (pendientes de conocer datos más concretos) que son los del ciclo básico, pero se suma la</w:t>
      </w:r>
      <w:r>
        <w:rPr>
          <w:spacing w:val="1"/>
        </w:rPr>
        <w:t> </w:t>
      </w:r>
      <w:r>
        <w:rPr/>
        <w:t>migración</w:t>
      </w:r>
      <w:r>
        <w:rPr>
          <w:spacing w:val="-2"/>
        </w:rPr>
        <w:t> </w:t>
      </w:r>
      <w:r>
        <w:rPr/>
        <w:t>temporal</w:t>
      </w:r>
      <w:r>
        <w:rPr>
          <w:spacing w:val="-1"/>
        </w:rPr>
        <w:t> </w:t>
      </w:r>
      <w:r>
        <w:rPr/>
        <w:t>por trabajo.</w:t>
      </w:r>
    </w:p>
    <w:p>
      <w:pPr>
        <w:pStyle w:val="BodyText"/>
        <w:spacing w:before="10"/>
        <w:rPr>
          <w:sz w:val="18"/>
        </w:rPr>
      </w:pPr>
      <w:r>
        <w:rPr/>
        <w:pict>
          <v:group style="position:absolute;margin-left:70.944pt;margin-top:13.479033pt;width:470.3pt;height:14.4pt;mso-position-horizontal-relative:page;mso-position-vertical-relative:paragraph;z-index:-15431168;mso-wrap-distance-left:0;mso-wrap-distance-right:0" coordorigin="1419,270" coordsize="9406,288">
            <v:rect style="position:absolute;left:1418;top:269;width:9406;height:269" filled="true" fillcolor="#ffffff" stroked="false">
              <v:fill type="solid"/>
            </v:rect>
            <v:shape style="position:absolute;left:1418;top:269;width:9406;height:288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-1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11112"/>
                        <w:sz w:val="22"/>
                      </w:rPr>
                      <w:t>De</w:t>
                    </w:r>
                    <w:r>
                      <w:rPr>
                        <w:color w:val="111112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1112"/>
                        <w:sz w:val="22"/>
                      </w:rPr>
                      <w:t>acuerdo</w:t>
                    </w:r>
                    <w:r>
                      <w:rPr>
                        <w:color w:val="111112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111112"/>
                        <w:sz w:val="22"/>
                      </w:rPr>
                      <w:t>con</w:t>
                    </w:r>
                    <w:r>
                      <w:rPr>
                        <w:color w:val="111112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111112"/>
                        <w:sz w:val="22"/>
                      </w:rPr>
                      <w:t>los</w:t>
                    </w:r>
                    <w:r>
                      <w:rPr>
                        <w:color w:val="111112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1112"/>
                        <w:sz w:val="22"/>
                      </w:rPr>
                      <w:t>cálculos</w:t>
                    </w:r>
                    <w:r>
                      <w:rPr>
                        <w:color w:val="111112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1112"/>
                        <w:sz w:val="22"/>
                      </w:rPr>
                      <w:t>más</w:t>
                    </w:r>
                    <w:r>
                      <w:rPr>
                        <w:color w:val="111112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111112"/>
                        <w:sz w:val="22"/>
                      </w:rPr>
                      <w:t>recientes,</w:t>
                    </w:r>
                    <w:r>
                      <w:rPr>
                        <w:color w:val="111112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1112"/>
                        <w:sz w:val="22"/>
                      </w:rPr>
                      <w:t>el</w:t>
                    </w:r>
                    <w:r>
                      <w:rPr>
                        <w:color w:val="111112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111112"/>
                        <w:sz w:val="22"/>
                      </w:rPr>
                      <w:t>46.5</w:t>
                    </w:r>
                    <w:r>
                      <w:rPr>
                        <w:color w:val="111112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1112"/>
                        <w:sz w:val="22"/>
                      </w:rPr>
                      <w:t>por ciento</w:t>
                    </w:r>
                    <w:r>
                      <w:rPr>
                        <w:color w:val="111112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111112"/>
                        <w:sz w:val="22"/>
                      </w:rPr>
                      <w:t>-uno</w:t>
                    </w:r>
                    <w:r>
                      <w:rPr>
                        <w:color w:val="111112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111112"/>
                        <w:sz w:val="22"/>
                      </w:rPr>
                      <w:t>de</w:t>
                    </w:r>
                    <w:r>
                      <w:rPr>
                        <w:color w:val="111112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111112"/>
                        <w:sz w:val="22"/>
                      </w:rPr>
                      <w:t>cada</w:t>
                    </w:r>
                    <w:r>
                      <w:rPr>
                        <w:color w:val="111112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111112"/>
                        <w:sz w:val="22"/>
                      </w:rPr>
                      <w:t>dos-de</w:t>
                    </w:r>
                    <w:r>
                      <w:rPr>
                        <w:color w:val="111112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111112"/>
                        <w:sz w:val="22"/>
                      </w:rPr>
                      <w:t>los</w:t>
                    </w:r>
                    <w:r>
                      <w:rPr>
                        <w:color w:val="111112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111112"/>
                        <w:sz w:val="22"/>
                      </w:rPr>
                      <w:t>menores</w:t>
                    </w:r>
                    <w:r>
                      <w:rPr>
                        <w:color w:val="111112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111112"/>
                        <w:sz w:val="22"/>
                      </w:rPr>
                      <w:t>de</w:t>
                    </w:r>
                    <w:r>
                      <w:rPr>
                        <w:color w:val="111112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111112"/>
                        <w:sz w:val="22"/>
                      </w:rPr>
                      <w:t>5</w:t>
                    </w:r>
                    <w:r>
                      <w:rPr>
                        <w:color w:val="111112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1112"/>
                        <w:sz w:val="22"/>
                      </w:rPr>
                      <w:t>años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20" w:lineRule="exact"/>
        <w:ind w:left="278"/>
      </w:pPr>
      <w:r>
        <w:rPr>
          <w:color w:val="111112"/>
          <w:shd w:fill="FFFFFF" w:color="auto" w:val="clear"/>
        </w:rPr>
        <w:t>sufre</w:t>
      </w:r>
      <w:r>
        <w:rPr>
          <w:color w:val="111112"/>
          <w:spacing w:val="-3"/>
          <w:shd w:fill="FFFFFF" w:color="auto" w:val="clear"/>
        </w:rPr>
        <w:t> </w:t>
      </w:r>
      <w:r>
        <w:rPr>
          <w:color w:val="111112"/>
          <w:shd w:fill="FFFFFF" w:color="auto" w:val="clear"/>
        </w:rPr>
        <w:t>de</w:t>
      </w:r>
      <w:r>
        <w:rPr>
          <w:color w:val="111112"/>
          <w:spacing w:val="-4"/>
          <w:shd w:fill="FFFFFF" w:color="auto" w:val="clear"/>
        </w:rPr>
        <w:t> </w:t>
      </w:r>
      <w:r>
        <w:rPr>
          <w:color w:val="111112"/>
          <w:shd w:fill="FFFFFF" w:color="auto" w:val="clear"/>
        </w:rPr>
        <w:t>desnutrición</w:t>
      </w:r>
      <w:r>
        <w:rPr>
          <w:color w:val="111112"/>
          <w:spacing w:val="-3"/>
          <w:shd w:fill="FFFFFF" w:color="auto" w:val="clear"/>
        </w:rPr>
        <w:t> </w:t>
      </w:r>
      <w:r>
        <w:rPr>
          <w:color w:val="111112"/>
          <w:shd w:fill="FFFFFF" w:color="auto" w:val="clear"/>
        </w:rPr>
        <w:t>crónica,</w:t>
      </w:r>
      <w:r>
        <w:rPr>
          <w:color w:val="111112"/>
          <w:spacing w:val="-3"/>
          <w:shd w:fill="FFFFFF" w:color="auto" w:val="clear"/>
        </w:rPr>
        <w:t> </w:t>
      </w:r>
      <w:r>
        <w:rPr>
          <w:color w:val="111112"/>
          <w:shd w:fill="FFFFFF" w:color="auto" w:val="clear"/>
        </w:rPr>
        <w:t>padecimiento</w:t>
      </w:r>
      <w:r>
        <w:rPr>
          <w:color w:val="111112"/>
          <w:spacing w:val="-4"/>
          <w:shd w:fill="FFFFFF" w:color="auto" w:val="clear"/>
        </w:rPr>
        <w:t> </w:t>
      </w:r>
      <w:r>
        <w:rPr>
          <w:color w:val="111112"/>
          <w:shd w:fill="FFFFFF" w:color="auto" w:val="clear"/>
        </w:rPr>
        <w:t>que</w:t>
      </w:r>
      <w:r>
        <w:rPr>
          <w:color w:val="111112"/>
          <w:spacing w:val="-1"/>
          <w:shd w:fill="FFFFFF" w:color="auto" w:val="clear"/>
        </w:rPr>
        <w:t> </w:t>
      </w:r>
      <w:r>
        <w:rPr>
          <w:color w:val="111112"/>
          <w:shd w:fill="FFFFFF" w:color="auto" w:val="clear"/>
        </w:rPr>
        <w:t>se</w:t>
      </w:r>
      <w:r>
        <w:rPr>
          <w:color w:val="111112"/>
          <w:spacing w:val="-1"/>
          <w:shd w:fill="FFFFFF" w:color="auto" w:val="clear"/>
        </w:rPr>
        <w:t> </w:t>
      </w:r>
      <w:r>
        <w:rPr>
          <w:color w:val="111112"/>
          <w:shd w:fill="FFFFFF" w:color="auto" w:val="clear"/>
        </w:rPr>
        <w:t>explica primordialmente</w:t>
      </w:r>
      <w:r>
        <w:rPr>
          <w:color w:val="111112"/>
          <w:spacing w:val="-4"/>
          <w:shd w:fill="FFFFFF" w:color="auto" w:val="clear"/>
        </w:rPr>
        <w:t> </w:t>
      </w:r>
      <w:r>
        <w:rPr>
          <w:color w:val="111112"/>
          <w:shd w:fill="FFFFFF" w:color="auto" w:val="clear"/>
        </w:rPr>
        <w:t>con</w:t>
      </w:r>
      <w:r>
        <w:rPr>
          <w:color w:val="111112"/>
          <w:spacing w:val="-3"/>
          <w:shd w:fill="FFFFFF" w:color="auto" w:val="clear"/>
        </w:rPr>
        <w:t> </w:t>
      </w:r>
      <w:r>
        <w:rPr>
          <w:color w:val="111112"/>
          <w:shd w:fill="FFFFFF" w:color="auto" w:val="clear"/>
        </w:rPr>
        <w:t>las</w:t>
      </w:r>
      <w:r>
        <w:rPr>
          <w:color w:val="111112"/>
          <w:spacing w:val="-3"/>
          <w:shd w:fill="FFFFFF" w:color="auto" w:val="clear"/>
        </w:rPr>
        <w:t> </w:t>
      </w:r>
      <w:r>
        <w:rPr>
          <w:color w:val="111112"/>
          <w:shd w:fill="FFFFFF" w:color="auto" w:val="clear"/>
        </w:rPr>
        <w:t>escasas</w:t>
      </w:r>
      <w:r>
        <w:rPr>
          <w:color w:val="111112"/>
          <w:spacing w:val="-2"/>
          <w:shd w:fill="FFFFFF" w:color="auto" w:val="clear"/>
        </w:rPr>
        <w:t> </w:t>
      </w:r>
      <w:r>
        <w:rPr>
          <w:color w:val="111112"/>
          <w:shd w:fill="FFFFFF" w:color="auto" w:val="clear"/>
        </w:rPr>
        <w:t>posibilidades</w:t>
      </w:r>
    </w:p>
    <w:p>
      <w:pPr>
        <w:pStyle w:val="BodyText"/>
        <w:ind w:left="278"/>
      </w:pPr>
      <w:r>
        <w:rPr>
          <w:color w:val="111112"/>
          <w:shd w:fill="FFFFFF" w:color="auto" w:val="clear"/>
        </w:rPr>
        <w:t>de desarrollo</w:t>
      </w:r>
      <w:r>
        <w:rPr>
          <w:color w:val="111112"/>
          <w:spacing w:val="-2"/>
          <w:shd w:fill="FFFFFF" w:color="auto" w:val="clear"/>
        </w:rPr>
        <w:t> </w:t>
      </w:r>
      <w:r>
        <w:rPr>
          <w:color w:val="111112"/>
          <w:shd w:fill="FFFFFF" w:color="auto" w:val="clear"/>
        </w:rPr>
        <w:t>y</w:t>
      </w:r>
      <w:r>
        <w:rPr>
          <w:color w:val="111112"/>
          <w:spacing w:val="1"/>
          <w:shd w:fill="FFFFFF" w:color="auto" w:val="clear"/>
        </w:rPr>
        <w:t> </w:t>
      </w:r>
      <w:r>
        <w:rPr>
          <w:color w:val="111112"/>
          <w:shd w:fill="FFFFFF" w:color="auto" w:val="clear"/>
        </w:rPr>
        <w:t>precarias</w:t>
      </w:r>
      <w:r>
        <w:rPr>
          <w:color w:val="111112"/>
          <w:spacing w:val="-2"/>
          <w:shd w:fill="FFFFFF" w:color="auto" w:val="clear"/>
        </w:rPr>
        <w:t> </w:t>
      </w:r>
      <w:r>
        <w:rPr>
          <w:color w:val="111112"/>
          <w:shd w:fill="FFFFFF" w:color="auto" w:val="clear"/>
        </w:rPr>
        <w:t>condiciones</w:t>
      </w:r>
      <w:r>
        <w:rPr>
          <w:color w:val="111112"/>
          <w:spacing w:val="1"/>
          <w:shd w:fill="FFFFFF" w:color="auto" w:val="clear"/>
        </w:rPr>
        <w:t> </w:t>
      </w:r>
      <w:r>
        <w:rPr>
          <w:color w:val="111112"/>
          <w:shd w:fill="FFFFFF" w:color="auto" w:val="clear"/>
        </w:rPr>
        <w:t>de</w:t>
      </w:r>
      <w:r>
        <w:rPr>
          <w:color w:val="111112"/>
          <w:spacing w:val="-2"/>
          <w:shd w:fill="FFFFFF" w:color="auto" w:val="clear"/>
        </w:rPr>
        <w:t> </w:t>
      </w:r>
      <w:r>
        <w:rPr>
          <w:color w:val="111112"/>
          <w:shd w:fill="FFFFFF" w:color="auto" w:val="clear"/>
        </w:rPr>
        <w:t>vida.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pict>
          <v:rect style="position:absolute;margin-left:563.880005pt;margin-top:17.291752pt;width:25.44pt;height:1.4399pt;mso-position-horizontal-relative:page;mso-position-vertical-relative:paragraph;z-index:-1543065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150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1273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1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2"/>
          <w:numId w:val="36"/>
        </w:numPr>
        <w:tabs>
          <w:tab w:pos="998" w:val="left" w:leader="none"/>
          <w:tab w:pos="999" w:val="left" w:leader="none"/>
        </w:tabs>
        <w:spacing w:line="240" w:lineRule="auto" w:before="52" w:after="0"/>
        <w:ind w:left="998" w:right="0" w:hanging="721"/>
        <w:jc w:val="left"/>
      </w:pPr>
      <w:bookmarkStart w:name="_bookmark178" w:id="289"/>
      <w:bookmarkEnd w:id="289"/>
      <w:r>
        <w:rPr>
          <w:b w:val="0"/>
        </w:rPr>
      </w:r>
      <w:bookmarkStart w:name="_bookmark178" w:id="290"/>
      <w:bookmarkEnd w:id="290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Cobertura:</w:t>
      </w:r>
      <w:r>
        <w:rPr>
          <w:spacing w:val="-3"/>
        </w:rPr>
        <w:t> </w:t>
      </w:r>
      <w:r>
        <w:rPr/>
        <w:t>Tasa</w:t>
      </w:r>
      <w:r>
        <w:rPr>
          <w:spacing w:val="-3"/>
        </w:rPr>
        <w:t> </w:t>
      </w:r>
      <w:r>
        <w:rPr/>
        <w:t>Bruta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Déficit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departamento,</w:t>
      </w:r>
      <w:r>
        <w:rPr>
          <w:spacing w:val="-1"/>
        </w:rPr>
        <w:t> </w:t>
      </w:r>
      <w:r>
        <w:rPr/>
        <w:t>sexo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etnia.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/>
      </w:pPr>
      <w:r>
        <w:rPr/>
        <w:t>Gráfico</w:t>
      </w:r>
      <w:r>
        <w:rPr>
          <w:spacing w:val="11"/>
        </w:rPr>
        <w:t> </w:t>
      </w:r>
      <w:r>
        <w:rPr/>
        <w:t>Nº.</w:t>
      </w:r>
      <w:r>
        <w:rPr>
          <w:spacing w:val="12"/>
        </w:rPr>
        <w:t> </w:t>
      </w:r>
      <w:r>
        <w:rPr/>
        <w:t>Total</w:t>
      </w:r>
      <w:r>
        <w:rPr>
          <w:spacing w:val="13"/>
        </w:rPr>
        <w:t> </w:t>
      </w:r>
      <w:r>
        <w:rPr/>
        <w:t>de</w:t>
      </w:r>
      <w:r>
        <w:rPr>
          <w:spacing w:val="10"/>
        </w:rPr>
        <w:t> </w:t>
      </w:r>
      <w:r>
        <w:rPr/>
        <w:t>población</w:t>
      </w:r>
      <w:r>
        <w:rPr>
          <w:spacing w:val="10"/>
        </w:rPr>
        <w:t> </w:t>
      </w:r>
      <w:r>
        <w:rPr/>
        <w:t>estudiantil</w:t>
      </w:r>
      <w:r>
        <w:rPr>
          <w:spacing w:val="12"/>
        </w:rPr>
        <w:t> </w:t>
      </w:r>
      <w:r>
        <w:rPr/>
        <w:t>por</w:t>
      </w:r>
      <w:r>
        <w:rPr>
          <w:spacing w:val="13"/>
        </w:rPr>
        <w:t> </w:t>
      </w:r>
      <w:r>
        <w:rPr/>
        <w:t>niveles</w:t>
      </w:r>
      <w:r>
        <w:rPr>
          <w:spacing w:val="10"/>
        </w:rPr>
        <w:t> </w:t>
      </w:r>
      <w:r>
        <w:rPr/>
        <w:t>educativos,</w:t>
      </w:r>
      <w:r>
        <w:rPr>
          <w:spacing w:val="11"/>
        </w:rPr>
        <w:t> </w:t>
      </w:r>
      <w:r>
        <w:rPr/>
        <w:t>etnia</w:t>
      </w:r>
      <w:r>
        <w:rPr>
          <w:spacing w:val="10"/>
        </w:rPr>
        <w:t> </w:t>
      </w:r>
      <w:r>
        <w:rPr/>
        <w:t>y</w:t>
      </w:r>
      <w:r>
        <w:rPr>
          <w:spacing w:val="13"/>
        </w:rPr>
        <w:t> </w:t>
      </w:r>
      <w:r>
        <w:rPr/>
        <w:t>sexo</w:t>
      </w:r>
      <w:r>
        <w:rPr>
          <w:spacing w:val="14"/>
        </w:rPr>
        <w:t> </w:t>
      </w:r>
      <w:r>
        <w:rPr/>
        <w:t>para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Departamento</w:t>
      </w:r>
      <w:r>
        <w:rPr>
          <w:spacing w:val="13"/>
        </w:rPr>
        <w:t> </w:t>
      </w:r>
      <w:r>
        <w:rPr/>
        <w:t>de</w:t>
      </w:r>
      <w:r>
        <w:rPr>
          <w:spacing w:val="-47"/>
        </w:rPr>
        <w:t> </w:t>
      </w:r>
      <w:r>
        <w:rPr/>
        <w:t>Huehuetenango</w:t>
      </w:r>
      <w:r>
        <w:rPr>
          <w:spacing w:val="-2"/>
        </w:rPr>
        <w:t> </w:t>
      </w:r>
      <w:r>
        <w:rPr/>
        <w:t>(2017-2021)</w:t>
      </w:r>
    </w:p>
    <w:p>
      <w:pPr>
        <w:pStyle w:val="BodyText"/>
        <w:spacing w:before="7"/>
        <w:rPr>
          <w:sz w:val="8"/>
        </w:rPr>
      </w:pPr>
      <w:r>
        <w:rPr/>
        <w:pict>
          <v:group style="position:absolute;margin-left:71.319801pt;margin-top:7.243086pt;width:474.9pt;height:177.6pt;mso-position-horizontal-relative:page;mso-position-vertical-relative:paragraph;z-index:-15429120;mso-wrap-distance-left:0;mso-wrap-distance-right:0" coordorigin="1426,145" coordsize="9498,3552">
            <v:line style="position:absolute" from="1885,3130" to="2353,3130" stroked="true" strokeweight=".542867pt" strokecolor="#888888">
              <v:stroke dashstyle="solid"/>
            </v:line>
            <v:line style="position:absolute" from="2515,3130" to="2543,3130" stroked="true" strokeweight=".542867pt" strokecolor="#888888">
              <v:stroke dashstyle="solid"/>
            </v:line>
            <v:rect style="position:absolute;left:2353;top:3073;width:162;height:333" filled="true" fillcolor="#497eaf" stroked="false">
              <v:fill type="solid"/>
            </v:rect>
            <v:rect style="position:absolute;left:2455;top:3253;width:88;height:153" filled="true" fillcolor="#5b8e39" stroked="false">
              <v:fill type="solid"/>
            </v:rect>
            <v:line style="position:absolute" from="1885,2860" to="2543,2860" stroked="true" strokeweight=".542867pt" strokecolor="#888888">
              <v:stroke dashstyle="solid"/>
            </v:line>
            <v:line style="position:absolute" from="1885,2591" to="2543,2591" stroked="true" strokeweight=".542867pt" strokecolor="#888888">
              <v:stroke dashstyle="solid"/>
            </v:line>
            <v:shape style="position:absolute;left:1885;top:2050;width:658;height:271" coordorigin="1885,2051" coordsize="658,271" path="m1885,2321l2543,2321m1885,2051l2543,2051e" filled="false" stroked="true" strokeweight=".542867pt" strokecolor="#888888">
              <v:path arrowok="t"/>
              <v:stroke dashstyle="solid"/>
            </v:shape>
            <v:line style="position:absolute" from="2718,2051" to="3918,2051" stroked="true" strokeweight=".542867pt" strokecolor="#888888">
              <v:stroke dashstyle="solid"/>
            </v:line>
            <v:line style="position:absolute" from="1885,1781" to="2543,1781" stroked="true" strokeweight=".542867pt" strokecolor="#888888">
              <v:stroke dashstyle="solid"/>
            </v:line>
            <v:shape style="position:absolute;left:2718;top:1778;width:2574;height:6" coordorigin="2718,1778" coordsize="2574,6" path="m2718,1784l5292,1784m2718,1778l5292,1778e" filled="false" stroked="true" strokeweight=".271434pt" strokecolor="#888888">
              <v:path arrowok="t"/>
              <v:stroke dashstyle="solid"/>
            </v:shape>
            <v:shape style="position:absolute;left:1885;top:1499;width:6884;height:2" coordorigin="1885,1500" coordsize="6884,0" path="m1885,1500l2543,1500m2718,1500l8769,1500e" filled="false" stroked="true" strokeweight=".542867pt" strokecolor="#888888">
              <v:path arrowok="t"/>
              <v:stroke dashstyle="solid"/>
            </v:shape>
            <v:shape style="position:absolute;left:1885;top:1229;width:6884;height:2" coordorigin="1885,1230" coordsize="6884,0" path="m1885,1230l1885,1230,8769,1230e" filled="false" stroked="true" strokeweight=".542847pt" strokecolor="#888888">
              <v:path arrowok="t"/>
              <v:stroke dashstyle="solid"/>
            </v:shape>
            <v:rect style="position:absolute;left:2542;top:1286;width:176;height:2120" filled="true" fillcolor="#4471c4" stroked="false">
              <v:fill type="solid"/>
            </v:rect>
            <v:line style="position:absolute" from="2806,3130" to="3727,3130" stroked="true" strokeweight=".542867pt" strokecolor="#888888">
              <v:stroke dashstyle="solid"/>
            </v:line>
            <v:shape style="position:absolute;left:3888;top:3127;width:30;height:6" coordorigin="3889,3127" coordsize="30,6" path="m3889,3133l3918,3133m3889,3127l3918,3127e" filled="false" stroked="true" strokeweight=".271429pt" strokecolor="#888888">
              <v:path arrowok="t"/>
              <v:stroke dashstyle="solid"/>
            </v:shape>
            <v:rect style="position:absolute;left:3625;top:3399;width:102;height:6" filled="true" fillcolor="#d29e00" stroked="false">
              <v:fill type="solid"/>
            </v:rect>
            <v:rect style="position:absolute;left:3727;top:3118;width:162;height:288" filled="true" fillcolor="#497eaf" stroked="false">
              <v:fill type="solid"/>
            </v:rect>
            <v:rect style="position:absolute;left:3830;top:3208;width:88;height:198" filled="true" fillcolor="#5b8e39" stroked="false">
              <v:fill type="solid"/>
            </v:rect>
            <v:shape style="position:absolute;left:2806;top:2590;width:1112;height:270" coordorigin="2806,2591" coordsize="1112,270" path="m2806,2860l3918,2860m2806,2591l3918,2591e" filled="false" stroked="true" strokeweight=".542867pt" strokecolor="#888888">
              <v:path arrowok="t"/>
              <v:stroke dashstyle="solid"/>
            </v:shape>
            <v:shape style="position:absolute;left:2806;top:2050;width:2486;height:271" coordorigin="2806,2051" coordsize="2486,271" path="m2806,2321l3918,2321m4093,2051l5292,2051e" filled="false" stroked="true" strokeweight=".542867pt" strokecolor="#888888">
              <v:path arrowok="t"/>
              <v:stroke dashstyle="solid"/>
            </v:shape>
            <v:rect style="position:absolute;left:3917;top:1781;width:176;height:1625" filled="true" fillcolor="#4471c4" stroked="false">
              <v:fill type="solid"/>
            </v:rect>
            <v:shape style="position:absolute;left:4181;top:3127;width:1111;height:6" coordorigin="4181,3127" coordsize="1111,6" path="m4181,3133l5292,3133m4181,3127l5292,3127e" filled="false" stroked="true" strokeweight=".271429pt" strokecolor="#888888">
              <v:path arrowok="t"/>
              <v:stroke dashstyle="solid"/>
            </v:shape>
            <v:rect style="position:absolute;left:4809;top:3399;width:162;height:6" filled="true" fillcolor="#c46627" stroked="false">
              <v:fill type="solid"/>
            </v:rect>
            <v:rect style="position:absolute;left:4999;top:3399;width:103;height:6" filled="true" fillcolor="#d29e00" stroked="false">
              <v:fill type="solid"/>
            </v:rect>
            <v:rect style="position:absolute;left:5102;top:3152;width:161;height:254" filled="true" fillcolor="#497eaf" stroked="false">
              <v:fill type="solid"/>
            </v:rect>
            <v:rect style="position:absolute;left:5204;top:3264;width:88;height:141" filled="true" fillcolor="#5b8e39" stroked="false">
              <v:fill type="solid"/>
            </v:rect>
            <v:shape style="position:absolute;left:4181;top:2590;width:1111;height:270" coordorigin="4181,2591" coordsize="1111,270" path="m4181,2860l5292,2860m4181,2591l5292,2591e" filled="false" stroked="true" strokeweight=".542867pt" strokecolor="#888888">
              <v:path arrowok="t"/>
              <v:stroke dashstyle="solid"/>
            </v:shape>
            <v:line style="position:absolute" from="4181,2321" to="5292,2321" stroked="true" strokeweight=".542867pt" strokecolor="#888888">
              <v:stroke dashstyle="solid"/>
            </v:line>
            <v:rect style="position:absolute;left:5291;top:1724;width:176;height:1682" filled="true" fillcolor="#4471c4" stroked="false">
              <v:fill type="solid"/>
            </v:rect>
            <v:shape style="position:absolute;left:5555;top:3127;width:1111;height:6" coordorigin="5555,3127" coordsize="1111,6" path="m5555,3133l6666,3133m5555,3127l6666,3127e" filled="false" stroked="true" strokeweight=".271429pt" strokecolor="#888888">
              <v:path arrowok="t"/>
              <v:stroke dashstyle="solid"/>
            </v:shape>
            <v:rect style="position:absolute;left:6476;top:3130;width:162;height:276" filled="true" fillcolor="#497eaf" stroked="false">
              <v:fill type="solid"/>
            </v:rect>
            <v:rect style="position:absolute;left:6578;top:3152;width:88;height:254" filled="true" fillcolor="#5b8e39" stroked="false">
              <v:fill type="solid"/>
            </v:rect>
            <v:shape style="position:absolute;left:5555;top:2590;width:1111;height:270" coordorigin="5555,2591" coordsize="1111,270" path="m5555,2860l6666,2860m5555,2591l6666,2591e" filled="false" stroked="true" strokeweight=".542867pt" strokecolor="#888888">
              <v:path arrowok="t"/>
              <v:stroke dashstyle="solid"/>
            </v:shape>
            <v:shape style="position:absolute;left:5555;top:2320;width:3214;height:2" coordorigin="5555,2321" coordsize="3214,0" path="m5555,2321l6666,2321m6841,2321l8769,2321e" filled="false" stroked="true" strokeweight=".542867pt" strokecolor="#888888">
              <v:path arrowok="t"/>
              <v:stroke dashstyle="solid"/>
            </v:shape>
            <v:rect style="position:absolute;left:6665;top:2253;width:176;height:1153" filled="true" fillcolor="#4471c4" stroked="false">
              <v:fill type="solid"/>
            </v:rect>
            <v:shape style="position:absolute;left:6928;top:3127;width:1127;height:6" coordorigin="6929,3127" coordsize="1127,6" path="m6929,3133l8055,3133m6929,3127l8055,3127e" filled="false" stroked="true" strokeweight=".271429pt" strokecolor="#888888">
              <v:path arrowok="t"/>
              <v:stroke dashstyle="solid"/>
            </v:shape>
            <v:shape style="position:absolute;left:6928;top:2860;width:1841;height:2" coordorigin="6929,2860" coordsize="1841,0" path="m6929,2860l8055,2860m8216,2860l8769,2860e" filled="false" stroked="true" strokeweight=".542867pt" strokecolor="#888888">
              <v:path arrowok="t"/>
              <v:stroke dashstyle="solid"/>
            </v:shape>
            <v:rect style="position:absolute;left:7850;top:3208;width:162;height:198" filled="true" fillcolor="#497eaf" stroked="false">
              <v:fill type="solid"/>
            </v:rect>
            <v:rect style="position:absolute;left:7953;top:3219;width:103;height:187" filled="true" fillcolor="#5b8e39" stroked="false">
              <v:fill type="solid"/>
            </v:rect>
            <v:rect style="position:absolute;left:8055;top:2759;width:161;height:647" filled="true" fillcolor="#4471c4" stroked="false">
              <v:fill type="solid"/>
            </v:rect>
            <v:shape style="position:absolute;left:2646;top:2095;width:1535;height:1311" coordorigin="2646,2096" coordsize="1535,1311" path="m2806,2096l2646,2096,2646,3406,2806,3406,2806,2096xm4181,2287l4020,2287,4020,3406,4181,3406,4181,2287xe" filled="true" fillcolor="#ec7c30" stroked="false">
              <v:path arrowok="t"/>
              <v:fill type="solid"/>
            </v:shape>
            <v:line style="position:absolute" from="5555,2051" to="8769,2051" stroked="true" strokeweight=".542867pt" strokecolor="#888888">
              <v:stroke dashstyle="solid"/>
            </v:line>
            <v:shape style="position:absolute;left:5394;top:1983;width:1535;height:1423" coordorigin="5394,1983" coordsize="1535,1423" path="m5555,1983l5394,1983,5394,3406,5555,3406,5555,1983xm6929,2737l6769,2737,6769,3406,6929,3406,6929,2737xe" filled="true" fillcolor="#ec7c30" stroked="false">
              <v:path arrowok="t"/>
              <v:fill type="solid"/>
            </v:shape>
            <v:shape style="position:absolute;left:8318;top:3127;width:451;height:6" coordorigin="8318,3127" coordsize="451,6" path="m8318,3133l8769,3133m8318,3127l8769,3127e" filled="false" stroked="true" strokeweight=".271429pt" strokecolor="#888888">
              <v:path arrowok="t"/>
              <v:stroke dashstyle="solid"/>
            </v:shape>
            <v:rect style="position:absolute;left:8143;top:2972;width:176;height:434" filled="true" fillcolor="#ec7c30" stroked="false">
              <v:fill type="solid"/>
            </v:rect>
            <v:shape style="position:absolute;left:2748;top:3399;width:4285;height:6" coordorigin="2748,3400" coordsize="4285,6" path="m2909,3400l2748,3400,2748,3406,2909,3406,2909,3400xm4283,3400l4122,3400,4122,3406,4283,3406,4283,3400xm5657,3400l5497,3400,5497,3406,5657,3406,5657,3400xm7032,3400l6871,3400,6871,3406,7032,3406,7032,3400xe" filled="true" fillcolor="#a4a4a4" stroked="false">
              <v:path arrowok="t"/>
              <v:fill type="solid"/>
            </v:shape>
            <v:rect style="position:absolute;left:5686;top:3399;width:176;height:6" filled="true" fillcolor="#5b9bd4" stroked="false">
              <v:fill type="solid"/>
            </v:rect>
            <v:shape style="position:absolute;left:1885;top:960;width:6884;height:2446" coordorigin="1885,960" coordsize="6884,2446" path="m1885,960l1885,960,8769,960m1893,3406l1893,3406,1893,960e" filled="false" stroked="true" strokeweight=".624875pt" strokecolor="#888888">
              <v:path arrowok="t"/>
              <v:stroke dashstyle="solid"/>
            </v:shape>
            <v:rect style="position:absolute;left:6183;top:3399;width:162;height:6" filled="true" fillcolor="#c46627" stroked="false">
              <v:fill type="solid"/>
            </v:rect>
            <v:shape style="position:absolute;left:1892;top:3405;width:6877;height:2" coordorigin="1893,3406" coordsize="6877,0" path="m1893,3406l1893,3406,8769,3406e" filled="false" stroked="true" strokeweight=".542847pt" strokecolor="#888888">
              <v:path arrowok="t"/>
              <v:stroke dashstyle="solid"/>
            </v:shape>
            <v:rect style="position:absolute;left:9034;top:1138;width:65;height:49" filled="true" fillcolor="#375da0" stroked="false">
              <v:fill type="solid"/>
            </v:rect>
            <v:rect style="position:absolute;left:9034;top:1337;width:65;height:50" filled="true" fillcolor="#c46627" stroked="false">
              <v:fill type="solid"/>
            </v:rect>
            <v:rect style="position:absolute;left:9034;top:1536;width:65;height:50" filled="true" fillcolor="#878787" stroked="false">
              <v:fill type="solid"/>
            </v:rect>
            <v:rect style="position:absolute;left:9034;top:1735;width:65;height:50" filled="true" fillcolor="#d29e00" stroked="false">
              <v:fill type="solid"/>
            </v:rect>
            <v:rect style="position:absolute;left:9034;top:1934;width:65;height:50" filled="true" fillcolor="#497eaf" stroked="false">
              <v:fill type="solid"/>
            </v:rect>
            <v:rect style="position:absolute;left:9034;top:2133;width:65;height:50" filled="true" fillcolor="#5b8e39" stroked="false">
              <v:fill type="solid"/>
            </v:rect>
            <v:rect style="position:absolute;left:9034;top:2332;width:65;height:50" filled="true" fillcolor="#4471c4" stroked="false">
              <v:fill type="solid"/>
            </v:rect>
            <v:rect style="position:absolute;left:9034;top:2531;width:65;height:50" filled="true" fillcolor="#ec7c30" stroked="false">
              <v:fill type="solid"/>
            </v:rect>
            <v:rect style="position:absolute;left:9034;top:2730;width:65;height:50" filled="true" fillcolor="#a4a4a4" stroked="false">
              <v:fill type="solid"/>
            </v:rect>
            <v:rect style="position:absolute;left:9034;top:2929;width:65;height:50" filled="true" fillcolor="#ffc000" stroked="false">
              <v:fill type="solid"/>
            </v:rect>
            <v:rect style="position:absolute;left:9034;top:3129;width:65;height:49" filled="true" fillcolor="#5b9bd4" stroked="false">
              <v:fill type="solid"/>
            </v:rect>
            <v:rect style="position:absolute;left:9034;top:3328;width:65;height:49" filled="true" fillcolor="#6fac46" stroked="false">
              <v:fill type="solid"/>
            </v:rect>
            <v:rect style="position:absolute;left:1432;top:150;width:9486;height:3541" filled="false" stroked="true" strokeweight=".562903pt" strokecolor="#888888">
              <v:stroke dashstyle="solid"/>
            </v:rect>
            <v:shape style="position:absolute;left:1535;top:256;width:7282;height:1864" type="#_x0000_t202" filled="false" stroked="false">
              <v:textbox inset="0,0,0,0">
                <w:txbxContent>
                  <w:p>
                    <w:pPr>
                      <w:spacing w:line="241" w:lineRule="exact" w:before="2"/>
                      <w:ind w:left="2071" w:right="72" w:firstLine="0"/>
                      <w:jc w:val="center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w w:val="135"/>
                        <w:sz w:val="20"/>
                      </w:rPr>
                      <w:t>Huehuetenango</w:t>
                    </w:r>
                  </w:p>
                  <w:p>
                    <w:pPr>
                      <w:spacing w:line="240" w:lineRule="auto" w:before="0"/>
                      <w:ind w:left="2077" w:right="72" w:firstLine="0"/>
                      <w:jc w:val="center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w w:val="125"/>
                        <w:sz w:val="12"/>
                      </w:rPr>
                      <w:t>Total</w:t>
                    </w:r>
                    <w:r>
                      <w:rPr>
                        <w:rFonts w:ascii="Verdana" w:hAnsi="Verdana"/>
                        <w:spacing w:val="10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12"/>
                      </w:rPr>
                      <w:t>de</w:t>
                    </w:r>
                    <w:r>
                      <w:rPr>
                        <w:rFonts w:ascii="Verdana" w:hAnsi="Verdana"/>
                        <w:spacing w:val="13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12"/>
                      </w:rPr>
                      <w:t>población</w:t>
                    </w:r>
                    <w:r>
                      <w:rPr>
                        <w:rFonts w:ascii="Verdana" w:hAnsi="Verdana"/>
                        <w:spacing w:val="11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12"/>
                      </w:rPr>
                      <w:t>estudiantil</w:t>
                    </w:r>
                    <w:r>
                      <w:rPr>
                        <w:rFonts w:ascii="Verdana" w:hAnsi="Verdana"/>
                        <w:spacing w:val="11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12"/>
                      </w:rPr>
                      <w:t>por</w:t>
                    </w:r>
                    <w:r>
                      <w:rPr>
                        <w:rFonts w:ascii="Verdana" w:hAnsi="Verdana"/>
                        <w:spacing w:val="9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12"/>
                      </w:rPr>
                      <w:t>Niveles</w:t>
                    </w:r>
                    <w:r>
                      <w:rPr>
                        <w:rFonts w:ascii="Verdana" w:hAnsi="Verdana"/>
                        <w:spacing w:val="11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12"/>
                      </w:rPr>
                      <w:t>educativos,</w:t>
                    </w:r>
                    <w:r>
                      <w:rPr>
                        <w:rFonts w:ascii="Verdana" w:hAnsi="Verdana"/>
                        <w:spacing w:val="11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12"/>
                      </w:rPr>
                      <w:t>etnia</w:t>
                    </w:r>
                    <w:r>
                      <w:rPr>
                        <w:rFonts w:ascii="Verdana" w:hAnsi="Verdana"/>
                        <w:spacing w:val="9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12"/>
                      </w:rPr>
                      <w:t>y</w:t>
                    </w:r>
                    <w:r>
                      <w:rPr>
                        <w:rFonts w:ascii="Verdana" w:hAnsi="Verdana"/>
                        <w:spacing w:val="13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12"/>
                      </w:rPr>
                      <w:t>sexo</w:t>
                    </w:r>
                    <w:r>
                      <w:rPr>
                        <w:rFonts w:ascii="Verdana" w:hAnsi="Verdana"/>
                        <w:spacing w:val="-50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125"/>
                        <w:sz w:val="12"/>
                      </w:rPr>
                      <w:t>2017-2021</w:t>
                    </w:r>
                  </w:p>
                  <w:p>
                    <w:pPr>
                      <w:spacing w:before="11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450</w:t>
                    </w:r>
                  </w:p>
                  <w:p>
                    <w:pPr>
                      <w:spacing w:line="240" w:lineRule="auto" w:before="2"/>
                      <w:rPr>
                        <w:sz w:val="11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400</w:t>
                    </w:r>
                  </w:p>
                  <w:p>
                    <w:pPr>
                      <w:spacing w:line="240" w:lineRule="auto" w:before="3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350</w:t>
                    </w:r>
                  </w:p>
                  <w:p>
                    <w:pPr>
                      <w:spacing w:line="240" w:lineRule="auto" w:before="3"/>
                      <w:rPr>
                        <w:sz w:val="11"/>
                      </w:rPr>
                    </w:pPr>
                  </w:p>
                  <w:p>
                    <w:pPr>
                      <w:tabs>
                        <w:tab w:pos="3931" w:val="left" w:leader="none"/>
                        <w:tab w:pos="7261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9"/>
                      </w:rPr>
                    </w:pPr>
                    <w:r>
                      <w:rPr>
                        <w:w w:val="135"/>
                        <w:sz w:val="11"/>
                      </w:rPr>
                      <w:t>300</w:t>
                    </w:r>
                    <w:r>
                      <w:rPr>
                        <w:sz w:val="11"/>
                      </w:rPr>
                      <w:tab/>
                    </w:r>
                    <w:r>
                      <w:rPr>
                        <w:rFonts w:ascii="Verdana"/>
                        <w:w w:val="101"/>
                        <w:position w:val="3"/>
                        <w:sz w:val="9"/>
                        <w:u w:val="single" w:color="888888"/>
                      </w:rPr>
                      <w:t> </w:t>
                    </w:r>
                    <w:r>
                      <w:rPr>
                        <w:rFonts w:ascii="Verdana"/>
                        <w:position w:val="3"/>
                        <w:sz w:val="9"/>
                        <w:u w:val="single" w:color="888888"/>
                      </w:rPr>
                      <w:tab/>
                    </w:r>
                  </w:p>
                  <w:p>
                    <w:pPr>
                      <w:spacing w:line="240" w:lineRule="auto" w:before="4"/>
                      <w:rPr>
                        <w:rFonts w:ascii="Verdana"/>
                        <w:sz w:val="11"/>
                      </w:rPr>
                    </w:pPr>
                  </w:p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1535;top:2280;width:242;height:384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200</w:t>
                    </w:r>
                  </w:p>
                  <w:p>
                    <w:pPr>
                      <w:spacing w:line="240" w:lineRule="auto" w:before="2"/>
                      <w:rPr>
                        <w:sz w:val="11"/>
                      </w:rPr>
                    </w:pPr>
                  </w:p>
                  <w:p>
                    <w:pPr>
                      <w:spacing w:line="133" w:lineRule="exact"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6841;top:2502;width:1977;height:110" type="#_x0000_t202" filled="false" stroked="false">
              <v:textbox inset="0,0,0,0">
                <w:txbxContent>
                  <w:p>
                    <w:pPr>
                      <w:tabs>
                        <w:tab w:pos="1955" w:val="left" w:leader="none"/>
                      </w:tabs>
                      <w:spacing w:line="109" w:lineRule="exact" w:before="0"/>
                      <w:ind w:left="0" w:right="0" w:firstLine="0"/>
                      <w:jc w:val="lef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101"/>
                        <w:sz w:val="9"/>
                        <w:u w:val="single" w:color="888888"/>
                      </w:rPr>
                      <w:t> </w:t>
                    </w:r>
                    <w:r>
                      <w:rPr>
                        <w:rFonts w:ascii="Verdana"/>
                        <w:sz w:val="9"/>
                        <w:u w:val="single" w:color="888888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535;top:2823;width:242;height:384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100</w:t>
                    </w:r>
                  </w:p>
                  <w:p>
                    <w:pPr>
                      <w:spacing w:line="240" w:lineRule="auto" w:before="3"/>
                      <w:rPr>
                        <w:sz w:val="11"/>
                      </w:rPr>
                    </w:pPr>
                  </w:p>
                  <w:p>
                    <w:pPr>
                      <w:spacing w:line="133" w:lineRule="exact" w:before="0"/>
                      <w:ind w:left="73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5834;top:3237;width:95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2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683;top:3367;width:95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2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124;top:1108;width:1587;height:2300" type="#_x0000_t202" filled="false" stroked="false">
              <v:textbox inset="0,0,0,0">
                <w:txbxContent>
                  <w:p>
                    <w:pPr>
                      <w:spacing w:line="436" w:lineRule="auto" w:before="0"/>
                      <w:ind w:left="0" w:right="213" w:firstLine="0"/>
                      <w:jc w:val="lef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115"/>
                        <w:sz w:val="9"/>
                      </w:rPr>
                      <w:t>EXTRANJERO</w:t>
                    </w:r>
                    <w:r>
                      <w:rPr>
                        <w:rFonts w:ascii="Verdana"/>
                        <w:spacing w:val="10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15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10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15"/>
                        <w:sz w:val="9"/>
                      </w:rPr>
                      <w:t>HOMBRES</w:t>
                    </w:r>
                    <w:r>
                      <w:rPr>
                        <w:rFonts w:ascii="Verdana"/>
                        <w:spacing w:val="-33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15"/>
                        <w:sz w:val="9"/>
                      </w:rPr>
                      <w:t>EXTRANJERO</w:t>
                    </w:r>
                    <w:r>
                      <w:rPr>
                        <w:rFonts w:ascii="Verdana"/>
                        <w:spacing w:val="1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15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2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15"/>
                        <w:sz w:val="9"/>
                      </w:rPr>
                      <w:t>MUJERES</w:t>
                    </w:r>
                    <w:r>
                      <w:rPr>
                        <w:rFonts w:ascii="Verdana"/>
                        <w:spacing w:val="1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45"/>
                        <w:sz w:val="9"/>
                      </w:rPr>
                      <w:t>G</w:t>
                    </w:r>
                    <w:r>
                      <w:rPr>
                        <w:rFonts w:ascii="Verdana"/>
                        <w:w w:val="139"/>
                        <w:sz w:val="9"/>
                      </w:rPr>
                      <w:t>A</w:t>
                    </w:r>
                    <w:r>
                      <w:rPr>
                        <w:rFonts w:ascii="Verdana"/>
                        <w:w w:val="112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69"/>
                        <w:sz w:val="9"/>
                      </w:rPr>
                      <w:t>I</w:t>
                    </w:r>
                    <w:r>
                      <w:rPr>
                        <w:rFonts w:ascii="Verdana"/>
                        <w:w w:val="109"/>
                        <w:sz w:val="9"/>
                      </w:rPr>
                      <w:t>F</w:t>
                    </w:r>
                    <w:r>
                      <w:rPr>
                        <w:rFonts w:ascii="Verdana"/>
                        <w:w w:val="115"/>
                        <w:sz w:val="9"/>
                      </w:rPr>
                      <w:t>U</w:t>
                    </w:r>
                    <w:r>
                      <w:rPr>
                        <w:rFonts w:ascii="Verdana"/>
                        <w:w w:val="127"/>
                        <w:sz w:val="9"/>
                      </w:rPr>
                      <w:t>N</w:t>
                    </w:r>
                    <w:r>
                      <w:rPr>
                        <w:rFonts w:ascii="Verdana"/>
                        <w:w w:val="139"/>
                        <w:sz w:val="9"/>
                      </w:rPr>
                      <w:t>A</w:t>
                    </w:r>
                    <w:r>
                      <w:rPr>
                        <w:rFonts w:ascii="Verdana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94"/>
                        <w:sz w:val="9"/>
                      </w:rPr>
                      <w:t>-</w:t>
                    </w:r>
                    <w:r>
                      <w:rPr>
                        <w:rFonts w:ascii="Verdana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17"/>
                        <w:sz w:val="9"/>
                      </w:rPr>
                      <w:t>H</w:t>
                    </w:r>
                    <w:r>
                      <w:rPr>
                        <w:rFonts w:ascii="Verdana"/>
                        <w:w w:val="142"/>
                        <w:sz w:val="9"/>
                      </w:rPr>
                      <w:t>O</w:t>
                    </w:r>
                    <w:r>
                      <w:rPr>
                        <w:rFonts w:ascii="Verdana"/>
                        <w:w w:val="140"/>
                        <w:sz w:val="9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108"/>
                        <w:sz w:val="9"/>
                      </w:rPr>
                      <w:t>B</w:t>
                    </w:r>
                    <w:r>
                      <w:rPr>
                        <w:rFonts w:ascii="Verdana"/>
                        <w:w w:val="112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09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94"/>
                        <w:sz w:val="9"/>
                      </w:rPr>
                      <w:t>S </w:t>
                    </w:r>
                    <w:r>
                      <w:rPr>
                        <w:rFonts w:ascii="Verdana"/>
                        <w:w w:val="145"/>
                        <w:sz w:val="9"/>
                      </w:rPr>
                      <w:t>G</w:t>
                    </w:r>
                    <w:r>
                      <w:rPr>
                        <w:rFonts w:ascii="Verdana"/>
                        <w:w w:val="139"/>
                        <w:sz w:val="9"/>
                      </w:rPr>
                      <w:t>A</w:t>
                    </w:r>
                    <w:r>
                      <w:rPr>
                        <w:rFonts w:ascii="Verdana"/>
                        <w:w w:val="112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69"/>
                        <w:sz w:val="9"/>
                      </w:rPr>
                      <w:t>I</w:t>
                    </w:r>
                    <w:r>
                      <w:rPr>
                        <w:rFonts w:ascii="Verdana"/>
                        <w:w w:val="109"/>
                        <w:sz w:val="9"/>
                      </w:rPr>
                      <w:t>F</w:t>
                    </w:r>
                    <w:r>
                      <w:rPr>
                        <w:rFonts w:ascii="Verdana"/>
                        <w:w w:val="115"/>
                        <w:sz w:val="9"/>
                      </w:rPr>
                      <w:t>U</w:t>
                    </w:r>
                    <w:r>
                      <w:rPr>
                        <w:rFonts w:ascii="Verdana"/>
                        <w:w w:val="127"/>
                        <w:sz w:val="9"/>
                      </w:rPr>
                      <w:t>N</w:t>
                    </w:r>
                    <w:r>
                      <w:rPr>
                        <w:rFonts w:ascii="Verdana"/>
                        <w:w w:val="139"/>
                        <w:sz w:val="9"/>
                      </w:rPr>
                      <w:t>A</w:t>
                    </w:r>
                    <w:r>
                      <w:rPr>
                        <w:rFonts w:ascii="Verdana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94"/>
                        <w:sz w:val="9"/>
                      </w:rPr>
                      <w:t>-</w:t>
                    </w:r>
                    <w:r>
                      <w:rPr>
                        <w:rFonts w:ascii="Verdana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40"/>
                        <w:sz w:val="9"/>
                      </w:rPr>
                      <w:t>M</w:t>
                    </w:r>
                    <w:r>
                      <w:rPr>
                        <w:rFonts w:ascii="Verdana"/>
                        <w:w w:val="115"/>
                        <w:sz w:val="9"/>
                      </w:rPr>
                      <w:t>U</w:t>
                    </w:r>
                    <w:r>
                      <w:rPr>
                        <w:rFonts w:ascii="Verdana"/>
                        <w:spacing w:val="-1"/>
                        <w:w w:val="137"/>
                        <w:sz w:val="9"/>
                      </w:rPr>
                      <w:t>J</w:t>
                    </w:r>
                    <w:r>
                      <w:rPr>
                        <w:rFonts w:ascii="Verdana"/>
                        <w:w w:val="109"/>
                        <w:sz w:val="9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w w:val="112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09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94"/>
                        <w:sz w:val="9"/>
                      </w:rPr>
                      <w:t>S </w:t>
                    </w:r>
                    <w:r>
                      <w:rPr>
                        <w:rFonts w:ascii="Verdana"/>
                        <w:spacing w:val="1"/>
                        <w:w w:val="107"/>
                        <w:sz w:val="9"/>
                      </w:rPr>
                      <w:t>L</w:t>
                    </w:r>
                    <w:r>
                      <w:rPr>
                        <w:rFonts w:ascii="Verdana"/>
                        <w:w w:val="139"/>
                        <w:sz w:val="9"/>
                      </w:rPr>
                      <w:t>A</w:t>
                    </w:r>
                    <w:r>
                      <w:rPr>
                        <w:rFonts w:ascii="Verdana"/>
                        <w:w w:val="124"/>
                        <w:sz w:val="9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w w:val="69"/>
                        <w:sz w:val="9"/>
                      </w:rPr>
                      <w:t>I</w:t>
                    </w:r>
                    <w:r>
                      <w:rPr>
                        <w:rFonts w:ascii="Verdana"/>
                        <w:w w:val="127"/>
                        <w:sz w:val="9"/>
                      </w:rPr>
                      <w:t>N</w:t>
                    </w:r>
                    <w:r>
                      <w:rPr>
                        <w:rFonts w:ascii="Verdana"/>
                        <w:w w:val="142"/>
                        <w:sz w:val="9"/>
                      </w:rPr>
                      <w:t>O</w:t>
                    </w:r>
                    <w:r>
                      <w:rPr>
                        <w:rFonts w:ascii="Verdana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94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17"/>
                        <w:sz w:val="9"/>
                      </w:rPr>
                      <w:t>H</w:t>
                    </w:r>
                    <w:r>
                      <w:rPr>
                        <w:rFonts w:ascii="Verdana"/>
                        <w:w w:val="142"/>
                        <w:sz w:val="9"/>
                      </w:rPr>
                      <w:t>O</w:t>
                    </w:r>
                    <w:r>
                      <w:rPr>
                        <w:rFonts w:ascii="Verdana"/>
                        <w:w w:val="140"/>
                        <w:sz w:val="9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108"/>
                        <w:sz w:val="9"/>
                      </w:rPr>
                      <w:t>B</w:t>
                    </w:r>
                    <w:r>
                      <w:rPr>
                        <w:rFonts w:ascii="Verdana"/>
                        <w:w w:val="112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09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94"/>
                        <w:sz w:val="9"/>
                      </w:rPr>
                      <w:t>S </w:t>
                    </w:r>
                    <w:r>
                      <w:rPr>
                        <w:rFonts w:ascii="Verdana"/>
                        <w:spacing w:val="1"/>
                        <w:w w:val="107"/>
                        <w:sz w:val="9"/>
                      </w:rPr>
                      <w:t>L</w:t>
                    </w:r>
                    <w:r>
                      <w:rPr>
                        <w:rFonts w:ascii="Verdana"/>
                        <w:w w:val="139"/>
                        <w:sz w:val="9"/>
                      </w:rPr>
                      <w:t>A</w:t>
                    </w:r>
                    <w:r>
                      <w:rPr>
                        <w:rFonts w:ascii="Verdana"/>
                        <w:w w:val="124"/>
                        <w:sz w:val="9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w w:val="69"/>
                        <w:sz w:val="9"/>
                      </w:rPr>
                      <w:t>I</w:t>
                    </w:r>
                    <w:r>
                      <w:rPr>
                        <w:rFonts w:ascii="Verdana"/>
                        <w:w w:val="127"/>
                        <w:sz w:val="9"/>
                      </w:rPr>
                      <w:t>N</w:t>
                    </w:r>
                    <w:r>
                      <w:rPr>
                        <w:rFonts w:ascii="Verdana"/>
                        <w:w w:val="142"/>
                        <w:sz w:val="9"/>
                      </w:rPr>
                      <w:t>O</w:t>
                    </w:r>
                    <w:r>
                      <w:rPr>
                        <w:rFonts w:ascii="Verdana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94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40"/>
                        <w:sz w:val="9"/>
                      </w:rPr>
                      <w:t>M</w:t>
                    </w:r>
                    <w:r>
                      <w:rPr>
                        <w:rFonts w:ascii="Verdana"/>
                        <w:w w:val="115"/>
                        <w:sz w:val="9"/>
                      </w:rPr>
                      <w:t>U</w:t>
                    </w:r>
                    <w:r>
                      <w:rPr>
                        <w:rFonts w:ascii="Verdana"/>
                        <w:spacing w:val="-1"/>
                        <w:w w:val="137"/>
                        <w:sz w:val="9"/>
                      </w:rPr>
                      <w:t>J</w:t>
                    </w:r>
                    <w:r>
                      <w:rPr>
                        <w:rFonts w:ascii="Verdana"/>
                        <w:spacing w:val="1"/>
                        <w:w w:val="109"/>
                        <w:sz w:val="9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w w:val="112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1"/>
                        <w:w w:val="109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94"/>
                        <w:sz w:val="9"/>
                      </w:rPr>
                      <w:t>S </w:t>
                    </w:r>
                    <w:r>
                      <w:rPr>
                        <w:rFonts w:ascii="Verdana"/>
                        <w:w w:val="115"/>
                        <w:sz w:val="9"/>
                      </w:rPr>
                      <w:t>MAYA</w:t>
                    </w:r>
                    <w:r>
                      <w:rPr>
                        <w:rFonts w:ascii="Verdana"/>
                        <w:spacing w:val="-2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15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-2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15"/>
                        <w:sz w:val="9"/>
                      </w:rPr>
                      <w:t>HOMBRES</w:t>
                    </w:r>
                  </w:p>
                  <w:p>
                    <w:pPr>
                      <w:spacing w:line="436" w:lineRule="auto" w:before="0"/>
                      <w:ind w:left="0" w:right="557" w:firstLine="0"/>
                      <w:jc w:val="lef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115"/>
                        <w:sz w:val="9"/>
                      </w:rPr>
                      <w:t>MAYA</w:t>
                    </w:r>
                    <w:r>
                      <w:rPr>
                        <w:rFonts w:ascii="Verdana"/>
                        <w:spacing w:val="1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15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-1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15"/>
                        <w:sz w:val="9"/>
                      </w:rPr>
                      <w:t>MUJERES</w:t>
                    </w:r>
                    <w:r>
                      <w:rPr>
                        <w:rFonts w:ascii="Verdana"/>
                        <w:spacing w:val="1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14"/>
                        <w:sz w:val="9"/>
                      </w:rPr>
                      <w:t>X</w:t>
                    </w:r>
                    <w:r>
                      <w:rPr>
                        <w:rFonts w:ascii="Verdana"/>
                        <w:spacing w:val="1"/>
                        <w:w w:val="69"/>
                        <w:sz w:val="9"/>
                      </w:rPr>
                      <w:t>I</w:t>
                    </w:r>
                    <w:r>
                      <w:rPr>
                        <w:rFonts w:ascii="Verdana"/>
                        <w:spacing w:val="-1"/>
                        <w:w w:val="127"/>
                        <w:sz w:val="9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w w:val="145"/>
                        <w:sz w:val="9"/>
                      </w:rPr>
                      <w:t>C</w:t>
                    </w:r>
                    <w:r>
                      <w:rPr>
                        <w:rFonts w:ascii="Verdana"/>
                        <w:w w:val="145"/>
                        <w:sz w:val="9"/>
                      </w:rPr>
                      <w:t>A</w:t>
                    </w:r>
                    <w:r>
                      <w:rPr>
                        <w:rFonts w:ascii="Verdana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94"/>
                        <w:sz w:val="9"/>
                      </w:rPr>
                      <w:t>-</w:t>
                    </w:r>
                    <w:r>
                      <w:rPr>
                        <w:rFonts w:ascii="Verdana"/>
                        <w:sz w:val="9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17"/>
                        <w:sz w:val="9"/>
                      </w:rPr>
                      <w:t>H</w:t>
                    </w:r>
                    <w:r>
                      <w:rPr>
                        <w:rFonts w:ascii="Verdana"/>
                        <w:w w:val="142"/>
                        <w:sz w:val="9"/>
                      </w:rPr>
                      <w:t>O</w:t>
                    </w:r>
                    <w:r>
                      <w:rPr>
                        <w:rFonts w:ascii="Verdana"/>
                        <w:w w:val="140"/>
                        <w:sz w:val="9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108"/>
                        <w:sz w:val="9"/>
                      </w:rPr>
                      <w:t>B</w:t>
                    </w:r>
                    <w:r>
                      <w:rPr>
                        <w:rFonts w:ascii="Verdana"/>
                        <w:w w:val="112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09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94"/>
                        <w:sz w:val="9"/>
                      </w:rPr>
                      <w:t>S </w:t>
                    </w:r>
                    <w:r>
                      <w:rPr>
                        <w:rFonts w:ascii="Verdana"/>
                        <w:w w:val="114"/>
                        <w:sz w:val="9"/>
                      </w:rPr>
                      <w:t>X</w:t>
                    </w:r>
                    <w:r>
                      <w:rPr>
                        <w:rFonts w:ascii="Verdana"/>
                        <w:spacing w:val="1"/>
                        <w:w w:val="69"/>
                        <w:sz w:val="9"/>
                      </w:rPr>
                      <w:t>I</w:t>
                    </w:r>
                    <w:r>
                      <w:rPr>
                        <w:rFonts w:ascii="Verdana"/>
                        <w:spacing w:val="-1"/>
                        <w:w w:val="127"/>
                        <w:sz w:val="9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w w:val="145"/>
                        <w:sz w:val="9"/>
                      </w:rPr>
                      <w:t>C</w:t>
                    </w:r>
                    <w:r>
                      <w:rPr>
                        <w:rFonts w:ascii="Verdana"/>
                        <w:w w:val="145"/>
                        <w:sz w:val="9"/>
                      </w:rPr>
                      <w:t>A</w:t>
                    </w:r>
                    <w:r>
                      <w:rPr>
                        <w:rFonts w:ascii="Verdana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94"/>
                        <w:sz w:val="9"/>
                      </w:rPr>
                      <w:t>-</w:t>
                    </w:r>
                    <w:r>
                      <w:rPr>
                        <w:rFonts w:ascii="Verdana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40"/>
                        <w:sz w:val="9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115"/>
                        <w:sz w:val="9"/>
                      </w:rPr>
                      <w:t>U</w:t>
                    </w:r>
                    <w:r>
                      <w:rPr>
                        <w:rFonts w:ascii="Verdana"/>
                        <w:spacing w:val="1"/>
                        <w:w w:val="137"/>
                        <w:sz w:val="9"/>
                      </w:rPr>
                      <w:t>J</w:t>
                    </w:r>
                    <w:r>
                      <w:rPr>
                        <w:rFonts w:ascii="Verdana"/>
                        <w:spacing w:val="-1"/>
                        <w:w w:val="109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112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09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94"/>
                        <w:sz w:val="9"/>
                      </w:rPr>
                      <w:t>S</w:t>
                    </w:r>
                  </w:p>
                  <w:p>
                    <w:pPr>
                      <w:spacing w:line="109" w:lineRule="exact" w:before="0"/>
                      <w:ind w:left="0" w:right="0" w:firstLine="0"/>
                      <w:jc w:val="left"/>
                      <w:rPr>
                        <w:rFonts w:ascii="Verdana" w:hAnsi="Verdana"/>
                        <w:sz w:val="9"/>
                      </w:rPr>
                    </w:pPr>
                    <w:r>
                      <w:rPr>
                        <w:rFonts w:ascii="Verdana" w:hAnsi="Verdana"/>
                        <w:w w:val="115"/>
                        <w:sz w:val="9"/>
                      </w:rPr>
                      <w:t>Sin</w:t>
                    </w:r>
                    <w:r>
                      <w:rPr>
                        <w:rFonts w:ascii="Verdana" w:hAnsi="Verdana"/>
                        <w:spacing w:val="17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15"/>
                        <w:sz w:val="9"/>
                      </w:rPr>
                      <w:t>Clasificación</w:t>
                    </w:r>
                    <w:r>
                      <w:rPr>
                        <w:rFonts w:ascii="Verdana" w:hAnsi="Verdana"/>
                        <w:spacing w:val="18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15"/>
                        <w:sz w:val="9"/>
                      </w:rPr>
                      <w:t>-</w:t>
                    </w:r>
                    <w:r>
                      <w:rPr>
                        <w:rFonts w:ascii="Verdana" w:hAnsi="Verdana"/>
                        <w:spacing w:val="18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15"/>
                        <w:sz w:val="9"/>
                      </w:rPr>
                      <w:t>HOMBRES</w:t>
                    </w:r>
                  </w:p>
                  <w:p>
                    <w:pPr>
                      <w:spacing w:before="89"/>
                      <w:ind w:left="0" w:right="0" w:firstLine="0"/>
                      <w:jc w:val="left"/>
                      <w:rPr>
                        <w:rFonts w:ascii="Verdana" w:hAnsi="Verdana"/>
                        <w:sz w:val="9"/>
                      </w:rPr>
                    </w:pPr>
                    <w:r>
                      <w:rPr>
                        <w:rFonts w:ascii="Verdana" w:hAnsi="Verdana"/>
                        <w:w w:val="115"/>
                        <w:sz w:val="9"/>
                      </w:rPr>
                      <w:t>Sin</w:t>
                    </w:r>
                    <w:r>
                      <w:rPr>
                        <w:rFonts w:ascii="Verdana" w:hAnsi="Verdana"/>
                        <w:spacing w:val="14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15"/>
                        <w:sz w:val="9"/>
                      </w:rPr>
                      <w:t>Clasificación</w:t>
                    </w:r>
                    <w:r>
                      <w:rPr>
                        <w:rFonts w:ascii="Verdana" w:hAnsi="Verdana"/>
                        <w:spacing w:val="15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15"/>
                        <w:sz w:val="9"/>
                      </w:rPr>
                      <w:t>-</w:t>
                    </w:r>
                    <w:r>
                      <w:rPr>
                        <w:rFonts w:ascii="Verdana" w:hAnsi="Verdana"/>
                        <w:spacing w:val="14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15"/>
                        <w:sz w:val="9"/>
                      </w:rPr>
                      <w:t>MUJERES</w:t>
                    </w:r>
                  </w:p>
                </w:txbxContent>
              </v:textbox>
              <w10:wrap type="none"/>
            </v:shape>
            <v:shape style="position:absolute;left:2432;top:3505;width:317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3807;top:3505;width:317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5183;top:3505;width:316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6558;top:3505;width:316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7933;top:3505;width:317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35"/>
                        <w:sz w:val="11"/>
                      </w:rPr>
                      <w:t>2021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78" w:right="1074"/>
        <w:jc w:val="both"/>
      </w:pPr>
      <w:r>
        <w:rPr/>
        <w:t>Este gráfico muestra el total de la población estudiantil por niveles educativos, etnia y sexo durante el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2017-2021,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Huehuetenango,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DIPLAN,</w:t>
      </w:r>
      <w:r>
        <w:rPr>
          <w:spacing w:val="1"/>
        </w:rPr>
        <w:t> </w:t>
      </w:r>
      <w:r>
        <w:rPr/>
        <w:t>(2021),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cifras</w:t>
      </w:r>
      <w:r>
        <w:rPr>
          <w:spacing w:val="1"/>
        </w:rPr>
        <w:t> </w:t>
      </w:r>
      <w:r>
        <w:rPr/>
        <w:t>anteriores, la</w:t>
      </w:r>
      <w:r>
        <w:rPr>
          <w:spacing w:val="-3"/>
        </w:rPr>
        <w:t> </w:t>
      </w:r>
      <w:r>
        <w:rPr/>
        <w:t>proporción</w:t>
      </w:r>
      <w:r>
        <w:rPr>
          <w:spacing w:val="-4"/>
        </w:rPr>
        <w:t> </w:t>
      </w:r>
      <w:r>
        <w:rPr/>
        <w:t>de atención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 población</w:t>
      </w:r>
      <w:r>
        <w:rPr>
          <w:spacing w:val="-3"/>
        </w:rPr>
        <w:t> </w:t>
      </w:r>
      <w:r>
        <w:rPr/>
        <w:t>estudiantil</w:t>
      </w:r>
      <w:r>
        <w:rPr>
          <w:spacing w:val="-1"/>
        </w:rPr>
        <w:t> </w:t>
      </w:r>
      <w:r>
        <w:rPr/>
        <w:t>fue</w:t>
      </w:r>
      <w:r>
        <w:rPr>
          <w:spacing w:val="1"/>
        </w:rPr>
        <w:t> </w:t>
      </w:r>
      <w:r>
        <w:rPr/>
        <w:t>como</w:t>
      </w:r>
      <w:r>
        <w:rPr>
          <w:spacing w:val="-2"/>
        </w:rPr>
        <w:t> </w:t>
      </w:r>
      <w:r>
        <w:rPr/>
        <w:t>sigue: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ind w:left="278" w:right="6486"/>
      </w:pPr>
      <w:r>
        <w:rPr/>
        <w:t>Ladinos: 20% de hombres y 19% de mujeres.</w:t>
      </w:r>
      <w:r>
        <w:rPr>
          <w:spacing w:val="-47"/>
        </w:rPr>
        <w:t> </w:t>
      </w:r>
      <w:r>
        <w:rPr/>
        <w:t>Mayas:</w:t>
      </w:r>
      <w:r>
        <w:rPr>
          <w:spacing w:val="-3"/>
        </w:rPr>
        <w:t> </w:t>
      </w:r>
      <w:r>
        <w:rPr/>
        <w:t>31%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hombres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30%</w:t>
      </w:r>
      <w:r>
        <w:rPr>
          <w:spacing w:val="-2"/>
        </w:rPr>
        <w:t> </w:t>
      </w:r>
      <w:r>
        <w:rPr/>
        <w:t>mujeres.</w:t>
      </w:r>
    </w:p>
    <w:p>
      <w:pPr>
        <w:pStyle w:val="BodyText"/>
      </w:pPr>
    </w:p>
    <w:p>
      <w:pPr>
        <w:pStyle w:val="BodyText"/>
        <w:spacing w:before="1"/>
        <w:ind w:left="278" w:right="1069"/>
        <w:jc w:val="both"/>
      </w:pPr>
      <w:r>
        <w:rPr>
          <w:spacing w:val="-1"/>
        </w:rPr>
        <w:t>Al</w:t>
      </w:r>
      <w:r>
        <w:rPr>
          <w:spacing w:val="-10"/>
        </w:rPr>
        <w:t> </w:t>
      </w:r>
      <w:r>
        <w:rPr>
          <w:spacing w:val="-1"/>
        </w:rPr>
        <w:t>comparar</w:t>
      </w:r>
      <w:r>
        <w:rPr>
          <w:spacing w:val="-13"/>
        </w:rPr>
        <w:t> </w:t>
      </w:r>
      <w:r>
        <w:rPr>
          <w:spacing w:val="-1"/>
        </w:rPr>
        <w:t>estos</w:t>
      </w:r>
      <w:r>
        <w:rPr>
          <w:spacing w:val="-9"/>
        </w:rPr>
        <w:t> </w:t>
      </w:r>
      <w:r>
        <w:rPr>
          <w:spacing w:val="-1"/>
        </w:rPr>
        <w:t>resultados</w:t>
      </w:r>
      <w:r>
        <w:rPr>
          <w:spacing w:val="-11"/>
        </w:rPr>
        <w:t> </w:t>
      </w:r>
      <w:r>
        <w:rPr/>
        <w:t>con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información</w:t>
      </w:r>
      <w:r>
        <w:rPr>
          <w:spacing w:val="-10"/>
        </w:rPr>
        <w:t> </w:t>
      </w:r>
      <w:r>
        <w:rPr/>
        <w:t>del</w:t>
      </w:r>
      <w:r>
        <w:rPr>
          <w:spacing w:val="-8"/>
        </w:rPr>
        <w:t> </w:t>
      </w:r>
      <w:r>
        <w:rPr/>
        <w:t>INE,</w:t>
      </w:r>
      <w:r>
        <w:rPr>
          <w:spacing w:val="-9"/>
        </w:rPr>
        <w:t> </w:t>
      </w:r>
      <w:r>
        <w:rPr/>
        <w:t>(2018),</w:t>
      </w:r>
      <w:r>
        <w:rPr>
          <w:spacing w:val="-12"/>
        </w:rPr>
        <w:t> </w:t>
      </w:r>
      <w:r>
        <w:rPr/>
        <w:t>es</w:t>
      </w:r>
      <w:r>
        <w:rPr>
          <w:spacing w:val="-11"/>
        </w:rPr>
        <w:t> </w:t>
      </w:r>
      <w:r>
        <w:rPr/>
        <w:t>posible</w:t>
      </w:r>
      <w:r>
        <w:rPr>
          <w:spacing w:val="-11"/>
        </w:rPr>
        <w:t> </w:t>
      </w:r>
      <w:r>
        <w:rPr/>
        <w:t>evidenciar</w:t>
      </w:r>
      <w:r>
        <w:rPr>
          <w:spacing w:val="-8"/>
        </w:rPr>
        <w:t> </w:t>
      </w:r>
      <w:r>
        <w:rPr/>
        <w:t>que,</w:t>
      </w:r>
      <w:r>
        <w:rPr>
          <w:spacing w:val="-11"/>
        </w:rPr>
        <w:t> </w:t>
      </w:r>
      <w:r>
        <w:rPr/>
        <w:t>si</w:t>
      </w:r>
      <w:r>
        <w:rPr>
          <w:spacing w:val="-11"/>
        </w:rPr>
        <w:t> </w:t>
      </w:r>
      <w:r>
        <w:rPr/>
        <w:t>bien</w:t>
      </w:r>
      <w:r>
        <w:rPr>
          <w:spacing w:val="-12"/>
        </w:rPr>
        <w:t> </w:t>
      </w:r>
      <w:r>
        <w:rPr/>
        <w:t>es</w:t>
      </w:r>
      <w:r>
        <w:rPr>
          <w:spacing w:val="-11"/>
        </w:rPr>
        <w:t> </w:t>
      </w:r>
      <w:r>
        <w:rPr/>
        <w:t>cierto,</w:t>
      </w:r>
      <w:r>
        <w:rPr>
          <w:spacing w:val="-47"/>
        </w:rPr>
        <w:t> </w:t>
      </w:r>
      <w:r>
        <w:rPr/>
        <w:t>si hay representatividad de las etnias mayoritarias por Departamento (65% Maya y 35% Ladina), ésta no</w:t>
      </w:r>
      <w:r>
        <w:rPr>
          <w:spacing w:val="1"/>
        </w:rPr>
        <w:t> </w:t>
      </w:r>
      <w:r>
        <w:rPr/>
        <w:t>se presenta en la misma proporción. Es decir, un niño o adolescente maya en el Departamento de</w:t>
      </w:r>
      <w:r>
        <w:rPr>
          <w:spacing w:val="1"/>
        </w:rPr>
        <w:t> </w:t>
      </w:r>
      <w:r>
        <w:rPr/>
        <w:t>Guatemala, no posee la misma oportunidad o por lo menos, la misma proporción de participación en el</w:t>
      </w:r>
      <w:r>
        <w:rPr>
          <w:spacing w:val="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nacional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educación.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otras</w:t>
      </w:r>
      <w:r>
        <w:rPr>
          <w:spacing w:val="-4"/>
        </w:rPr>
        <w:t> </w:t>
      </w:r>
      <w:r>
        <w:rPr/>
        <w:t>palabras</w:t>
      </w:r>
      <w:r>
        <w:rPr>
          <w:spacing w:val="-3"/>
        </w:rPr>
        <w:t> </w:t>
      </w:r>
      <w:r>
        <w:rPr/>
        <w:t>1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cada</w:t>
      </w:r>
      <w:r>
        <w:rPr>
          <w:spacing w:val="-1"/>
        </w:rPr>
        <w:t> </w:t>
      </w:r>
      <w:r>
        <w:rPr/>
        <w:t>2</w:t>
      </w:r>
      <w:r>
        <w:rPr>
          <w:spacing w:val="-2"/>
        </w:rPr>
        <w:t> </w:t>
      </w:r>
      <w:r>
        <w:rPr/>
        <w:t>estudiantes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etnia</w:t>
      </w:r>
      <w:r>
        <w:rPr>
          <w:spacing w:val="-4"/>
        </w:rPr>
        <w:t> </w:t>
      </w:r>
      <w:r>
        <w:rPr/>
        <w:t>maya</w:t>
      </w:r>
      <w:r>
        <w:rPr>
          <w:spacing w:val="-4"/>
        </w:rPr>
        <w:t> </w:t>
      </w:r>
      <w:r>
        <w:rPr/>
        <w:t>puede</w:t>
      </w:r>
      <w:r>
        <w:rPr>
          <w:spacing w:val="-3"/>
        </w:rPr>
        <w:t> </w:t>
      </w:r>
      <w:r>
        <w:rPr/>
        <w:t>acceder</w:t>
      </w:r>
      <w:r>
        <w:rPr>
          <w:spacing w:val="-2"/>
        </w:rPr>
        <w:t> </w:t>
      </w:r>
      <w:r>
        <w:rPr/>
        <w:t>al</w:t>
      </w:r>
      <w:r>
        <w:rPr>
          <w:spacing w:val="-48"/>
        </w:rPr>
        <w:t> </w:t>
      </w:r>
      <w:r>
        <w:rPr/>
        <w:t>Sistema.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ladinos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proporción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mayor,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todo,</w:t>
      </w:r>
      <w:r>
        <w:rPr>
          <w:spacing w:val="1"/>
        </w:rPr>
        <w:t> </w:t>
      </w:r>
      <w:r>
        <w:rPr/>
        <w:t>considerando que</w:t>
      </w:r>
      <w:r>
        <w:rPr>
          <w:spacing w:val="1"/>
        </w:rPr>
        <w:t> </w:t>
      </w:r>
      <w:r>
        <w:rPr/>
        <w:t>representan el</w:t>
      </w:r>
      <w:r>
        <w:rPr>
          <w:spacing w:val="-2"/>
        </w:rPr>
        <w:t> </w:t>
      </w:r>
      <w:r>
        <w:rPr/>
        <w:t>35%</w:t>
      </w:r>
      <w:r>
        <w:rPr>
          <w:spacing w:val="1"/>
        </w:rPr>
        <w:t> </w:t>
      </w:r>
      <w:r>
        <w:rPr/>
        <w:t>de la</w:t>
      </w:r>
      <w:r>
        <w:rPr>
          <w:spacing w:val="-3"/>
        </w:rPr>
        <w:t> </w:t>
      </w:r>
      <w:r>
        <w:rPr/>
        <w:t>población</w:t>
      </w:r>
      <w:r>
        <w:rPr>
          <w:spacing w:val="-3"/>
        </w:rPr>
        <w:t> </w:t>
      </w:r>
      <w:r>
        <w:rPr/>
        <w:t>del departamento.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2"/>
        <w:jc w:val="both"/>
      </w:pPr>
      <w:r>
        <w:rPr/>
        <w:t>Por otra parte, respecto del sexo se sigue presentando una brecha de atención en dónde la participación</w:t>
      </w:r>
      <w:r>
        <w:rPr>
          <w:spacing w:val="1"/>
        </w:rPr>
        <w:t> </w:t>
      </w:r>
      <w:r>
        <w:rPr/>
        <w:t>del</w:t>
      </w:r>
      <w:r>
        <w:rPr>
          <w:spacing w:val="-6"/>
        </w:rPr>
        <w:t> </w:t>
      </w:r>
      <w:r>
        <w:rPr/>
        <w:t>hombre</w:t>
      </w:r>
      <w:r>
        <w:rPr>
          <w:spacing w:val="-10"/>
        </w:rPr>
        <w:t> </w:t>
      </w:r>
      <w:r>
        <w:rPr/>
        <w:t>Maya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Ladino,</w:t>
      </w:r>
      <w:r>
        <w:rPr>
          <w:spacing w:val="-7"/>
        </w:rPr>
        <w:t> </w:t>
      </w:r>
      <w:r>
        <w:rPr/>
        <w:t>es</w:t>
      </w:r>
      <w:r>
        <w:rPr>
          <w:spacing w:val="-7"/>
        </w:rPr>
        <w:t> </w:t>
      </w:r>
      <w:r>
        <w:rPr/>
        <w:t>mayor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mujer</w:t>
      </w:r>
      <w:r>
        <w:rPr>
          <w:spacing w:val="-8"/>
        </w:rPr>
        <w:t> </w:t>
      </w:r>
      <w:r>
        <w:rPr/>
        <w:t>-para</w:t>
      </w:r>
      <w:r>
        <w:rPr>
          <w:spacing w:val="-9"/>
        </w:rPr>
        <w:t> </w:t>
      </w:r>
      <w:r>
        <w:rPr/>
        <w:t>ambas</w:t>
      </w:r>
      <w:r>
        <w:rPr>
          <w:spacing w:val="-9"/>
        </w:rPr>
        <w:t> </w:t>
      </w:r>
      <w:r>
        <w:rPr/>
        <w:t>etnias-;</w:t>
      </w:r>
      <w:r>
        <w:rPr>
          <w:spacing w:val="-7"/>
        </w:rPr>
        <w:t> </w:t>
      </w:r>
      <w:r>
        <w:rPr/>
        <w:t>sobre</w:t>
      </w:r>
      <w:r>
        <w:rPr>
          <w:spacing w:val="-10"/>
        </w:rPr>
        <w:t> </w:t>
      </w:r>
      <w:r>
        <w:rPr/>
        <w:t>todo</w:t>
      </w:r>
      <w:r>
        <w:rPr>
          <w:spacing w:val="-7"/>
        </w:rPr>
        <w:t> </w:t>
      </w:r>
      <w:r>
        <w:rPr/>
        <w:t>considerando</w:t>
      </w:r>
      <w:r>
        <w:rPr>
          <w:spacing w:val="-4"/>
        </w:rPr>
        <w:t> </w:t>
      </w:r>
      <w:r>
        <w:rPr/>
        <w:t>que</w:t>
      </w:r>
      <w:r>
        <w:rPr>
          <w:spacing w:val="-47"/>
        </w:rPr>
        <w:t> </w:t>
      </w:r>
      <w:r>
        <w:rPr/>
        <w:t>en este departamento el 52% es mujer y el 48% es hombre. Es decir, el sexo –ser mujer- es un factor</w:t>
      </w:r>
      <w:r>
        <w:rPr>
          <w:spacing w:val="1"/>
        </w:rPr>
        <w:t> </w:t>
      </w:r>
      <w:r>
        <w:rPr/>
        <w:t>desfavorable</w:t>
      </w:r>
      <w:r>
        <w:rPr>
          <w:spacing w:val="-1"/>
        </w:rPr>
        <w:t> </w:t>
      </w:r>
      <w:r>
        <w:rPr/>
        <w:t>para</w:t>
      </w:r>
      <w:r>
        <w:rPr>
          <w:spacing w:val="-4"/>
        </w:rPr>
        <w:t> </w:t>
      </w:r>
      <w:r>
        <w:rPr/>
        <w:t>ingresar</w:t>
      </w:r>
      <w:r>
        <w:rPr>
          <w:spacing w:val="-2"/>
        </w:rPr>
        <w:t> </w:t>
      </w:r>
      <w:r>
        <w:rPr/>
        <w:t>y permanecer en</w:t>
      </w:r>
      <w:r>
        <w:rPr>
          <w:spacing w:val="-3"/>
        </w:rPr>
        <w:t> </w:t>
      </w:r>
      <w:r>
        <w:rPr/>
        <w:t>el sistema.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563.880005pt;margin-top:12.076992pt;width:25.44pt;height:1.4399pt;mso-position-horizontal-relative:page;mso-position-vertical-relative:paragraph;z-index:-1542860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151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14272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1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1"/>
          <w:numId w:val="36"/>
        </w:numPr>
        <w:tabs>
          <w:tab w:pos="854" w:val="left" w:leader="none"/>
          <w:tab w:pos="855" w:val="left" w:leader="none"/>
        </w:tabs>
        <w:spacing w:line="240" w:lineRule="auto" w:before="52" w:after="0"/>
        <w:ind w:left="854" w:right="0" w:hanging="577"/>
        <w:jc w:val="left"/>
      </w:pPr>
      <w:bookmarkStart w:name="_bookmark179" w:id="291"/>
      <w:bookmarkEnd w:id="291"/>
      <w:r>
        <w:rPr>
          <w:b w:val="0"/>
        </w:rPr>
      </w:r>
      <w:bookmarkStart w:name="_bookmark179" w:id="292"/>
      <w:bookmarkEnd w:id="292"/>
      <w:r>
        <w:rPr>
          <w:color w:val="1F4E79"/>
        </w:rPr>
        <w:t>Iz</w:t>
      </w:r>
      <w:r>
        <w:rPr>
          <w:color w:val="1F4E79"/>
        </w:rPr>
        <w:t>abal</w:t>
      </w:r>
    </w:p>
    <w:p>
      <w:pPr>
        <w:pStyle w:val="BodyText"/>
        <w:rPr>
          <w:b/>
          <w:sz w:val="24"/>
        </w:rPr>
      </w:pPr>
    </w:p>
    <w:p>
      <w:pPr>
        <w:pStyle w:val="Heading3"/>
        <w:numPr>
          <w:ilvl w:val="2"/>
          <w:numId w:val="36"/>
        </w:numPr>
        <w:tabs>
          <w:tab w:pos="998" w:val="left" w:leader="none"/>
          <w:tab w:pos="999" w:val="left" w:leader="none"/>
        </w:tabs>
        <w:spacing w:line="240" w:lineRule="auto" w:before="187" w:after="0"/>
        <w:ind w:left="998" w:right="0" w:hanging="721"/>
        <w:jc w:val="left"/>
      </w:pPr>
      <w:bookmarkStart w:name="_bookmark180" w:id="293"/>
      <w:bookmarkEnd w:id="293"/>
      <w:r>
        <w:rPr>
          <w:b w:val="0"/>
        </w:rPr>
      </w:r>
      <w:bookmarkStart w:name="_bookmark180" w:id="294"/>
      <w:bookmarkEnd w:id="294"/>
      <w:r>
        <w:rPr/>
        <w:t>Inf</w:t>
      </w:r>
      <w:r>
        <w:rPr/>
        <w:t>ormación</w:t>
      </w:r>
      <w:r>
        <w:rPr>
          <w:spacing w:val="-8"/>
        </w:rPr>
        <w:t> </w:t>
      </w:r>
      <w:r>
        <w:rPr/>
        <w:t>General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68"/>
        <w:jc w:val="both"/>
      </w:pPr>
      <w:r>
        <w:rPr/>
        <w:t>De acuerdo con INE (2018), el total de la población del departamento asciende a 408,688 habitantes,</w:t>
      </w:r>
      <w:r>
        <w:rPr>
          <w:spacing w:val="1"/>
        </w:rPr>
        <w:t> </w:t>
      </w:r>
      <w:r>
        <w:rPr/>
        <w:t>integrados por el 49% son hombres y el 51% son mujeres. El departamento es mayoritariamente rural</w:t>
      </w:r>
      <w:r>
        <w:rPr>
          <w:spacing w:val="1"/>
        </w:rPr>
        <w:t> </w:t>
      </w:r>
      <w:r>
        <w:rPr/>
        <w:t>reportando el 59%, mientras que un 41% reside en el área urbana del departamento. Por otra parte, del</w:t>
      </w:r>
      <w:r>
        <w:rPr>
          <w:spacing w:val="1"/>
        </w:rPr>
        <w:t> </w:t>
      </w:r>
      <w:r>
        <w:rPr/>
        <w:t>total de la población del departamento el 46% corresponde a la población de niños y adolescentes entre</w:t>
      </w:r>
      <w:r>
        <w:rPr>
          <w:spacing w:val="1"/>
        </w:rPr>
        <w:t> </w:t>
      </w:r>
      <w:r>
        <w:rPr/>
        <w:t>0 a</w:t>
      </w:r>
      <w:r>
        <w:rPr>
          <w:spacing w:val="-2"/>
        </w:rPr>
        <w:t> </w:t>
      </w:r>
      <w:r>
        <w:rPr/>
        <w:t>19</w:t>
      </w:r>
      <w:r>
        <w:rPr>
          <w:spacing w:val="-2"/>
        </w:rPr>
        <w:t> </w:t>
      </w:r>
      <w:r>
        <w:rPr/>
        <w:t>años.</w:t>
      </w:r>
    </w:p>
    <w:p>
      <w:pPr>
        <w:pStyle w:val="BodyText"/>
        <w:spacing w:before="1"/>
      </w:pPr>
    </w:p>
    <w:p>
      <w:pPr>
        <w:pStyle w:val="BodyText"/>
        <w:spacing w:before="1"/>
        <w:ind w:left="278" w:right="1073"/>
        <w:jc w:val="both"/>
      </w:pPr>
      <w:r>
        <w:rPr/>
        <w:t>Respecto del pueblo de pertenencia el 70% se identifica como Ladino, el 28% como Maya y el 1% de la</w:t>
      </w:r>
      <w:r>
        <w:rPr>
          <w:spacing w:val="1"/>
        </w:rPr>
        <w:t> </w:t>
      </w:r>
      <w:r>
        <w:rPr/>
        <w:t>etnia Garífuna. Es una cifra interesante en consideración a que el 96% se reconoce de la comunidad</w:t>
      </w:r>
      <w:r>
        <w:rPr>
          <w:spacing w:val="1"/>
        </w:rPr>
        <w:t> </w:t>
      </w:r>
      <w:r>
        <w:rPr/>
        <w:t>lingüística</w:t>
      </w:r>
      <w:r>
        <w:rPr>
          <w:spacing w:val="-1"/>
        </w:rPr>
        <w:t> </w:t>
      </w:r>
      <w:r>
        <w:rPr/>
        <w:t>Q’eqchí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mientras que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2%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K’iche’.</w:t>
      </w:r>
    </w:p>
    <w:p>
      <w:pPr>
        <w:pStyle w:val="BodyText"/>
        <w:spacing w:before="6"/>
        <w:rPr>
          <w:sz w:val="19"/>
        </w:rPr>
      </w:pPr>
    </w:p>
    <w:p>
      <w:pPr>
        <w:pStyle w:val="Heading3"/>
        <w:numPr>
          <w:ilvl w:val="2"/>
          <w:numId w:val="36"/>
        </w:numPr>
        <w:tabs>
          <w:tab w:pos="998" w:val="left" w:leader="none"/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181" w:id="295"/>
      <w:bookmarkEnd w:id="295"/>
      <w:r>
        <w:rPr>
          <w:b w:val="0"/>
        </w:rPr>
      </w:r>
      <w:bookmarkStart w:name="_bookmark181" w:id="296"/>
      <w:bookmarkEnd w:id="296"/>
      <w:r>
        <w:rPr/>
        <w:t>Situ</w:t>
      </w:r>
      <w:r>
        <w:rPr/>
        <w:t>ación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Sistema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Nacional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278" w:right="1073"/>
        <w:jc w:val="both"/>
      </w:pPr>
      <w:r>
        <w:rPr/>
        <w:t>Respecto de la población estudiantil del Departamento, esta presenta cifras similares al comportamiento</w:t>
      </w:r>
      <w:r>
        <w:rPr>
          <w:spacing w:val="-47"/>
        </w:rPr>
        <w:t> </w:t>
      </w:r>
      <w:r>
        <w:rPr/>
        <w:t>promedio nacional. La educación primaria es la que reporta mayor crecimiento con una importante</w:t>
      </w:r>
      <w:r>
        <w:rPr>
          <w:spacing w:val="1"/>
        </w:rPr>
        <w:t> </w:t>
      </w:r>
      <w:r>
        <w:rPr/>
        <w:t>cantidad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estudiantes registrados,</w:t>
      </w:r>
      <w:r>
        <w:rPr>
          <w:spacing w:val="-4"/>
        </w:rPr>
        <w:t> </w:t>
      </w:r>
      <w:r>
        <w:rPr/>
        <w:t>seguido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nivel</w:t>
      </w:r>
      <w:r>
        <w:rPr>
          <w:spacing w:val="-4"/>
        </w:rPr>
        <w:t> </w:t>
      </w:r>
      <w:r>
        <w:rPr/>
        <w:t>preprimaria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básico.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manera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referencia,</w:t>
      </w:r>
      <w:r>
        <w:rPr>
          <w:spacing w:val="-4"/>
        </w:rPr>
        <w:t> </w:t>
      </w:r>
      <w:r>
        <w:rPr/>
        <w:t>se</w:t>
      </w:r>
      <w:r>
        <w:rPr>
          <w:spacing w:val="-47"/>
        </w:rPr>
        <w:t> </w:t>
      </w:r>
      <w:r>
        <w:rPr/>
        <w:t>presentan</w:t>
      </w:r>
      <w:r>
        <w:rPr>
          <w:spacing w:val="-1"/>
        </w:rPr>
        <w:t> </w:t>
      </w:r>
      <w:r>
        <w:rPr/>
        <w:t>los datos</w:t>
      </w:r>
      <w:r>
        <w:rPr>
          <w:spacing w:val="-2"/>
        </w:rPr>
        <w:t> </w:t>
      </w:r>
      <w:r>
        <w:rPr/>
        <w:t>absolutos para</w:t>
      </w:r>
      <w:r>
        <w:rPr>
          <w:spacing w:val="-4"/>
        </w:rPr>
        <w:t> </w:t>
      </w:r>
      <w:r>
        <w:rPr/>
        <w:t>este</w:t>
      </w:r>
      <w:r>
        <w:rPr>
          <w:spacing w:val="-2"/>
        </w:rPr>
        <w:t> </w:t>
      </w:r>
      <w:r>
        <w:rPr/>
        <w:t>Departamento.</w:t>
      </w:r>
    </w:p>
    <w:p>
      <w:pPr>
        <w:pStyle w:val="BodyText"/>
        <w:spacing w:before="1"/>
      </w:pPr>
    </w:p>
    <w:p>
      <w:pPr>
        <w:pStyle w:val="BodyText"/>
        <w:spacing w:after="4"/>
        <w:ind w:left="278"/>
        <w:jc w:val="both"/>
      </w:pPr>
      <w:r>
        <w:rPr/>
        <w:t>Tabla</w:t>
      </w:r>
      <w:r>
        <w:rPr>
          <w:spacing w:val="-2"/>
        </w:rPr>
        <w:t> </w:t>
      </w:r>
      <w:r>
        <w:rPr/>
        <w:t>Nº.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r>
        <w:rPr/>
        <w:t>de estudiantes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Nivel</w:t>
      </w:r>
      <w:r>
        <w:rPr>
          <w:spacing w:val="-2"/>
        </w:rPr>
        <w:t> </w:t>
      </w:r>
      <w:r>
        <w:rPr/>
        <w:t>Educativo para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Izabal</w:t>
      </w:r>
      <w:r>
        <w:rPr>
          <w:spacing w:val="-2"/>
        </w:rPr>
        <w:t> </w:t>
      </w:r>
      <w:r>
        <w:rPr/>
        <w:t>(2017</w:t>
      </w:r>
      <w:r>
        <w:rPr>
          <w:spacing w:val="-1"/>
        </w:rPr>
        <w:t> </w:t>
      </w:r>
      <w:r>
        <w:rPr/>
        <w:t>al</w:t>
      </w:r>
      <w:r>
        <w:rPr>
          <w:spacing w:val="-4"/>
        </w:rPr>
        <w:t> </w:t>
      </w:r>
      <w:r>
        <w:rPr/>
        <w:t>2021)</w:t>
      </w:r>
    </w:p>
    <w:tbl>
      <w:tblPr>
        <w:tblW w:w="0" w:type="auto"/>
        <w:jc w:val="left"/>
        <w:tblInd w:w="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5"/>
        <w:gridCol w:w="1678"/>
        <w:gridCol w:w="1034"/>
        <w:gridCol w:w="1849"/>
        <w:gridCol w:w="695"/>
        <w:gridCol w:w="1297"/>
        <w:gridCol w:w="1142"/>
      </w:tblGrid>
      <w:tr>
        <w:trPr>
          <w:trHeight w:val="396" w:hRule="atLeast"/>
        </w:trPr>
        <w:tc>
          <w:tcPr>
            <w:tcW w:w="1115" w:type="dxa"/>
            <w:tcBorders>
              <w:bottom w:val="single" w:sz="8" w:space="0" w:color="8EA9DB"/>
            </w:tcBorders>
            <w:shd w:val="clear" w:color="auto" w:fill="D9E0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8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168" w:lineRule="exact"/>
              <w:ind w:left="357" w:right="15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PREPRIMARIA</w:t>
            </w:r>
          </w:p>
        </w:tc>
        <w:tc>
          <w:tcPr>
            <w:tcW w:w="1034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168" w:lineRule="exact"/>
              <w:ind w:left="189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PRIMARIA</w:t>
            </w:r>
          </w:p>
        </w:tc>
        <w:tc>
          <w:tcPr>
            <w:tcW w:w="1849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168" w:lineRule="exact"/>
              <w:ind w:left="46" w:right="2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7"/>
                <w:sz w:val="16"/>
              </w:rPr>
              <w:t>PRIMARIA</w:t>
            </w:r>
            <w:r>
              <w:rPr>
                <w:rFonts w:ascii="Arial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7"/>
                <w:sz w:val="16"/>
              </w:rPr>
              <w:t>DE</w:t>
            </w:r>
            <w:r>
              <w:rPr>
                <w:rFonts w:ascii="Arial"/>
                <w:b/>
                <w:color w:val="FFFFFF"/>
                <w:spacing w:val="-25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6"/>
                <w:sz w:val="16"/>
              </w:rPr>
              <w:t>ADULTOS</w:t>
            </w:r>
          </w:p>
        </w:tc>
        <w:tc>
          <w:tcPr>
            <w:tcW w:w="695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168" w:lineRule="exact"/>
              <w:ind w:left="11" w:righ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BASICO</w:t>
            </w:r>
          </w:p>
        </w:tc>
        <w:tc>
          <w:tcPr>
            <w:tcW w:w="1297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168" w:lineRule="exact"/>
              <w:ind w:lef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DIVERSIFICADO</w:t>
            </w:r>
          </w:p>
        </w:tc>
        <w:tc>
          <w:tcPr>
            <w:tcW w:w="1142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168" w:lineRule="exact"/>
              <w:ind w:right="6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Tota</w:t>
            </w:r>
            <w:r>
              <w:rPr>
                <w:rFonts w:ascii="Arial"/>
                <w:b/>
                <w:color w:val="FFFFFF"/>
                <w:spacing w:val="-30"/>
                <w:sz w:val="16"/>
              </w:rPr>
              <w:t> </w:t>
            </w:r>
            <w:r>
              <w:rPr>
                <w:rFonts w:ascii="Arial"/>
                <w:b/>
                <w:color w:val="FFFFFF"/>
                <w:sz w:val="16"/>
              </w:rPr>
              <w:t>l</w:t>
            </w:r>
            <w:r>
              <w:rPr>
                <w:rFonts w:ascii="Arial"/>
                <w:b/>
                <w:color w:val="FFFFFF"/>
                <w:spacing w:val="-6"/>
                <w:sz w:val="16"/>
              </w:rPr>
              <w:t> </w:t>
            </w:r>
            <w:r>
              <w:rPr>
                <w:rFonts w:ascii="Arial"/>
                <w:b/>
                <w:color w:val="FFFFFF"/>
                <w:sz w:val="16"/>
              </w:rPr>
              <w:t>general</w:t>
            </w:r>
          </w:p>
        </w:tc>
      </w:tr>
      <w:tr>
        <w:trPr>
          <w:trHeight w:val="175" w:hRule="atLeast"/>
        </w:trPr>
        <w:tc>
          <w:tcPr>
            <w:tcW w:w="1115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53" w:lineRule="exact"/>
              <w:ind w:left="361" w:right="357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2017</w:t>
            </w:r>
          </w:p>
        </w:tc>
        <w:tc>
          <w:tcPr>
            <w:tcW w:w="1678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53" w:lineRule="exact"/>
              <w:ind w:left="357" w:right="157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34,561</w:t>
            </w:r>
          </w:p>
        </w:tc>
        <w:tc>
          <w:tcPr>
            <w:tcW w:w="1034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53" w:lineRule="exact"/>
              <w:ind w:left="224" w:right="1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194,874</w:t>
            </w:r>
          </w:p>
        </w:tc>
        <w:tc>
          <w:tcPr>
            <w:tcW w:w="1849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53" w:lineRule="exact"/>
              <w:ind w:left="34" w:right="2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517</w:t>
            </w:r>
          </w:p>
        </w:tc>
        <w:tc>
          <w:tcPr>
            <w:tcW w:w="695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53" w:lineRule="exact"/>
              <w:ind w:left="11" w:right="11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36,401</w:t>
            </w:r>
          </w:p>
        </w:tc>
        <w:tc>
          <w:tcPr>
            <w:tcW w:w="1297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53" w:lineRule="exact"/>
              <w:ind w:left="43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16,379</w:t>
            </w:r>
          </w:p>
        </w:tc>
        <w:tc>
          <w:tcPr>
            <w:tcW w:w="1142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53" w:lineRule="exact"/>
              <w:ind w:right="31"/>
              <w:jc w:val="right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282,732</w:t>
            </w:r>
          </w:p>
        </w:tc>
      </w:tr>
      <w:tr>
        <w:trPr>
          <w:trHeight w:val="192" w:hRule="atLeast"/>
        </w:trPr>
        <w:tc>
          <w:tcPr>
            <w:tcW w:w="1115" w:type="dxa"/>
          </w:tcPr>
          <w:p>
            <w:pPr>
              <w:pStyle w:val="TableParagraph"/>
              <w:spacing w:line="160" w:lineRule="exact" w:before="12"/>
              <w:ind w:left="361" w:right="357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2018</w:t>
            </w:r>
          </w:p>
        </w:tc>
        <w:tc>
          <w:tcPr>
            <w:tcW w:w="1678" w:type="dxa"/>
          </w:tcPr>
          <w:p>
            <w:pPr>
              <w:pStyle w:val="TableParagraph"/>
              <w:spacing w:line="160" w:lineRule="exact" w:before="12"/>
              <w:ind w:left="357" w:right="157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37,401</w:t>
            </w:r>
          </w:p>
        </w:tc>
        <w:tc>
          <w:tcPr>
            <w:tcW w:w="1034" w:type="dxa"/>
          </w:tcPr>
          <w:p>
            <w:pPr>
              <w:pStyle w:val="TableParagraph"/>
              <w:spacing w:line="160" w:lineRule="exact" w:before="12"/>
              <w:ind w:left="224" w:right="1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204,345</w:t>
            </w:r>
          </w:p>
        </w:tc>
        <w:tc>
          <w:tcPr>
            <w:tcW w:w="1849" w:type="dxa"/>
          </w:tcPr>
          <w:p>
            <w:pPr>
              <w:pStyle w:val="TableParagraph"/>
              <w:spacing w:line="160" w:lineRule="exact" w:before="12"/>
              <w:ind w:left="34" w:right="2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514</w:t>
            </w:r>
          </w:p>
        </w:tc>
        <w:tc>
          <w:tcPr>
            <w:tcW w:w="695" w:type="dxa"/>
          </w:tcPr>
          <w:p>
            <w:pPr>
              <w:pStyle w:val="TableParagraph"/>
              <w:spacing w:line="160" w:lineRule="exact" w:before="12"/>
              <w:ind w:left="11" w:right="11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35,857</w:t>
            </w:r>
          </w:p>
        </w:tc>
        <w:tc>
          <w:tcPr>
            <w:tcW w:w="1297" w:type="dxa"/>
          </w:tcPr>
          <w:p>
            <w:pPr>
              <w:pStyle w:val="TableParagraph"/>
              <w:spacing w:line="160" w:lineRule="exact" w:before="12"/>
              <w:ind w:left="43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16,104</w:t>
            </w:r>
          </w:p>
        </w:tc>
        <w:tc>
          <w:tcPr>
            <w:tcW w:w="1142" w:type="dxa"/>
          </w:tcPr>
          <w:p>
            <w:pPr>
              <w:pStyle w:val="TableParagraph"/>
              <w:spacing w:line="160" w:lineRule="exact" w:before="12"/>
              <w:ind w:right="31"/>
              <w:jc w:val="right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294,221</w:t>
            </w:r>
          </w:p>
        </w:tc>
      </w:tr>
      <w:tr>
        <w:trPr>
          <w:trHeight w:val="192" w:hRule="atLeast"/>
        </w:trPr>
        <w:tc>
          <w:tcPr>
            <w:tcW w:w="1115" w:type="dxa"/>
          </w:tcPr>
          <w:p>
            <w:pPr>
              <w:pStyle w:val="TableParagraph"/>
              <w:spacing w:line="160" w:lineRule="exact" w:before="12"/>
              <w:ind w:left="361" w:right="357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2019</w:t>
            </w:r>
          </w:p>
        </w:tc>
        <w:tc>
          <w:tcPr>
            <w:tcW w:w="1678" w:type="dxa"/>
          </w:tcPr>
          <w:p>
            <w:pPr>
              <w:pStyle w:val="TableParagraph"/>
              <w:spacing w:line="160" w:lineRule="exact" w:before="12"/>
              <w:ind w:left="357" w:right="157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35,044</w:t>
            </w:r>
          </w:p>
        </w:tc>
        <w:tc>
          <w:tcPr>
            <w:tcW w:w="1034" w:type="dxa"/>
          </w:tcPr>
          <w:p>
            <w:pPr>
              <w:pStyle w:val="TableParagraph"/>
              <w:spacing w:line="160" w:lineRule="exact" w:before="12"/>
              <w:ind w:left="224" w:right="1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201,541</w:t>
            </w:r>
          </w:p>
        </w:tc>
        <w:tc>
          <w:tcPr>
            <w:tcW w:w="1849" w:type="dxa"/>
          </w:tcPr>
          <w:p>
            <w:pPr>
              <w:pStyle w:val="TableParagraph"/>
              <w:spacing w:line="160" w:lineRule="exact" w:before="12"/>
              <w:ind w:left="34" w:right="2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346</w:t>
            </w:r>
          </w:p>
        </w:tc>
        <w:tc>
          <w:tcPr>
            <w:tcW w:w="695" w:type="dxa"/>
          </w:tcPr>
          <w:p>
            <w:pPr>
              <w:pStyle w:val="TableParagraph"/>
              <w:spacing w:line="160" w:lineRule="exact" w:before="12"/>
              <w:ind w:left="11" w:right="11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33,282</w:t>
            </w:r>
          </w:p>
        </w:tc>
        <w:tc>
          <w:tcPr>
            <w:tcW w:w="1297" w:type="dxa"/>
          </w:tcPr>
          <w:p>
            <w:pPr>
              <w:pStyle w:val="TableParagraph"/>
              <w:spacing w:line="160" w:lineRule="exact" w:before="12"/>
              <w:ind w:left="43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15,960</w:t>
            </w:r>
          </w:p>
        </w:tc>
        <w:tc>
          <w:tcPr>
            <w:tcW w:w="1142" w:type="dxa"/>
          </w:tcPr>
          <w:p>
            <w:pPr>
              <w:pStyle w:val="TableParagraph"/>
              <w:spacing w:line="160" w:lineRule="exact" w:before="12"/>
              <w:ind w:right="31"/>
              <w:jc w:val="right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286,173</w:t>
            </w:r>
          </w:p>
        </w:tc>
      </w:tr>
      <w:tr>
        <w:trPr>
          <w:trHeight w:val="192" w:hRule="atLeast"/>
        </w:trPr>
        <w:tc>
          <w:tcPr>
            <w:tcW w:w="1115" w:type="dxa"/>
          </w:tcPr>
          <w:p>
            <w:pPr>
              <w:pStyle w:val="TableParagraph"/>
              <w:spacing w:line="160" w:lineRule="exact" w:before="13"/>
              <w:ind w:left="361" w:right="357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2020</w:t>
            </w:r>
          </w:p>
        </w:tc>
        <w:tc>
          <w:tcPr>
            <w:tcW w:w="1678" w:type="dxa"/>
          </w:tcPr>
          <w:p>
            <w:pPr>
              <w:pStyle w:val="TableParagraph"/>
              <w:spacing w:line="160" w:lineRule="exact" w:before="13"/>
              <w:ind w:left="357" w:right="157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34,279</w:t>
            </w:r>
          </w:p>
        </w:tc>
        <w:tc>
          <w:tcPr>
            <w:tcW w:w="1034" w:type="dxa"/>
          </w:tcPr>
          <w:p>
            <w:pPr>
              <w:pStyle w:val="TableParagraph"/>
              <w:spacing w:line="160" w:lineRule="exact" w:before="13"/>
              <w:ind w:left="224" w:right="1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203,602</w:t>
            </w:r>
          </w:p>
        </w:tc>
        <w:tc>
          <w:tcPr>
            <w:tcW w:w="1849" w:type="dxa"/>
          </w:tcPr>
          <w:p>
            <w:pPr>
              <w:pStyle w:val="TableParagraph"/>
              <w:spacing w:line="160" w:lineRule="exact" w:before="13"/>
              <w:ind w:left="34" w:right="2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264</w:t>
            </w:r>
          </w:p>
        </w:tc>
        <w:tc>
          <w:tcPr>
            <w:tcW w:w="695" w:type="dxa"/>
          </w:tcPr>
          <w:p>
            <w:pPr>
              <w:pStyle w:val="TableParagraph"/>
              <w:spacing w:line="160" w:lineRule="exact" w:before="13"/>
              <w:ind w:left="11" w:right="11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32,383</w:t>
            </w:r>
          </w:p>
        </w:tc>
        <w:tc>
          <w:tcPr>
            <w:tcW w:w="1297" w:type="dxa"/>
          </w:tcPr>
          <w:p>
            <w:pPr>
              <w:pStyle w:val="TableParagraph"/>
              <w:spacing w:line="160" w:lineRule="exact" w:before="13"/>
              <w:ind w:left="43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16,325</w:t>
            </w:r>
          </w:p>
        </w:tc>
        <w:tc>
          <w:tcPr>
            <w:tcW w:w="1142" w:type="dxa"/>
          </w:tcPr>
          <w:p>
            <w:pPr>
              <w:pStyle w:val="TableParagraph"/>
              <w:spacing w:line="160" w:lineRule="exact" w:before="13"/>
              <w:ind w:right="31"/>
              <w:jc w:val="right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286,853</w:t>
            </w:r>
          </w:p>
        </w:tc>
      </w:tr>
      <w:tr>
        <w:trPr>
          <w:trHeight w:val="185" w:hRule="atLeast"/>
        </w:trPr>
        <w:tc>
          <w:tcPr>
            <w:tcW w:w="1115" w:type="dxa"/>
          </w:tcPr>
          <w:p>
            <w:pPr>
              <w:pStyle w:val="TableParagraph"/>
              <w:spacing w:line="153" w:lineRule="exact" w:before="12"/>
              <w:ind w:left="361" w:right="357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2021</w:t>
            </w:r>
          </w:p>
        </w:tc>
        <w:tc>
          <w:tcPr>
            <w:tcW w:w="1678" w:type="dxa"/>
          </w:tcPr>
          <w:p>
            <w:pPr>
              <w:pStyle w:val="TableParagraph"/>
              <w:spacing w:line="153" w:lineRule="exact" w:before="12"/>
              <w:ind w:left="357" w:right="157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39,404</w:t>
            </w:r>
          </w:p>
        </w:tc>
        <w:tc>
          <w:tcPr>
            <w:tcW w:w="1034" w:type="dxa"/>
          </w:tcPr>
          <w:p>
            <w:pPr>
              <w:pStyle w:val="TableParagraph"/>
              <w:spacing w:line="153" w:lineRule="exact" w:before="12"/>
              <w:ind w:left="224" w:right="1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213,059</w:t>
            </w:r>
          </w:p>
        </w:tc>
        <w:tc>
          <w:tcPr>
            <w:tcW w:w="1849" w:type="dxa"/>
          </w:tcPr>
          <w:p>
            <w:pPr>
              <w:pStyle w:val="TableParagraph"/>
              <w:spacing w:line="153" w:lineRule="exact" w:before="12"/>
              <w:ind w:left="34" w:right="2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156</w:t>
            </w:r>
          </w:p>
        </w:tc>
        <w:tc>
          <w:tcPr>
            <w:tcW w:w="695" w:type="dxa"/>
          </w:tcPr>
          <w:p>
            <w:pPr>
              <w:pStyle w:val="TableParagraph"/>
              <w:spacing w:line="153" w:lineRule="exact" w:before="12"/>
              <w:ind w:left="11" w:right="11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30,299</w:t>
            </w:r>
          </w:p>
        </w:tc>
        <w:tc>
          <w:tcPr>
            <w:tcW w:w="1297" w:type="dxa"/>
          </w:tcPr>
          <w:p>
            <w:pPr>
              <w:pStyle w:val="TableParagraph"/>
              <w:spacing w:line="153" w:lineRule="exact" w:before="12"/>
              <w:ind w:left="43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14,749</w:t>
            </w:r>
          </w:p>
        </w:tc>
        <w:tc>
          <w:tcPr>
            <w:tcW w:w="1142" w:type="dxa"/>
          </w:tcPr>
          <w:p>
            <w:pPr>
              <w:pStyle w:val="TableParagraph"/>
              <w:spacing w:line="153" w:lineRule="exact" w:before="12"/>
              <w:ind w:right="31"/>
              <w:jc w:val="right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297,667</w:t>
            </w:r>
          </w:p>
        </w:tc>
      </w:tr>
    </w:tbl>
    <w:tbl>
      <w:tblPr>
        <w:tblW w:w="0" w:type="auto"/>
        <w:jc w:val="left"/>
        <w:tblInd w:w="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5"/>
        <w:gridCol w:w="1575"/>
        <w:gridCol w:w="1470"/>
        <w:gridCol w:w="1190"/>
        <w:gridCol w:w="1205"/>
        <w:gridCol w:w="1111"/>
        <w:gridCol w:w="1153"/>
      </w:tblGrid>
      <w:tr>
        <w:trPr>
          <w:trHeight w:val="205" w:hRule="atLeast"/>
        </w:trPr>
        <w:tc>
          <w:tcPr>
            <w:tcW w:w="1115" w:type="dxa"/>
            <w:tcBorders>
              <w:top w:val="single" w:sz="8" w:space="0" w:color="8EA9DB"/>
            </w:tcBorders>
            <w:shd w:val="clear" w:color="auto" w:fill="D9E0F1"/>
          </w:tcPr>
          <w:p>
            <w:pPr>
              <w:pStyle w:val="TableParagraph"/>
              <w:spacing w:before="18"/>
              <w:ind w:left="4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</w:t>
            </w:r>
            <w:r>
              <w:rPr>
                <w:rFonts w:ascii="Arial"/>
                <w:b/>
                <w:spacing w:val="-2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</w:t>
            </w:r>
            <w:r>
              <w:rPr>
                <w:rFonts w:ascii="Arial"/>
                <w:b/>
                <w:spacing w:val="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general</w:t>
            </w:r>
          </w:p>
        </w:tc>
        <w:tc>
          <w:tcPr>
            <w:tcW w:w="1575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ind w:left="6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180,689</w:t>
            </w:r>
          </w:p>
        </w:tc>
        <w:tc>
          <w:tcPr>
            <w:tcW w:w="1470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ind w:left="3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1,017,421</w:t>
            </w:r>
          </w:p>
        </w:tc>
        <w:tc>
          <w:tcPr>
            <w:tcW w:w="1190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ind w:left="4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1,797</w:t>
            </w:r>
          </w:p>
        </w:tc>
        <w:tc>
          <w:tcPr>
            <w:tcW w:w="1205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ind w:left="3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168,222</w:t>
            </w:r>
          </w:p>
        </w:tc>
        <w:tc>
          <w:tcPr>
            <w:tcW w:w="1111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ind w:left="2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79,517</w:t>
            </w:r>
          </w:p>
        </w:tc>
        <w:tc>
          <w:tcPr>
            <w:tcW w:w="1153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ind w:left="3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1,447,646</w:t>
            </w:r>
          </w:p>
        </w:tc>
      </w:tr>
    </w:tbl>
    <w:p>
      <w:pPr>
        <w:spacing w:before="8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3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2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4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3"/>
          <w:sz w:val="14"/>
        </w:rPr>
        <w:t> </w:t>
      </w:r>
      <w:r>
        <w:rPr>
          <w:sz w:val="14"/>
        </w:rPr>
        <w:t>Dirección</w:t>
      </w:r>
      <w:r>
        <w:rPr>
          <w:spacing w:val="-4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3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Educación</w:t>
      </w:r>
      <w:r>
        <w:rPr>
          <w:spacing w:val="-4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278" w:right="1070"/>
        <w:jc w:val="both"/>
      </w:pPr>
      <w:r>
        <w:rPr/>
        <w:t>De acuerdo a los registros estadísticos de DIPLAN, el total de estudiantes atendidos durante este período</w:t>
      </w:r>
      <w:r>
        <w:rPr>
          <w:spacing w:val="-47"/>
        </w:rPr>
        <w:t> </w:t>
      </w:r>
      <w:r>
        <w:rPr/>
        <w:t>fue de 1,447,646. En el 2017 se tuvo una población estudiantil total de 282,732. En el 2018, se presentó</w:t>
      </w:r>
      <w:r>
        <w:rPr>
          <w:spacing w:val="1"/>
        </w:rPr>
        <w:t> </w:t>
      </w:r>
      <w:r>
        <w:rPr/>
        <w:t>cifras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294,221,</w:t>
      </w:r>
      <w:r>
        <w:rPr>
          <w:spacing w:val="-3"/>
        </w:rPr>
        <w:t> </w:t>
      </w:r>
      <w:r>
        <w:rPr/>
        <w:t>lo</w:t>
      </w:r>
      <w:r>
        <w:rPr>
          <w:spacing w:val="-4"/>
        </w:rPr>
        <w:t> </w:t>
      </w:r>
      <w:r>
        <w:rPr/>
        <w:t>cual</w:t>
      </w:r>
      <w:r>
        <w:rPr>
          <w:spacing w:val="-4"/>
        </w:rPr>
        <w:t> </w:t>
      </w:r>
      <w:r>
        <w:rPr/>
        <w:t>representa</w:t>
      </w:r>
      <w:r>
        <w:rPr>
          <w:spacing w:val="-6"/>
        </w:rPr>
        <w:t> </w:t>
      </w:r>
      <w:r>
        <w:rPr/>
        <w:t>un</w:t>
      </w:r>
      <w:r>
        <w:rPr>
          <w:spacing w:val="-4"/>
        </w:rPr>
        <w:t> </w:t>
      </w:r>
      <w:r>
        <w:rPr/>
        <w:t>leve</w:t>
      </w:r>
      <w:r>
        <w:rPr>
          <w:spacing w:val="-5"/>
        </w:rPr>
        <w:t> </w:t>
      </w:r>
      <w:r>
        <w:rPr/>
        <w:t>aumento</w:t>
      </w:r>
      <w:r>
        <w:rPr>
          <w:spacing w:val="-7"/>
        </w:rPr>
        <w:t> </w:t>
      </w:r>
      <w:r>
        <w:rPr/>
        <w:t>del</w:t>
      </w:r>
      <w:r>
        <w:rPr>
          <w:spacing w:val="-4"/>
        </w:rPr>
        <w:t> </w:t>
      </w:r>
      <w:r>
        <w:rPr/>
        <w:t>4%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respecto</w:t>
      </w:r>
      <w:r>
        <w:rPr>
          <w:spacing w:val="-4"/>
        </w:rPr>
        <w:t> </w:t>
      </w:r>
      <w:r>
        <w:rPr/>
        <w:t>del</w:t>
      </w:r>
      <w:r>
        <w:rPr>
          <w:spacing w:val="-6"/>
        </w:rPr>
        <w:t> </w:t>
      </w:r>
      <w:r>
        <w:rPr/>
        <w:t>año</w:t>
      </w:r>
      <w:r>
        <w:rPr>
          <w:spacing w:val="-3"/>
        </w:rPr>
        <w:t> </w:t>
      </w:r>
      <w:r>
        <w:rPr/>
        <w:t>anterior.</w:t>
      </w:r>
      <w:r>
        <w:rPr>
          <w:spacing w:val="-2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2019,</w:t>
      </w:r>
      <w:r>
        <w:rPr>
          <w:spacing w:val="-6"/>
        </w:rPr>
        <w:t> </w:t>
      </w:r>
      <w:r>
        <w:rPr/>
        <w:t>se</w:t>
      </w:r>
      <w:r>
        <w:rPr>
          <w:spacing w:val="-48"/>
        </w:rPr>
        <w:t> </w:t>
      </w:r>
      <w:r>
        <w:rPr/>
        <w:t>redujo a 286,173.</w:t>
      </w:r>
      <w:r>
        <w:rPr>
          <w:spacing w:val="1"/>
        </w:rPr>
        <w:t> </w:t>
      </w:r>
      <w:r>
        <w:rPr/>
        <w:t>No obstante, la pandemia Covid-19 fue una amenaza sanitaria a nivel mundial la</w:t>
      </w:r>
      <w:r>
        <w:rPr>
          <w:spacing w:val="1"/>
        </w:rPr>
        <w:t> </w:t>
      </w:r>
      <w:r>
        <w:rPr/>
        <w:t>cantidad de estudiantes prácticamente permaneció invariable con 286,853 para el 2020. Mientras que el</w:t>
      </w:r>
      <w:r>
        <w:rPr>
          <w:spacing w:val="1"/>
        </w:rPr>
        <w:t> </w:t>
      </w:r>
      <w:r>
        <w:rPr/>
        <w:t>2021,</w:t>
      </w:r>
      <w:r>
        <w:rPr>
          <w:spacing w:val="-4"/>
        </w:rPr>
        <w:t> </w:t>
      </w:r>
      <w:r>
        <w:rPr/>
        <w:t>las cifras aumentaron</w:t>
      </w:r>
      <w:r>
        <w:rPr>
          <w:spacing w:val="-1"/>
        </w:rPr>
        <w:t> </w:t>
      </w:r>
      <w:r>
        <w:rPr/>
        <w:t>a 297,667.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ind w:left="278" w:right="1071"/>
        <w:jc w:val="both"/>
      </w:pPr>
      <w:r>
        <w:rPr/>
        <w:t>Al respecto conviene decir que la Primaria fue la que más incrementó representando el 70% de la</w:t>
      </w:r>
      <w:r>
        <w:rPr>
          <w:spacing w:val="1"/>
        </w:rPr>
        <w:t> </w:t>
      </w:r>
      <w:r>
        <w:rPr>
          <w:spacing w:val="-1"/>
        </w:rPr>
        <w:t>población</w:t>
      </w:r>
      <w:r>
        <w:rPr>
          <w:spacing w:val="-13"/>
        </w:rPr>
        <w:t> </w:t>
      </w:r>
      <w:r>
        <w:rPr>
          <w:spacing w:val="-1"/>
        </w:rPr>
        <w:t>para</w:t>
      </w:r>
      <w:r>
        <w:rPr>
          <w:spacing w:val="-12"/>
        </w:rPr>
        <w:t> </w:t>
      </w:r>
      <w:r>
        <w:rPr>
          <w:spacing w:val="-1"/>
        </w:rPr>
        <w:t>este</w:t>
      </w:r>
      <w:r>
        <w:rPr>
          <w:spacing w:val="-8"/>
        </w:rPr>
        <w:t> </w:t>
      </w:r>
      <w:r>
        <w:rPr>
          <w:spacing w:val="-1"/>
        </w:rPr>
        <w:t>período.</w:t>
      </w:r>
      <w:r>
        <w:rPr>
          <w:spacing w:val="-10"/>
        </w:rPr>
        <w:t> </w:t>
      </w:r>
      <w:r>
        <w:rPr/>
        <w:t>Seguido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nivel</w:t>
      </w:r>
      <w:r>
        <w:rPr>
          <w:spacing w:val="-12"/>
        </w:rPr>
        <w:t> </w:t>
      </w:r>
      <w:r>
        <w:rPr/>
        <w:t>preprimaria</w:t>
      </w:r>
      <w:r>
        <w:rPr>
          <w:spacing w:val="-12"/>
        </w:rPr>
        <w:t> </w:t>
      </w:r>
      <w:r>
        <w:rPr/>
        <w:t>con</w:t>
      </w:r>
      <w:r>
        <w:rPr>
          <w:spacing w:val="-9"/>
        </w:rPr>
        <w:t> </w:t>
      </w:r>
      <w:r>
        <w:rPr/>
        <w:t>un</w:t>
      </w:r>
      <w:r>
        <w:rPr>
          <w:spacing w:val="-13"/>
        </w:rPr>
        <w:t> </w:t>
      </w:r>
      <w:r>
        <w:rPr/>
        <w:t>12%,</w:t>
      </w:r>
      <w:r>
        <w:rPr>
          <w:spacing w:val="29"/>
        </w:rPr>
        <w:t> </w:t>
      </w:r>
      <w:r>
        <w:rPr/>
        <w:t>y</w:t>
      </w:r>
      <w:r>
        <w:rPr>
          <w:spacing w:val="-11"/>
        </w:rPr>
        <w:t> </w:t>
      </w:r>
      <w:r>
        <w:rPr/>
        <w:t>luego</w:t>
      </w:r>
      <w:r>
        <w:rPr>
          <w:spacing w:val="-13"/>
        </w:rPr>
        <w:t> </w:t>
      </w:r>
      <w:r>
        <w:rPr/>
        <w:t>por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12%</w:t>
      </w:r>
      <w:r>
        <w:rPr>
          <w:spacing w:val="30"/>
        </w:rPr>
        <w:t> </w:t>
      </w:r>
      <w:r>
        <w:rPr/>
        <w:t>del</w:t>
      </w:r>
      <w:r>
        <w:rPr>
          <w:spacing w:val="-9"/>
        </w:rPr>
        <w:t> </w:t>
      </w:r>
      <w:r>
        <w:rPr/>
        <w:t>ciclo</w:t>
      </w:r>
      <w:r>
        <w:rPr>
          <w:spacing w:val="-11"/>
        </w:rPr>
        <w:t> </w:t>
      </w:r>
      <w:r>
        <w:rPr/>
        <w:t>básico.</w:t>
      </w:r>
      <w:r>
        <w:rPr>
          <w:spacing w:val="-47"/>
        </w:rPr>
        <w:t> </w:t>
      </w:r>
      <w:r>
        <w:rPr/>
        <w:t>Cabe</w:t>
      </w:r>
      <w:r>
        <w:rPr>
          <w:spacing w:val="-7"/>
        </w:rPr>
        <w:t> </w:t>
      </w:r>
      <w:r>
        <w:rPr/>
        <w:t>destacar,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coyuntura</w:t>
      </w:r>
      <w:r>
        <w:rPr>
          <w:spacing w:val="-8"/>
        </w:rPr>
        <w:t> </w:t>
      </w:r>
      <w:r>
        <w:rPr/>
        <w:t>vivida</w:t>
      </w:r>
      <w:r>
        <w:rPr>
          <w:spacing w:val="-10"/>
        </w:rPr>
        <w:t> </w:t>
      </w:r>
      <w:r>
        <w:rPr/>
        <w:t>en</w:t>
      </w:r>
      <w:r>
        <w:rPr>
          <w:spacing w:val="-8"/>
        </w:rPr>
        <w:t> </w:t>
      </w:r>
      <w:r>
        <w:rPr/>
        <w:t>este</w:t>
      </w:r>
      <w:r>
        <w:rPr>
          <w:spacing w:val="-9"/>
        </w:rPr>
        <w:t> </w:t>
      </w:r>
      <w:r>
        <w:rPr/>
        <w:t>Departamento</w:t>
      </w:r>
      <w:r>
        <w:rPr>
          <w:spacing w:val="-6"/>
        </w:rPr>
        <w:t> </w:t>
      </w:r>
      <w:r>
        <w:rPr/>
        <w:t>por</w:t>
      </w:r>
      <w:r>
        <w:rPr>
          <w:spacing w:val="-8"/>
        </w:rPr>
        <w:t> </w:t>
      </w:r>
      <w:r>
        <w:rPr/>
        <w:t>los</w:t>
      </w:r>
      <w:r>
        <w:rPr>
          <w:spacing w:val="-10"/>
        </w:rPr>
        <w:t> </w:t>
      </w:r>
      <w:r>
        <w:rPr/>
        <w:t>huracanes</w:t>
      </w:r>
      <w:r>
        <w:rPr>
          <w:spacing w:val="-9"/>
        </w:rPr>
        <w:t> </w:t>
      </w:r>
      <w:r>
        <w:rPr/>
        <w:t>Eta</w:t>
      </w:r>
      <w:r>
        <w:rPr>
          <w:spacing w:val="-11"/>
        </w:rPr>
        <w:t> </w:t>
      </w:r>
      <w:r>
        <w:rPr/>
        <w:t>e</w:t>
      </w:r>
      <w:r>
        <w:rPr>
          <w:spacing w:val="-12"/>
        </w:rPr>
        <w:t> </w:t>
      </w:r>
      <w:r>
        <w:rPr/>
        <w:t>Iota,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cuáles</w:t>
      </w:r>
      <w:r>
        <w:rPr>
          <w:spacing w:val="-8"/>
        </w:rPr>
        <w:t> </w:t>
      </w:r>
      <w:r>
        <w:rPr/>
        <w:t>arrasaron</w:t>
      </w:r>
      <w:r>
        <w:rPr>
          <w:spacing w:val="-47"/>
        </w:rPr>
        <w:t> </w:t>
      </w:r>
      <w:r>
        <w:rPr/>
        <w:t>esta</w:t>
      </w:r>
      <w:r>
        <w:rPr>
          <w:spacing w:val="-1"/>
        </w:rPr>
        <w:t> </w:t>
      </w:r>
      <w:r>
        <w:rPr/>
        <w:t>región</w:t>
      </w:r>
      <w:r>
        <w:rPr>
          <w:spacing w:val="-1"/>
        </w:rPr>
        <w:t> </w:t>
      </w:r>
      <w:r>
        <w:rPr/>
        <w:t>generando</w:t>
      </w:r>
      <w:r>
        <w:rPr>
          <w:spacing w:val="1"/>
        </w:rPr>
        <w:t> </w:t>
      </w:r>
      <w:r>
        <w:rPr/>
        <w:t>aún</w:t>
      </w:r>
      <w:r>
        <w:rPr>
          <w:spacing w:val="-3"/>
        </w:rPr>
        <w:t> </w:t>
      </w:r>
      <w:r>
        <w:rPr/>
        <w:t>mayor</w:t>
      </w:r>
      <w:r>
        <w:rPr>
          <w:spacing w:val="-2"/>
        </w:rPr>
        <w:t> </w:t>
      </w:r>
      <w:r>
        <w:rPr/>
        <w:t>vulnerabilidad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sistema.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pict>
          <v:rect style="position:absolute;margin-left:563.880005pt;margin-top:14.039271pt;width:25.44pt;height:1.4399pt;mso-position-horizontal-relative:page;mso-position-vertical-relative:paragraph;z-index:-1542707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152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16320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1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2"/>
          <w:numId w:val="36"/>
        </w:numPr>
        <w:tabs>
          <w:tab w:pos="998" w:val="left" w:leader="none"/>
          <w:tab w:pos="999" w:val="left" w:leader="none"/>
        </w:tabs>
        <w:spacing w:line="240" w:lineRule="auto" w:before="52" w:after="0"/>
        <w:ind w:left="998" w:right="0" w:hanging="721"/>
        <w:jc w:val="left"/>
      </w:pPr>
      <w:bookmarkStart w:name="_bookmark182" w:id="297"/>
      <w:bookmarkEnd w:id="297"/>
      <w:r>
        <w:rPr>
          <w:b w:val="0"/>
        </w:rPr>
      </w:r>
      <w:bookmarkStart w:name="_bookmark182" w:id="298"/>
      <w:bookmarkEnd w:id="298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Cobertura:</w:t>
      </w:r>
      <w:r>
        <w:rPr>
          <w:spacing w:val="-4"/>
        </w:rPr>
        <w:t> </w:t>
      </w:r>
      <w:r>
        <w:rPr/>
        <w:t>Tasa</w:t>
      </w:r>
      <w:r>
        <w:rPr>
          <w:spacing w:val="-3"/>
        </w:rPr>
        <w:t> </w:t>
      </w:r>
      <w:r>
        <w:rPr/>
        <w:t>Neta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Cobertura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69"/>
        <w:jc w:val="both"/>
      </w:pP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cobertura</w:t>
      </w:r>
      <w:r>
        <w:rPr>
          <w:spacing w:val="-15"/>
        </w:rPr>
        <w:t> </w:t>
      </w:r>
      <w:r>
        <w:rPr>
          <w:spacing w:val="-1"/>
        </w:rPr>
        <w:t>educativa</w:t>
      </w:r>
      <w:r>
        <w:rPr>
          <w:spacing w:val="-14"/>
        </w:rPr>
        <w:t> </w:t>
      </w:r>
      <w:r>
        <w:rPr/>
        <w:t>medida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través</w:t>
      </w:r>
      <w:r>
        <w:rPr>
          <w:spacing w:val="-11"/>
        </w:rPr>
        <w:t> </w:t>
      </w:r>
      <w:r>
        <w:rPr/>
        <w:t>del</w:t>
      </w:r>
      <w:r>
        <w:rPr>
          <w:spacing w:val="-14"/>
        </w:rPr>
        <w:t> </w:t>
      </w:r>
      <w:r>
        <w:rPr/>
        <w:t>(TNE)</w:t>
      </w:r>
      <w:r>
        <w:rPr>
          <w:spacing w:val="-13"/>
        </w:rPr>
        <w:t> </w:t>
      </w:r>
      <w:r>
        <w:rPr/>
        <w:t>para</w:t>
      </w:r>
      <w:r>
        <w:rPr>
          <w:spacing w:val="-15"/>
        </w:rPr>
        <w:t> </w:t>
      </w:r>
      <w:r>
        <w:rPr/>
        <w:t>Izabal</w:t>
      </w:r>
      <w:r>
        <w:rPr>
          <w:spacing w:val="-12"/>
        </w:rPr>
        <w:t> </w:t>
      </w:r>
      <w:r>
        <w:rPr/>
        <w:t>durante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período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/>
        <w:t>2017</w:t>
      </w:r>
      <w:r>
        <w:rPr>
          <w:spacing w:val="-10"/>
        </w:rPr>
        <w:t> </w:t>
      </w:r>
      <w:r>
        <w:rPr/>
        <w:t>al</w:t>
      </w:r>
      <w:r>
        <w:rPr>
          <w:spacing w:val="-15"/>
        </w:rPr>
        <w:t> </w:t>
      </w:r>
      <w:r>
        <w:rPr/>
        <w:t>2020,</w:t>
      </w:r>
      <w:r>
        <w:rPr>
          <w:spacing w:val="-12"/>
        </w:rPr>
        <w:t> </w:t>
      </w:r>
      <w:r>
        <w:rPr/>
        <w:t>evidencia</w:t>
      </w:r>
      <w:r>
        <w:rPr>
          <w:spacing w:val="-47"/>
        </w:rPr>
        <w:t> </w:t>
      </w:r>
      <w:r>
        <w:rPr/>
        <w:t>un aumento promedio considerable en la cobertura de nivel primaria (96%), en comparación con la TNE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(2017-2019)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posee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77.50%.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decir,</w:t>
      </w:r>
      <w:r>
        <w:rPr>
          <w:spacing w:val="1"/>
        </w:rPr>
        <w:t> </w:t>
      </w:r>
      <w:r>
        <w:rPr/>
        <w:t>posee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brecha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crecimiento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19%,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TN</w:t>
      </w:r>
      <w:r>
        <w:rPr>
          <w:spacing w:val="1"/>
        </w:rPr>
        <w:t> </w:t>
      </w:r>
      <w:r>
        <w:rPr/>
        <w:t>nacional.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sucede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departamentos, presenta cifras cercanas al promedio de participación de los jóvenes en el ciclo básico y</w:t>
      </w:r>
      <w:r>
        <w:rPr>
          <w:spacing w:val="1"/>
        </w:rPr>
        <w:t> </w:t>
      </w:r>
      <w:r>
        <w:rPr/>
        <w:t>diversificado.</w:t>
      </w:r>
      <w:r>
        <w:rPr>
          <w:spacing w:val="-2"/>
        </w:rPr>
        <w:t> </w:t>
      </w:r>
      <w:r>
        <w:rPr/>
        <w:t>En la</w:t>
      </w:r>
      <w:r>
        <w:rPr>
          <w:spacing w:val="-4"/>
        </w:rPr>
        <w:t> </w:t>
      </w:r>
      <w:r>
        <w:rPr/>
        <w:t>siguiente</w:t>
      </w:r>
      <w:r>
        <w:rPr>
          <w:spacing w:val="1"/>
        </w:rPr>
        <w:t> </w:t>
      </w:r>
      <w:r>
        <w:rPr/>
        <w:t>tabla, se</w:t>
      </w:r>
      <w:r>
        <w:rPr>
          <w:spacing w:val="-3"/>
        </w:rPr>
        <w:t> </w:t>
      </w:r>
      <w:r>
        <w:rPr/>
        <w:t>observan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cifras</w:t>
      </w:r>
      <w:r>
        <w:rPr>
          <w:spacing w:val="-1"/>
        </w:rPr>
        <w:t> </w:t>
      </w:r>
      <w:r>
        <w:rPr/>
        <w:t>del TNE</w:t>
      </w:r>
      <w:r>
        <w:rPr>
          <w:spacing w:val="-4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período</w:t>
      </w:r>
      <w:r>
        <w:rPr>
          <w:spacing w:val="-2"/>
        </w:rPr>
        <w:t> </w:t>
      </w:r>
      <w:r>
        <w:rPr/>
        <w:t>2017-2020.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1"/>
        <w:ind w:left="278" w:right="1075"/>
        <w:jc w:val="both"/>
      </w:pPr>
      <w:r>
        <w:rPr/>
        <w:t>Tabla</w:t>
      </w:r>
      <w:r>
        <w:rPr>
          <w:spacing w:val="1"/>
        </w:rPr>
        <w:t> </w:t>
      </w:r>
      <w:r>
        <w:rPr/>
        <w:t>Nº.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Cobertura: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Bruta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Académico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47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de Izabal</w:t>
      </w:r>
    </w:p>
    <w:p>
      <w:pPr>
        <w:pStyle w:val="BodyText"/>
        <w:ind w:left="277"/>
        <w:rPr>
          <w:sz w:val="20"/>
        </w:rPr>
      </w:pPr>
      <w:r>
        <w:rPr>
          <w:sz w:val="20"/>
        </w:rPr>
        <w:pict>
          <v:group style="width:472.2pt;height:162.8pt;mso-position-horizontal-relative:char;mso-position-vertical-relative:line" coordorigin="0,0" coordsize="9444,3256">
            <v:shape style="position:absolute;left:18;top:10;width:9410;height:1303" coordorigin="18,11" coordsize="9410,1303" path="m9428,11l18,11,18,651,18,662,18,976,18,987,18,1313,1211,1313,1211,987,1211,976,1211,662,7537,662,9428,11xe" filled="true" fillcolor="#f1f1f1" stroked="false">
              <v:path arrowok="t"/>
              <v:fill type="solid"/>
            </v:shape>
            <v:shape style="position:absolute;left:1193;top:976;width:5433;height:338" coordorigin="1193,976" coordsize="5433,338" path="m6626,976l1193,976,1193,1313,5646,1313,6626,976xe" filled="true" fillcolor="#daedf3" stroked="false">
              <v:path arrowok="t"/>
              <v:fill type="solid"/>
            </v:shape>
            <v:shape style="position:absolute;left:18;top:1301;width:1193;height:663" coordorigin="18,1301" coordsize="1193,663" path="m1211,1301l18,1301,18,1627,18,1639,18,1964,1211,1964,1211,1639,1211,1627,1211,1301xe" filled="true" fillcolor="#f1f1f1" stroked="false">
              <v:path arrowok="t"/>
              <v:fill type="solid"/>
            </v:shape>
            <v:shape style="position:absolute;left:1193;top:1627;width:3542;height:337" coordorigin="1193,1627" coordsize="3542,337" path="m4735,1627l1193,1627,1193,1964,3758,1964,4735,1627xe" filled="true" fillcolor="#daedf3" stroked="false">
              <v:path arrowok="t"/>
              <v:fill type="solid"/>
            </v:shape>
            <v:shape style="position:absolute;left:18;top:1952;width:1193;height:663" coordorigin="18,1953" coordsize="1193,663" path="m1211,1953l18,1953,18,2278,18,2290,18,2615,1211,2615,1211,2290,1211,2278,1211,1953xe" filled="true" fillcolor="#f1f1f1" stroked="false">
              <v:path arrowok="t"/>
              <v:fill type="solid"/>
            </v:shape>
            <v:shape style="position:absolute;left:1193;top:2277;width:1654;height:338" coordorigin="1193,2278" coordsize="1654,338" path="m2846,2278l1193,2278,1193,2615,1867,2615,2846,2278xe" filled="true" fillcolor="#daedf3" stroked="false">
              <v:path arrowok="t"/>
              <v:fill type="solid"/>
            </v:shape>
            <v:shape style="position:absolute;left:18;top:2603;width:1193;height:648" coordorigin="18,2604" coordsize="1193,648" path="m1211,2604l18,2604,18,2929,18,2940,18,3252,923,2940,1211,2841,1211,2604xe" filled="true" fillcolor="#f1f1f1" stroked="false">
              <v:path arrowok="t"/>
              <v:fill type="solid"/>
            </v:shape>
            <v:shape style="position:absolute;left:8;top:3;width:9435;height:3253" coordorigin="9,3" coordsize="9435,3253" path="m9,3l9,3255m1203,337l1203,2844m4233,337l4233,1800m5628,337l5628,1320m6822,337l6822,909m8015,337l8015,498m18,6l9443,6m18,331l8499,331m18,656l7555,656m1211,982l6608,982m18,1307l5664,1307m1211,1633l4720,1633m18,1959l3773,1959m1211,2284l2829,2284m18,2609l1885,2609e" filled="false" stroked="true" strokeweight=".724367pt" strokecolor="#000000">
              <v:path arrowok="t"/>
              <v:stroke dashstyle="solid"/>
            </v:shape>
            <v:shape style="position:absolute;left:3213;top:80;width:3067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55"/>
                        <w:sz w:val="16"/>
                      </w:rPr>
                      <w:t>Depa</w:t>
                    </w:r>
                    <w:r>
                      <w:rPr>
                        <w:rFonts w:ascii="Arial"/>
                        <w:b/>
                        <w:spacing w:val="-34"/>
                        <w:w w:val="15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155"/>
                        <w:sz w:val="16"/>
                      </w:rPr>
                      <w:t>rta</w:t>
                    </w:r>
                    <w:r>
                      <w:rPr>
                        <w:rFonts w:ascii="Arial"/>
                        <w:b/>
                        <w:spacing w:val="-32"/>
                        <w:w w:val="15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155"/>
                        <w:sz w:val="16"/>
                      </w:rPr>
                      <w:t>mento</w:t>
                    </w:r>
                    <w:r>
                      <w:rPr>
                        <w:rFonts w:ascii="Arial"/>
                        <w:b/>
                        <w:spacing w:val="41"/>
                        <w:w w:val="15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155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spacing w:val="59"/>
                        <w:w w:val="15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155"/>
                        <w:sz w:val="16"/>
                      </w:rPr>
                      <w:t>Iza</w:t>
                    </w:r>
                    <w:r>
                      <w:rPr>
                        <w:rFonts w:ascii="Arial"/>
                        <w:b/>
                        <w:spacing w:val="-31"/>
                        <w:w w:val="15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155"/>
                        <w:sz w:val="16"/>
                      </w:rPr>
                      <w:t>ba</w:t>
                    </w:r>
                    <w:r>
                      <w:rPr>
                        <w:rFonts w:ascii="Arial"/>
                        <w:b/>
                        <w:spacing w:val="-32"/>
                        <w:w w:val="15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155"/>
                        <w:sz w:val="16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368;top:411;width:503;height:158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Verdana" w:hAnsi="Verdana"/>
                        <w:sz w:val="13"/>
                      </w:rPr>
                    </w:pPr>
                    <w:r>
                      <w:rPr>
                        <w:rFonts w:ascii="Verdana" w:hAnsi="Verdana"/>
                        <w:w w:val="150"/>
                        <w:sz w:val="13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1433;top:424;width:2535;height:144" type="#_x0000_t202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55"/>
                        <w:sz w:val="13"/>
                      </w:rPr>
                      <w:t>Índica</w:t>
                    </w:r>
                    <w:r>
                      <w:rPr>
                        <w:rFonts w:ascii="Arial" w:hAnsi="Arial"/>
                        <w:b/>
                        <w:spacing w:val="-30"/>
                        <w:w w:val="15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55"/>
                        <w:sz w:val="13"/>
                      </w:rPr>
                      <w:t>dores</w:t>
                    </w:r>
                    <w:r>
                      <w:rPr>
                        <w:rFonts w:ascii="Arial" w:hAnsi="Arial"/>
                        <w:b/>
                        <w:spacing w:val="-15"/>
                        <w:w w:val="15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55"/>
                        <w:sz w:val="13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39"/>
                        <w:w w:val="15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55"/>
                        <w:sz w:val="13"/>
                      </w:rPr>
                      <w:t>Cobertura</w:t>
                    </w:r>
                  </w:p>
                </w:txbxContent>
              </v:textbox>
              <w10:wrap type="none"/>
            </v:shape>
            <v:shape style="position:absolute;left:4390;top:424;width:2226;height:144" type="#_x0000_t202" filled="false" stroked="false">
              <v:textbox inset="0,0,0,0">
                <w:txbxContent>
                  <w:p>
                    <w:pPr>
                      <w:tabs>
                        <w:tab w:pos="1431" w:val="left" w:leader="none"/>
                      </w:tabs>
                      <w:spacing w:line="14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6"/>
                        <w:w w:val="155"/>
                        <w:sz w:val="13"/>
                      </w:rPr>
                      <w:t>Pre</w:t>
                    </w:r>
                    <w:r>
                      <w:rPr>
                        <w:rFonts w:ascii="Arial"/>
                        <w:b/>
                        <w:spacing w:val="-40"/>
                        <w:w w:val="155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55"/>
                        <w:sz w:val="13"/>
                      </w:rPr>
                      <w:t>prima</w:t>
                    </w:r>
                    <w:r>
                      <w:rPr>
                        <w:rFonts w:ascii="Arial"/>
                        <w:b/>
                        <w:spacing w:val="-36"/>
                        <w:w w:val="155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spacing w:val="-5"/>
                        <w:w w:val="155"/>
                        <w:sz w:val="13"/>
                      </w:rPr>
                      <w:t>ria</w:t>
                      <w:tab/>
                    </w:r>
                    <w:r>
                      <w:rPr>
                        <w:rFonts w:ascii="Arial"/>
                        <w:b/>
                        <w:spacing w:val="-8"/>
                        <w:w w:val="155"/>
                        <w:sz w:val="13"/>
                      </w:rPr>
                      <w:t>Prima</w:t>
                    </w:r>
                    <w:r>
                      <w:rPr>
                        <w:rFonts w:ascii="Arial"/>
                        <w:b/>
                        <w:spacing w:val="-35"/>
                        <w:w w:val="155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spacing w:val="-7"/>
                        <w:w w:val="155"/>
                        <w:sz w:val="13"/>
                      </w:rPr>
                      <w:t>ria</w:t>
                    </w:r>
                  </w:p>
                </w:txbxContent>
              </v:textbox>
              <w10:wrap type="none"/>
            </v:shape>
            <v:shape style="position:absolute;left:7089;top:424;width:660;height:144" type="#_x0000_t202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spacing w:val="-11"/>
                        <w:w w:val="155"/>
                        <w:sz w:val="13"/>
                      </w:rPr>
                      <w:t>Bá</w:t>
                    </w:r>
                    <w:r>
                      <w:rPr>
                        <w:rFonts w:ascii="Arial" w:hAnsi="Arial"/>
                        <w:b/>
                        <w:spacing w:val="-36"/>
                        <w:w w:val="15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0"/>
                        <w:w w:val="155"/>
                        <w:sz w:val="13"/>
                      </w:rPr>
                      <w:t>sic</w:t>
                    </w:r>
                    <w:r>
                      <w:rPr>
                        <w:rFonts w:ascii="Arial" w:hAnsi="Arial"/>
                        <w:b/>
                        <w:spacing w:val="-39"/>
                        <w:w w:val="15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0"/>
                        <w:w w:val="155"/>
                        <w:sz w:val="13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1745;top:758;width:1944;height:11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color w:val="1D7CB3"/>
                        <w:spacing w:val="-2"/>
                        <w:w w:val="160"/>
                        <w:sz w:val="10"/>
                      </w:rPr>
                      <w:t>Ta</w:t>
                    </w:r>
                    <w:r>
                      <w:rPr>
                        <w:rFonts w:ascii="Arial"/>
                        <w:b/>
                        <w:color w:val="1D7CB3"/>
                        <w:spacing w:val="-28"/>
                        <w:w w:val="160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2"/>
                        <w:w w:val="160"/>
                        <w:sz w:val="10"/>
                      </w:rPr>
                      <w:t>sa</w:t>
                    </w:r>
                    <w:r>
                      <w:rPr>
                        <w:rFonts w:ascii="Arial"/>
                        <w:b/>
                        <w:color w:val="1D7CB3"/>
                        <w:spacing w:val="20"/>
                        <w:w w:val="160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2"/>
                        <w:w w:val="160"/>
                        <w:sz w:val="10"/>
                      </w:rPr>
                      <w:t>Bruta</w:t>
                    </w:r>
                    <w:r>
                      <w:rPr>
                        <w:rFonts w:ascii="Arial"/>
                        <w:b/>
                        <w:color w:val="1D7CB3"/>
                        <w:spacing w:val="21"/>
                        <w:w w:val="160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1"/>
                        <w:w w:val="160"/>
                        <w:sz w:val="10"/>
                      </w:rPr>
                      <w:t>de</w:t>
                    </w:r>
                    <w:r>
                      <w:rPr>
                        <w:rFonts w:ascii="Arial"/>
                        <w:b/>
                        <w:color w:val="1D7CB3"/>
                        <w:spacing w:val="16"/>
                        <w:w w:val="160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1"/>
                        <w:w w:val="160"/>
                        <w:sz w:val="10"/>
                      </w:rPr>
                      <w:t>Cobertura</w:t>
                    </w:r>
                  </w:p>
                </w:txbxContent>
              </v:textbox>
              <w10:wrap type="none"/>
            </v:shape>
            <v:shape style="position:absolute;left:4645;top:746;width:584;height:11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color w:val="333333"/>
                        <w:w w:val="165"/>
                        <w:sz w:val="10"/>
                      </w:rPr>
                      <w:t>86,84%</w:t>
                    </w:r>
                  </w:p>
                </w:txbxContent>
              </v:textbox>
              <w10:wrap type="none"/>
            </v:shape>
            <v:shape style="position:absolute;left:5895;top:746;width:669;height:11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color w:val="333333"/>
                        <w:w w:val="165"/>
                        <w:sz w:val="10"/>
                      </w:rPr>
                      <w:t>115,39%</w:t>
                    </w:r>
                  </w:p>
                </w:txbxContent>
              </v:textbox>
              <w10:wrap type="none"/>
            </v:shape>
            <v:shape style="position:absolute;left:386;top:899;width:467;height:158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35"/>
                        <w:sz w:val="13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1745;top:1084;width:1925;height:11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color w:val="1D7CB3"/>
                        <w:spacing w:val="-2"/>
                        <w:w w:val="165"/>
                        <w:sz w:val="10"/>
                      </w:rPr>
                      <w:t>Ta</w:t>
                    </w:r>
                    <w:r>
                      <w:rPr>
                        <w:rFonts w:ascii="Arial"/>
                        <w:b/>
                        <w:color w:val="1D7CB3"/>
                        <w:spacing w:val="-29"/>
                        <w:w w:val="16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2"/>
                        <w:w w:val="165"/>
                        <w:sz w:val="10"/>
                      </w:rPr>
                      <w:t>sa</w:t>
                    </w:r>
                    <w:r>
                      <w:rPr>
                        <w:rFonts w:ascii="Arial"/>
                        <w:b/>
                        <w:color w:val="1D7CB3"/>
                        <w:spacing w:val="17"/>
                        <w:w w:val="16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1"/>
                        <w:w w:val="165"/>
                        <w:sz w:val="10"/>
                      </w:rPr>
                      <w:t>Neta</w:t>
                    </w:r>
                    <w:r>
                      <w:rPr>
                        <w:rFonts w:ascii="Arial"/>
                        <w:b/>
                        <w:color w:val="1D7CB3"/>
                        <w:spacing w:val="17"/>
                        <w:w w:val="16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1"/>
                        <w:w w:val="165"/>
                        <w:sz w:val="10"/>
                      </w:rPr>
                      <w:t>de</w:t>
                    </w:r>
                    <w:r>
                      <w:rPr>
                        <w:rFonts w:ascii="Arial"/>
                        <w:b/>
                        <w:color w:val="1D7CB3"/>
                        <w:spacing w:val="13"/>
                        <w:w w:val="16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1"/>
                        <w:w w:val="165"/>
                        <w:sz w:val="10"/>
                      </w:rPr>
                      <w:t>Cobertura</w:t>
                    </w:r>
                  </w:p>
                </w:txbxContent>
              </v:textbox>
              <w10:wrap type="none"/>
            </v:shape>
            <v:shape style="position:absolute;left:4645;top:1072;width:584;height:11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color w:val="333333"/>
                        <w:w w:val="165"/>
                        <w:sz w:val="10"/>
                      </w:rPr>
                      <w:t>63,27%</w:t>
                    </w:r>
                  </w:p>
                </w:txbxContent>
              </v:textbox>
              <w10:wrap type="none"/>
            </v:shape>
            <v:shape style="position:absolute;left:5950;top:1072;width:252;height:11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color w:val="333333"/>
                        <w:w w:val="165"/>
                        <w:sz w:val="10"/>
                      </w:rPr>
                      <w:t>94,</w:t>
                    </w:r>
                  </w:p>
                </w:txbxContent>
              </v:textbox>
              <w10:wrap type="none"/>
            </v:shape>
            <v:shape style="position:absolute;left:1745;top:1409;width:1944;height:11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color w:val="1D7CB3"/>
                        <w:spacing w:val="-2"/>
                        <w:w w:val="160"/>
                        <w:sz w:val="10"/>
                      </w:rPr>
                      <w:t>Ta</w:t>
                    </w:r>
                    <w:r>
                      <w:rPr>
                        <w:rFonts w:ascii="Arial"/>
                        <w:b/>
                        <w:color w:val="1D7CB3"/>
                        <w:spacing w:val="-28"/>
                        <w:w w:val="160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2"/>
                        <w:w w:val="160"/>
                        <w:sz w:val="10"/>
                      </w:rPr>
                      <w:t>sa</w:t>
                    </w:r>
                    <w:r>
                      <w:rPr>
                        <w:rFonts w:ascii="Arial"/>
                        <w:b/>
                        <w:color w:val="1D7CB3"/>
                        <w:spacing w:val="20"/>
                        <w:w w:val="160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2"/>
                        <w:w w:val="160"/>
                        <w:sz w:val="10"/>
                      </w:rPr>
                      <w:t>Bruta</w:t>
                    </w:r>
                    <w:r>
                      <w:rPr>
                        <w:rFonts w:ascii="Arial"/>
                        <w:b/>
                        <w:color w:val="1D7CB3"/>
                        <w:spacing w:val="21"/>
                        <w:w w:val="160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1"/>
                        <w:w w:val="160"/>
                        <w:sz w:val="10"/>
                      </w:rPr>
                      <w:t>de</w:t>
                    </w:r>
                    <w:r>
                      <w:rPr>
                        <w:rFonts w:ascii="Arial"/>
                        <w:b/>
                        <w:color w:val="1D7CB3"/>
                        <w:spacing w:val="16"/>
                        <w:w w:val="160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1"/>
                        <w:w w:val="160"/>
                        <w:sz w:val="10"/>
                      </w:rPr>
                      <w:t>Cobertura</w:t>
                    </w:r>
                  </w:p>
                </w:txbxContent>
              </v:textbox>
              <w10:wrap type="none"/>
            </v:shape>
            <v:shape style="position:absolute;left:4645;top:1398;width:584;height:11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color w:val="333333"/>
                        <w:w w:val="165"/>
                        <w:sz w:val="10"/>
                      </w:rPr>
                      <w:t>87,27%</w:t>
                    </w:r>
                  </w:p>
                </w:txbxContent>
              </v:textbox>
              <w10:wrap type="none"/>
            </v:shape>
            <v:shape style="position:absolute;left:386;top:1550;width:467;height:158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35"/>
                        <w:sz w:val="13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1745;top:1734;width:1925;height:445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color w:val="1D7CB3"/>
                        <w:spacing w:val="-2"/>
                        <w:w w:val="165"/>
                        <w:sz w:val="10"/>
                      </w:rPr>
                      <w:t>Ta</w:t>
                    </w:r>
                    <w:r>
                      <w:rPr>
                        <w:rFonts w:ascii="Arial"/>
                        <w:b/>
                        <w:color w:val="1D7CB3"/>
                        <w:spacing w:val="-29"/>
                        <w:w w:val="16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2"/>
                        <w:w w:val="165"/>
                        <w:sz w:val="10"/>
                      </w:rPr>
                      <w:t>sa</w:t>
                    </w:r>
                    <w:r>
                      <w:rPr>
                        <w:rFonts w:ascii="Arial"/>
                        <w:b/>
                        <w:color w:val="1D7CB3"/>
                        <w:spacing w:val="17"/>
                        <w:w w:val="16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1"/>
                        <w:w w:val="165"/>
                        <w:sz w:val="10"/>
                      </w:rPr>
                      <w:t>Neta</w:t>
                    </w:r>
                    <w:r>
                      <w:rPr>
                        <w:rFonts w:ascii="Arial"/>
                        <w:b/>
                        <w:color w:val="1D7CB3"/>
                        <w:spacing w:val="17"/>
                        <w:w w:val="16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1"/>
                        <w:w w:val="165"/>
                        <w:sz w:val="10"/>
                      </w:rPr>
                      <w:t>de</w:t>
                    </w:r>
                    <w:r>
                      <w:rPr>
                        <w:rFonts w:ascii="Arial"/>
                        <w:b/>
                        <w:color w:val="1D7CB3"/>
                        <w:spacing w:val="13"/>
                        <w:w w:val="16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1"/>
                        <w:w w:val="165"/>
                        <w:sz w:val="10"/>
                      </w:rPr>
                      <w:t>Cobertura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2"/>
                      </w:rPr>
                    </w:pPr>
                  </w:p>
                  <w:p>
                    <w:pPr>
                      <w:spacing w:before="73"/>
                      <w:ind w:left="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color w:val="1D7CB3"/>
                        <w:spacing w:val="-4"/>
                        <w:w w:val="165"/>
                        <w:sz w:val="10"/>
                      </w:rPr>
                      <w:t>Ta</w:t>
                    </w:r>
                    <w:r>
                      <w:rPr>
                        <w:rFonts w:ascii="Arial"/>
                        <w:b/>
                        <w:color w:val="1D7CB3"/>
                        <w:spacing w:val="-29"/>
                        <w:w w:val="16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4"/>
                        <w:w w:val="165"/>
                        <w:sz w:val="10"/>
                      </w:rPr>
                      <w:t>sa</w:t>
                    </w:r>
                    <w:r>
                      <w:rPr>
                        <w:rFonts w:ascii="Arial"/>
                        <w:b/>
                        <w:color w:val="1D7CB3"/>
                        <w:spacing w:val="17"/>
                        <w:w w:val="16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4"/>
                        <w:w w:val="165"/>
                        <w:sz w:val="10"/>
                      </w:rPr>
                      <w:t>Bruta</w:t>
                    </w:r>
                    <w:r>
                      <w:rPr>
                        <w:rFonts w:ascii="Arial"/>
                        <w:b/>
                        <w:color w:val="1D7CB3"/>
                        <w:spacing w:val="18"/>
                        <w:w w:val="16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4"/>
                        <w:w w:val="165"/>
                        <w:sz w:val="10"/>
                      </w:rPr>
                      <w:t>de</w:t>
                    </w:r>
                    <w:r>
                      <w:rPr>
                        <w:rFonts w:ascii="Arial"/>
                        <w:b/>
                        <w:color w:val="1D7CB3"/>
                        <w:spacing w:val="13"/>
                        <w:w w:val="16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4"/>
                        <w:w w:val="165"/>
                        <w:sz w:val="10"/>
                      </w:rPr>
                      <w:t>Cobe</w:t>
                    </w:r>
                  </w:p>
                </w:txbxContent>
              </v:textbox>
              <w10:wrap type="none"/>
            </v:shape>
            <v:shape style="position:absolute;left:386;top:2202;width:467;height:158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35"/>
                        <w:sz w:val="13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1745;top:2386;width:645;height:11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color w:val="1D7CB3"/>
                        <w:spacing w:val="-8"/>
                        <w:w w:val="165"/>
                        <w:sz w:val="10"/>
                      </w:rPr>
                      <w:t>Ta</w:t>
                    </w:r>
                    <w:r>
                      <w:rPr>
                        <w:rFonts w:ascii="Arial"/>
                        <w:b/>
                        <w:color w:val="1D7CB3"/>
                        <w:spacing w:val="-30"/>
                        <w:w w:val="16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7"/>
                        <w:w w:val="165"/>
                        <w:sz w:val="10"/>
                      </w:rPr>
                      <w:t>sa</w:t>
                    </w:r>
                    <w:r>
                      <w:rPr>
                        <w:rFonts w:ascii="Arial"/>
                        <w:b/>
                        <w:color w:val="1D7CB3"/>
                        <w:spacing w:val="17"/>
                        <w:w w:val="16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7"/>
                        <w:w w:val="165"/>
                        <w:sz w:val="10"/>
                      </w:rPr>
                      <w:t>Ne</w:t>
                    </w:r>
                  </w:p>
                </w:txbxContent>
              </v:textbox>
              <w10:wrap type="none"/>
            </v:shape>
            <v:shape style="position:absolute;left:386;top:2852;width:467;height:158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35"/>
                        <w:sz w:val="13"/>
                      </w:rPr>
                      <w:t>2020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0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2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2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</w:t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ind w:left="278" w:right="1072"/>
        <w:jc w:val="both"/>
      </w:pPr>
      <w:r>
        <w:rPr/>
        <w:t>Con el propósito de analizar las particularidades educativas del Departamento en la tabla anterior se</w:t>
      </w:r>
      <w:r>
        <w:rPr>
          <w:spacing w:val="1"/>
        </w:rPr>
        <w:t> </w:t>
      </w:r>
      <w:r>
        <w:rPr/>
        <w:t>observan las ratios de los indicadores de cobertura neta y Bruta, para los niveles educativos en un plazo</w:t>
      </w:r>
      <w:r>
        <w:rPr>
          <w:spacing w:val="1"/>
        </w:rPr>
        <w:t> </w:t>
      </w:r>
      <w:r>
        <w:rPr/>
        <w:t>de 4 años.</w:t>
      </w:r>
    </w:p>
    <w:p>
      <w:pPr>
        <w:pStyle w:val="BodyText"/>
        <w:spacing w:before="1"/>
      </w:pPr>
    </w:p>
    <w:p>
      <w:pPr>
        <w:pStyle w:val="BodyText"/>
        <w:ind w:left="278" w:right="1073"/>
        <w:jc w:val="both"/>
      </w:pPr>
      <w:r>
        <w:rPr/>
        <w:t>Es evidente que la educación preprimaria reporta una alta cobertura durante el periodo 2017‐2020, con</w:t>
      </w:r>
      <w:r>
        <w:rPr>
          <w:spacing w:val="1"/>
        </w:rPr>
        <w:t> </w:t>
      </w:r>
      <w:r>
        <w:rPr/>
        <w:t>una</w:t>
      </w:r>
      <w:r>
        <w:rPr>
          <w:spacing w:val="-8"/>
        </w:rPr>
        <w:t> </w:t>
      </w:r>
      <w:r>
        <w:rPr/>
        <w:t>TNE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(63.27%),</w:t>
      </w:r>
      <w:r>
        <w:rPr>
          <w:spacing w:val="-6"/>
        </w:rPr>
        <w:t> </w:t>
      </w:r>
      <w:r>
        <w:rPr/>
        <w:t>(63.90%),</w:t>
      </w:r>
      <w:r>
        <w:rPr>
          <w:spacing w:val="-8"/>
        </w:rPr>
        <w:t> </w:t>
      </w:r>
      <w:r>
        <w:rPr/>
        <w:t>(65.32%)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(64.36%)</w:t>
      </w:r>
      <w:r>
        <w:rPr>
          <w:spacing w:val="-6"/>
        </w:rPr>
        <w:t> </w:t>
      </w:r>
      <w:r>
        <w:rPr/>
        <w:t>respectivamente</w:t>
      </w:r>
      <w:r>
        <w:rPr>
          <w:spacing w:val="-7"/>
        </w:rPr>
        <w:t> </w:t>
      </w:r>
      <w:r>
        <w:rPr/>
        <w:t>durante</w:t>
      </w:r>
      <w:r>
        <w:rPr>
          <w:spacing w:val="-6"/>
        </w:rPr>
        <w:t> </w:t>
      </w:r>
      <w:r>
        <w:rPr/>
        <w:t>los</w:t>
      </w:r>
      <w:r>
        <w:rPr>
          <w:spacing w:val="-10"/>
        </w:rPr>
        <w:t> </w:t>
      </w:r>
      <w:r>
        <w:rPr/>
        <w:t>años</w:t>
      </w:r>
      <w:r>
        <w:rPr>
          <w:spacing w:val="-7"/>
        </w:rPr>
        <w:t> </w:t>
      </w:r>
      <w:r>
        <w:rPr/>
        <w:t>indicados.</w:t>
      </w:r>
      <w:r>
        <w:rPr>
          <w:spacing w:val="-10"/>
        </w:rPr>
        <w:t> </w:t>
      </w:r>
      <w:r>
        <w:rPr/>
        <w:t>Por</w:t>
      </w:r>
      <w:r>
        <w:rPr>
          <w:spacing w:val="-7"/>
        </w:rPr>
        <w:t> </w:t>
      </w:r>
      <w:r>
        <w:rPr/>
        <w:t>esta</w:t>
      </w:r>
      <w:r>
        <w:rPr>
          <w:spacing w:val="-47"/>
        </w:rPr>
        <w:t> </w:t>
      </w:r>
      <w:r>
        <w:rPr/>
        <w:t>razón, más de la mitad de los niños alcanzan este nivel. Además, de evidenciar un 15% más con respecto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TNE</w:t>
      </w:r>
      <w:r>
        <w:rPr>
          <w:spacing w:val="-3"/>
        </w:rPr>
        <w:t> </w:t>
      </w:r>
      <w:r>
        <w:rPr/>
        <w:t>Nacional</w:t>
      </w:r>
      <w:r>
        <w:rPr>
          <w:spacing w:val="-3"/>
        </w:rPr>
        <w:t> </w:t>
      </w:r>
      <w:r>
        <w:rPr/>
        <w:t>(47%).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4"/>
        <w:jc w:val="both"/>
      </w:pPr>
      <w:r>
        <w:rPr/>
        <w:t>Las cifras aquí presentadas parecen confirmar que en el nivel primaria se registran mayores valores de</w:t>
      </w:r>
      <w:r>
        <w:rPr>
          <w:spacing w:val="1"/>
        </w:rPr>
        <w:t> </w:t>
      </w:r>
      <w:r>
        <w:rPr/>
        <w:t>cobertura, que van de (94.66%), (95.03%), (96.87%) y (97.60%) para cada año respectivamente. El valor</w:t>
      </w:r>
      <w:r>
        <w:rPr>
          <w:spacing w:val="1"/>
        </w:rPr>
        <w:t> </w:t>
      </w:r>
      <w:r>
        <w:rPr/>
        <w:t>promedio de la TNE de Izabal es de un (96.04%) durante el periodo fue mayor al TNE Nacional (77.5%) al</w:t>
      </w:r>
      <w:r>
        <w:rPr>
          <w:spacing w:val="1"/>
        </w:rPr>
        <w:t> </w:t>
      </w:r>
      <w:r>
        <w:rPr/>
        <w:t>último valor registrado en el 2019. En otras palabras, el 100% de los niños están siendo atendidos en</w:t>
      </w:r>
      <w:r>
        <w:rPr>
          <w:spacing w:val="1"/>
        </w:rPr>
        <w:t> </w:t>
      </w:r>
      <w:r>
        <w:rPr/>
        <w:t>primaria.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1"/>
        <w:ind w:left="278" w:right="1073"/>
        <w:jc w:val="both"/>
      </w:pPr>
      <w:r>
        <w:rPr/>
        <w:t>Por lo que se refiere a educación básica, los valores promedio para el período presentan un aumento</w:t>
      </w:r>
      <w:r>
        <w:rPr>
          <w:spacing w:val="1"/>
        </w:rPr>
        <w:t> </w:t>
      </w:r>
      <w:r>
        <w:rPr/>
        <w:t>considerable respecto con los datos nacionales (TNE:45.49%), debido a que reportan valores que van</w:t>
      </w:r>
      <w:r>
        <w:rPr>
          <w:spacing w:val="1"/>
        </w:rPr>
        <w:t> </w:t>
      </w:r>
      <w:r>
        <w:rPr/>
        <w:t>desde (43.58%), (44.71%), (44.66%) y (44.5%), respectivamente para el período analizado. Todo esto</w:t>
      </w:r>
      <w:r>
        <w:rPr>
          <w:spacing w:val="1"/>
        </w:rPr>
        <w:t> </w:t>
      </w:r>
      <w:r>
        <w:rPr/>
        <w:t>parece</w:t>
      </w:r>
      <w:r>
        <w:rPr>
          <w:spacing w:val="-1"/>
        </w:rPr>
        <w:t> </w:t>
      </w:r>
      <w:r>
        <w:rPr/>
        <w:t>confirmar que</w:t>
      </w:r>
      <w:r>
        <w:rPr>
          <w:spacing w:val="-3"/>
        </w:rPr>
        <w:t> </w:t>
      </w:r>
      <w:r>
        <w:rPr/>
        <w:t>menos 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mitad</w:t>
      </w:r>
      <w:r>
        <w:rPr>
          <w:spacing w:val="-3"/>
        </w:rPr>
        <w:t> </w:t>
      </w:r>
      <w:r>
        <w:rPr/>
        <w:t>44.36% de</w:t>
      </w:r>
      <w:r>
        <w:rPr>
          <w:spacing w:val="1"/>
        </w:rPr>
        <w:t> </w:t>
      </w:r>
      <w:r>
        <w:rPr/>
        <w:t>adolescentes</w:t>
      </w:r>
      <w:r>
        <w:rPr>
          <w:spacing w:val="-3"/>
        </w:rPr>
        <w:t> </w:t>
      </w:r>
      <w:r>
        <w:rPr/>
        <w:t>de Izabal asiste al ciclo básico.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pict>
          <v:rect style="position:absolute;margin-left:563.880005pt;margin-top:18.742743pt;width:25.44pt;height:1.4399pt;mso-position-horizontal-relative:page;mso-position-vertical-relative:paragraph;z-index:-1542502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153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1785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2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pStyle w:val="BodyText"/>
        <w:spacing w:before="56"/>
        <w:ind w:left="278" w:right="1071"/>
        <w:jc w:val="both"/>
      </w:pPr>
      <w:r>
        <w:rPr/>
        <w:t>En el nivel diversificado el Departamento reporta, porcentajes de TNE similares al nivel Nacional (24%),</w:t>
      </w:r>
      <w:r>
        <w:rPr>
          <w:spacing w:val="1"/>
        </w:rPr>
        <w:t> </w:t>
      </w:r>
      <w:r>
        <w:rPr/>
        <w:t>debido a que posee una tasa promedio del 22.25%. La razón de esta reducción de población estudiantil</w:t>
      </w:r>
      <w:r>
        <w:rPr>
          <w:spacing w:val="1"/>
        </w:rPr>
        <w:t> </w:t>
      </w:r>
      <w:r>
        <w:rPr/>
        <w:t>con</w:t>
      </w:r>
      <w:r>
        <w:rPr>
          <w:spacing w:val="-9"/>
        </w:rPr>
        <w:t> </w:t>
      </w:r>
      <w:r>
        <w:rPr/>
        <w:t>respecto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9"/>
        </w:rPr>
        <w:t> </w:t>
      </w:r>
      <w:r>
        <w:rPr/>
        <w:t>otros</w:t>
      </w:r>
      <w:r>
        <w:rPr>
          <w:spacing w:val="-8"/>
        </w:rPr>
        <w:t> </w:t>
      </w:r>
      <w:r>
        <w:rPr/>
        <w:t>niveles</w:t>
      </w:r>
      <w:r>
        <w:rPr>
          <w:spacing w:val="-10"/>
        </w:rPr>
        <w:t> </w:t>
      </w:r>
      <w:r>
        <w:rPr/>
        <w:t>se</w:t>
      </w:r>
      <w:r>
        <w:rPr>
          <w:spacing w:val="-7"/>
        </w:rPr>
        <w:t> </w:t>
      </w:r>
      <w:r>
        <w:rPr/>
        <w:t>debe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una</w:t>
      </w:r>
      <w:r>
        <w:rPr>
          <w:spacing w:val="-7"/>
        </w:rPr>
        <w:t> </w:t>
      </w:r>
      <w:r>
        <w:rPr/>
        <w:t>alta</w:t>
      </w:r>
      <w:r>
        <w:rPr>
          <w:spacing w:val="-8"/>
        </w:rPr>
        <w:t> </w:t>
      </w:r>
      <w:r>
        <w:rPr/>
        <w:t>deserción</w:t>
      </w:r>
      <w:r>
        <w:rPr>
          <w:spacing w:val="-11"/>
        </w:rPr>
        <w:t> </w:t>
      </w:r>
      <w:r>
        <w:rPr/>
        <w:t>escolar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adolescentes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vida</w:t>
      </w:r>
      <w:r>
        <w:rPr>
          <w:spacing w:val="-8"/>
        </w:rPr>
        <w:t> </w:t>
      </w:r>
      <w:r>
        <w:rPr/>
        <w:t>laboral</w:t>
      </w:r>
      <w:r>
        <w:rPr>
          <w:spacing w:val="-47"/>
        </w:rPr>
        <w:t> </w:t>
      </w:r>
      <w:r>
        <w:rPr/>
        <w:t>abandonando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educación.</w:t>
      </w:r>
      <w:r>
        <w:rPr>
          <w:spacing w:val="1"/>
        </w:rPr>
        <w:t> </w:t>
      </w:r>
      <w:r>
        <w:rPr/>
        <w:t>Cabe</w:t>
      </w:r>
      <w:r>
        <w:rPr>
          <w:spacing w:val="1"/>
        </w:rPr>
        <w:t> </w:t>
      </w:r>
      <w:r>
        <w:rPr/>
        <w:t>aclarar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motivos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retiro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reportados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departamento se comprenden desde los siguientes factores: 1. No le interesa. 2. Otros. 3. Retiro por</w:t>
      </w:r>
      <w:r>
        <w:rPr>
          <w:spacing w:val="1"/>
        </w:rPr>
        <w:t> </w:t>
      </w:r>
      <w:r>
        <w:rPr/>
        <w:t>Traslado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4.</w:t>
      </w:r>
      <w:r>
        <w:rPr>
          <w:spacing w:val="-1"/>
        </w:rPr>
        <w:t> </w:t>
      </w:r>
      <w:r>
        <w:rPr/>
        <w:t>Trabajo.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numPr>
          <w:ilvl w:val="2"/>
          <w:numId w:val="36"/>
        </w:numPr>
        <w:tabs>
          <w:tab w:pos="998" w:val="left" w:leader="none"/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183" w:id="299"/>
      <w:bookmarkEnd w:id="299"/>
      <w:r>
        <w:rPr>
          <w:b w:val="0"/>
        </w:rPr>
      </w:r>
      <w:bookmarkStart w:name="_bookmark183" w:id="300"/>
      <w:bookmarkEnd w:id="300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Cobertura:</w:t>
      </w:r>
      <w:r>
        <w:rPr>
          <w:spacing w:val="-3"/>
        </w:rPr>
        <w:t> </w:t>
      </w:r>
      <w:r>
        <w:rPr/>
        <w:t>Tasa</w:t>
      </w:r>
      <w:r>
        <w:rPr>
          <w:spacing w:val="-3"/>
        </w:rPr>
        <w:t> </w:t>
      </w:r>
      <w:r>
        <w:rPr/>
        <w:t>Bruta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Déficit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departamento,</w:t>
      </w:r>
      <w:r>
        <w:rPr>
          <w:spacing w:val="-1"/>
        </w:rPr>
        <w:t> </w:t>
      </w:r>
      <w:r>
        <w:rPr/>
        <w:t>sexo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etnia.</w:t>
      </w:r>
    </w:p>
    <w:p>
      <w:pPr>
        <w:pStyle w:val="BodyText"/>
        <w:spacing w:before="9"/>
        <w:rPr>
          <w:b/>
          <w:sz w:val="19"/>
        </w:rPr>
      </w:pPr>
    </w:p>
    <w:p>
      <w:pPr>
        <w:pStyle w:val="BodyText"/>
        <w:ind w:left="278" w:right="1061"/>
      </w:pPr>
      <w:r>
        <w:rPr/>
        <w:t>Gráfico</w:t>
      </w:r>
      <w:r>
        <w:rPr>
          <w:spacing w:val="11"/>
        </w:rPr>
        <w:t> </w:t>
      </w:r>
      <w:r>
        <w:rPr/>
        <w:t>Nº.</w:t>
      </w:r>
      <w:r>
        <w:rPr>
          <w:spacing w:val="12"/>
        </w:rPr>
        <w:t> </w:t>
      </w:r>
      <w:r>
        <w:rPr/>
        <w:t>Total</w:t>
      </w:r>
      <w:r>
        <w:rPr>
          <w:spacing w:val="13"/>
        </w:rPr>
        <w:t> </w:t>
      </w:r>
      <w:r>
        <w:rPr/>
        <w:t>de</w:t>
      </w:r>
      <w:r>
        <w:rPr>
          <w:spacing w:val="10"/>
        </w:rPr>
        <w:t> </w:t>
      </w:r>
      <w:r>
        <w:rPr/>
        <w:t>población</w:t>
      </w:r>
      <w:r>
        <w:rPr>
          <w:spacing w:val="10"/>
        </w:rPr>
        <w:t> </w:t>
      </w:r>
      <w:r>
        <w:rPr/>
        <w:t>estudiantil</w:t>
      </w:r>
      <w:r>
        <w:rPr>
          <w:spacing w:val="12"/>
        </w:rPr>
        <w:t> </w:t>
      </w:r>
      <w:r>
        <w:rPr/>
        <w:t>por</w:t>
      </w:r>
      <w:r>
        <w:rPr>
          <w:spacing w:val="13"/>
        </w:rPr>
        <w:t> </w:t>
      </w:r>
      <w:r>
        <w:rPr/>
        <w:t>niveles</w:t>
      </w:r>
      <w:r>
        <w:rPr>
          <w:spacing w:val="10"/>
        </w:rPr>
        <w:t> </w:t>
      </w:r>
      <w:r>
        <w:rPr/>
        <w:t>educativos,</w:t>
      </w:r>
      <w:r>
        <w:rPr>
          <w:spacing w:val="11"/>
        </w:rPr>
        <w:t> </w:t>
      </w:r>
      <w:r>
        <w:rPr/>
        <w:t>etnia</w:t>
      </w:r>
      <w:r>
        <w:rPr>
          <w:spacing w:val="10"/>
        </w:rPr>
        <w:t> </w:t>
      </w:r>
      <w:r>
        <w:rPr/>
        <w:t>y</w:t>
      </w:r>
      <w:r>
        <w:rPr>
          <w:spacing w:val="13"/>
        </w:rPr>
        <w:t> </w:t>
      </w:r>
      <w:r>
        <w:rPr/>
        <w:t>sexo</w:t>
      </w:r>
      <w:r>
        <w:rPr>
          <w:spacing w:val="14"/>
        </w:rPr>
        <w:t> </w:t>
      </w:r>
      <w:r>
        <w:rPr/>
        <w:t>para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Departamento</w:t>
      </w:r>
      <w:r>
        <w:rPr>
          <w:spacing w:val="13"/>
        </w:rPr>
        <w:t> </w:t>
      </w:r>
      <w:r>
        <w:rPr/>
        <w:t>de</w:t>
      </w:r>
      <w:r>
        <w:rPr>
          <w:spacing w:val="-47"/>
        </w:rPr>
        <w:t> </w:t>
      </w:r>
      <w:r>
        <w:rPr/>
        <w:t>Izabal</w:t>
      </w:r>
      <w:r>
        <w:rPr>
          <w:spacing w:val="-1"/>
        </w:rPr>
        <w:t> </w:t>
      </w:r>
      <w:r>
        <w:rPr/>
        <w:t>(2017-2021)</w:t>
      </w:r>
    </w:p>
    <w:p>
      <w:pPr>
        <w:pStyle w:val="BodyText"/>
      </w:pPr>
    </w:p>
    <w:p>
      <w:pPr>
        <w:pStyle w:val="BodyText"/>
        <w:ind w:left="278" w:right="1061"/>
      </w:pPr>
      <w:r>
        <w:rPr/>
        <w:t>Este</w:t>
      </w:r>
      <w:r>
        <w:rPr>
          <w:spacing w:val="19"/>
        </w:rPr>
        <w:t> </w:t>
      </w:r>
      <w:r>
        <w:rPr/>
        <w:t>gráfico</w:t>
      </w:r>
      <w:r>
        <w:rPr>
          <w:spacing w:val="17"/>
        </w:rPr>
        <w:t> </w:t>
      </w:r>
      <w:r>
        <w:rPr/>
        <w:t>muestra</w:t>
      </w:r>
      <w:r>
        <w:rPr>
          <w:spacing w:val="18"/>
        </w:rPr>
        <w:t> </w:t>
      </w:r>
      <w:r>
        <w:rPr/>
        <w:t>el</w:t>
      </w:r>
      <w:r>
        <w:rPr>
          <w:spacing w:val="16"/>
        </w:rPr>
        <w:t> </w:t>
      </w:r>
      <w:r>
        <w:rPr/>
        <w:t>total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22"/>
        </w:rPr>
        <w:t> </w:t>
      </w:r>
      <w:r>
        <w:rPr/>
        <w:t>población</w:t>
      </w:r>
      <w:r>
        <w:rPr>
          <w:spacing w:val="15"/>
        </w:rPr>
        <w:t> </w:t>
      </w:r>
      <w:r>
        <w:rPr/>
        <w:t>estudiantil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niveles</w:t>
      </w:r>
      <w:r>
        <w:rPr>
          <w:spacing w:val="17"/>
        </w:rPr>
        <w:t> </w:t>
      </w:r>
      <w:r>
        <w:rPr/>
        <w:t>educativos,</w:t>
      </w:r>
      <w:r>
        <w:rPr>
          <w:spacing w:val="16"/>
        </w:rPr>
        <w:t> </w:t>
      </w:r>
      <w:r>
        <w:rPr/>
        <w:t>etnia</w:t>
      </w:r>
      <w:r>
        <w:rPr>
          <w:spacing w:val="19"/>
        </w:rPr>
        <w:t> </w:t>
      </w:r>
      <w:r>
        <w:rPr/>
        <w:t>y</w:t>
      </w:r>
      <w:r>
        <w:rPr>
          <w:spacing w:val="17"/>
        </w:rPr>
        <w:t> </w:t>
      </w:r>
      <w:r>
        <w:rPr/>
        <w:t>sexo</w:t>
      </w:r>
      <w:r>
        <w:rPr>
          <w:spacing w:val="19"/>
        </w:rPr>
        <w:t> </w:t>
      </w:r>
      <w:r>
        <w:rPr/>
        <w:t>durante</w:t>
      </w:r>
      <w:r>
        <w:rPr>
          <w:spacing w:val="19"/>
        </w:rPr>
        <w:t> </w:t>
      </w:r>
      <w:r>
        <w:rPr/>
        <w:t>el</w:t>
      </w:r>
      <w:r>
        <w:rPr>
          <w:spacing w:val="-47"/>
        </w:rPr>
        <w:t> </w:t>
      </w:r>
      <w:r>
        <w:rPr/>
        <w:t>período</w:t>
      </w:r>
      <w:r>
        <w:rPr>
          <w:spacing w:val="21"/>
        </w:rPr>
        <w:t> </w:t>
      </w:r>
      <w:r>
        <w:rPr/>
        <w:t>2017-2021,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Departamento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Izabal.</w:t>
      </w:r>
      <w:r>
        <w:rPr>
          <w:spacing w:val="22"/>
        </w:rPr>
        <w:t> </w:t>
      </w:r>
      <w:r>
        <w:rPr/>
        <w:t>Según</w:t>
      </w:r>
      <w:r>
        <w:rPr>
          <w:spacing w:val="21"/>
        </w:rPr>
        <w:t> </w:t>
      </w:r>
      <w:r>
        <w:rPr/>
        <w:t>DIPLAN,</w:t>
      </w:r>
      <w:r>
        <w:rPr>
          <w:spacing w:val="22"/>
        </w:rPr>
        <w:t> </w:t>
      </w:r>
      <w:r>
        <w:rPr/>
        <w:t>(2021),</w:t>
      </w:r>
      <w:r>
        <w:rPr>
          <w:spacing w:val="23"/>
        </w:rPr>
        <w:t> </w:t>
      </w:r>
      <w:r>
        <w:rPr/>
        <w:t>de</w:t>
      </w:r>
      <w:r>
        <w:rPr>
          <w:spacing w:val="20"/>
        </w:rPr>
        <w:t> </w:t>
      </w:r>
      <w:r>
        <w:rPr/>
        <w:t>las</w:t>
      </w:r>
      <w:r>
        <w:rPr>
          <w:spacing w:val="23"/>
        </w:rPr>
        <w:t> </w:t>
      </w:r>
      <w:r>
        <w:rPr/>
        <w:t>cifras</w:t>
      </w:r>
      <w:r>
        <w:rPr>
          <w:spacing w:val="22"/>
        </w:rPr>
        <w:t> </w:t>
      </w:r>
      <w:r>
        <w:rPr/>
        <w:t>anteriores,</w:t>
      </w:r>
      <w:r>
        <w:rPr>
          <w:spacing w:val="23"/>
        </w:rPr>
        <w:t> </w:t>
      </w:r>
      <w:r>
        <w:rPr/>
        <w:t>la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32"/>
        </w:rPr>
      </w:pPr>
    </w:p>
    <w:p>
      <w:pPr>
        <w:pStyle w:val="BodyText"/>
        <w:ind w:left="278"/>
      </w:pPr>
      <w:r>
        <w:rPr/>
        <w:t>proporción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atención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población</w:t>
      </w:r>
      <w:r>
        <w:rPr>
          <w:spacing w:val="-2"/>
        </w:rPr>
        <w:t> </w:t>
      </w:r>
      <w:r>
        <w:rPr/>
        <w:t>estudiantil</w:t>
      </w:r>
      <w:r>
        <w:rPr>
          <w:spacing w:val="-4"/>
        </w:rPr>
        <w:t> </w:t>
      </w:r>
      <w:r>
        <w:rPr/>
        <w:t>fue como</w:t>
      </w:r>
      <w:r>
        <w:rPr>
          <w:spacing w:val="-2"/>
        </w:rPr>
        <w:t> </w:t>
      </w:r>
      <w:r>
        <w:rPr/>
        <w:t>sigue: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278" w:right="6486"/>
      </w:pPr>
      <w:r>
        <w:rPr/>
        <w:t>Ladinos: 36% de hombres y 35% de mujeres.</w:t>
      </w:r>
      <w:r>
        <w:rPr>
          <w:spacing w:val="-47"/>
        </w:rPr>
        <w:t> </w:t>
      </w:r>
      <w:r>
        <w:rPr/>
        <w:t>Mayas:</w:t>
      </w:r>
      <w:r>
        <w:rPr>
          <w:spacing w:val="-3"/>
        </w:rPr>
        <w:t> </w:t>
      </w:r>
      <w:r>
        <w:rPr/>
        <w:t>16%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hombres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14%</w:t>
      </w:r>
      <w:r>
        <w:rPr>
          <w:spacing w:val="-2"/>
        </w:rPr>
        <w:t> </w:t>
      </w:r>
      <w:r>
        <w:rPr/>
        <w:t>mujeres.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278" w:right="1069"/>
        <w:jc w:val="both"/>
      </w:pPr>
      <w:r>
        <w:rPr>
          <w:spacing w:val="-1"/>
        </w:rPr>
        <w:t>Al</w:t>
      </w:r>
      <w:r>
        <w:rPr>
          <w:spacing w:val="-10"/>
        </w:rPr>
        <w:t> </w:t>
      </w:r>
      <w:r>
        <w:rPr>
          <w:spacing w:val="-1"/>
        </w:rPr>
        <w:t>comparar</w:t>
      </w:r>
      <w:r>
        <w:rPr>
          <w:spacing w:val="-13"/>
        </w:rPr>
        <w:t> </w:t>
      </w:r>
      <w:r>
        <w:rPr>
          <w:spacing w:val="-1"/>
        </w:rPr>
        <w:t>estos</w:t>
      </w:r>
      <w:r>
        <w:rPr>
          <w:spacing w:val="-9"/>
        </w:rPr>
        <w:t> </w:t>
      </w:r>
      <w:r>
        <w:rPr>
          <w:spacing w:val="-1"/>
        </w:rPr>
        <w:t>resultados</w:t>
      </w:r>
      <w:r>
        <w:rPr>
          <w:spacing w:val="-11"/>
        </w:rPr>
        <w:t> </w:t>
      </w:r>
      <w:r>
        <w:rPr/>
        <w:t>con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información</w:t>
      </w:r>
      <w:r>
        <w:rPr>
          <w:spacing w:val="-10"/>
        </w:rPr>
        <w:t> </w:t>
      </w:r>
      <w:r>
        <w:rPr/>
        <w:t>del</w:t>
      </w:r>
      <w:r>
        <w:rPr>
          <w:spacing w:val="-8"/>
        </w:rPr>
        <w:t> </w:t>
      </w:r>
      <w:r>
        <w:rPr/>
        <w:t>INE,</w:t>
      </w:r>
      <w:r>
        <w:rPr>
          <w:spacing w:val="-9"/>
        </w:rPr>
        <w:t> </w:t>
      </w:r>
      <w:r>
        <w:rPr/>
        <w:t>(2018),</w:t>
      </w:r>
      <w:r>
        <w:rPr>
          <w:spacing w:val="-12"/>
        </w:rPr>
        <w:t> </w:t>
      </w:r>
      <w:r>
        <w:rPr/>
        <w:t>es</w:t>
      </w:r>
      <w:r>
        <w:rPr>
          <w:spacing w:val="-11"/>
        </w:rPr>
        <w:t> </w:t>
      </w:r>
      <w:r>
        <w:rPr/>
        <w:t>posible</w:t>
      </w:r>
      <w:r>
        <w:rPr>
          <w:spacing w:val="-11"/>
        </w:rPr>
        <w:t> </w:t>
      </w:r>
      <w:r>
        <w:rPr/>
        <w:t>evidenciar</w:t>
      </w:r>
      <w:r>
        <w:rPr>
          <w:spacing w:val="-7"/>
        </w:rPr>
        <w:t> </w:t>
      </w:r>
      <w:r>
        <w:rPr/>
        <w:t>que,</w:t>
      </w:r>
      <w:r>
        <w:rPr>
          <w:spacing w:val="-11"/>
        </w:rPr>
        <w:t> </w:t>
      </w:r>
      <w:r>
        <w:rPr/>
        <w:t>si</w:t>
      </w:r>
      <w:r>
        <w:rPr>
          <w:spacing w:val="-11"/>
        </w:rPr>
        <w:t> </w:t>
      </w:r>
      <w:r>
        <w:rPr/>
        <w:t>bien</w:t>
      </w:r>
      <w:r>
        <w:rPr>
          <w:spacing w:val="-12"/>
        </w:rPr>
        <w:t> </w:t>
      </w:r>
      <w:r>
        <w:rPr/>
        <w:t>es</w:t>
      </w:r>
      <w:r>
        <w:rPr>
          <w:spacing w:val="-11"/>
        </w:rPr>
        <w:t> </w:t>
      </w:r>
      <w:r>
        <w:rPr/>
        <w:t>cierto,</w:t>
      </w:r>
      <w:r>
        <w:rPr>
          <w:spacing w:val="-47"/>
        </w:rPr>
        <w:t> </w:t>
      </w:r>
      <w:r>
        <w:rPr/>
        <w:t>si hay representatividad de las etnias mayoritarias por Departamento (28% Maya y 70% Ladina), ésta no</w:t>
      </w:r>
      <w:r>
        <w:rPr>
          <w:spacing w:val="1"/>
        </w:rPr>
        <w:t> </w:t>
      </w:r>
      <w:r>
        <w:rPr/>
        <w:t>se presenta en la misma proporción. Es decir, un niño o adolescente ladino en Izabal no posee la misma</w:t>
      </w:r>
      <w:r>
        <w:rPr>
          <w:spacing w:val="1"/>
        </w:rPr>
        <w:t> </w:t>
      </w:r>
      <w:r>
        <w:rPr/>
        <w:t>oportunidad o por lo menos, la misma proporción de participación en el sistema nacional de educación.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otras</w:t>
      </w:r>
      <w:r>
        <w:rPr>
          <w:spacing w:val="1"/>
        </w:rPr>
        <w:t> </w:t>
      </w:r>
      <w:r>
        <w:rPr/>
        <w:t>palabras,</w:t>
      </w:r>
      <w:r>
        <w:rPr>
          <w:spacing w:val="-1"/>
        </w:rPr>
        <w:t> </w:t>
      </w:r>
      <w:r>
        <w:rPr/>
        <w:t>un</w:t>
      </w:r>
      <w:r>
        <w:rPr>
          <w:spacing w:val="-3"/>
        </w:rPr>
        <w:t> </w:t>
      </w:r>
      <w:r>
        <w:rPr/>
        <w:t>tercio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los niños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adolescentes</w:t>
      </w:r>
      <w:r>
        <w:rPr>
          <w:spacing w:val="-1"/>
        </w:rPr>
        <w:t> </w:t>
      </w:r>
      <w:r>
        <w:rPr/>
        <w:t>de ambas</w:t>
      </w:r>
      <w:r>
        <w:rPr>
          <w:spacing w:val="-2"/>
        </w:rPr>
        <w:t> </w:t>
      </w:r>
      <w:r>
        <w:rPr/>
        <w:t>etnias</w:t>
      </w:r>
      <w:r>
        <w:rPr>
          <w:spacing w:val="-1"/>
        </w:rPr>
        <w:t> </w:t>
      </w:r>
      <w:r>
        <w:rPr/>
        <w:t>puede</w:t>
      </w:r>
      <w:r>
        <w:rPr>
          <w:spacing w:val="-2"/>
        </w:rPr>
        <w:t> </w:t>
      </w:r>
      <w:r>
        <w:rPr/>
        <w:t>acceder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sistema.</w:t>
      </w:r>
    </w:p>
    <w:p>
      <w:pPr>
        <w:pStyle w:val="BodyText"/>
        <w:spacing w:before="2"/>
      </w:pPr>
    </w:p>
    <w:p>
      <w:pPr>
        <w:pStyle w:val="BodyText"/>
        <w:ind w:left="278" w:right="1068"/>
        <w:jc w:val="both"/>
      </w:pPr>
      <w:r>
        <w:rPr/>
        <w:t>Por otra parte, respecto del sexo se sigue presentando una brecha de atención en dónde la participación</w:t>
      </w:r>
      <w:r>
        <w:rPr>
          <w:spacing w:val="1"/>
        </w:rPr>
        <w:t> </w:t>
      </w:r>
      <w:r>
        <w:rPr/>
        <w:t>del</w:t>
      </w:r>
      <w:r>
        <w:rPr>
          <w:spacing w:val="-5"/>
        </w:rPr>
        <w:t> </w:t>
      </w:r>
      <w:r>
        <w:rPr/>
        <w:t>hombre</w:t>
      </w:r>
      <w:r>
        <w:rPr>
          <w:spacing w:val="-10"/>
        </w:rPr>
        <w:t> </w:t>
      </w:r>
      <w:r>
        <w:rPr/>
        <w:t>Maya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Ladino,</w:t>
      </w:r>
      <w:r>
        <w:rPr>
          <w:spacing w:val="-7"/>
        </w:rPr>
        <w:t> </w:t>
      </w:r>
      <w:r>
        <w:rPr/>
        <w:t>es</w:t>
      </w:r>
      <w:r>
        <w:rPr>
          <w:spacing w:val="-7"/>
        </w:rPr>
        <w:t> </w:t>
      </w:r>
      <w:r>
        <w:rPr/>
        <w:t>mayor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mujer</w:t>
      </w:r>
      <w:r>
        <w:rPr>
          <w:spacing w:val="-8"/>
        </w:rPr>
        <w:t> </w:t>
      </w:r>
      <w:r>
        <w:rPr/>
        <w:t>-para</w:t>
      </w:r>
      <w:r>
        <w:rPr>
          <w:spacing w:val="-9"/>
        </w:rPr>
        <w:t> </w:t>
      </w:r>
      <w:r>
        <w:rPr/>
        <w:t>ambas</w:t>
      </w:r>
      <w:r>
        <w:rPr>
          <w:spacing w:val="-9"/>
        </w:rPr>
        <w:t> </w:t>
      </w:r>
      <w:r>
        <w:rPr/>
        <w:t>etnias-;</w:t>
      </w:r>
      <w:r>
        <w:rPr>
          <w:spacing w:val="-7"/>
        </w:rPr>
        <w:t> </w:t>
      </w:r>
      <w:r>
        <w:rPr/>
        <w:t>sobre</w:t>
      </w:r>
      <w:r>
        <w:rPr>
          <w:spacing w:val="-10"/>
        </w:rPr>
        <w:t> </w:t>
      </w:r>
      <w:r>
        <w:rPr/>
        <w:t>todo</w:t>
      </w:r>
      <w:r>
        <w:rPr>
          <w:spacing w:val="-7"/>
        </w:rPr>
        <w:t> </w:t>
      </w:r>
      <w:r>
        <w:rPr/>
        <w:t>considerando</w:t>
      </w:r>
      <w:r>
        <w:rPr>
          <w:spacing w:val="-3"/>
        </w:rPr>
        <w:t> </w:t>
      </w:r>
      <w:r>
        <w:rPr/>
        <w:t>que</w:t>
      </w:r>
      <w:r>
        <w:rPr>
          <w:spacing w:val="-48"/>
        </w:rPr>
        <w:t> </w:t>
      </w:r>
      <w:r>
        <w:rPr/>
        <w:t>en</w:t>
      </w:r>
      <w:r>
        <w:rPr>
          <w:spacing w:val="-6"/>
        </w:rPr>
        <w:t> </w:t>
      </w:r>
      <w:r>
        <w:rPr/>
        <w:t>este</w:t>
      </w:r>
      <w:r>
        <w:rPr>
          <w:spacing w:val="-5"/>
        </w:rPr>
        <w:t> </w:t>
      </w:r>
      <w:r>
        <w:rPr/>
        <w:t>departamento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51%</w:t>
      </w:r>
      <w:r>
        <w:rPr>
          <w:spacing w:val="-6"/>
        </w:rPr>
        <w:t> </w:t>
      </w:r>
      <w:r>
        <w:rPr/>
        <w:t>es</w:t>
      </w:r>
      <w:r>
        <w:rPr>
          <w:spacing w:val="-7"/>
        </w:rPr>
        <w:t> </w:t>
      </w:r>
      <w:r>
        <w:rPr/>
        <w:t>mujer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49%</w:t>
      </w:r>
      <w:r>
        <w:rPr>
          <w:spacing w:val="-6"/>
        </w:rPr>
        <w:t> </w:t>
      </w:r>
      <w:r>
        <w:rPr/>
        <w:t>es</w:t>
      </w:r>
      <w:r>
        <w:rPr>
          <w:spacing w:val="-5"/>
        </w:rPr>
        <w:t> </w:t>
      </w:r>
      <w:r>
        <w:rPr/>
        <w:t>hombre.</w:t>
      </w:r>
      <w:r>
        <w:rPr>
          <w:spacing w:val="-6"/>
        </w:rPr>
        <w:t> </w:t>
      </w:r>
      <w:r>
        <w:rPr/>
        <w:t>Es</w:t>
      </w:r>
      <w:r>
        <w:rPr>
          <w:spacing w:val="-6"/>
        </w:rPr>
        <w:t> </w:t>
      </w:r>
      <w:r>
        <w:rPr/>
        <w:t>decir,</w:t>
      </w:r>
      <w:r>
        <w:rPr>
          <w:spacing w:val="-8"/>
        </w:rPr>
        <w:t> </w:t>
      </w:r>
      <w:r>
        <w:rPr/>
        <w:t>–ser</w:t>
      </w:r>
      <w:r>
        <w:rPr>
          <w:spacing w:val="-7"/>
        </w:rPr>
        <w:t> </w:t>
      </w:r>
      <w:r>
        <w:rPr/>
        <w:t>mujer-</w:t>
      </w:r>
      <w:r>
        <w:rPr>
          <w:spacing w:val="-8"/>
        </w:rPr>
        <w:t> </w:t>
      </w:r>
      <w:r>
        <w:rPr/>
        <w:t>es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factor</w:t>
      </w:r>
      <w:r>
        <w:rPr>
          <w:spacing w:val="-6"/>
        </w:rPr>
        <w:t> </w:t>
      </w:r>
      <w:r>
        <w:rPr/>
        <w:t>desfavorable</w:t>
      </w:r>
      <w:r>
        <w:rPr>
          <w:spacing w:val="-47"/>
        </w:rPr>
        <w:t> </w:t>
      </w:r>
      <w:r>
        <w:rPr/>
        <w:t>para</w:t>
      </w:r>
      <w:r>
        <w:rPr>
          <w:spacing w:val="-1"/>
        </w:rPr>
        <w:t> </w:t>
      </w:r>
      <w:r>
        <w:rPr/>
        <w:t>ingresar y</w:t>
      </w:r>
      <w:r>
        <w:rPr>
          <w:spacing w:val="-2"/>
        </w:rPr>
        <w:t> </w:t>
      </w:r>
      <w:r>
        <w:rPr/>
        <w:t>permanecer 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sistema.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pict>
          <v:rect style="position:absolute;margin-left:563.880005pt;margin-top:11.492741pt;width:25.44pt;height:1.4399pt;mso-position-horizontal-relative:page;mso-position-vertical-relative:paragraph;z-index:-1542348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154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19392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2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1"/>
          <w:numId w:val="36"/>
        </w:numPr>
        <w:tabs>
          <w:tab w:pos="855" w:val="left" w:leader="none"/>
        </w:tabs>
        <w:spacing w:line="240" w:lineRule="auto" w:before="52" w:after="0"/>
        <w:ind w:left="854" w:right="0" w:hanging="577"/>
        <w:jc w:val="left"/>
      </w:pPr>
      <w:bookmarkStart w:name="_bookmark184" w:id="301"/>
      <w:bookmarkEnd w:id="301"/>
      <w:r>
        <w:rPr>
          <w:b w:val="0"/>
        </w:rPr>
      </w:r>
      <w:bookmarkStart w:name="_bookmark184" w:id="302"/>
      <w:bookmarkEnd w:id="302"/>
      <w:r>
        <w:rPr>
          <w:color w:val="1F4E79"/>
        </w:rPr>
        <w:t>J</w:t>
      </w:r>
      <w:r>
        <w:rPr>
          <w:color w:val="1F4E79"/>
        </w:rPr>
        <w:t>alapa</w:t>
      </w:r>
    </w:p>
    <w:p>
      <w:pPr>
        <w:pStyle w:val="BodyText"/>
        <w:rPr>
          <w:b/>
          <w:sz w:val="24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187" w:after="0"/>
        <w:ind w:left="998" w:right="0" w:hanging="721"/>
        <w:jc w:val="left"/>
      </w:pPr>
      <w:bookmarkStart w:name="_bookmark185" w:id="303"/>
      <w:bookmarkEnd w:id="303"/>
      <w:r>
        <w:rPr>
          <w:b w:val="0"/>
        </w:rPr>
      </w:r>
      <w:bookmarkStart w:name="_bookmark185" w:id="304"/>
      <w:bookmarkEnd w:id="304"/>
      <w:r>
        <w:rPr/>
        <w:t>Inf</w:t>
      </w:r>
      <w:r>
        <w:rPr/>
        <w:t>ormación</w:t>
      </w:r>
      <w:r>
        <w:rPr>
          <w:spacing w:val="-8"/>
        </w:rPr>
        <w:t> </w:t>
      </w:r>
      <w:r>
        <w:rPr/>
        <w:t>General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91"/>
        <w:ind w:left="278" w:right="1071"/>
        <w:jc w:val="both"/>
      </w:pPr>
      <w:r>
        <w:rPr/>
        <w:t>De acuerdo con información demográfica obtenida del Censo de Población realizado por el Instituto</w:t>
      </w:r>
      <w:r>
        <w:rPr>
          <w:spacing w:val="1"/>
        </w:rPr>
        <w:t> </w:t>
      </w:r>
      <w:r>
        <w:rPr/>
        <w:t>Nacional de estadística -INE- para el 2018, Jalapa posee 342,923 habitantes con una proporción del 52%</w:t>
      </w:r>
      <w:r>
        <w:rPr>
          <w:spacing w:val="1"/>
        </w:rPr>
        <w:t> </w:t>
      </w:r>
      <w:r>
        <w:rPr/>
        <w:t>de mujeres y el 48% de hombres. Cabe destacar que el 47% de la población es niño o adolescente, ya que</w:t>
      </w:r>
      <w:r>
        <w:rPr>
          <w:spacing w:val="-47"/>
        </w:rPr>
        <w:t> </w:t>
      </w:r>
      <w:r>
        <w:rPr/>
        <w:t>se</w:t>
      </w:r>
      <w:r>
        <w:rPr>
          <w:spacing w:val="-8"/>
        </w:rPr>
        <w:t> </w:t>
      </w:r>
      <w:r>
        <w:rPr/>
        <w:t>encuentran</w:t>
      </w:r>
      <w:r>
        <w:rPr>
          <w:spacing w:val="-8"/>
        </w:rPr>
        <w:t> </w:t>
      </w:r>
      <w:r>
        <w:rPr/>
        <w:t>entre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rango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0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19</w:t>
      </w:r>
      <w:r>
        <w:rPr>
          <w:spacing w:val="-4"/>
        </w:rPr>
        <w:t> </w:t>
      </w:r>
      <w:r>
        <w:rPr/>
        <w:t>años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edad.</w:t>
      </w:r>
      <w:r>
        <w:rPr>
          <w:spacing w:val="35"/>
        </w:rPr>
        <w:t> </w:t>
      </w:r>
      <w:r>
        <w:rPr/>
        <w:t>De</w:t>
      </w:r>
      <w:r>
        <w:rPr>
          <w:spacing w:val="-7"/>
        </w:rPr>
        <w:t> </w:t>
      </w:r>
      <w:r>
        <w:rPr/>
        <w:t>este</w:t>
      </w:r>
      <w:r>
        <w:rPr>
          <w:spacing w:val="-6"/>
        </w:rPr>
        <w:t> </w:t>
      </w:r>
      <w:r>
        <w:rPr/>
        <w:t>total,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37%</w:t>
      </w:r>
      <w:r>
        <w:rPr>
          <w:spacing w:val="-9"/>
        </w:rPr>
        <w:t> </w:t>
      </w:r>
      <w:r>
        <w:rPr/>
        <w:t>es</w:t>
      </w:r>
      <w:r>
        <w:rPr>
          <w:spacing w:val="-5"/>
        </w:rPr>
        <w:t> </w:t>
      </w:r>
      <w:r>
        <w:rPr/>
        <w:t>del</w:t>
      </w:r>
      <w:r>
        <w:rPr>
          <w:spacing w:val="-7"/>
        </w:rPr>
        <w:t> </w:t>
      </w:r>
      <w:r>
        <w:rPr/>
        <w:t>área</w:t>
      </w:r>
      <w:r>
        <w:rPr>
          <w:spacing w:val="-6"/>
        </w:rPr>
        <w:t> </w:t>
      </w:r>
      <w:r>
        <w:rPr/>
        <w:t>urbana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restante</w:t>
      </w:r>
      <w:r>
        <w:rPr>
          <w:spacing w:val="-47"/>
        </w:rPr>
        <w:t> </w:t>
      </w:r>
      <w:r>
        <w:rPr/>
        <w:t>63% es</w:t>
      </w:r>
      <w:r>
        <w:rPr>
          <w:spacing w:val="-3"/>
        </w:rPr>
        <w:t> </w:t>
      </w:r>
      <w:r>
        <w:rPr/>
        <w:t>del área rural, de los cuales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61% se</w:t>
      </w:r>
      <w:r>
        <w:rPr>
          <w:spacing w:val="-2"/>
        </w:rPr>
        <w:t> </w:t>
      </w:r>
      <w:r>
        <w:rPr/>
        <w:t>reconoce como</w:t>
      </w:r>
      <w:r>
        <w:rPr>
          <w:spacing w:val="-2"/>
        </w:rPr>
        <w:t> </w:t>
      </w:r>
      <w:r>
        <w:rPr/>
        <w:t>Ladina, el</w:t>
      </w:r>
      <w:r>
        <w:rPr>
          <w:spacing w:val="-4"/>
        </w:rPr>
        <w:t> </w:t>
      </w:r>
      <w:r>
        <w:rPr/>
        <w:t>32%</w:t>
      </w:r>
      <w:r>
        <w:rPr>
          <w:spacing w:val="-2"/>
        </w:rPr>
        <w:t> </w:t>
      </w:r>
      <w:r>
        <w:rPr/>
        <w:t>Xinca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7%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etnia</w:t>
      </w:r>
      <w:r>
        <w:rPr>
          <w:spacing w:val="-2"/>
        </w:rPr>
        <w:t> </w:t>
      </w:r>
      <w:r>
        <w:rPr/>
        <w:t>Maya.</w:t>
      </w:r>
    </w:p>
    <w:p>
      <w:pPr>
        <w:pStyle w:val="BodyText"/>
      </w:pPr>
    </w:p>
    <w:p>
      <w:pPr>
        <w:pStyle w:val="BodyText"/>
        <w:ind w:left="278"/>
        <w:jc w:val="both"/>
      </w:pPr>
      <w:r>
        <w:rPr/>
        <w:t>Por</w:t>
      </w:r>
      <w:r>
        <w:rPr>
          <w:spacing w:val="-4"/>
        </w:rPr>
        <w:t> </w:t>
      </w:r>
      <w:r>
        <w:rPr/>
        <w:t>otro</w:t>
      </w:r>
      <w:r>
        <w:rPr>
          <w:spacing w:val="-2"/>
        </w:rPr>
        <w:t> </w:t>
      </w:r>
      <w:r>
        <w:rPr/>
        <w:t>lado, la</w:t>
      </w:r>
      <w:r>
        <w:rPr>
          <w:spacing w:val="-1"/>
        </w:rPr>
        <w:t> </w:t>
      </w:r>
      <w:r>
        <w:rPr/>
        <w:t>comunidad</w:t>
      </w:r>
      <w:r>
        <w:rPr>
          <w:spacing w:val="-1"/>
        </w:rPr>
        <w:t> </w:t>
      </w:r>
      <w:r>
        <w:rPr/>
        <w:t>maya lingüística dominante</w:t>
      </w:r>
      <w:r>
        <w:rPr>
          <w:spacing w:val="-1"/>
        </w:rPr>
        <w:t> </w:t>
      </w:r>
      <w:r>
        <w:rPr/>
        <w:t>es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Poqoman</w:t>
      </w:r>
      <w:r>
        <w:rPr>
          <w:spacing w:val="-1"/>
        </w:rPr>
        <w:t> </w:t>
      </w:r>
      <w:r>
        <w:rPr/>
        <w:t>al</w:t>
      </w:r>
      <w:r>
        <w:rPr>
          <w:spacing w:val="-3"/>
        </w:rPr>
        <w:t> </w:t>
      </w:r>
      <w:r>
        <w:rPr/>
        <w:t>reportar el</w:t>
      </w:r>
      <w:r>
        <w:rPr>
          <w:spacing w:val="-3"/>
        </w:rPr>
        <w:t> </w:t>
      </w:r>
      <w:r>
        <w:rPr/>
        <w:t>89%.</w:t>
      </w:r>
    </w:p>
    <w:p>
      <w:pPr>
        <w:pStyle w:val="BodyText"/>
        <w:spacing w:before="8"/>
        <w:rPr>
          <w:sz w:val="19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186" w:id="305"/>
      <w:bookmarkEnd w:id="305"/>
      <w:r>
        <w:rPr>
          <w:b w:val="0"/>
        </w:rPr>
      </w:r>
      <w:bookmarkStart w:name="_bookmark186" w:id="306"/>
      <w:bookmarkEnd w:id="306"/>
      <w:r>
        <w:rPr/>
        <w:t>Situ</w:t>
      </w:r>
      <w:r>
        <w:rPr/>
        <w:t>ación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Sistema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Nacional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278" w:right="1068"/>
        <w:jc w:val="both"/>
      </w:pPr>
      <w:r>
        <w:rPr/>
        <w:t>Respecto de la población estudiantil del Departamento, esta presenta cifras similares al comportamiento</w:t>
      </w:r>
      <w:r>
        <w:rPr>
          <w:spacing w:val="-47"/>
        </w:rPr>
        <w:t> </w:t>
      </w:r>
      <w:r>
        <w:rPr/>
        <w:t>promedio nacional. La educación primaria es la que reporta mayor crecimiento con una importante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estudiantes</w:t>
      </w:r>
      <w:r>
        <w:rPr>
          <w:spacing w:val="1"/>
        </w:rPr>
        <w:t> </w:t>
      </w:r>
      <w:r>
        <w:rPr/>
        <w:t>registrados,</w:t>
      </w:r>
      <w:r>
        <w:rPr>
          <w:spacing w:val="1"/>
        </w:rPr>
        <w:t> </w:t>
      </w:r>
      <w:r>
        <w:rPr/>
        <w:t>seguido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preprimaria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básico.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cae</w:t>
      </w:r>
      <w:r>
        <w:rPr>
          <w:spacing w:val="1"/>
        </w:rPr>
        <w:t> </w:t>
      </w:r>
      <w:r>
        <w:rPr>
          <w:spacing w:val="-1"/>
        </w:rPr>
        <w:t>drásticamente</w:t>
      </w:r>
      <w:r>
        <w:rPr>
          <w:spacing w:val="-13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/>
        <w:t>el</w:t>
      </w:r>
      <w:r>
        <w:rPr>
          <w:spacing w:val="-14"/>
        </w:rPr>
        <w:t> </w:t>
      </w:r>
      <w:r>
        <w:rPr/>
        <w:t>diversificado,</w:t>
      </w:r>
      <w:r>
        <w:rPr>
          <w:spacing w:val="-12"/>
        </w:rPr>
        <w:t> </w:t>
      </w:r>
      <w:r>
        <w:rPr/>
        <w:t>con</w:t>
      </w:r>
      <w:r>
        <w:rPr>
          <w:spacing w:val="-13"/>
        </w:rPr>
        <w:t> </w:t>
      </w:r>
      <w:r>
        <w:rPr/>
        <w:t>respecto</w:t>
      </w:r>
      <w:r>
        <w:rPr>
          <w:spacing w:val="-11"/>
        </w:rPr>
        <w:t> </w:t>
      </w:r>
      <w:r>
        <w:rPr/>
        <w:t>del</w:t>
      </w:r>
      <w:r>
        <w:rPr>
          <w:spacing w:val="-14"/>
        </w:rPr>
        <w:t> </w:t>
      </w:r>
      <w:r>
        <w:rPr/>
        <w:t>nivel</w:t>
      </w:r>
      <w:r>
        <w:rPr>
          <w:spacing w:val="-12"/>
        </w:rPr>
        <w:t> </w:t>
      </w:r>
      <w:r>
        <w:rPr/>
        <w:t>procedente.</w:t>
      </w:r>
      <w:r>
        <w:rPr>
          <w:spacing w:val="-11"/>
        </w:rPr>
        <w:t> </w:t>
      </w:r>
      <w:r>
        <w:rPr/>
        <w:t>A</w:t>
      </w:r>
      <w:r>
        <w:rPr>
          <w:spacing w:val="-15"/>
        </w:rPr>
        <w:t> </w:t>
      </w:r>
      <w:r>
        <w:rPr/>
        <w:t>manera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referencia,</w:t>
      </w:r>
      <w:r>
        <w:rPr>
          <w:spacing w:val="-14"/>
        </w:rPr>
        <w:t> </w:t>
      </w:r>
      <w:r>
        <w:rPr/>
        <w:t>se</w:t>
      </w:r>
      <w:r>
        <w:rPr>
          <w:spacing w:val="-11"/>
        </w:rPr>
        <w:t> </w:t>
      </w:r>
      <w:r>
        <w:rPr/>
        <w:t>presentan</w:t>
      </w:r>
      <w:r>
        <w:rPr>
          <w:spacing w:val="-48"/>
        </w:rPr>
        <w:t> </w:t>
      </w:r>
      <w:r>
        <w:rPr/>
        <w:t>los</w:t>
      </w:r>
      <w:r>
        <w:rPr>
          <w:spacing w:val="-1"/>
        </w:rPr>
        <w:t> </w:t>
      </w:r>
      <w:r>
        <w:rPr/>
        <w:t>datos absolutos para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Departamento.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after="6"/>
        <w:ind w:left="278"/>
        <w:jc w:val="both"/>
      </w:pPr>
      <w:r>
        <w:rPr/>
        <w:t>Tabla</w:t>
      </w:r>
      <w:r>
        <w:rPr>
          <w:spacing w:val="-2"/>
        </w:rPr>
        <w:t> </w:t>
      </w:r>
      <w:r>
        <w:rPr/>
        <w:t>Nº.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estudiantes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Nivel</w:t>
      </w:r>
      <w:r>
        <w:rPr>
          <w:spacing w:val="-2"/>
        </w:rPr>
        <w:t> </w:t>
      </w:r>
      <w:r>
        <w:rPr/>
        <w:t>Educativo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Jalapa</w:t>
      </w:r>
      <w:r>
        <w:rPr>
          <w:spacing w:val="-2"/>
        </w:rPr>
        <w:t> </w:t>
      </w:r>
      <w:r>
        <w:rPr/>
        <w:t>(2017</w:t>
      </w:r>
      <w:r>
        <w:rPr>
          <w:spacing w:val="-1"/>
        </w:rPr>
        <w:t> </w:t>
      </w:r>
      <w:r>
        <w:rPr/>
        <w:t>al</w:t>
      </w:r>
      <w:r>
        <w:rPr>
          <w:spacing w:val="-4"/>
        </w:rPr>
        <w:t> </w:t>
      </w:r>
      <w:r>
        <w:rPr/>
        <w:t>2021)</w:t>
      </w:r>
    </w:p>
    <w:tbl>
      <w:tblPr>
        <w:tblW w:w="0" w:type="auto"/>
        <w:jc w:val="left"/>
        <w:tblInd w:w="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5"/>
        <w:gridCol w:w="1238"/>
        <w:gridCol w:w="936"/>
        <w:gridCol w:w="2015"/>
        <w:gridCol w:w="758"/>
        <w:gridCol w:w="1414"/>
        <w:gridCol w:w="1239"/>
      </w:tblGrid>
      <w:tr>
        <w:trPr>
          <w:trHeight w:val="432" w:hRule="atLeast"/>
        </w:trPr>
        <w:tc>
          <w:tcPr>
            <w:tcW w:w="1215" w:type="dxa"/>
            <w:tcBorders>
              <w:bottom w:val="single" w:sz="8" w:space="0" w:color="8EA9DB"/>
            </w:tcBorders>
            <w:shd w:val="clear" w:color="auto" w:fill="D9E0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8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182" w:lineRule="exact"/>
              <w:ind w:left="1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pacing w:val="-6"/>
                <w:w w:val="105"/>
                <w:sz w:val="17"/>
              </w:rPr>
              <w:t>PREPRIMARIA</w:t>
            </w:r>
          </w:p>
        </w:tc>
        <w:tc>
          <w:tcPr>
            <w:tcW w:w="936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182" w:lineRule="exact"/>
              <w:ind w:left="7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w w:val="105"/>
                <w:sz w:val="17"/>
              </w:rPr>
              <w:t>PRIMARIA</w:t>
            </w:r>
          </w:p>
        </w:tc>
        <w:tc>
          <w:tcPr>
            <w:tcW w:w="2015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182" w:lineRule="exact"/>
              <w:ind w:left="51" w:right="2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pacing w:val="-5"/>
                <w:sz w:val="17"/>
              </w:rPr>
              <w:t>PRIMARIA</w:t>
            </w:r>
            <w:r>
              <w:rPr>
                <w:rFonts w:ascii="Arial"/>
                <w:b/>
                <w:color w:val="FFFFFF"/>
                <w:spacing w:val="4"/>
                <w:sz w:val="17"/>
              </w:rPr>
              <w:t> </w:t>
            </w:r>
            <w:r>
              <w:rPr>
                <w:rFonts w:ascii="Arial"/>
                <w:b/>
                <w:color w:val="FFFFFF"/>
                <w:spacing w:val="-4"/>
                <w:sz w:val="17"/>
              </w:rPr>
              <w:t>DE</w:t>
            </w:r>
            <w:r>
              <w:rPr>
                <w:rFonts w:ascii="Arial"/>
                <w:b/>
                <w:color w:val="FFFFFF"/>
                <w:spacing w:val="-25"/>
                <w:sz w:val="17"/>
              </w:rPr>
              <w:t> </w:t>
            </w:r>
            <w:r>
              <w:rPr>
                <w:rFonts w:ascii="Arial"/>
                <w:b/>
                <w:color w:val="FFFFFF"/>
                <w:spacing w:val="-4"/>
                <w:sz w:val="17"/>
              </w:rPr>
              <w:t>ADULTOS</w:t>
            </w:r>
          </w:p>
        </w:tc>
        <w:tc>
          <w:tcPr>
            <w:tcW w:w="758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182" w:lineRule="exact"/>
              <w:ind w:left="4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w w:val="105"/>
                <w:sz w:val="17"/>
              </w:rPr>
              <w:t>BASICO</w:t>
            </w:r>
          </w:p>
        </w:tc>
        <w:tc>
          <w:tcPr>
            <w:tcW w:w="1414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182" w:lineRule="exact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pacing w:val="-3"/>
                <w:w w:val="105"/>
                <w:sz w:val="17"/>
              </w:rPr>
              <w:t>DIVERSIFICADO</w:t>
            </w:r>
          </w:p>
        </w:tc>
        <w:tc>
          <w:tcPr>
            <w:tcW w:w="1239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182" w:lineRule="exact"/>
              <w:ind w:right="7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Tota</w:t>
            </w:r>
            <w:r>
              <w:rPr>
                <w:rFonts w:ascii="Arial"/>
                <w:b/>
                <w:color w:val="FFFFFF"/>
                <w:spacing w:val="-27"/>
                <w:sz w:val="17"/>
              </w:rPr>
              <w:t> </w:t>
            </w:r>
            <w:r>
              <w:rPr>
                <w:rFonts w:ascii="Arial"/>
                <w:b/>
                <w:color w:val="FFFFFF"/>
                <w:sz w:val="17"/>
              </w:rPr>
              <w:t>l</w:t>
            </w:r>
            <w:r>
              <w:rPr>
                <w:rFonts w:ascii="Arial"/>
                <w:b/>
                <w:color w:val="FFFFFF"/>
                <w:spacing w:val="4"/>
                <w:sz w:val="17"/>
              </w:rPr>
              <w:t> </w:t>
            </w:r>
            <w:r>
              <w:rPr>
                <w:rFonts w:ascii="Arial"/>
                <w:b/>
                <w:color w:val="FFFFFF"/>
                <w:sz w:val="17"/>
              </w:rPr>
              <w:t>general</w:t>
            </w:r>
          </w:p>
        </w:tc>
      </w:tr>
      <w:tr>
        <w:trPr>
          <w:trHeight w:val="191" w:hRule="atLeast"/>
        </w:trPr>
        <w:tc>
          <w:tcPr>
            <w:tcW w:w="1215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9" w:lineRule="exact"/>
              <w:ind w:left="396" w:right="39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2017</w:t>
            </w:r>
          </w:p>
        </w:tc>
        <w:tc>
          <w:tcPr>
            <w:tcW w:w="1238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9" w:lineRule="exact"/>
              <w:ind w:left="10" w:right="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14,646</w:t>
            </w:r>
          </w:p>
        </w:tc>
        <w:tc>
          <w:tcPr>
            <w:tcW w:w="936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9" w:lineRule="exact"/>
              <w:ind w:left="27" w:right="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54,446</w:t>
            </w:r>
          </w:p>
        </w:tc>
        <w:tc>
          <w:tcPr>
            <w:tcW w:w="2015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9" w:lineRule="exact"/>
              <w:ind w:left="39" w:right="28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408</w:t>
            </w:r>
          </w:p>
        </w:tc>
        <w:tc>
          <w:tcPr>
            <w:tcW w:w="758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9" w:lineRule="exact"/>
              <w:ind w:left="4" w:right="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15,328</w:t>
            </w:r>
          </w:p>
        </w:tc>
        <w:tc>
          <w:tcPr>
            <w:tcW w:w="1414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9" w:lineRule="exact"/>
              <w:ind w:left="111" w:right="8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7,156</w:t>
            </w:r>
          </w:p>
        </w:tc>
        <w:tc>
          <w:tcPr>
            <w:tcW w:w="1239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9" w:lineRule="exact"/>
              <w:ind w:right="3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91,984</w:t>
            </w:r>
          </w:p>
        </w:tc>
      </w:tr>
      <w:tr>
        <w:trPr>
          <w:trHeight w:val="209" w:hRule="atLeast"/>
        </w:trPr>
        <w:tc>
          <w:tcPr>
            <w:tcW w:w="1215" w:type="dxa"/>
          </w:tcPr>
          <w:p>
            <w:pPr>
              <w:pStyle w:val="TableParagraph"/>
              <w:spacing w:line="183" w:lineRule="exact" w:before="6"/>
              <w:ind w:left="396" w:right="39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2018</w:t>
            </w:r>
          </w:p>
        </w:tc>
        <w:tc>
          <w:tcPr>
            <w:tcW w:w="1238" w:type="dxa"/>
          </w:tcPr>
          <w:p>
            <w:pPr>
              <w:pStyle w:val="TableParagraph"/>
              <w:spacing w:line="183" w:lineRule="exact" w:before="6"/>
              <w:ind w:left="10" w:right="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15,934</w:t>
            </w:r>
          </w:p>
        </w:tc>
        <w:tc>
          <w:tcPr>
            <w:tcW w:w="936" w:type="dxa"/>
          </w:tcPr>
          <w:p>
            <w:pPr>
              <w:pStyle w:val="TableParagraph"/>
              <w:spacing w:line="183" w:lineRule="exact" w:before="6"/>
              <w:ind w:left="27" w:right="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55,598</w:t>
            </w:r>
          </w:p>
        </w:tc>
        <w:tc>
          <w:tcPr>
            <w:tcW w:w="2015" w:type="dxa"/>
          </w:tcPr>
          <w:p>
            <w:pPr>
              <w:pStyle w:val="TableParagraph"/>
              <w:spacing w:line="183" w:lineRule="exact" w:before="6"/>
              <w:ind w:left="39" w:right="28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364</w:t>
            </w:r>
          </w:p>
        </w:tc>
        <w:tc>
          <w:tcPr>
            <w:tcW w:w="758" w:type="dxa"/>
          </w:tcPr>
          <w:p>
            <w:pPr>
              <w:pStyle w:val="TableParagraph"/>
              <w:spacing w:line="183" w:lineRule="exact" w:before="6"/>
              <w:ind w:left="4" w:right="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15,513</w:t>
            </w:r>
          </w:p>
        </w:tc>
        <w:tc>
          <w:tcPr>
            <w:tcW w:w="1414" w:type="dxa"/>
          </w:tcPr>
          <w:p>
            <w:pPr>
              <w:pStyle w:val="TableParagraph"/>
              <w:spacing w:line="183" w:lineRule="exact" w:before="6"/>
              <w:ind w:left="111" w:right="8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7,690</w:t>
            </w:r>
          </w:p>
        </w:tc>
        <w:tc>
          <w:tcPr>
            <w:tcW w:w="1239" w:type="dxa"/>
          </w:tcPr>
          <w:p>
            <w:pPr>
              <w:pStyle w:val="TableParagraph"/>
              <w:spacing w:line="183" w:lineRule="exact" w:before="6"/>
              <w:ind w:right="3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95,099</w:t>
            </w:r>
          </w:p>
        </w:tc>
      </w:tr>
      <w:tr>
        <w:trPr>
          <w:trHeight w:val="209" w:hRule="atLeast"/>
        </w:trPr>
        <w:tc>
          <w:tcPr>
            <w:tcW w:w="1215" w:type="dxa"/>
          </w:tcPr>
          <w:p>
            <w:pPr>
              <w:pStyle w:val="TableParagraph"/>
              <w:spacing w:line="183" w:lineRule="exact" w:before="6"/>
              <w:ind w:left="396" w:right="39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2019</w:t>
            </w:r>
          </w:p>
        </w:tc>
        <w:tc>
          <w:tcPr>
            <w:tcW w:w="1238" w:type="dxa"/>
          </w:tcPr>
          <w:p>
            <w:pPr>
              <w:pStyle w:val="TableParagraph"/>
              <w:spacing w:line="183" w:lineRule="exact" w:before="6"/>
              <w:ind w:left="10" w:right="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15,447</w:t>
            </w:r>
          </w:p>
        </w:tc>
        <w:tc>
          <w:tcPr>
            <w:tcW w:w="936" w:type="dxa"/>
          </w:tcPr>
          <w:p>
            <w:pPr>
              <w:pStyle w:val="TableParagraph"/>
              <w:spacing w:line="183" w:lineRule="exact" w:before="6"/>
              <w:ind w:left="27" w:right="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55,073</w:t>
            </w:r>
          </w:p>
        </w:tc>
        <w:tc>
          <w:tcPr>
            <w:tcW w:w="2015" w:type="dxa"/>
          </w:tcPr>
          <w:p>
            <w:pPr>
              <w:pStyle w:val="TableParagraph"/>
              <w:spacing w:line="183" w:lineRule="exact" w:before="6"/>
              <w:ind w:left="39" w:right="28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293</w:t>
            </w:r>
          </w:p>
        </w:tc>
        <w:tc>
          <w:tcPr>
            <w:tcW w:w="758" w:type="dxa"/>
          </w:tcPr>
          <w:p>
            <w:pPr>
              <w:pStyle w:val="TableParagraph"/>
              <w:spacing w:line="183" w:lineRule="exact" w:before="6"/>
              <w:ind w:left="4" w:right="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15,149</w:t>
            </w:r>
          </w:p>
        </w:tc>
        <w:tc>
          <w:tcPr>
            <w:tcW w:w="1414" w:type="dxa"/>
          </w:tcPr>
          <w:p>
            <w:pPr>
              <w:pStyle w:val="TableParagraph"/>
              <w:spacing w:line="183" w:lineRule="exact" w:before="6"/>
              <w:ind w:left="111" w:right="8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7,599</w:t>
            </w:r>
          </w:p>
        </w:tc>
        <w:tc>
          <w:tcPr>
            <w:tcW w:w="1239" w:type="dxa"/>
          </w:tcPr>
          <w:p>
            <w:pPr>
              <w:pStyle w:val="TableParagraph"/>
              <w:spacing w:line="183" w:lineRule="exact" w:before="6"/>
              <w:ind w:right="3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93,561</w:t>
            </w:r>
          </w:p>
        </w:tc>
      </w:tr>
      <w:tr>
        <w:trPr>
          <w:trHeight w:val="209" w:hRule="atLeast"/>
        </w:trPr>
        <w:tc>
          <w:tcPr>
            <w:tcW w:w="1215" w:type="dxa"/>
          </w:tcPr>
          <w:p>
            <w:pPr>
              <w:pStyle w:val="TableParagraph"/>
              <w:spacing w:line="183" w:lineRule="exact" w:before="6"/>
              <w:ind w:left="396" w:right="39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2020</w:t>
            </w:r>
          </w:p>
        </w:tc>
        <w:tc>
          <w:tcPr>
            <w:tcW w:w="1238" w:type="dxa"/>
          </w:tcPr>
          <w:p>
            <w:pPr>
              <w:pStyle w:val="TableParagraph"/>
              <w:spacing w:line="183" w:lineRule="exact" w:before="6"/>
              <w:ind w:left="10" w:right="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15,022</w:t>
            </w:r>
          </w:p>
        </w:tc>
        <w:tc>
          <w:tcPr>
            <w:tcW w:w="936" w:type="dxa"/>
          </w:tcPr>
          <w:p>
            <w:pPr>
              <w:pStyle w:val="TableParagraph"/>
              <w:spacing w:line="183" w:lineRule="exact" w:before="6"/>
              <w:ind w:left="27" w:right="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55,232</w:t>
            </w:r>
          </w:p>
        </w:tc>
        <w:tc>
          <w:tcPr>
            <w:tcW w:w="2015" w:type="dxa"/>
          </w:tcPr>
          <w:p>
            <w:pPr>
              <w:pStyle w:val="TableParagraph"/>
              <w:spacing w:line="183" w:lineRule="exact" w:before="6"/>
              <w:ind w:left="39" w:right="28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270</w:t>
            </w:r>
          </w:p>
        </w:tc>
        <w:tc>
          <w:tcPr>
            <w:tcW w:w="758" w:type="dxa"/>
          </w:tcPr>
          <w:p>
            <w:pPr>
              <w:pStyle w:val="TableParagraph"/>
              <w:spacing w:line="183" w:lineRule="exact" w:before="6"/>
              <w:ind w:left="4" w:right="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14,856</w:t>
            </w:r>
          </w:p>
        </w:tc>
        <w:tc>
          <w:tcPr>
            <w:tcW w:w="1414" w:type="dxa"/>
          </w:tcPr>
          <w:p>
            <w:pPr>
              <w:pStyle w:val="TableParagraph"/>
              <w:spacing w:line="183" w:lineRule="exact" w:before="6"/>
              <w:ind w:left="111" w:right="8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7,637</w:t>
            </w:r>
          </w:p>
        </w:tc>
        <w:tc>
          <w:tcPr>
            <w:tcW w:w="1239" w:type="dxa"/>
          </w:tcPr>
          <w:p>
            <w:pPr>
              <w:pStyle w:val="TableParagraph"/>
              <w:spacing w:line="183" w:lineRule="exact" w:before="6"/>
              <w:ind w:right="3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93,017</w:t>
            </w:r>
          </w:p>
        </w:tc>
      </w:tr>
      <w:tr>
        <w:trPr>
          <w:trHeight w:val="201" w:hRule="atLeast"/>
        </w:trPr>
        <w:tc>
          <w:tcPr>
            <w:tcW w:w="1215" w:type="dxa"/>
          </w:tcPr>
          <w:p>
            <w:pPr>
              <w:pStyle w:val="TableParagraph"/>
              <w:spacing w:line="176" w:lineRule="exact" w:before="6"/>
              <w:ind w:left="396" w:right="39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2021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 w:before="6"/>
              <w:ind w:left="10" w:right="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17,729</w:t>
            </w:r>
          </w:p>
        </w:tc>
        <w:tc>
          <w:tcPr>
            <w:tcW w:w="936" w:type="dxa"/>
          </w:tcPr>
          <w:p>
            <w:pPr>
              <w:pStyle w:val="TableParagraph"/>
              <w:spacing w:line="176" w:lineRule="exact" w:before="6"/>
              <w:ind w:left="27" w:right="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57,509</w:t>
            </w:r>
          </w:p>
        </w:tc>
        <w:tc>
          <w:tcPr>
            <w:tcW w:w="2015" w:type="dxa"/>
          </w:tcPr>
          <w:p>
            <w:pPr>
              <w:pStyle w:val="TableParagraph"/>
              <w:spacing w:line="176" w:lineRule="exact" w:before="6"/>
              <w:ind w:left="24" w:right="28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83</w:t>
            </w:r>
          </w:p>
        </w:tc>
        <w:tc>
          <w:tcPr>
            <w:tcW w:w="758" w:type="dxa"/>
          </w:tcPr>
          <w:p>
            <w:pPr>
              <w:pStyle w:val="TableParagraph"/>
              <w:spacing w:line="176" w:lineRule="exact" w:before="6"/>
              <w:ind w:left="4" w:right="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14,055</w:t>
            </w:r>
          </w:p>
        </w:tc>
        <w:tc>
          <w:tcPr>
            <w:tcW w:w="1414" w:type="dxa"/>
          </w:tcPr>
          <w:p>
            <w:pPr>
              <w:pStyle w:val="TableParagraph"/>
              <w:spacing w:line="176" w:lineRule="exact" w:before="6"/>
              <w:ind w:left="111" w:right="8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6,878</w:t>
            </w:r>
          </w:p>
        </w:tc>
        <w:tc>
          <w:tcPr>
            <w:tcW w:w="1239" w:type="dxa"/>
          </w:tcPr>
          <w:p>
            <w:pPr>
              <w:pStyle w:val="TableParagraph"/>
              <w:spacing w:line="176" w:lineRule="exact" w:before="6"/>
              <w:ind w:right="3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96,254</w:t>
            </w:r>
          </w:p>
        </w:tc>
      </w:tr>
    </w:tbl>
    <w:tbl>
      <w:tblPr>
        <w:tblW w:w="0" w:type="auto"/>
        <w:jc w:val="left"/>
        <w:tblInd w:w="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5"/>
        <w:gridCol w:w="1146"/>
        <w:gridCol w:w="1360"/>
        <w:gridCol w:w="1343"/>
        <w:gridCol w:w="1264"/>
        <w:gridCol w:w="1320"/>
        <w:gridCol w:w="1171"/>
      </w:tblGrid>
      <w:tr>
        <w:trPr>
          <w:trHeight w:val="224" w:hRule="atLeast"/>
        </w:trPr>
        <w:tc>
          <w:tcPr>
            <w:tcW w:w="1215" w:type="dxa"/>
            <w:tcBorders>
              <w:top w:val="single" w:sz="8" w:space="0" w:color="8EA9DB"/>
            </w:tcBorders>
            <w:shd w:val="clear" w:color="auto" w:fill="D9E0F1"/>
          </w:tcPr>
          <w:p>
            <w:pPr>
              <w:pStyle w:val="TableParagraph"/>
              <w:spacing w:before="14"/>
              <w:ind w:left="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Tota</w:t>
            </w:r>
            <w:r>
              <w:rPr>
                <w:rFonts w:ascii="Arial"/>
                <w:b/>
                <w:spacing w:val="-2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l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general</w:t>
            </w:r>
          </w:p>
        </w:tc>
        <w:tc>
          <w:tcPr>
            <w:tcW w:w="1146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4"/>
              <w:ind w:left="35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w w:val="105"/>
                <w:sz w:val="17"/>
              </w:rPr>
              <w:t>78,778</w:t>
            </w:r>
          </w:p>
        </w:tc>
        <w:tc>
          <w:tcPr>
            <w:tcW w:w="1360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4"/>
              <w:ind w:left="27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w w:val="105"/>
                <w:sz w:val="17"/>
              </w:rPr>
              <w:t>277,858</w:t>
            </w:r>
          </w:p>
        </w:tc>
        <w:tc>
          <w:tcPr>
            <w:tcW w:w="1343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4"/>
              <w:ind w:left="47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w w:val="105"/>
                <w:sz w:val="17"/>
              </w:rPr>
              <w:t>1,418</w:t>
            </w:r>
          </w:p>
        </w:tc>
        <w:tc>
          <w:tcPr>
            <w:tcW w:w="1264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4"/>
              <w:ind w:left="44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w w:val="105"/>
                <w:sz w:val="17"/>
              </w:rPr>
              <w:t>74,901</w:t>
            </w:r>
          </w:p>
        </w:tc>
        <w:tc>
          <w:tcPr>
            <w:tcW w:w="1320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4"/>
              <w:ind w:left="29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w w:val="105"/>
                <w:sz w:val="17"/>
              </w:rPr>
              <w:t>36,960</w:t>
            </w:r>
          </w:p>
        </w:tc>
        <w:tc>
          <w:tcPr>
            <w:tcW w:w="1171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4"/>
              <w:ind w:left="50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w w:val="105"/>
                <w:sz w:val="17"/>
              </w:rPr>
              <w:t>469,915</w:t>
            </w:r>
          </w:p>
        </w:tc>
      </w:tr>
    </w:tbl>
    <w:p>
      <w:pPr>
        <w:spacing w:before="1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2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2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3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278" w:right="1074"/>
        <w:jc w:val="both"/>
      </w:pPr>
      <w:r>
        <w:rPr/>
        <w:t>Como se muestra en la tabla anterior, para un período de 5 años se presentan las cifras correspondientes</w:t>
      </w:r>
      <w:r>
        <w:rPr>
          <w:spacing w:val="-47"/>
        </w:rPr>
        <w:t> </w:t>
      </w:r>
      <w:r>
        <w:rPr/>
        <w:t>al</w:t>
      </w:r>
      <w:r>
        <w:rPr>
          <w:spacing w:val="-1"/>
        </w:rPr>
        <w:t> </w:t>
      </w:r>
      <w:r>
        <w:rPr/>
        <w:t>total de</w:t>
      </w:r>
      <w:r>
        <w:rPr>
          <w:spacing w:val="-2"/>
        </w:rPr>
        <w:t> </w:t>
      </w:r>
      <w:r>
        <w:rPr/>
        <w:t>estudiantes por</w:t>
      </w:r>
      <w:r>
        <w:rPr>
          <w:spacing w:val="-5"/>
        </w:rPr>
        <w:t> </w:t>
      </w:r>
      <w:r>
        <w:rPr/>
        <w:t>Nivel Educativo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Departamento</w:t>
      </w:r>
      <w:r>
        <w:rPr>
          <w:spacing w:val="-1"/>
        </w:rPr>
        <w:t> </w:t>
      </w:r>
      <w:r>
        <w:rPr/>
        <w:t>de Jalapa.</w:t>
      </w:r>
    </w:p>
    <w:p>
      <w:pPr>
        <w:pStyle w:val="BodyText"/>
      </w:pPr>
    </w:p>
    <w:p>
      <w:pPr>
        <w:pStyle w:val="BodyText"/>
        <w:spacing w:before="1"/>
        <w:ind w:left="278" w:right="1071"/>
        <w:jc w:val="both"/>
      </w:pPr>
      <w:r>
        <w:rPr/>
        <w:t>El total de estudiantes atendidos durante este período fue de 469,915. En el 2017 se tuvo una población</w:t>
      </w:r>
      <w:r>
        <w:rPr>
          <w:spacing w:val="1"/>
        </w:rPr>
        <w:t> </w:t>
      </w:r>
      <w:r>
        <w:rPr/>
        <w:t>estudiantil total de 91,984. Respecto de este año, el 2018, mostró un leve aumento un 3% al reportar</w:t>
      </w:r>
      <w:r>
        <w:rPr>
          <w:spacing w:val="1"/>
        </w:rPr>
        <w:t> </w:t>
      </w:r>
      <w:r>
        <w:rPr>
          <w:spacing w:val="-1"/>
        </w:rPr>
        <w:t>3,115</w:t>
      </w:r>
      <w:r>
        <w:rPr>
          <w:spacing w:val="-11"/>
        </w:rPr>
        <w:t> </w:t>
      </w:r>
      <w:r>
        <w:rPr>
          <w:spacing w:val="-1"/>
        </w:rPr>
        <w:t>alumnos,</w:t>
      </w:r>
      <w:r>
        <w:rPr>
          <w:spacing w:val="-12"/>
        </w:rPr>
        <w:t> </w:t>
      </w:r>
      <w:r>
        <w:rPr>
          <w:spacing w:val="-1"/>
        </w:rPr>
        <w:t>más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9"/>
        </w:rPr>
        <w:t> </w:t>
      </w:r>
      <w:r>
        <w:rPr/>
        <w:t>Sistema.</w:t>
      </w:r>
      <w:r>
        <w:rPr>
          <w:spacing w:val="-8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2019,</w:t>
      </w:r>
      <w:r>
        <w:rPr>
          <w:spacing w:val="-12"/>
        </w:rPr>
        <w:t> </w:t>
      </w:r>
      <w:r>
        <w:rPr/>
        <w:t>se</w:t>
      </w:r>
      <w:r>
        <w:rPr>
          <w:spacing w:val="-11"/>
        </w:rPr>
        <w:t> </w:t>
      </w:r>
      <w:r>
        <w:rPr/>
        <w:t>redujo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un</w:t>
      </w:r>
      <w:r>
        <w:rPr>
          <w:spacing w:val="-13"/>
        </w:rPr>
        <w:t> </w:t>
      </w:r>
      <w:r>
        <w:rPr/>
        <w:t>total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93,561,</w:t>
      </w:r>
      <w:r>
        <w:rPr>
          <w:spacing w:val="-9"/>
        </w:rPr>
        <w:t> </w:t>
      </w:r>
      <w:r>
        <w:rPr/>
        <w:t>continuando</w:t>
      </w:r>
      <w:r>
        <w:rPr>
          <w:spacing w:val="-8"/>
        </w:rPr>
        <w:t> </w:t>
      </w:r>
      <w:r>
        <w:rPr/>
        <w:t>con</w:t>
      </w:r>
      <w:r>
        <w:rPr>
          <w:spacing w:val="-13"/>
        </w:rPr>
        <w:t> </w:t>
      </w:r>
      <w:r>
        <w:rPr/>
        <w:t>la</w:t>
      </w:r>
      <w:r>
        <w:rPr>
          <w:spacing w:val="-10"/>
        </w:rPr>
        <w:t> </w:t>
      </w:r>
      <w:r>
        <w:rPr/>
        <w:t>tendencia</w:t>
      </w:r>
      <w:r>
        <w:rPr>
          <w:spacing w:val="-47"/>
        </w:rPr>
        <w:t> </w:t>
      </w:r>
      <w:r>
        <w:rPr/>
        <w:t>decreciente</w:t>
      </w:r>
      <w:r>
        <w:rPr>
          <w:spacing w:val="-8"/>
        </w:rPr>
        <w:t> </w:t>
      </w:r>
      <w:r>
        <w:rPr/>
        <w:t>al</w:t>
      </w:r>
      <w:r>
        <w:rPr>
          <w:spacing w:val="-6"/>
        </w:rPr>
        <w:t> </w:t>
      </w:r>
      <w:r>
        <w:rPr/>
        <w:t>reportar</w:t>
      </w:r>
      <w:r>
        <w:rPr>
          <w:spacing w:val="-8"/>
        </w:rPr>
        <w:t> </w:t>
      </w:r>
      <w:r>
        <w:rPr/>
        <w:t>93,017</w:t>
      </w:r>
      <w:r>
        <w:rPr>
          <w:spacing w:val="-6"/>
        </w:rPr>
        <w:t> </w:t>
      </w:r>
      <w:r>
        <w:rPr/>
        <w:t>alumnos</w:t>
      </w:r>
      <w:r>
        <w:rPr>
          <w:spacing w:val="-6"/>
        </w:rPr>
        <w:t> </w:t>
      </w:r>
      <w:r>
        <w:rPr/>
        <w:t>para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2020.</w:t>
      </w:r>
      <w:r>
        <w:rPr>
          <w:spacing w:val="-11"/>
        </w:rPr>
        <w:t> </w:t>
      </w:r>
      <w:r>
        <w:rPr/>
        <w:t>El</w:t>
      </w:r>
      <w:r>
        <w:rPr>
          <w:spacing w:val="-6"/>
        </w:rPr>
        <w:t> </w:t>
      </w:r>
      <w:r>
        <w:rPr/>
        <w:t>2021,</w:t>
      </w:r>
      <w:r>
        <w:rPr>
          <w:spacing w:val="-9"/>
        </w:rPr>
        <w:t> </w:t>
      </w:r>
      <w:r>
        <w:rPr/>
        <w:t>aumentó</w:t>
      </w:r>
      <w:r>
        <w:rPr>
          <w:spacing w:val="-4"/>
        </w:rPr>
        <w:t> </w:t>
      </w:r>
      <w:r>
        <w:rPr/>
        <w:t>a</w:t>
      </w:r>
      <w:r>
        <w:rPr>
          <w:spacing w:val="-11"/>
        </w:rPr>
        <w:t> </w:t>
      </w:r>
      <w:r>
        <w:rPr/>
        <w:t>96,254</w:t>
      </w:r>
      <w:r>
        <w:rPr>
          <w:spacing w:val="-10"/>
        </w:rPr>
        <w:t> </w:t>
      </w:r>
      <w:r>
        <w:rPr/>
        <w:t>registrando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mejor</w:t>
      </w:r>
      <w:r>
        <w:rPr>
          <w:spacing w:val="-8"/>
        </w:rPr>
        <w:t> </w:t>
      </w:r>
      <w:r>
        <w:rPr/>
        <w:t>cifra</w:t>
      </w:r>
      <w:r>
        <w:rPr>
          <w:spacing w:val="-48"/>
        </w:rPr>
        <w:t> </w:t>
      </w:r>
      <w:r>
        <w:rPr/>
        <w:t>del</w:t>
      </w:r>
      <w:r>
        <w:rPr>
          <w:spacing w:val="-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con</w:t>
      </w:r>
      <w:r>
        <w:rPr>
          <w:spacing w:val="-2"/>
        </w:rPr>
        <w:t> </w:t>
      </w:r>
      <w:r>
        <w:rPr/>
        <w:t>3,237</w:t>
      </w:r>
      <w:r>
        <w:rPr>
          <w:spacing w:val="-2"/>
        </w:rPr>
        <w:t> </w:t>
      </w:r>
      <w:r>
        <w:rPr/>
        <w:t>estudiantes</w:t>
      </w:r>
      <w:r>
        <w:rPr>
          <w:spacing w:val="-2"/>
        </w:rPr>
        <w:t> </w:t>
      </w:r>
      <w:r>
        <w:rPr/>
        <w:t>más en</w:t>
      </w:r>
      <w:r>
        <w:rPr>
          <w:spacing w:val="-5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con al año</w:t>
      </w:r>
      <w:r>
        <w:rPr>
          <w:spacing w:val="1"/>
        </w:rPr>
        <w:t> </w:t>
      </w:r>
      <w:r>
        <w:rPr/>
        <w:t>anterior.</w:t>
      </w:r>
    </w:p>
    <w:p>
      <w:pPr>
        <w:pStyle w:val="BodyText"/>
        <w:rPr>
          <w:sz w:val="20"/>
        </w:rPr>
      </w:pPr>
    </w:p>
    <w:p>
      <w:pPr>
        <w:pStyle w:val="BodyText"/>
        <w:ind w:left="278" w:right="1076"/>
        <w:jc w:val="both"/>
      </w:pPr>
      <w:r>
        <w:rPr/>
        <w:t>Como se muestra, el nivel que presentó más crecimiento fue la Primaria representando el 59% de la</w:t>
      </w:r>
      <w:r>
        <w:rPr>
          <w:spacing w:val="1"/>
        </w:rPr>
        <w:t> </w:t>
      </w:r>
      <w:r>
        <w:rPr/>
        <w:t>población para este período. Seguido del nivel preprimaria con un 17%, seguido por el 16% en el básico.</w:t>
      </w:r>
      <w:r>
        <w:rPr>
          <w:spacing w:val="1"/>
        </w:rPr>
        <w:t> </w:t>
      </w:r>
      <w:r>
        <w:rPr/>
        <w:t>Ubicando en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penúltimo</w:t>
      </w:r>
      <w:r>
        <w:rPr>
          <w:spacing w:val="1"/>
        </w:rPr>
        <w:t> </w:t>
      </w:r>
      <w:r>
        <w:rPr/>
        <w:t>sitio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diversificado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3"/>
        </w:rPr>
        <w:t> </w:t>
      </w:r>
      <w:r>
        <w:rPr/>
        <w:t>7%. Y</w:t>
      </w:r>
      <w:r>
        <w:rPr>
          <w:spacing w:val="-3"/>
        </w:rPr>
        <w:t> </w:t>
      </w:r>
      <w:r>
        <w:rPr/>
        <w:t>finalizando, 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Primaria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Adultos.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rect style="position:absolute;margin-left:563.880005pt;margin-top:8.721985pt;width:25.44pt;height:1.4399pt;mso-position-horizontal-relative:page;mso-position-vertical-relative:paragraph;z-index:-1542195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155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20928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2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52" w:after="0"/>
        <w:ind w:left="998" w:right="0" w:hanging="721"/>
        <w:jc w:val="left"/>
      </w:pPr>
      <w:bookmarkStart w:name="_bookmark187" w:id="307"/>
      <w:bookmarkEnd w:id="307"/>
      <w:r>
        <w:rPr>
          <w:b w:val="0"/>
        </w:rPr>
      </w:r>
      <w:bookmarkStart w:name="_bookmark187" w:id="308"/>
      <w:bookmarkEnd w:id="308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Cobertura:</w:t>
      </w:r>
      <w:r>
        <w:rPr>
          <w:spacing w:val="-4"/>
        </w:rPr>
        <w:t> </w:t>
      </w:r>
      <w:r>
        <w:rPr/>
        <w:t>Tasa</w:t>
      </w:r>
      <w:r>
        <w:rPr>
          <w:spacing w:val="-3"/>
        </w:rPr>
        <w:t> </w:t>
      </w:r>
      <w:r>
        <w:rPr/>
        <w:t>Neta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Cobertura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2"/>
        <w:jc w:val="both"/>
      </w:pPr>
      <w:r>
        <w:rPr/>
        <w:t>Para el departamento de Jalapa la cobertura educativa medida a través del (TNE) para durante el período</w:t>
      </w:r>
      <w:r>
        <w:rPr>
          <w:spacing w:val="-47"/>
        </w:rPr>
        <w:t> </w:t>
      </w:r>
      <w:r>
        <w:rPr/>
        <w:t>del 2017 al 2020, evidencia un aumento promedio considerable en la cobertura de nivel primaria (86%),</w:t>
      </w:r>
      <w:r>
        <w:rPr>
          <w:spacing w:val="1"/>
        </w:rPr>
        <w:t> </w:t>
      </w:r>
      <w:r>
        <w:rPr/>
        <w:t>en comparación con la TNE nacional promedio del período (2017-2019) que posee el 77.50%. Es decir,</w:t>
      </w:r>
      <w:r>
        <w:rPr>
          <w:spacing w:val="1"/>
        </w:rPr>
        <w:t> </w:t>
      </w:r>
      <w:r>
        <w:rPr/>
        <w:t>posee</w:t>
      </w:r>
      <w:r>
        <w:rPr>
          <w:spacing w:val="-8"/>
        </w:rPr>
        <w:t> </w:t>
      </w:r>
      <w:r>
        <w:rPr/>
        <w:t>una</w:t>
      </w:r>
      <w:r>
        <w:rPr>
          <w:spacing w:val="-6"/>
        </w:rPr>
        <w:t> </w:t>
      </w:r>
      <w:r>
        <w:rPr/>
        <w:t>brecha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crecimiento</w:t>
      </w:r>
      <w:r>
        <w:rPr>
          <w:spacing w:val="-4"/>
        </w:rPr>
        <w:t> </w:t>
      </w:r>
      <w:r>
        <w:rPr/>
        <w:t>del</w:t>
      </w:r>
      <w:r>
        <w:rPr>
          <w:spacing w:val="-6"/>
        </w:rPr>
        <w:t> </w:t>
      </w:r>
      <w:r>
        <w:rPr/>
        <w:t>9%,</w:t>
      </w:r>
      <w:r>
        <w:rPr>
          <w:spacing w:val="-7"/>
        </w:rPr>
        <w:t> </w:t>
      </w:r>
      <w:r>
        <w:rPr/>
        <w:t>con</w:t>
      </w:r>
      <w:r>
        <w:rPr>
          <w:spacing w:val="-9"/>
        </w:rPr>
        <w:t> </w:t>
      </w:r>
      <w:r>
        <w:rPr/>
        <w:t>respecto</w:t>
      </w:r>
      <w:r>
        <w:rPr>
          <w:spacing w:val="-5"/>
        </w:rPr>
        <w:t> </w:t>
      </w:r>
      <w:r>
        <w:rPr/>
        <w:t>del</w:t>
      </w:r>
      <w:r>
        <w:rPr>
          <w:spacing w:val="-8"/>
        </w:rPr>
        <w:t> </w:t>
      </w:r>
      <w:r>
        <w:rPr/>
        <w:t>promedio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TN</w:t>
      </w:r>
      <w:r>
        <w:rPr>
          <w:spacing w:val="-6"/>
        </w:rPr>
        <w:t> </w:t>
      </w:r>
      <w:r>
        <w:rPr/>
        <w:t>nacional.</w:t>
      </w:r>
      <w:r>
        <w:rPr>
          <w:spacing w:val="-7"/>
        </w:rPr>
        <w:t> </w:t>
      </w:r>
      <w:r>
        <w:rPr/>
        <w:t>Como</w:t>
      </w:r>
      <w:r>
        <w:rPr>
          <w:spacing w:val="-7"/>
        </w:rPr>
        <w:t> </w:t>
      </w:r>
      <w:r>
        <w:rPr/>
        <w:t>sucede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los</w:t>
      </w:r>
      <w:r>
        <w:rPr>
          <w:spacing w:val="-47"/>
        </w:rPr>
        <w:t> </w:t>
      </w:r>
      <w:r>
        <w:rPr/>
        <w:t>otros departamentos, presenta cifras cercanas al promedio de participación de los jóvenes en el ciclo</w:t>
      </w:r>
      <w:r>
        <w:rPr>
          <w:spacing w:val="1"/>
        </w:rPr>
        <w:t> </w:t>
      </w:r>
      <w:r>
        <w:rPr/>
        <w:t>básico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diversificado.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tabla, se</w:t>
      </w:r>
      <w:r>
        <w:rPr>
          <w:spacing w:val="-3"/>
        </w:rPr>
        <w:t> </w:t>
      </w:r>
      <w:r>
        <w:rPr/>
        <w:t>observan</w:t>
      </w:r>
      <w:r>
        <w:rPr>
          <w:spacing w:val="-2"/>
        </w:rPr>
        <w:t> </w:t>
      </w:r>
      <w:r>
        <w:rPr/>
        <w:t>las cifras</w:t>
      </w:r>
      <w:r>
        <w:rPr>
          <w:spacing w:val="-1"/>
        </w:rPr>
        <w:t> </w:t>
      </w:r>
      <w:r>
        <w:rPr/>
        <w:t>del TNE</w:t>
      </w:r>
      <w:r>
        <w:rPr>
          <w:spacing w:val="-1"/>
        </w:rPr>
        <w:t> </w:t>
      </w:r>
      <w:r>
        <w:rPr/>
        <w:t>para el</w:t>
      </w:r>
      <w:r>
        <w:rPr>
          <w:spacing w:val="-3"/>
        </w:rPr>
        <w:t> </w:t>
      </w:r>
      <w:r>
        <w:rPr/>
        <w:t>período</w:t>
      </w:r>
      <w:r>
        <w:rPr>
          <w:spacing w:val="-3"/>
        </w:rPr>
        <w:t> </w:t>
      </w:r>
      <w:r>
        <w:rPr/>
        <w:t>2017-2020.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tabs>
          <w:tab w:pos="9725" w:val="left" w:leader="none"/>
        </w:tabs>
        <w:spacing w:before="1" w:after="11"/>
        <w:ind w:left="278" w:right="1032"/>
        <w:jc w:val="both"/>
      </w:pPr>
      <w:r>
        <w:rPr/>
        <w:t>Tabla</w:t>
      </w:r>
      <w:r>
        <w:rPr>
          <w:spacing w:val="1"/>
        </w:rPr>
        <w:t> </w:t>
      </w:r>
      <w:r>
        <w:rPr/>
        <w:t>Nº.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Cobertura: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Bruta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Académico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u w:val="single"/>
        </w:rPr>
        <w:t>Departamento</w:t>
      </w:r>
      <w:r>
        <w:rPr>
          <w:spacing w:val="-3"/>
          <w:u w:val="single"/>
        </w:rPr>
        <w:t> </w:t>
      </w:r>
      <w:r>
        <w:rPr>
          <w:u w:val="single"/>
        </w:rPr>
        <w:t>de</w:t>
      </w:r>
      <w:r>
        <w:rPr>
          <w:spacing w:val="-2"/>
          <w:u w:val="single"/>
        </w:rPr>
        <w:t> </w:t>
      </w:r>
      <w:r>
        <w:rPr>
          <w:u w:val="single"/>
        </w:rPr>
        <w:t>Jalapa</w:t>
        <w:tab/>
      </w:r>
    </w:p>
    <w:tbl>
      <w:tblPr>
        <w:tblW w:w="0" w:type="auto"/>
        <w:jc w:val="left"/>
        <w:tblInd w:w="2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4"/>
        <w:gridCol w:w="2876"/>
        <w:gridCol w:w="1457"/>
        <w:gridCol w:w="1184"/>
        <w:gridCol w:w="1182"/>
        <w:gridCol w:w="1558"/>
      </w:tblGrid>
      <w:tr>
        <w:trPr>
          <w:trHeight w:val="396" w:hRule="atLeast"/>
        </w:trPr>
        <w:tc>
          <w:tcPr>
            <w:tcW w:w="9441" w:type="dxa"/>
            <w:gridSpan w:val="6"/>
            <w:tcBorders>
              <w:top w:val="nil"/>
              <w:bottom w:val="single" w:sz="6" w:space="0" w:color="000000"/>
              <w:right w:val="nil"/>
            </w:tcBorders>
            <w:shd w:val="clear" w:color="auto" w:fill="F1F1F1"/>
          </w:tcPr>
          <w:p>
            <w:pPr>
              <w:pStyle w:val="TableParagraph"/>
              <w:spacing w:before="84"/>
              <w:ind w:left="3176" w:right="31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25"/>
                <w:sz w:val="20"/>
              </w:rPr>
              <w:t>Departamento</w:t>
            </w:r>
            <w:r>
              <w:rPr>
                <w:rFonts w:ascii="Arial"/>
                <w:b/>
                <w:spacing w:val="47"/>
                <w:w w:val="125"/>
                <w:sz w:val="20"/>
              </w:rPr>
              <w:t> </w:t>
            </w:r>
            <w:r>
              <w:rPr>
                <w:rFonts w:ascii="Arial"/>
                <w:b/>
                <w:w w:val="125"/>
                <w:sz w:val="20"/>
              </w:rPr>
              <w:t>de</w:t>
            </w:r>
            <w:r>
              <w:rPr>
                <w:rFonts w:ascii="Arial"/>
                <w:b/>
                <w:spacing w:val="68"/>
                <w:w w:val="125"/>
                <w:sz w:val="20"/>
              </w:rPr>
              <w:t> </w:t>
            </w:r>
            <w:r>
              <w:rPr>
                <w:rFonts w:ascii="Arial"/>
                <w:b/>
                <w:w w:val="125"/>
                <w:sz w:val="20"/>
              </w:rPr>
              <w:t>Ja</w:t>
            </w:r>
            <w:r>
              <w:rPr>
                <w:rFonts w:ascii="Arial"/>
                <w:b/>
                <w:spacing w:val="-30"/>
                <w:w w:val="125"/>
                <w:sz w:val="20"/>
              </w:rPr>
              <w:t> </w:t>
            </w:r>
            <w:r>
              <w:rPr>
                <w:rFonts w:ascii="Arial"/>
                <w:b/>
                <w:w w:val="125"/>
                <w:sz w:val="20"/>
              </w:rPr>
              <w:t>lapa</w:t>
            </w:r>
          </w:p>
        </w:tc>
      </w:tr>
      <w:tr>
        <w:trPr>
          <w:trHeight w:val="395" w:hRule="atLeast"/>
        </w:trPr>
        <w:tc>
          <w:tcPr>
            <w:tcW w:w="11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before="96"/>
              <w:ind w:left="355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w w:val="120"/>
                <w:sz w:val="16"/>
              </w:rPr>
              <w:t>Años</w:t>
            </w:r>
          </w:p>
        </w:tc>
        <w:tc>
          <w:tcPr>
            <w:tcW w:w="28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before="106"/>
              <w:ind w:left="170" w:right="18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25"/>
                <w:sz w:val="16"/>
              </w:rPr>
              <w:t>Índicadores</w:t>
            </w:r>
            <w:r>
              <w:rPr>
                <w:rFonts w:ascii="Arial" w:hAnsi="Arial"/>
                <w:b/>
                <w:spacing w:val="-11"/>
                <w:w w:val="125"/>
                <w:sz w:val="16"/>
              </w:rPr>
              <w:t> </w:t>
            </w:r>
            <w:r>
              <w:rPr>
                <w:rFonts w:ascii="Arial" w:hAnsi="Arial"/>
                <w:b/>
                <w:w w:val="125"/>
                <w:sz w:val="16"/>
              </w:rPr>
              <w:t>de</w:t>
            </w:r>
            <w:r>
              <w:rPr>
                <w:rFonts w:ascii="Arial" w:hAnsi="Arial"/>
                <w:b/>
                <w:spacing w:val="47"/>
                <w:w w:val="125"/>
                <w:sz w:val="16"/>
              </w:rPr>
              <w:t> </w:t>
            </w:r>
            <w:r>
              <w:rPr>
                <w:rFonts w:ascii="Arial" w:hAnsi="Arial"/>
                <w:b/>
                <w:w w:val="125"/>
                <w:sz w:val="16"/>
              </w:rPr>
              <w:t>Cobertura</w:t>
            </w:r>
          </w:p>
        </w:tc>
        <w:tc>
          <w:tcPr>
            <w:tcW w:w="145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before="106"/>
              <w:ind w:left="139" w:right="10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25"/>
                <w:sz w:val="16"/>
              </w:rPr>
              <w:t>Preprima</w:t>
            </w:r>
            <w:r>
              <w:rPr>
                <w:rFonts w:ascii="Arial"/>
                <w:b/>
                <w:spacing w:val="-34"/>
                <w:w w:val="125"/>
                <w:sz w:val="16"/>
              </w:rPr>
              <w:t> </w:t>
            </w:r>
            <w:r>
              <w:rPr>
                <w:rFonts w:ascii="Arial"/>
                <w:b/>
                <w:spacing w:val="-4"/>
                <w:w w:val="125"/>
                <w:sz w:val="16"/>
              </w:rPr>
              <w:t>ria</w:t>
            </w:r>
          </w:p>
        </w:tc>
        <w:tc>
          <w:tcPr>
            <w:tcW w:w="11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before="106"/>
              <w:ind w:right="20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8"/>
                <w:w w:val="125"/>
                <w:sz w:val="16"/>
              </w:rPr>
              <w:t>Prima</w:t>
            </w:r>
            <w:r>
              <w:rPr>
                <w:rFonts w:ascii="Arial"/>
                <w:b/>
                <w:spacing w:val="-35"/>
                <w:w w:val="125"/>
                <w:sz w:val="16"/>
              </w:rPr>
              <w:t> </w:t>
            </w:r>
            <w:r>
              <w:rPr>
                <w:rFonts w:ascii="Arial"/>
                <w:b/>
                <w:spacing w:val="-7"/>
                <w:w w:val="125"/>
                <w:sz w:val="16"/>
              </w:rPr>
              <w:t>ria</w:t>
            </w:r>
          </w:p>
        </w:tc>
        <w:tc>
          <w:tcPr>
            <w:tcW w:w="11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before="106"/>
              <w:ind w:left="243" w:right="24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8"/>
                <w:w w:val="125"/>
                <w:sz w:val="16"/>
              </w:rPr>
              <w:t>Bá</w:t>
            </w:r>
            <w:r>
              <w:rPr>
                <w:rFonts w:ascii="Arial" w:hAnsi="Arial"/>
                <w:b/>
                <w:spacing w:val="-35"/>
                <w:w w:val="125"/>
                <w:sz w:val="16"/>
              </w:rPr>
              <w:t> </w:t>
            </w:r>
            <w:r>
              <w:rPr>
                <w:rFonts w:ascii="Arial" w:hAnsi="Arial"/>
                <w:b/>
                <w:spacing w:val="-7"/>
                <w:w w:val="125"/>
                <w:sz w:val="16"/>
              </w:rPr>
              <w:t>sico</w:t>
            </w:r>
          </w:p>
        </w:tc>
        <w:tc>
          <w:tcPr>
            <w:tcW w:w="1558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F1F1F1"/>
          </w:tcPr>
          <w:p>
            <w:pPr>
              <w:pStyle w:val="TableParagraph"/>
              <w:spacing w:before="106"/>
              <w:ind w:left="138" w:right="1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3"/>
                <w:w w:val="125"/>
                <w:sz w:val="16"/>
              </w:rPr>
              <w:t>Diversifica</w:t>
            </w:r>
            <w:r>
              <w:rPr>
                <w:rFonts w:ascii="Arial"/>
                <w:b/>
                <w:spacing w:val="-34"/>
                <w:w w:val="125"/>
                <w:sz w:val="16"/>
              </w:rPr>
              <w:t> </w:t>
            </w:r>
            <w:r>
              <w:rPr>
                <w:rFonts w:ascii="Arial"/>
                <w:b/>
                <w:spacing w:val="-2"/>
                <w:w w:val="125"/>
                <w:sz w:val="16"/>
              </w:rPr>
              <w:t>do</w:t>
            </w:r>
          </w:p>
        </w:tc>
      </w:tr>
      <w:tr>
        <w:trPr>
          <w:trHeight w:val="396" w:hRule="atLeast"/>
        </w:trPr>
        <w:tc>
          <w:tcPr>
            <w:tcW w:w="1184" w:type="dxa"/>
            <w:vMerge w:val="restart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before="1"/>
              <w:ind w:left="372"/>
              <w:rPr>
                <w:rFonts w:ascii="Verdana"/>
                <w:sz w:val="16"/>
              </w:rPr>
            </w:pPr>
            <w:r>
              <w:rPr>
                <w:rFonts w:ascii="Verdana"/>
                <w:w w:val="110"/>
                <w:sz w:val="16"/>
              </w:rPr>
              <w:t>2017</w:t>
            </w:r>
          </w:p>
        </w:tc>
        <w:tc>
          <w:tcPr>
            <w:tcW w:w="287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20"/>
              <w:ind w:left="166" w:right="18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1D7CB3"/>
                <w:spacing w:val="-4"/>
                <w:w w:val="125"/>
                <w:sz w:val="13"/>
              </w:rPr>
              <w:t>Ta</w:t>
            </w:r>
            <w:r>
              <w:rPr>
                <w:rFonts w:ascii="Arial"/>
                <w:b/>
                <w:color w:val="1D7CB3"/>
                <w:spacing w:val="-29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3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3"/>
              </w:rPr>
              <w:t>Bruta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3"/>
              </w:rPr>
              <w:t>de</w:t>
            </w:r>
            <w:r>
              <w:rPr>
                <w:rFonts w:ascii="Arial"/>
                <w:b/>
                <w:color w:val="1D7CB3"/>
                <w:spacing w:val="13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3"/>
              </w:rPr>
              <w:t>Cobertura</w:t>
            </w:r>
          </w:p>
        </w:tc>
        <w:tc>
          <w:tcPr>
            <w:tcW w:w="145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6"/>
              <w:ind w:left="139" w:right="127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82,07%</w:t>
            </w:r>
          </w:p>
        </w:tc>
        <w:tc>
          <w:tcPr>
            <w:tcW w:w="118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6"/>
              <w:ind w:right="249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102,87%</w:t>
            </w:r>
          </w:p>
        </w:tc>
        <w:tc>
          <w:tcPr>
            <w:tcW w:w="118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6"/>
              <w:ind w:left="244" w:right="215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58,27%</w:t>
            </w:r>
          </w:p>
        </w:tc>
        <w:tc>
          <w:tcPr>
            <w:tcW w:w="1558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106"/>
              <w:ind w:left="138" w:right="128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26,59%</w:t>
            </w:r>
          </w:p>
        </w:tc>
      </w:tr>
      <w:tr>
        <w:trPr>
          <w:trHeight w:val="395" w:hRule="atLeast"/>
        </w:trPr>
        <w:tc>
          <w:tcPr>
            <w:tcW w:w="1184" w:type="dxa"/>
            <w:vMerge/>
            <w:tcBorders>
              <w:top w:val="nil"/>
              <w:bottom w:val="single" w:sz="6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AEDF3"/>
          </w:tcPr>
          <w:p>
            <w:pPr>
              <w:pStyle w:val="TableParagraph"/>
              <w:spacing w:before="120"/>
              <w:ind w:left="147" w:right="18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1D7CB3"/>
                <w:spacing w:val="-1"/>
                <w:w w:val="125"/>
                <w:sz w:val="13"/>
              </w:rPr>
              <w:t>Ta</w:t>
            </w:r>
            <w:r>
              <w:rPr>
                <w:rFonts w:ascii="Arial"/>
                <w:b/>
                <w:color w:val="1D7CB3"/>
                <w:spacing w:val="-29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3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3"/>
              </w:rPr>
              <w:t>Neta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3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w w:val="125"/>
                <w:sz w:val="13"/>
              </w:rPr>
              <w:t>Cobertura</w:t>
            </w:r>
          </w:p>
        </w:tc>
        <w:tc>
          <w:tcPr>
            <w:tcW w:w="145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AEDF3"/>
          </w:tcPr>
          <w:p>
            <w:pPr>
              <w:pStyle w:val="TableParagraph"/>
              <w:spacing w:before="105"/>
              <w:ind w:left="139" w:right="127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58,80%</w:t>
            </w:r>
          </w:p>
        </w:tc>
        <w:tc>
          <w:tcPr>
            <w:tcW w:w="11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AEDF3"/>
          </w:tcPr>
          <w:p>
            <w:pPr>
              <w:pStyle w:val="TableParagraph"/>
              <w:spacing w:before="105"/>
              <w:ind w:right="28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86,82%</w:t>
            </w:r>
          </w:p>
        </w:tc>
        <w:tc>
          <w:tcPr>
            <w:tcW w:w="11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AEDF3"/>
          </w:tcPr>
          <w:p>
            <w:pPr>
              <w:pStyle w:val="TableParagraph"/>
              <w:spacing w:before="105"/>
              <w:ind w:left="244" w:right="215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36,56%</w:t>
            </w:r>
          </w:p>
        </w:tc>
        <w:tc>
          <w:tcPr>
            <w:tcW w:w="1558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DAEDF3"/>
          </w:tcPr>
          <w:p>
            <w:pPr>
              <w:pStyle w:val="TableParagraph"/>
              <w:spacing w:before="105"/>
              <w:ind w:left="138" w:right="128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17,60%</w:t>
            </w:r>
          </w:p>
        </w:tc>
      </w:tr>
      <w:tr>
        <w:trPr>
          <w:trHeight w:val="395" w:hRule="atLeast"/>
        </w:trPr>
        <w:tc>
          <w:tcPr>
            <w:tcW w:w="1184" w:type="dxa"/>
            <w:vMerge w:val="restart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372"/>
              <w:rPr>
                <w:rFonts w:ascii="Verdana"/>
                <w:sz w:val="16"/>
              </w:rPr>
            </w:pPr>
            <w:r>
              <w:rPr>
                <w:rFonts w:ascii="Verdana"/>
                <w:w w:val="110"/>
                <w:sz w:val="16"/>
              </w:rPr>
              <w:t>2018</w:t>
            </w:r>
          </w:p>
        </w:tc>
        <w:tc>
          <w:tcPr>
            <w:tcW w:w="287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20"/>
              <w:ind w:left="166" w:right="18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1D7CB3"/>
                <w:spacing w:val="-4"/>
                <w:w w:val="125"/>
                <w:sz w:val="13"/>
              </w:rPr>
              <w:t>Ta</w:t>
            </w:r>
            <w:r>
              <w:rPr>
                <w:rFonts w:ascii="Arial"/>
                <w:b/>
                <w:color w:val="1D7CB3"/>
                <w:spacing w:val="-29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3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3"/>
              </w:rPr>
              <w:t>Bruta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3"/>
              </w:rPr>
              <w:t>de</w:t>
            </w:r>
            <w:r>
              <w:rPr>
                <w:rFonts w:ascii="Arial"/>
                <w:b/>
                <w:color w:val="1D7CB3"/>
                <w:spacing w:val="13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3"/>
              </w:rPr>
              <w:t>Cobertura</w:t>
            </w:r>
          </w:p>
        </w:tc>
        <w:tc>
          <w:tcPr>
            <w:tcW w:w="145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6"/>
              <w:ind w:left="139" w:right="127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89,26%</w:t>
            </w:r>
          </w:p>
        </w:tc>
        <w:tc>
          <w:tcPr>
            <w:tcW w:w="118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6"/>
              <w:ind w:right="249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104,61%</w:t>
            </w:r>
          </w:p>
        </w:tc>
        <w:tc>
          <w:tcPr>
            <w:tcW w:w="118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6"/>
              <w:ind w:left="244" w:right="215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59,64%</w:t>
            </w:r>
          </w:p>
        </w:tc>
        <w:tc>
          <w:tcPr>
            <w:tcW w:w="1558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106"/>
              <w:ind w:left="138" w:right="128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28,64%</w:t>
            </w:r>
          </w:p>
        </w:tc>
      </w:tr>
      <w:tr>
        <w:trPr>
          <w:trHeight w:val="396" w:hRule="atLeast"/>
        </w:trPr>
        <w:tc>
          <w:tcPr>
            <w:tcW w:w="1184" w:type="dxa"/>
            <w:vMerge/>
            <w:tcBorders>
              <w:top w:val="nil"/>
              <w:bottom w:val="single" w:sz="6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AEDF3"/>
          </w:tcPr>
          <w:p>
            <w:pPr>
              <w:pStyle w:val="TableParagraph"/>
              <w:spacing w:before="120"/>
              <w:ind w:left="147" w:right="18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1D7CB3"/>
                <w:spacing w:val="-1"/>
                <w:w w:val="125"/>
                <w:sz w:val="13"/>
              </w:rPr>
              <w:t>Ta</w:t>
            </w:r>
            <w:r>
              <w:rPr>
                <w:rFonts w:ascii="Arial"/>
                <w:b/>
                <w:color w:val="1D7CB3"/>
                <w:spacing w:val="-29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3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3"/>
              </w:rPr>
              <w:t>Neta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3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w w:val="125"/>
                <w:sz w:val="13"/>
              </w:rPr>
              <w:t>Cobertura</w:t>
            </w:r>
          </w:p>
        </w:tc>
        <w:tc>
          <w:tcPr>
            <w:tcW w:w="145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AEDF3"/>
          </w:tcPr>
          <w:p>
            <w:pPr>
              <w:pStyle w:val="TableParagraph"/>
              <w:spacing w:before="111"/>
              <w:ind w:left="139" w:right="10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333333"/>
                <w:w w:val="130"/>
                <w:sz w:val="14"/>
              </w:rPr>
              <w:t>64,86%</w:t>
            </w:r>
          </w:p>
        </w:tc>
        <w:tc>
          <w:tcPr>
            <w:tcW w:w="11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AEDF3"/>
          </w:tcPr>
          <w:p>
            <w:pPr>
              <w:pStyle w:val="TableParagraph"/>
              <w:spacing w:before="106"/>
              <w:ind w:right="28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88,36%</w:t>
            </w:r>
          </w:p>
        </w:tc>
        <w:tc>
          <w:tcPr>
            <w:tcW w:w="11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AEDF3"/>
          </w:tcPr>
          <w:p>
            <w:pPr>
              <w:pStyle w:val="TableParagraph"/>
              <w:spacing w:before="111"/>
              <w:ind w:left="244" w:right="22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333333"/>
                <w:w w:val="130"/>
                <w:sz w:val="14"/>
              </w:rPr>
              <w:t>38,10%</w:t>
            </w:r>
          </w:p>
        </w:tc>
        <w:tc>
          <w:tcPr>
            <w:tcW w:w="1558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DAEDF3"/>
          </w:tcPr>
          <w:p>
            <w:pPr>
              <w:pStyle w:val="TableParagraph"/>
              <w:spacing w:before="106"/>
              <w:ind w:left="138" w:right="128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18,86%</w:t>
            </w:r>
          </w:p>
        </w:tc>
      </w:tr>
      <w:tr>
        <w:trPr>
          <w:trHeight w:val="395" w:hRule="atLeast"/>
        </w:trPr>
        <w:tc>
          <w:tcPr>
            <w:tcW w:w="1184" w:type="dxa"/>
            <w:vMerge w:val="restart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372"/>
              <w:rPr>
                <w:rFonts w:ascii="Verdana"/>
                <w:sz w:val="16"/>
              </w:rPr>
            </w:pPr>
            <w:r>
              <w:rPr>
                <w:rFonts w:ascii="Verdana"/>
                <w:w w:val="110"/>
                <w:sz w:val="16"/>
              </w:rPr>
              <w:t>2019</w:t>
            </w:r>
          </w:p>
        </w:tc>
        <w:tc>
          <w:tcPr>
            <w:tcW w:w="287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20"/>
              <w:ind w:left="166" w:right="18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1D7CB3"/>
                <w:spacing w:val="-4"/>
                <w:w w:val="125"/>
                <w:sz w:val="13"/>
              </w:rPr>
              <w:t>Ta</w:t>
            </w:r>
            <w:r>
              <w:rPr>
                <w:rFonts w:ascii="Arial"/>
                <w:b/>
                <w:color w:val="1D7CB3"/>
                <w:spacing w:val="-29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3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3"/>
              </w:rPr>
              <w:t>Bruta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3"/>
              </w:rPr>
              <w:t>de</w:t>
            </w:r>
            <w:r>
              <w:rPr>
                <w:rFonts w:ascii="Arial"/>
                <w:b/>
                <w:color w:val="1D7CB3"/>
                <w:spacing w:val="13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3"/>
              </w:rPr>
              <w:t>Cobertura</w:t>
            </w:r>
          </w:p>
        </w:tc>
        <w:tc>
          <w:tcPr>
            <w:tcW w:w="145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left="139" w:right="127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86,20%</w:t>
            </w:r>
          </w:p>
        </w:tc>
        <w:tc>
          <w:tcPr>
            <w:tcW w:w="118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249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103,40%</w:t>
            </w:r>
          </w:p>
        </w:tc>
        <w:tc>
          <w:tcPr>
            <w:tcW w:w="118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left="244" w:right="215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58,50%</w:t>
            </w:r>
          </w:p>
        </w:tc>
        <w:tc>
          <w:tcPr>
            <w:tcW w:w="1558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105"/>
              <w:ind w:left="138" w:right="128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28,88%</w:t>
            </w:r>
          </w:p>
        </w:tc>
      </w:tr>
      <w:tr>
        <w:trPr>
          <w:trHeight w:val="395" w:hRule="atLeast"/>
        </w:trPr>
        <w:tc>
          <w:tcPr>
            <w:tcW w:w="1184" w:type="dxa"/>
            <w:vMerge/>
            <w:tcBorders>
              <w:top w:val="nil"/>
              <w:bottom w:val="single" w:sz="6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AEDF3"/>
          </w:tcPr>
          <w:p>
            <w:pPr>
              <w:pStyle w:val="TableParagraph"/>
              <w:spacing w:before="120"/>
              <w:ind w:left="147" w:right="18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1D7CB3"/>
                <w:spacing w:val="-1"/>
                <w:w w:val="125"/>
                <w:sz w:val="13"/>
              </w:rPr>
              <w:t>Ta</w:t>
            </w:r>
            <w:r>
              <w:rPr>
                <w:rFonts w:ascii="Arial"/>
                <w:b/>
                <w:color w:val="1D7CB3"/>
                <w:spacing w:val="-29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3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3"/>
              </w:rPr>
              <w:t>Neta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3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w w:val="125"/>
                <w:sz w:val="13"/>
              </w:rPr>
              <w:t>Cobertura</w:t>
            </w:r>
          </w:p>
        </w:tc>
        <w:tc>
          <w:tcPr>
            <w:tcW w:w="145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AEDF3"/>
          </w:tcPr>
          <w:p>
            <w:pPr>
              <w:pStyle w:val="TableParagraph"/>
              <w:spacing w:before="106"/>
              <w:ind w:left="139" w:right="127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62,22%</w:t>
            </w:r>
          </w:p>
        </w:tc>
        <w:tc>
          <w:tcPr>
            <w:tcW w:w="11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AEDF3"/>
          </w:tcPr>
          <w:p>
            <w:pPr>
              <w:pStyle w:val="TableParagraph"/>
              <w:spacing w:before="106"/>
              <w:ind w:right="28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88,12%</w:t>
            </w:r>
          </w:p>
        </w:tc>
        <w:tc>
          <w:tcPr>
            <w:tcW w:w="11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AEDF3"/>
          </w:tcPr>
          <w:p>
            <w:pPr>
              <w:pStyle w:val="TableParagraph"/>
              <w:spacing w:before="106"/>
              <w:ind w:left="244" w:right="215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37,76%</w:t>
            </w:r>
          </w:p>
        </w:tc>
        <w:tc>
          <w:tcPr>
            <w:tcW w:w="1558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DAEDF3"/>
          </w:tcPr>
          <w:p>
            <w:pPr>
              <w:pStyle w:val="TableParagraph"/>
              <w:spacing w:before="106"/>
              <w:ind w:left="138" w:right="128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18,79%</w:t>
            </w:r>
          </w:p>
        </w:tc>
      </w:tr>
      <w:tr>
        <w:trPr>
          <w:trHeight w:val="396" w:hRule="atLeast"/>
        </w:trPr>
        <w:tc>
          <w:tcPr>
            <w:tcW w:w="1184" w:type="dxa"/>
            <w:vMerge w:val="restart"/>
            <w:tcBorders>
              <w:top w:val="single" w:sz="6" w:space="0" w:color="000000"/>
              <w:bottom w:val="nil"/>
            </w:tcBorders>
            <w:shd w:val="clear" w:color="auto" w:fill="F1F1F1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before="1"/>
              <w:ind w:left="372"/>
              <w:rPr>
                <w:rFonts w:ascii="Verdana"/>
                <w:sz w:val="16"/>
              </w:rPr>
            </w:pPr>
            <w:r>
              <w:rPr>
                <w:rFonts w:ascii="Verdana"/>
                <w:w w:val="110"/>
                <w:sz w:val="16"/>
              </w:rPr>
              <w:t>2020</w:t>
            </w:r>
          </w:p>
        </w:tc>
        <w:tc>
          <w:tcPr>
            <w:tcW w:w="287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20"/>
              <w:ind w:left="166" w:right="18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1D7CB3"/>
                <w:spacing w:val="-4"/>
                <w:w w:val="125"/>
                <w:sz w:val="13"/>
              </w:rPr>
              <w:t>Ta</w:t>
            </w:r>
            <w:r>
              <w:rPr>
                <w:rFonts w:ascii="Arial"/>
                <w:b/>
                <w:color w:val="1D7CB3"/>
                <w:spacing w:val="-29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3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3"/>
              </w:rPr>
              <w:t>Bruta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3"/>
              </w:rPr>
              <w:t>de</w:t>
            </w:r>
            <w:r>
              <w:rPr>
                <w:rFonts w:ascii="Arial"/>
                <w:b/>
                <w:color w:val="1D7CB3"/>
                <w:spacing w:val="13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3"/>
              </w:rPr>
              <w:t>Cobertura</w:t>
            </w:r>
          </w:p>
        </w:tc>
        <w:tc>
          <w:tcPr>
            <w:tcW w:w="145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6"/>
              <w:ind w:left="139" w:right="127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83,52%</w:t>
            </w:r>
          </w:p>
        </w:tc>
        <w:tc>
          <w:tcPr>
            <w:tcW w:w="118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6"/>
              <w:ind w:right="249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103,52%</w:t>
            </w:r>
          </w:p>
        </w:tc>
        <w:tc>
          <w:tcPr>
            <w:tcW w:w="118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6"/>
              <w:ind w:left="244" w:right="215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57,16%</w:t>
            </w:r>
          </w:p>
        </w:tc>
        <w:tc>
          <w:tcPr>
            <w:tcW w:w="1558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106"/>
              <w:ind w:left="138" w:right="128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29,26%</w:t>
            </w:r>
          </w:p>
        </w:tc>
      </w:tr>
      <w:tr>
        <w:trPr>
          <w:trHeight w:val="399" w:hRule="atLeast"/>
        </w:trPr>
        <w:tc>
          <w:tcPr>
            <w:tcW w:w="1184" w:type="dxa"/>
            <w:vMerge/>
            <w:tcBorders>
              <w:top w:val="nil"/>
              <w:bottom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tcBorders>
              <w:top w:val="single" w:sz="6" w:space="0" w:color="000000"/>
              <w:bottom w:val="nil"/>
            </w:tcBorders>
            <w:shd w:val="clear" w:color="auto" w:fill="DAEDF3"/>
          </w:tcPr>
          <w:p>
            <w:pPr>
              <w:pStyle w:val="TableParagraph"/>
              <w:spacing w:before="120"/>
              <w:ind w:left="147" w:right="18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1D7CB3"/>
                <w:spacing w:val="-1"/>
                <w:w w:val="125"/>
                <w:sz w:val="13"/>
              </w:rPr>
              <w:t>Ta</w:t>
            </w:r>
            <w:r>
              <w:rPr>
                <w:rFonts w:ascii="Arial"/>
                <w:b/>
                <w:color w:val="1D7CB3"/>
                <w:spacing w:val="-29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3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3"/>
              </w:rPr>
              <w:t>Neta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3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w w:val="125"/>
                <w:sz w:val="13"/>
              </w:rPr>
              <w:t>Cobertura</w:t>
            </w:r>
          </w:p>
        </w:tc>
        <w:tc>
          <w:tcPr>
            <w:tcW w:w="1457" w:type="dxa"/>
            <w:tcBorders>
              <w:top w:val="single" w:sz="6" w:space="0" w:color="000000"/>
              <w:bottom w:val="nil"/>
            </w:tcBorders>
            <w:shd w:val="clear" w:color="auto" w:fill="DAEDF3"/>
          </w:tcPr>
          <w:p>
            <w:pPr>
              <w:pStyle w:val="TableParagraph"/>
              <w:spacing w:before="105"/>
              <w:ind w:left="139" w:right="127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61,69%</w:t>
            </w:r>
          </w:p>
        </w:tc>
        <w:tc>
          <w:tcPr>
            <w:tcW w:w="1184" w:type="dxa"/>
            <w:tcBorders>
              <w:top w:val="single" w:sz="6" w:space="0" w:color="000000"/>
              <w:bottom w:val="nil"/>
            </w:tcBorders>
            <w:shd w:val="clear" w:color="auto" w:fill="DAEDF3"/>
          </w:tcPr>
          <w:p>
            <w:pPr>
              <w:pStyle w:val="TableParagraph"/>
              <w:spacing w:before="111"/>
              <w:ind w:right="26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333333"/>
                <w:w w:val="130"/>
                <w:sz w:val="14"/>
              </w:rPr>
              <w:t>88,62%</w:t>
            </w:r>
          </w:p>
        </w:tc>
        <w:tc>
          <w:tcPr>
            <w:tcW w:w="1182" w:type="dxa"/>
            <w:tcBorders>
              <w:top w:val="single" w:sz="6" w:space="0" w:color="000000"/>
              <w:bottom w:val="nil"/>
            </w:tcBorders>
            <w:shd w:val="clear" w:color="auto" w:fill="DAEDF3"/>
          </w:tcPr>
          <w:p>
            <w:pPr>
              <w:pStyle w:val="TableParagraph"/>
              <w:spacing w:before="105"/>
              <w:ind w:left="244" w:right="215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37,15%</w:t>
            </w:r>
          </w:p>
        </w:tc>
        <w:tc>
          <w:tcPr>
            <w:tcW w:w="1558" w:type="dxa"/>
            <w:tcBorders>
              <w:top w:val="single" w:sz="6" w:space="0" w:color="000000"/>
              <w:bottom w:val="nil"/>
              <w:right w:val="nil"/>
            </w:tcBorders>
            <w:shd w:val="clear" w:color="auto" w:fill="DAEDF3"/>
          </w:tcPr>
          <w:p>
            <w:pPr>
              <w:pStyle w:val="TableParagraph"/>
              <w:spacing w:before="105"/>
              <w:ind w:left="138" w:right="128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333333"/>
                <w:w w:val="125"/>
                <w:sz w:val="13"/>
              </w:rPr>
              <w:t>19,05%</w:t>
            </w:r>
          </w:p>
        </w:tc>
      </w:tr>
    </w:tbl>
    <w:p>
      <w:pPr>
        <w:spacing w:before="2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2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2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78" w:right="1074"/>
        <w:jc w:val="both"/>
      </w:pPr>
      <w:r>
        <w:rPr/>
        <w:t>La educación preprimaria reporta una alta cobertura durante el periodo 2017‐2020, con una TNE de</w:t>
      </w:r>
      <w:r>
        <w:rPr>
          <w:spacing w:val="1"/>
        </w:rPr>
        <w:t> </w:t>
      </w:r>
      <w:r>
        <w:rPr/>
        <w:t>(58.80%), (64.86%), (62.22%) y (61.169%) respectivamente durante los años indicados. Esto denota una</w:t>
      </w:r>
      <w:r>
        <w:rPr>
          <w:spacing w:val="1"/>
        </w:rPr>
        <w:t> </w:t>
      </w:r>
      <w:r>
        <w:rPr/>
        <w:t>TN promedio del 61.82%, lo cual quiere decir que, de cada 10 niños, 6 están accediendo a este nivel.</w:t>
      </w:r>
      <w:r>
        <w:rPr>
          <w:spacing w:val="1"/>
        </w:rPr>
        <w:t> </w:t>
      </w:r>
      <w:r>
        <w:rPr/>
        <w:t>Además,</w:t>
      </w:r>
      <w:r>
        <w:rPr>
          <w:spacing w:val="-4"/>
        </w:rPr>
        <w:t> </w:t>
      </w:r>
      <w:r>
        <w:rPr/>
        <w:t>de evidenciar</w:t>
      </w:r>
      <w:r>
        <w:rPr>
          <w:spacing w:val="-4"/>
        </w:rPr>
        <w:t> </w:t>
      </w:r>
      <w:r>
        <w:rPr/>
        <w:t>un</w:t>
      </w:r>
      <w:r>
        <w:rPr>
          <w:spacing w:val="-3"/>
        </w:rPr>
        <w:t> </w:t>
      </w:r>
      <w:r>
        <w:rPr/>
        <w:t>15%</w:t>
      </w:r>
      <w:r>
        <w:rPr>
          <w:spacing w:val="-2"/>
        </w:rPr>
        <w:t> </w:t>
      </w:r>
      <w:r>
        <w:rPr/>
        <w:t>más con</w:t>
      </w:r>
      <w:r>
        <w:rPr>
          <w:spacing w:val="-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del</w:t>
      </w:r>
      <w:r>
        <w:rPr>
          <w:spacing w:val="-2"/>
        </w:rPr>
        <w:t> </w:t>
      </w:r>
      <w:r>
        <w:rPr/>
        <w:t>TNE Nacional</w:t>
      </w:r>
      <w:r>
        <w:rPr>
          <w:spacing w:val="-3"/>
        </w:rPr>
        <w:t> </w:t>
      </w:r>
      <w:r>
        <w:rPr/>
        <w:t>(47%).</w:t>
      </w:r>
    </w:p>
    <w:p>
      <w:pPr>
        <w:pStyle w:val="BodyText"/>
        <w:spacing w:before="1"/>
      </w:pPr>
    </w:p>
    <w:p>
      <w:pPr>
        <w:pStyle w:val="BodyText"/>
        <w:spacing w:before="1"/>
        <w:ind w:left="278" w:right="1075"/>
        <w:jc w:val="both"/>
      </w:pPr>
      <w:r>
        <w:rPr/>
        <w:t>En el nivel primaria se registran mayores valores de cobertura, que van de (86.82%), (88.36%), (88.12%) y</w:t>
      </w:r>
      <w:r>
        <w:rPr>
          <w:spacing w:val="-47"/>
        </w:rPr>
        <w:t> </w:t>
      </w:r>
      <w:r>
        <w:rPr/>
        <w:t>(88.62%), registrando el valor mayor durante el 2020. El valor promedio de la TNE de Jalapa (87.98%)</w:t>
      </w:r>
      <w:r>
        <w:rPr>
          <w:spacing w:val="1"/>
        </w:rPr>
        <w:t> </w:t>
      </w:r>
      <w:r>
        <w:rPr/>
        <w:t>durante el periodo fue mayor al TNE Nacional (77.5%) del último valor registrado en el 2019. Es decir,</w:t>
      </w:r>
      <w:r>
        <w:rPr>
          <w:spacing w:val="1"/>
        </w:rPr>
        <w:t> </w:t>
      </w:r>
      <w:r>
        <w:rPr/>
        <w:t>nueve de</w:t>
      </w:r>
      <w:r>
        <w:rPr>
          <w:spacing w:val="1"/>
        </w:rPr>
        <w:t> </w:t>
      </w:r>
      <w:r>
        <w:rPr/>
        <w:t>cada diez niños de</w:t>
      </w:r>
      <w:r>
        <w:rPr>
          <w:spacing w:val="1"/>
        </w:rPr>
        <w:t> </w:t>
      </w:r>
      <w:r>
        <w:rPr/>
        <w:t>Jalapa,</w:t>
      </w:r>
      <w:r>
        <w:rPr>
          <w:spacing w:val="-1"/>
        </w:rPr>
        <w:t> </w:t>
      </w:r>
      <w:r>
        <w:rPr/>
        <w:t>están en</w:t>
      </w:r>
      <w:r>
        <w:rPr>
          <w:spacing w:val="-2"/>
        </w:rPr>
        <w:t> </w:t>
      </w:r>
      <w:r>
        <w:rPr/>
        <w:t>el nivel primario.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1"/>
        <w:ind w:left="278" w:right="1071"/>
        <w:jc w:val="both"/>
      </w:pPr>
      <w:r>
        <w:rPr/>
        <w:t>En educación básica los valores promedio para el período presentan similitudes con los datos nacionales</w:t>
      </w:r>
      <w:r>
        <w:rPr>
          <w:spacing w:val="1"/>
        </w:rPr>
        <w:t> </w:t>
      </w:r>
      <w:r>
        <w:rPr/>
        <w:t>(TNE:45.49%), debido a que reportan valores que van desde (36.56%), (38.10%), (37.76%) y (37.15%),</w:t>
      </w:r>
      <w:r>
        <w:rPr>
          <w:spacing w:val="1"/>
        </w:rPr>
        <w:t> </w:t>
      </w:r>
      <w:r>
        <w:rPr/>
        <w:t>respectivamente para el período analizado. Esto significa que uno de cada 4 alumnos en Jalapa asiste al</w:t>
      </w:r>
      <w:r>
        <w:rPr>
          <w:spacing w:val="1"/>
        </w:rPr>
        <w:t> </w:t>
      </w:r>
      <w:r>
        <w:rPr/>
        <w:t>ciclo básico.</w:t>
      </w:r>
      <w:r>
        <w:rPr>
          <w:spacing w:val="1"/>
        </w:rPr>
        <w:t> </w:t>
      </w:r>
      <w:r>
        <w:rPr/>
        <w:t>Como se observa el promedio del departamento (37.39%), se encuentra por debajo del</w:t>
      </w:r>
      <w:r>
        <w:rPr>
          <w:spacing w:val="1"/>
        </w:rPr>
        <w:t> </w:t>
      </w:r>
      <w:r>
        <w:rPr/>
        <w:t>promedio nacional</w:t>
      </w:r>
      <w:r>
        <w:rPr>
          <w:spacing w:val="-3"/>
        </w:rPr>
        <w:t> </w:t>
      </w:r>
      <w:r>
        <w:rPr/>
        <w:t>en un -11%.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  <w:r>
        <w:rPr/>
        <w:pict>
          <v:rect style="position:absolute;margin-left:563.880005pt;margin-top:18.308451pt;width:25.44pt;height:1.4399pt;mso-position-horizontal-relative:page;mso-position-vertical-relative:paragraph;z-index:-1542041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156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2297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2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4"/>
        <w:jc w:val="both"/>
      </w:pPr>
      <w:r>
        <w:rPr>
          <w:spacing w:val="-1"/>
        </w:rPr>
        <w:t>Para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9"/>
        </w:rPr>
        <w:t> </w:t>
      </w:r>
      <w:r>
        <w:rPr/>
        <w:t>nivel</w:t>
      </w:r>
      <w:r>
        <w:rPr>
          <w:spacing w:val="-10"/>
        </w:rPr>
        <w:t> </w:t>
      </w:r>
      <w:r>
        <w:rPr/>
        <w:t>diversificado,</w:t>
      </w:r>
      <w:r>
        <w:rPr>
          <w:spacing w:val="-12"/>
        </w:rPr>
        <w:t> </w:t>
      </w:r>
      <w:r>
        <w:rPr/>
        <w:t>presenta</w:t>
      </w:r>
      <w:r>
        <w:rPr>
          <w:spacing w:val="-9"/>
        </w:rPr>
        <w:t> </w:t>
      </w:r>
      <w:r>
        <w:rPr/>
        <w:t>niveles</w:t>
      </w:r>
      <w:r>
        <w:rPr>
          <w:spacing w:val="-10"/>
        </w:rPr>
        <w:t> </w:t>
      </w:r>
      <w:r>
        <w:rPr/>
        <w:t>ligeramente</w:t>
      </w:r>
      <w:r>
        <w:rPr>
          <w:spacing w:val="-9"/>
        </w:rPr>
        <w:t> </w:t>
      </w:r>
      <w:r>
        <w:rPr/>
        <w:t>más</w:t>
      </w:r>
      <w:r>
        <w:rPr>
          <w:spacing w:val="-10"/>
        </w:rPr>
        <w:t> </w:t>
      </w:r>
      <w:r>
        <w:rPr/>
        <w:t>bajos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TNE</w:t>
      </w:r>
      <w:r>
        <w:rPr>
          <w:spacing w:val="-10"/>
        </w:rPr>
        <w:t> </w:t>
      </w:r>
      <w:r>
        <w:rPr/>
        <w:t>Nacional</w:t>
      </w:r>
      <w:r>
        <w:rPr>
          <w:spacing w:val="-10"/>
        </w:rPr>
        <w:t> </w:t>
      </w:r>
      <w:r>
        <w:rPr/>
        <w:t>(24%)</w:t>
      </w:r>
      <w:r>
        <w:rPr>
          <w:spacing w:val="-10"/>
        </w:rPr>
        <w:t> </w:t>
      </w:r>
      <w:r>
        <w:rPr/>
        <w:t>ya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posee</w:t>
      </w:r>
      <w:r>
        <w:rPr>
          <w:spacing w:val="-48"/>
        </w:rPr>
        <w:t> </w:t>
      </w:r>
      <w:r>
        <w:rPr/>
        <w:t>una</w:t>
      </w:r>
      <w:r>
        <w:rPr>
          <w:spacing w:val="-1"/>
        </w:rPr>
        <w:t> </w:t>
      </w:r>
      <w:r>
        <w:rPr/>
        <w:t>tasa promedio</w:t>
      </w:r>
      <w:r>
        <w:rPr>
          <w:spacing w:val="1"/>
        </w:rPr>
        <w:t> </w:t>
      </w:r>
      <w:r>
        <w:rPr/>
        <w:t>del 18%.</w:t>
      </w:r>
    </w:p>
    <w:p>
      <w:pPr>
        <w:pStyle w:val="BodyText"/>
      </w:pPr>
    </w:p>
    <w:p>
      <w:pPr>
        <w:pStyle w:val="BodyText"/>
        <w:ind w:left="278" w:right="1071"/>
        <w:jc w:val="both"/>
      </w:pPr>
      <w:r>
        <w:rPr/>
        <w:t>En Jalapa, la reducción de la población estudiantil para los niveles básico y</w:t>
      </w:r>
      <w:r>
        <w:rPr>
          <w:spacing w:val="1"/>
        </w:rPr>
        <w:t> </w:t>
      </w:r>
      <w:r>
        <w:rPr/>
        <w:t>diversificado se explica</w:t>
      </w:r>
      <w:r>
        <w:rPr>
          <w:spacing w:val="1"/>
        </w:rPr>
        <w:t> </w:t>
      </w:r>
      <w:r>
        <w:rPr/>
        <w:t>fundamentalmente</w:t>
      </w:r>
      <w:r>
        <w:rPr>
          <w:spacing w:val="-10"/>
        </w:rPr>
        <w:t> </w:t>
      </w:r>
      <w:r>
        <w:rPr/>
        <w:t>1.</w:t>
      </w:r>
      <w:r>
        <w:rPr>
          <w:spacing w:val="-9"/>
        </w:rPr>
        <w:t> </w:t>
      </w:r>
      <w:r>
        <w:rPr/>
        <w:t>No</w:t>
      </w:r>
      <w:r>
        <w:rPr>
          <w:spacing w:val="-8"/>
        </w:rPr>
        <w:t> </w:t>
      </w:r>
      <w:r>
        <w:rPr/>
        <w:t>le</w:t>
      </w:r>
      <w:r>
        <w:rPr>
          <w:spacing w:val="-10"/>
        </w:rPr>
        <w:t> </w:t>
      </w:r>
      <w:r>
        <w:rPr/>
        <w:t>interesa.</w:t>
      </w:r>
      <w:r>
        <w:rPr>
          <w:spacing w:val="-10"/>
        </w:rPr>
        <w:t> </w:t>
      </w:r>
      <w:r>
        <w:rPr/>
        <w:t>2.</w:t>
      </w:r>
      <w:r>
        <w:rPr>
          <w:spacing w:val="-11"/>
        </w:rPr>
        <w:t> </w:t>
      </w:r>
      <w:r>
        <w:rPr/>
        <w:t>Otros.</w:t>
      </w:r>
      <w:r>
        <w:rPr>
          <w:spacing w:val="-10"/>
        </w:rPr>
        <w:t> </w:t>
      </w:r>
      <w:r>
        <w:rPr/>
        <w:t>3.</w:t>
      </w:r>
      <w:r>
        <w:rPr>
          <w:spacing w:val="-9"/>
        </w:rPr>
        <w:t> </w:t>
      </w:r>
      <w:r>
        <w:rPr/>
        <w:t>Retiro</w:t>
      </w:r>
      <w:r>
        <w:rPr>
          <w:spacing w:val="-8"/>
        </w:rPr>
        <w:t> </w:t>
      </w:r>
      <w:r>
        <w:rPr/>
        <w:t>por</w:t>
      </w:r>
      <w:r>
        <w:rPr>
          <w:spacing w:val="-10"/>
        </w:rPr>
        <w:t> </w:t>
      </w:r>
      <w:r>
        <w:rPr/>
        <w:t>Traslado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4.</w:t>
      </w:r>
      <w:r>
        <w:rPr>
          <w:spacing w:val="-10"/>
        </w:rPr>
        <w:t> </w:t>
      </w:r>
      <w:r>
        <w:rPr/>
        <w:t>Trabajo</w:t>
      </w:r>
      <w:r>
        <w:rPr>
          <w:spacing w:val="-9"/>
        </w:rPr>
        <w:t> </w:t>
      </w:r>
      <w:r>
        <w:rPr/>
        <w:t>y,</w:t>
      </w:r>
      <w:r>
        <w:rPr>
          <w:spacing w:val="-9"/>
        </w:rPr>
        <w:t> </w:t>
      </w:r>
      <w:r>
        <w:rPr/>
        <w:t>5.</w:t>
      </w:r>
      <w:r>
        <w:rPr>
          <w:spacing w:val="-11"/>
        </w:rPr>
        <w:t> </w:t>
      </w:r>
      <w:r>
        <w:rPr/>
        <w:t>Migración</w:t>
      </w:r>
      <w:r>
        <w:rPr>
          <w:spacing w:val="-8"/>
        </w:rPr>
        <w:t> </w:t>
      </w:r>
      <w:r>
        <w:rPr/>
        <w:t>Temporal.</w:t>
      </w:r>
    </w:p>
    <w:p>
      <w:pPr>
        <w:pStyle w:val="BodyText"/>
        <w:spacing w:before="9"/>
        <w:rPr>
          <w:sz w:val="19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188" w:id="309"/>
      <w:bookmarkEnd w:id="309"/>
      <w:r>
        <w:rPr>
          <w:b w:val="0"/>
        </w:rPr>
      </w:r>
      <w:bookmarkStart w:name="_bookmark188" w:id="310"/>
      <w:bookmarkEnd w:id="310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Cobertura:</w:t>
      </w:r>
      <w:r>
        <w:rPr>
          <w:spacing w:val="-3"/>
        </w:rPr>
        <w:t> </w:t>
      </w:r>
      <w:r>
        <w:rPr/>
        <w:t>Tasa</w:t>
      </w:r>
      <w:r>
        <w:rPr>
          <w:spacing w:val="-3"/>
        </w:rPr>
        <w:t> </w:t>
      </w:r>
      <w:r>
        <w:rPr/>
        <w:t>Bruta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Déficit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departamento,</w:t>
      </w:r>
      <w:r>
        <w:rPr>
          <w:spacing w:val="-1"/>
        </w:rPr>
        <w:t> </w:t>
      </w:r>
      <w:r>
        <w:rPr/>
        <w:t>sexo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etnia.</w:t>
      </w: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spacing w:line="237" w:lineRule="auto"/>
        <w:ind w:left="278" w:right="1076"/>
        <w:jc w:val="both"/>
      </w:pPr>
      <w:r>
        <w:rPr/>
        <w:pict>
          <v:group style="position:absolute;margin-left:71.616806pt;margin-top:30.55698pt;width:485.65pt;height:175.5pt;mso-position-horizontal-relative:page;mso-position-vertical-relative:paragraph;z-index:-15418880;mso-wrap-distance-left:0;mso-wrap-distance-right:0" coordorigin="1432,611" coordsize="9713,3510">
            <v:shape style="position:absolute;left:2004;top:2761;width:908;height:2" coordorigin="2004,2761" coordsize="908,0" path="m2004,2761l2620,2761m2740,2761l2912,2761e" filled="false" stroked="true" strokeweight=".536446pt" strokecolor="#888888">
              <v:path arrowok="t"/>
              <v:stroke dashstyle="solid"/>
            </v:shape>
            <v:rect style="position:absolute;left:2619;top:2727;width:121;height:184" filled="true" fillcolor="#497eaf" stroked="false">
              <v:fill type="solid"/>
            </v:rect>
            <v:rect style="position:absolute;left:2774;top:2827;width:103;height:84" filled="true" fillcolor="#5b8e39" stroked="false">
              <v:fill type="solid"/>
            </v:rect>
            <v:shape style="position:absolute;left:2004;top:2005;width:2690;height:756" coordorigin="2004,2005" coordsize="2690,756" path="m3031,2761l3049,2761m2004,2605l2912,2605m3031,2605l3049,2605m2004,2461l2912,2461m3031,2461l3049,2461m2004,2305l2912,2305m3031,2305l3049,2305m2004,2150l2912,2150m3031,2150l4694,2150m2004,2005l2912,2005e" filled="false" stroked="true" strokeweight=".536446pt" strokecolor="#888888">
              <v:path arrowok="t"/>
              <v:stroke dashstyle="solid"/>
            </v:shape>
            <v:shape style="position:absolute;left:3031;top:2002;width:3445;height:6" coordorigin="3031,2003" coordsize="3445,6" path="m3031,2008l6475,2008m3031,2003l6475,2003e" filled="false" stroked="true" strokeweight=".268226pt" strokecolor="#888888">
              <v:path arrowok="t"/>
              <v:stroke dashstyle="solid"/>
            </v:shape>
            <v:shape style="position:absolute;left:2004;top:1850;width:8911;height:2" coordorigin="2004,1850" coordsize="8911,0" path="m2004,1850l2912,1850m3031,1850l10915,1850e" filled="false" stroked="true" strokeweight=".536446pt" strokecolor="#888888">
              <v:path arrowok="t"/>
              <v:stroke dashstyle="solid"/>
            </v:shape>
            <v:shape style="position:absolute;left:2004;top:1705;width:8911;height:2" coordorigin="2004,1705" coordsize="8911,0" path="m2004,1705l2004,1705,10915,1705e" filled="false" stroked="true" strokeweight=".536421pt" strokecolor="#888888">
              <v:path arrowok="t"/>
              <v:stroke dashstyle="solid"/>
            </v:shape>
            <v:rect style="position:absolute;left:2911;top:1738;width:120;height:1173" filled="true" fillcolor="#4471c4" stroked="false">
              <v:fill type="solid"/>
            </v:rect>
            <v:line style="position:absolute" from="3169,2761" to="4402,2761" stroked="true" strokeweight=".536446pt" strokecolor="#888888">
              <v:stroke dashstyle="solid"/>
            </v:line>
            <v:shape style="position:absolute;left:4522;top:2758;width:173;height:6" coordorigin="4522,2758" coordsize="173,6" path="m4522,2764l4694,2764m4522,2758l4694,2758e" filled="false" stroked="true" strokeweight=".268217pt" strokecolor="#888888">
              <v:path arrowok="t"/>
              <v:stroke dashstyle="solid"/>
            </v:shape>
            <v:rect style="position:absolute;left:4264;top:2905;width:104;height:6" filled="true" fillcolor="#d29e00" stroked="false">
              <v:fill type="solid"/>
            </v:rect>
            <v:rect style="position:absolute;left:4402;top:2750;width:120;height:161" filled="true" fillcolor="#497eaf" stroked="false">
              <v:fill type="solid"/>
            </v:rect>
            <v:rect style="position:absolute;left:4556;top:2804;width:103;height:106" filled="true" fillcolor="#5b8e39" stroked="false">
              <v:fill type="solid"/>
            </v:rect>
            <v:shape style="position:absolute;left:4813;top:2758;width:18;height:6" coordorigin="4813,2758" coordsize="18,6" path="m4813,2764l4831,2764m4813,2758l4831,2758e" filled="false" stroked="true" strokeweight=".268217pt" strokecolor="#888888">
              <v:path arrowok="t"/>
              <v:stroke dashstyle="solid"/>
            </v:shape>
            <v:shape style="position:absolute;left:3168;top:2150;width:3307;height:455" coordorigin="3169,2150" coordsize="3307,455" path="m3169,2605l4694,2605m4813,2605l4831,2605m3169,2461l4694,2461m4813,2461l4831,2461m3169,2305l4694,2305m4813,2305l4831,2305m4813,2150l6475,2150e" filled="false" stroked="true" strokeweight=".536446pt" strokecolor="#888888">
              <v:path arrowok="t"/>
              <v:stroke dashstyle="solid"/>
            </v:shape>
            <v:rect style="position:absolute;left:4694;top:2005;width:120;height:906" filled="true" fillcolor="#4471c4" stroked="false">
              <v:fill type="solid"/>
            </v:rect>
            <v:shape style="position:absolute;left:4951;top:2758;width:1525;height:6" coordorigin="4951,2758" coordsize="1525,6" path="m4951,2764l6475,2764m4951,2758l6475,2758e" filled="false" stroked="true" strokeweight=".268217pt" strokecolor="#888888">
              <v:path arrowok="t"/>
              <v:stroke dashstyle="solid"/>
            </v:shape>
            <v:rect style="position:absolute;left:6047;top:2905;width:103;height:6" filled="true" fillcolor="#d29e00" stroked="false">
              <v:fill type="solid"/>
            </v:rect>
            <v:rect style="position:absolute;left:6185;top:2771;width:120;height:140" filled="true" fillcolor="#497eaf" stroked="false">
              <v:fill type="solid"/>
            </v:rect>
            <v:rect style="position:absolute;left:6339;top:2838;width:103;height:73" filled="true" fillcolor="#5b8e39" stroked="false">
              <v:fill type="solid"/>
            </v:rect>
            <v:shape style="position:absolute;left:6596;top:2758;width:17;height:6" coordorigin="6596,2758" coordsize="17,6" path="m6596,2764l6613,2764m6596,2758l6613,2758e" filled="false" stroked="true" strokeweight=".268217pt" strokecolor="#888888">
              <v:path arrowok="t"/>
              <v:stroke dashstyle="solid"/>
            </v:shape>
            <v:shape style="position:absolute;left:4951;top:2150;width:1662;height:455" coordorigin="4951,2150" coordsize="1662,455" path="m4951,2605l6475,2605m6596,2605l6613,2605m4951,2461l6475,2461m6596,2461l6613,2461m4951,2305l6475,2305m6596,2305l6613,2305m6596,2150l6613,2150e" filled="false" stroked="true" strokeweight=".536446pt" strokecolor="#888888">
              <v:path arrowok="t"/>
              <v:stroke dashstyle="solid"/>
            </v:shape>
            <v:shape style="position:absolute;left:6596;top:2002;width:4319;height:6" coordorigin="6596,2003" coordsize="4319,6" path="m6596,2008l10915,2008m6596,2003l10915,2003e" filled="false" stroked="true" strokeweight=".268226pt" strokecolor="#888888">
              <v:path arrowok="t"/>
              <v:stroke dashstyle="solid"/>
            </v:shape>
            <v:rect style="position:absolute;left:6475;top:1972;width:121;height:939" filled="true" fillcolor="#4471c4" stroked="false">
              <v:fill type="solid"/>
            </v:rect>
            <v:shape style="position:absolute;left:6732;top:2758;width:1526;height:6" coordorigin="6732,2758" coordsize="1526,6" path="m6732,2764l8258,2764m6732,2758l8258,2758e" filled="false" stroked="true" strokeweight=".268217pt" strokecolor="#888888">
              <v:path arrowok="t"/>
              <v:stroke dashstyle="solid"/>
            </v:shape>
            <v:rect style="position:absolute;left:7966;top:2761;width:121;height:150" filled="true" fillcolor="#497eaf" stroked="false">
              <v:fill type="solid"/>
            </v:rect>
            <v:rect style="position:absolute;left:8120;top:2771;width:103;height:140" filled="true" fillcolor="#5b8e39" stroked="false">
              <v:fill type="solid"/>
            </v:rect>
            <v:shape style="position:absolute;left:8377;top:2758;width:18;height:6" coordorigin="8378,2758" coordsize="18,6" path="m8378,2764l8395,2764m8378,2758l8395,2758e" filled="false" stroked="true" strokeweight=".268217pt" strokecolor="#888888">
              <v:path arrowok="t"/>
              <v:stroke dashstyle="solid"/>
            </v:shape>
            <v:shape style="position:absolute;left:6732;top:2305;width:4183;height:300" coordorigin="6732,2305" coordsize="4183,300" path="m6732,2605l8258,2605m8378,2605l8395,2605m6732,2461l8258,2461m8378,2461l10915,2461m6732,2305l8258,2305m8378,2305l10915,2305e" filled="false" stroked="true" strokeweight=".536446pt" strokecolor="#888888">
              <v:path arrowok="t"/>
              <v:stroke dashstyle="solid"/>
            </v:shape>
            <v:rect style="position:absolute;left:8258;top:2271;width:120;height:640" filled="true" fillcolor="#4471c4" stroked="false">
              <v:fill type="solid"/>
            </v:rect>
            <v:shape style="position:absolute;left:8515;top:2758;width:1526;height:6" coordorigin="8515,2758" coordsize="1526,6" path="m8515,2764l10041,2764m8515,2758l10041,2758e" filled="false" stroked="true" strokeweight=".268217pt" strokecolor="#888888">
              <v:path arrowok="t"/>
              <v:stroke dashstyle="solid"/>
            </v:shape>
            <v:rect style="position:absolute;left:9748;top:2794;width:120;height:117" filled="true" fillcolor="#497eaf" stroked="false">
              <v:fill type="solid"/>
            </v:rect>
            <v:rect style="position:absolute;left:9903;top:2804;width:103;height:106" filled="true" fillcolor="#5b8e39" stroked="false">
              <v:fill type="solid"/>
            </v:rect>
            <v:shape style="position:absolute;left:10160;top:2758;width:18;height:6" coordorigin="10160,2758" coordsize="18,6" path="m10160,2764l10177,2764m10160,2758l10177,2758e" filled="false" stroked="true" strokeweight=".268217pt" strokecolor="#888888">
              <v:path arrowok="t"/>
              <v:stroke dashstyle="solid"/>
            </v:shape>
            <v:shape style="position:absolute;left:8515;top:2605;width:2400;height:2" coordorigin="8515,2605" coordsize="2400,0" path="m8515,2605l10041,2605m10160,2605l10915,2605e" filled="false" stroked="true" strokeweight=".536446pt" strokecolor="#888888">
              <v:path arrowok="t"/>
              <v:stroke dashstyle="solid"/>
            </v:shape>
            <v:rect style="position:absolute;left:10040;top:2550;width:120;height:361" filled="true" fillcolor="#4471c4" stroked="false">
              <v:fill type="solid"/>
            </v:rect>
            <v:shape style="position:absolute;left:3048;top:2183;width:1903;height:728" coordorigin="3049,2184" coordsize="1903,728" path="m3169,2184l3049,2184,3049,2911,3169,2911,3169,2184xm4951,2284l4831,2284,4831,2911,4951,2911,4951,2284xe" filled="true" fillcolor="#ec7c30" stroked="false">
              <v:path arrowok="t"/>
              <v:fill type="solid"/>
            </v:shape>
            <v:line style="position:absolute" from="6732,2150" to="10915,2150" stroked="true" strokeweight=".536446pt" strokecolor="#888888">
              <v:stroke dashstyle="solid"/>
            </v:line>
            <v:shape style="position:absolute;left:6613;top:2117;width:1903;height:794" coordorigin="6613,2117" coordsize="1903,794" path="m6732,2117l6613,2117,6613,2911,6732,2911,6732,2117xm8515,2538l8395,2538,8395,2911,8515,2911,8515,2538xe" filled="true" fillcolor="#ec7c30" stroked="false">
              <v:path arrowok="t"/>
              <v:fill type="solid"/>
            </v:shape>
            <v:shape style="position:absolute;left:10297;top:2758;width:617;height:6" coordorigin="10298,2758" coordsize="617,6" path="m10298,2764l10915,2764m10298,2758l10915,2758e" filled="false" stroked="true" strokeweight=".268217pt" strokecolor="#888888">
              <v:path arrowok="t"/>
              <v:stroke dashstyle="solid"/>
            </v:shape>
            <v:rect style="position:absolute;left:10177;top:2671;width:121;height:240" filled="true" fillcolor="#ec7c30" stroked="false">
              <v:fill type="solid"/>
            </v:rect>
            <v:shape style="position:absolute;left:3203;top:2905;width:5451;height:6" coordorigin="3203,2905" coordsize="5451,6" path="m3306,2905l3203,2905,3203,2911,3306,2911,3306,2905xm5087,2905l4985,2905,4985,2911,5087,2911,5087,2905xm6870,2905l6767,2905,6767,2911,6870,2911,6870,2905xm8653,2905l8550,2905,8550,2911,8653,2911,8653,2905xe" filled="true" fillcolor="#a4a4a4" stroked="false">
              <v:path arrowok="t"/>
              <v:fill type="solid"/>
            </v:shape>
            <v:rect style="position:absolute;left:7041;top:2905;width:121;height:6" filled="true" fillcolor="#5b9bd4" stroked="false">
              <v:fill type="solid"/>
            </v:rect>
            <v:shape style="position:absolute;left:5755;top:2905;width:1903;height:6" coordorigin="5756,2905" coordsize="1903,6" path="m5876,2905l5756,2905,5756,2911,5876,2911,5876,2905xm7658,2905l7538,2905,7538,2911,7658,2911,7658,2905xe" filled="true" fillcolor="#c46627" stroked="false">
              <v:path arrowok="t"/>
              <v:fill type="solid"/>
            </v:shape>
            <v:shape style="position:absolute;left:2004;top:1550;width:8912;height:1361" coordorigin="2004,1550" coordsize="8912,1361" path="m2006,2911l2006,2911,10916,2911m2004,1550l2004,1550,10915,1550e" filled="false" stroked="true" strokeweight=".6824pt" strokecolor="#888888">
              <v:path arrowok="t"/>
              <v:stroke dashstyle="solid"/>
            </v:shape>
            <v:rect style="position:absolute;left:2442;top:3282;width:85;height:55" filled="true" fillcolor="#375da0" stroked="false">
              <v:fill type="solid"/>
            </v:rect>
            <v:rect style="position:absolute;left:5289;top:3282;width:87;height:55" filled="true" fillcolor="#c46627" stroked="false">
              <v:fill type="solid"/>
            </v:rect>
            <v:rect style="position:absolute;left:8137;top:3282;width:85;height:55" filled="true" fillcolor="#878787" stroked="false">
              <v:fill type="solid"/>
            </v:rect>
            <v:rect style="position:absolute;left:2442;top:3486;width:85;height:56" filled="true" fillcolor="#d29e00" stroked="false">
              <v:fill type="solid"/>
            </v:rect>
            <v:rect style="position:absolute;left:5289;top:3486;width:87;height:56" filled="true" fillcolor="#497eaf" stroked="false">
              <v:fill type="solid"/>
            </v:rect>
            <v:rect style="position:absolute;left:8137;top:3486;width:85;height:56" filled="true" fillcolor="#5b8e39" stroked="false">
              <v:fill type="solid"/>
            </v:rect>
            <v:rect style="position:absolute;left:2442;top:3691;width:85;height:55" filled="true" fillcolor="#4471c4" stroked="false">
              <v:fill type="solid"/>
            </v:rect>
            <v:rect style="position:absolute;left:5289;top:3691;width:87;height:55" filled="true" fillcolor="#ec7c30" stroked="false">
              <v:fill type="solid"/>
            </v:rect>
            <v:rect style="position:absolute;left:8137;top:3691;width:85;height:55" filled="true" fillcolor="#a4a4a4" stroked="false">
              <v:fill type="solid"/>
            </v:rect>
            <v:rect style="position:absolute;left:2442;top:3896;width:85;height:55" filled="true" fillcolor="#ffc000" stroked="false">
              <v:fill type="solid"/>
            </v:rect>
            <v:rect style="position:absolute;left:5289;top:3896;width:87;height:55" filled="true" fillcolor="#5b9bd4" stroked="false">
              <v:fill type="solid"/>
            </v:rect>
            <v:rect style="position:absolute;left:8137;top:3896;width:85;height:55" filled="true" fillcolor="#6fac46" stroked="false">
              <v:fill type="solid"/>
            </v:rect>
            <v:rect style="position:absolute;left:1438;top:617;width:9701;height:3498" filled="false" stroked="true" strokeweight=".570011pt" strokecolor="#888888">
              <v:stroke dashstyle="solid"/>
            </v:rect>
            <v:shape style="position:absolute;left:2673;top:742;width:7198;height:641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27" w:right="18" w:firstLine="0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w w:val="150"/>
                        <w:sz w:val="20"/>
                      </w:rPr>
                      <w:t>Ja</w:t>
                    </w:r>
                    <w:r>
                      <w:rPr>
                        <w:rFonts w:ascii="Arial"/>
                        <w:b/>
                        <w:spacing w:val="-50"/>
                        <w:w w:val="150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w w:val="150"/>
                        <w:sz w:val="20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50"/>
                        <w:w w:val="150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w w:val="150"/>
                        <w:sz w:val="20"/>
                      </w:rPr>
                      <w:t>pa</w:t>
                    </w:r>
                  </w:p>
                  <w:p>
                    <w:pPr>
                      <w:spacing w:line="259" w:lineRule="auto" w:before="4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pacing w:val="-3"/>
                        <w:w w:val="160"/>
                        <w:sz w:val="17"/>
                      </w:rPr>
                      <w:t>Tota</w:t>
                    </w:r>
                    <w:r>
                      <w:rPr>
                        <w:rFonts w:ascii="Arial" w:hAnsi="Arial"/>
                        <w:b/>
                        <w:spacing w:val="-49"/>
                        <w:w w:val="16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"/>
                        <w:w w:val="160"/>
                        <w:sz w:val="17"/>
                      </w:rPr>
                      <w:t>l</w:t>
                    </w:r>
                    <w:r>
                      <w:rPr>
                        <w:rFonts w:ascii="Arial" w:hAnsi="Arial"/>
                        <w:b/>
                        <w:spacing w:val="-10"/>
                        <w:w w:val="16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"/>
                        <w:w w:val="160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22"/>
                        <w:w w:val="16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"/>
                        <w:w w:val="160"/>
                        <w:sz w:val="17"/>
                      </w:rPr>
                      <w:t>pobla</w:t>
                    </w:r>
                    <w:r>
                      <w:rPr>
                        <w:rFonts w:ascii="Arial" w:hAnsi="Arial"/>
                        <w:b/>
                        <w:spacing w:val="-48"/>
                        <w:w w:val="16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"/>
                        <w:w w:val="160"/>
                        <w:sz w:val="17"/>
                      </w:rPr>
                      <w:t>ción</w:t>
                    </w:r>
                    <w:r>
                      <w:rPr>
                        <w:rFonts w:ascii="Arial" w:hAnsi="Arial"/>
                        <w:b/>
                        <w:spacing w:val="-4"/>
                        <w:w w:val="16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"/>
                        <w:w w:val="160"/>
                        <w:sz w:val="17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54"/>
                        <w:w w:val="16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"/>
                        <w:w w:val="160"/>
                        <w:sz w:val="17"/>
                      </w:rPr>
                      <w:t>studia</w:t>
                    </w:r>
                    <w:r>
                      <w:rPr>
                        <w:rFonts w:ascii="Arial" w:hAnsi="Arial"/>
                        <w:b/>
                        <w:spacing w:val="-48"/>
                        <w:w w:val="16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60"/>
                        <w:sz w:val="17"/>
                      </w:rPr>
                      <w:t>ntil</w:t>
                    </w:r>
                    <w:r>
                      <w:rPr>
                        <w:rFonts w:ascii="Arial" w:hAnsi="Arial"/>
                        <w:b/>
                        <w:spacing w:val="-10"/>
                        <w:w w:val="16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60"/>
                        <w:sz w:val="17"/>
                      </w:rPr>
                      <w:t>por</w:t>
                    </w:r>
                    <w:r>
                      <w:rPr>
                        <w:rFonts w:ascii="Arial" w:hAnsi="Arial"/>
                        <w:b/>
                        <w:spacing w:val="-19"/>
                        <w:w w:val="16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60"/>
                        <w:sz w:val="17"/>
                      </w:rPr>
                      <w:t>Nive</w:t>
                    </w:r>
                    <w:r>
                      <w:rPr>
                        <w:rFonts w:ascii="Arial" w:hAnsi="Arial"/>
                        <w:b/>
                        <w:spacing w:val="-54"/>
                        <w:w w:val="16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60"/>
                        <w:sz w:val="17"/>
                      </w:rPr>
                      <w:t>le</w:t>
                    </w:r>
                    <w:r>
                      <w:rPr>
                        <w:rFonts w:ascii="Arial" w:hAnsi="Arial"/>
                        <w:b/>
                        <w:spacing w:val="-54"/>
                        <w:w w:val="16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60"/>
                        <w:sz w:val="17"/>
                      </w:rPr>
                      <w:t>s,</w:t>
                    </w:r>
                    <w:r>
                      <w:rPr>
                        <w:rFonts w:ascii="Arial" w:hAnsi="Arial"/>
                        <w:b/>
                        <w:w w:val="16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60"/>
                        <w:sz w:val="17"/>
                      </w:rPr>
                      <w:t>etnia</w:t>
                    </w:r>
                    <w:r>
                      <w:rPr>
                        <w:rFonts w:ascii="Arial" w:hAnsi="Arial"/>
                        <w:b/>
                        <w:spacing w:val="28"/>
                        <w:w w:val="16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60"/>
                        <w:sz w:val="17"/>
                      </w:rPr>
                      <w:t>y</w:t>
                    </w:r>
                    <w:r>
                      <w:rPr>
                        <w:rFonts w:ascii="Arial" w:hAnsi="Arial"/>
                        <w:b/>
                        <w:spacing w:val="6"/>
                        <w:w w:val="16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60"/>
                        <w:sz w:val="17"/>
                      </w:rPr>
                      <w:t>se</w:t>
                    </w:r>
                    <w:r>
                      <w:rPr>
                        <w:rFonts w:ascii="Arial" w:hAnsi="Arial"/>
                        <w:b/>
                        <w:spacing w:val="-55"/>
                        <w:w w:val="16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60"/>
                        <w:sz w:val="17"/>
                      </w:rPr>
                      <w:t>xo</w:t>
                    </w:r>
                    <w:r>
                      <w:rPr>
                        <w:rFonts w:ascii="Arial" w:hAnsi="Arial"/>
                        <w:b/>
                        <w:spacing w:val="-72"/>
                        <w:w w:val="16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60"/>
                        <w:sz w:val="17"/>
                      </w:rPr>
                      <w:t>2017-</w:t>
                    </w:r>
                    <w:r>
                      <w:rPr>
                        <w:rFonts w:ascii="Arial" w:hAnsi="Arial"/>
                        <w:b/>
                        <w:spacing w:val="-54"/>
                        <w:w w:val="16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60"/>
                        <w:sz w:val="17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1558;top:1483;width:306;height:1498" type="#_x0000_t202" filled="false" stroked="false">
              <v:textbox inset="0,0,0,0">
                <w:txbxContent>
                  <w:p>
                    <w:pPr>
                      <w:spacing w:before="1"/>
                      <w:ind w:left="0" w:right="21" w:firstLine="0"/>
                      <w:jc w:val="righ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spacing w:val="-1"/>
                        <w:w w:val="135"/>
                        <w:sz w:val="11"/>
                      </w:rPr>
                      <w:t>450</w:t>
                    </w:r>
                  </w:p>
                  <w:p>
                    <w:pPr>
                      <w:spacing w:before="17"/>
                      <w:ind w:left="0" w:right="21" w:firstLine="0"/>
                      <w:jc w:val="righ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spacing w:val="-1"/>
                        <w:w w:val="135"/>
                        <w:sz w:val="11"/>
                      </w:rPr>
                      <w:t>400</w:t>
                    </w:r>
                  </w:p>
                  <w:p>
                    <w:pPr>
                      <w:spacing w:before="18"/>
                      <w:ind w:left="0" w:right="21" w:firstLine="0"/>
                      <w:jc w:val="righ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spacing w:val="-1"/>
                        <w:w w:val="135"/>
                        <w:sz w:val="11"/>
                      </w:rPr>
                      <w:t>350</w:t>
                    </w:r>
                  </w:p>
                  <w:p>
                    <w:pPr>
                      <w:spacing w:before="17"/>
                      <w:ind w:left="0" w:right="21" w:firstLine="0"/>
                      <w:jc w:val="righ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spacing w:val="-1"/>
                        <w:w w:val="135"/>
                        <w:sz w:val="11"/>
                      </w:rPr>
                      <w:t>300</w:t>
                    </w:r>
                  </w:p>
                  <w:p>
                    <w:pPr>
                      <w:spacing w:before="17"/>
                      <w:ind w:left="0" w:right="21" w:firstLine="0"/>
                      <w:jc w:val="righ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spacing w:val="-1"/>
                        <w:w w:val="135"/>
                        <w:sz w:val="11"/>
                      </w:rPr>
                      <w:t>250</w:t>
                    </w:r>
                  </w:p>
                  <w:p>
                    <w:pPr>
                      <w:spacing w:before="19"/>
                      <w:ind w:left="0" w:right="21" w:firstLine="0"/>
                      <w:jc w:val="righ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spacing w:val="-1"/>
                        <w:w w:val="135"/>
                        <w:sz w:val="11"/>
                      </w:rPr>
                      <w:t>200</w:t>
                    </w:r>
                  </w:p>
                  <w:p>
                    <w:pPr>
                      <w:spacing w:before="17"/>
                      <w:ind w:left="0" w:right="21" w:firstLine="0"/>
                      <w:jc w:val="righ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spacing w:val="-1"/>
                        <w:w w:val="135"/>
                        <w:sz w:val="11"/>
                      </w:rPr>
                      <w:t>150</w:t>
                    </w:r>
                  </w:p>
                  <w:p>
                    <w:pPr>
                      <w:spacing w:before="18"/>
                      <w:ind w:left="0" w:right="21" w:firstLine="0"/>
                      <w:jc w:val="righ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spacing w:val="-1"/>
                        <w:w w:val="135"/>
                        <w:sz w:val="11"/>
                      </w:rPr>
                      <w:t>100</w:t>
                    </w:r>
                  </w:p>
                  <w:p>
                    <w:pPr>
                      <w:spacing w:before="17"/>
                      <w:ind w:left="0" w:right="20" w:firstLine="0"/>
                      <w:jc w:val="righ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35"/>
                        <w:sz w:val="11"/>
                      </w:rPr>
                      <w:t>50</w:t>
                    </w:r>
                  </w:p>
                  <w:p>
                    <w:pPr>
                      <w:spacing w:before="18"/>
                      <w:ind w:left="0" w:right="18" w:firstLine="0"/>
                      <w:jc w:val="righ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35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703;top:2985;width:396;height:13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35"/>
                        <w:sz w:val="11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4491;top:2985;width:396;height:13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35"/>
                        <w:sz w:val="11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6272;top:2985;width:396;height:13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35"/>
                        <w:sz w:val="11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8055;top:2985;width:396;height:13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35"/>
                        <w:sz w:val="11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9836;top:2985;width:396;height:13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35"/>
                        <w:sz w:val="11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2562;top:3248;width:7713;height:737" type="#_x0000_t202" filled="false" stroked="false">
              <v:textbox inset="0,0,0,0">
                <w:txbxContent>
                  <w:p>
                    <w:pPr>
                      <w:tabs>
                        <w:tab w:pos="2846" w:val="left" w:leader="none"/>
                        <w:tab w:pos="5694" w:val="left" w:leader="none"/>
                      </w:tabs>
                      <w:spacing w:line="403" w:lineRule="auto" w:before="0"/>
                      <w:ind w:left="0" w:right="374" w:firstLine="0"/>
                      <w:jc w:val="left"/>
                      <w:rPr>
                        <w:rFonts w:ascii="Verdana"/>
                        <w:sz w:val="10"/>
                      </w:rPr>
                    </w:pPr>
                    <w:r>
                      <w:rPr>
                        <w:rFonts w:ascii="Verdana"/>
                        <w:spacing w:val="-1"/>
                        <w:w w:val="130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37"/>
                        <w:sz w:val="10"/>
                      </w:rPr>
                      <w:t>X</w:t>
                    </w:r>
                    <w:r>
                      <w:rPr>
                        <w:rFonts w:ascii="Verdana"/>
                        <w:w w:val="106"/>
                        <w:sz w:val="10"/>
                      </w:rPr>
                      <w:t>T</w:t>
                    </w:r>
                    <w:r>
                      <w:rPr>
                        <w:rFonts w:ascii="Verdana"/>
                        <w:spacing w:val="-1"/>
                        <w:w w:val="134"/>
                        <w:sz w:val="10"/>
                      </w:rPr>
                      <w:t>R</w:t>
                    </w:r>
                    <w:r>
                      <w:rPr>
                        <w:rFonts w:ascii="Verdana"/>
                        <w:w w:val="167"/>
                        <w:sz w:val="10"/>
                      </w:rPr>
                      <w:t>A</w:t>
                    </w:r>
                    <w:r>
                      <w:rPr>
                        <w:rFonts w:ascii="Verdana"/>
                        <w:w w:val="152"/>
                        <w:sz w:val="10"/>
                      </w:rPr>
                      <w:t>N</w:t>
                    </w:r>
                    <w:r>
                      <w:rPr>
                        <w:rFonts w:ascii="Verdana"/>
                        <w:spacing w:val="-2"/>
                        <w:w w:val="163"/>
                        <w:sz w:val="10"/>
                      </w:rPr>
                      <w:t>J</w:t>
                    </w:r>
                    <w:r>
                      <w:rPr>
                        <w:rFonts w:ascii="Verdana"/>
                        <w:spacing w:val="1"/>
                        <w:w w:val="130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34"/>
                        <w:sz w:val="10"/>
                      </w:rPr>
                      <w:t>R</w:t>
                    </w:r>
                    <w:r>
                      <w:rPr>
                        <w:rFonts w:ascii="Verdana"/>
                        <w:w w:val="170"/>
                        <w:sz w:val="10"/>
                      </w:rPr>
                      <w:t>O</w:t>
                    </w:r>
                    <w:r>
                      <w:rPr>
                        <w:rFonts w:ascii="Verdana"/>
                        <w:spacing w:val="6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12"/>
                        <w:sz w:val="10"/>
                      </w:rPr>
                      <w:t>-</w:t>
                    </w:r>
                    <w:r>
                      <w:rPr>
                        <w:rFonts w:ascii="Verdana"/>
                        <w:spacing w:val="7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40"/>
                        <w:sz w:val="10"/>
                      </w:rPr>
                      <w:t>H</w:t>
                    </w:r>
                    <w:r>
                      <w:rPr>
                        <w:rFonts w:ascii="Verdana"/>
                        <w:spacing w:val="-1"/>
                        <w:w w:val="170"/>
                        <w:sz w:val="10"/>
                      </w:rPr>
                      <w:t>O</w:t>
                    </w:r>
                    <w:r>
                      <w:rPr>
                        <w:rFonts w:ascii="Verdana"/>
                        <w:spacing w:val="1"/>
                        <w:w w:val="168"/>
                        <w:sz w:val="10"/>
                      </w:rPr>
                      <w:t>M</w:t>
                    </w:r>
                    <w:r>
                      <w:rPr>
                        <w:rFonts w:ascii="Verdana"/>
                        <w:w w:val="129"/>
                        <w:sz w:val="10"/>
                      </w:rPr>
                      <w:t>B</w:t>
                    </w:r>
                    <w:r>
                      <w:rPr>
                        <w:rFonts w:ascii="Verdana"/>
                        <w:spacing w:val="-2"/>
                        <w:w w:val="134"/>
                        <w:sz w:val="10"/>
                      </w:rPr>
                      <w:t>R</w:t>
                    </w:r>
                    <w:r>
                      <w:rPr>
                        <w:rFonts w:ascii="Verdana"/>
                        <w:spacing w:val="1"/>
                        <w:w w:val="130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12"/>
                        <w:sz w:val="10"/>
                      </w:rPr>
                      <w:t>S</w:t>
                    </w:r>
                    <w:r>
                      <w:rPr>
                        <w:rFonts w:ascii="Verdana"/>
                        <w:sz w:val="10"/>
                      </w:rPr>
                      <w:tab/>
                    </w:r>
                    <w:r>
                      <w:rPr>
                        <w:rFonts w:ascii="Verdana"/>
                        <w:spacing w:val="1"/>
                        <w:w w:val="130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37"/>
                        <w:sz w:val="10"/>
                      </w:rPr>
                      <w:t>X</w:t>
                    </w:r>
                    <w:r>
                      <w:rPr>
                        <w:rFonts w:ascii="Verdana"/>
                        <w:spacing w:val="-1"/>
                        <w:w w:val="106"/>
                        <w:sz w:val="10"/>
                      </w:rPr>
                      <w:t>T</w:t>
                    </w:r>
                    <w:r>
                      <w:rPr>
                        <w:rFonts w:ascii="Verdana"/>
                        <w:w w:val="134"/>
                        <w:sz w:val="10"/>
                      </w:rPr>
                      <w:t>R</w:t>
                    </w:r>
                    <w:r>
                      <w:rPr>
                        <w:rFonts w:ascii="Verdana"/>
                        <w:w w:val="167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152"/>
                        <w:sz w:val="10"/>
                      </w:rPr>
                      <w:t>N</w:t>
                    </w:r>
                    <w:r>
                      <w:rPr>
                        <w:rFonts w:ascii="Verdana"/>
                        <w:w w:val="163"/>
                        <w:sz w:val="10"/>
                      </w:rPr>
                      <w:t>J</w:t>
                    </w:r>
                    <w:r>
                      <w:rPr>
                        <w:rFonts w:ascii="Verdana"/>
                        <w:spacing w:val="-1"/>
                        <w:w w:val="130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34"/>
                        <w:sz w:val="10"/>
                      </w:rPr>
                      <w:t>R</w:t>
                    </w:r>
                    <w:r>
                      <w:rPr>
                        <w:rFonts w:ascii="Verdana"/>
                        <w:w w:val="170"/>
                        <w:sz w:val="10"/>
                      </w:rPr>
                      <w:t>O</w:t>
                    </w:r>
                    <w:r>
                      <w:rPr>
                        <w:rFonts w:ascii="Verdana"/>
                        <w:spacing w:val="8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12"/>
                        <w:sz w:val="10"/>
                      </w:rPr>
                      <w:t>-</w:t>
                    </w:r>
                    <w:r>
                      <w:rPr>
                        <w:rFonts w:ascii="Verdana"/>
                        <w:spacing w:val="7"/>
                        <w:sz w:val="10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68"/>
                        <w:sz w:val="10"/>
                      </w:rPr>
                      <w:t>M</w:t>
                    </w:r>
                    <w:r>
                      <w:rPr>
                        <w:rFonts w:ascii="Verdana"/>
                        <w:w w:val="138"/>
                        <w:sz w:val="10"/>
                      </w:rPr>
                      <w:t>U</w:t>
                    </w:r>
                    <w:r>
                      <w:rPr>
                        <w:rFonts w:ascii="Verdana"/>
                        <w:spacing w:val="-1"/>
                        <w:w w:val="163"/>
                        <w:sz w:val="10"/>
                      </w:rPr>
                      <w:t>J</w:t>
                    </w:r>
                    <w:r>
                      <w:rPr>
                        <w:rFonts w:ascii="Verdana"/>
                        <w:spacing w:val="-1"/>
                        <w:w w:val="130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34"/>
                        <w:sz w:val="1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30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12"/>
                        <w:sz w:val="10"/>
                      </w:rPr>
                      <w:t>S</w:t>
                    </w:r>
                    <w:r>
                      <w:rPr>
                        <w:rFonts w:ascii="Verdana"/>
                        <w:sz w:val="10"/>
                      </w:rPr>
                      <w:tab/>
                    </w:r>
                    <w:r>
                      <w:rPr>
                        <w:rFonts w:ascii="Verdana"/>
                        <w:w w:val="173"/>
                        <w:sz w:val="10"/>
                      </w:rPr>
                      <w:t>G</w:t>
                    </w:r>
                    <w:r>
                      <w:rPr>
                        <w:rFonts w:ascii="Verdana"/>
                        <w:w w:val="167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-2"/>
                        <w:w w:val="134"/>
                        <w:sz w:val="1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82"/>
                        <w:sz w:val="10"/>
                      </w:rPr>
                      <w:t>I</w:t>
                    </w:r>
                    <w:r>
                      <w:rPr>
                        <w:rFonts w:ascii="Verdana"/>
                        <w:spacing w:val="1"/>
                        <w:w w:val="130"/>
                        <w:sz w:val="10"/>
                      </w:rPr>
                      <w:t>F</w:t>
                    </w:r>
                    <w:r>
                      <w:rPr>
                        <w:rFonts w:ascii="Verdana"/>
                        <w:spacing w:val="-1"/>
                        <w:w w:val="138"/>
                        <w:sz w:val="10"/>
                      </w:rPr>
                      <w:t>U</w:t>
                    </w:r>
                    <w:r>
                      <w:rPr>
                        <w:rFonts w:ascii="Verdana"/>
                        <w:w w:val="152"/>
                        <w:sz w:val="10"/>
                      </w:rPr>
                      <w:t>N</w:t>
                    </w:r>
                    <w:r>
                      <w:rPr>
                        <w:rFonts w:ascii="Verdana"/>
                        <w:w w:val="167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7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12"/>
                        <w:sz w:val="10"/>
                      </w:rPr>
                      <w:t>-</w:t>
                    </w:r>
                    <w:r>
                      <w:rPr>
                        <w:rFonts w:ascii="Verdana"/>
                        <w:spacing w:val="7"/>
                        <w:sz w:val="10"/>
                      </w:rPr>
                      <w:t> </w:t>
                    </w:r>
                    <w:r>
                      <w:rPr>
                        <w:rFonts w:ascii="Verdana"/>
                        <w:spacing w:val="-2"/>
                        <w:w w:val="140"/>
                        <w:sz w:val="10"/>
                      </w:rPr>
                      <w:t>H</w:t>
                    </w:r>
                    <w:r>
                      <w:rPr>
                        <w:rFonts w:ascii="Verdana"/>
                        <w:spacing w:val="-3"/>
                        <w:w w:val="170"/>
                        <w:sz w:val="10"/>
                      </w:rPr>
                      <w:t>O</w:t>
                    </w:r>
                    <w:r>
                      <w:rPr>
                        <w:rFonts w:ascii="Verdana"/>
                        <w:spacing w:val="-2"/>
                        <w:w w:val="168"/>
                        <w:sz w:val="10"/>
                      </w:rPr>
                      <w:t>M</w:t>
                    </w:r>
                    <w:r>
                      <w:rPr>
                        <w:rFonts w:ascii="Verdana"/>
                        <w:spacing w:val="-2"/>
                        <w:w w:val="129"/>
                        <w:sz w:val="10"/>
                      </w:rPr>
                      <w:t>B</w:t>
                    </w:r>
                    <w:r>
                      <w:rPr>
                        <w:rFonts w:ascii="Verdana"/>
                        <w:spacing w:val="-4"/>
                        <w:w w:val="134"/>
                        <w:sz w:val="1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30"/>
                        <w:sz w:val="10"/>
                      </w:rPr>
                      <w:t>E</w:t>
                    </w:r>
                    <w:r>
                      <w:rPr>
                        <w:rFonts w:ascii="Verdana"/>
                        <w:spacing w:val="-2"/>
                        <w:w w:val="112"/>
                        <w:sz w:val="10"/>
                      </w:rPr>
                      <w:t>S</w:t>
                    </w:r>
                    <w:r>
                      <w:rPr>
                        <w:rFonts w:ascii="Verdana"/>
                        <w:w w:val="112"/>
                        <w:sz w:val="10"/>
                      </w:rPr>
                      <w:t> </w:t>
                    </w:r>
                    <w:r>
                      <w:rPr>
                        <w:rFonts w:ascii="Verdana"/>
                        <w:spacing w:val="-2"/>
                        <w:w w:val="173"/>
                        <w:sz w:val="10"/>
                      </w:rPr>
                      <w:t>G</w:t>
                    </w:r>
                    <w:r>
                      <w:rPr>
                        <w:rFonts w:ascii="Verdana"/>
                        <w:w w:val="167"/>
                        <w:sz w:val="10"/>
                      </w:rPr>
                      <w:t>A</w:t>
                    </w:r>
                    <w:r>
                      <w:rPr>
                        <w:rFonts w:ascii="Verdana"/>
                        <w:w w:val="134"/>
                        <w:sz w:val="1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82"/>
                        <w:sz w:val="10"/>
                      </w:rPr>
                      <w:t>I</w:t>
                    </w:r>
                    <w:r>
                      <w:rPr>
                        <w:rFonts w:ascii="Verdana"/>
                        <w:w w:val="130"/>
                        <w:sz w:val="10"/>
                      </w:rPr>
                      <w:t>F</w:t>
                    </w:r>
                    <w:r>
                      <w:rPr>
                        <w:rFonts w:ascii="Verdana"/>
                        <w:w w:val="138"/>
                        <w:sz w:val="10"/>
                      </w:rPr>
                      <w:t>U</w:t>
                    </w:r>
                    <w:r>
                      <w:rPr>
                        <w:rFonts w:ascii="Verdana"/>
                        <w:w w:val="152"/>
                        <w:sz w:val="10"/>
                      </w:rPr>
                      <w:t>N</w:t>
                    </w:r>
                    <w:r>
                      <w:rPr>
                        <w:rFonts w:ascii="Verdana"/>
                        <w:w w:val="167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7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12"/>
                        <w:sz w:val="10"/>
                      </w:rPr>
                      <w:t>-</w:t>
                    </w:r>
                    <w:r>
                      <w:rPr>
                        <w:rFonts w:ascii="Verdana"/>
                        <w:spacing w:val="7"/>
                        <w:sz w:val="10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68"/>
                        <w:sz w:val="10"/>
                      </w:rPr>
                      <w:t>M</w:t>
                    </w:r>
                    <w:r>
                      <w:rPr>
                        <w:rFonts w:ascii="Verdana"/>
                        <w:w w:val="138"/>
                        <w:sz w:val="10"/>
                      </w:rPr>
                      <w:t>U</w:t>
                    </w:r>
                    <w:r>
                      <w:rPr>
                        <w:rFonts w:ascii="Verdana"/>
                        <w:spacing w:val="-2"/>
                        <w:w w:val="163"/>
                        <w:sz w:val="10"/>
                      </w:rPr>
                      <w:t>J</w:t>
                    </w:r>
                    <w:r>
                      <w:rPr>
                        <w:rFonts w:ascii="Verdana"/>
                        <w:spacing w:val="1"/>
                        <w:w w:val="130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34"/>
                        <w:sz w:val="1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30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12"/>
                        <w:sz w:val="10"/>
                      </w:rPr>
                      <w:t>S</w:t>
                    </w:r>
                    <w:r>
                      <w:rPr>
                        <w:rFonts w:ascii="Verdana"/>
                        <w:sz w:val="10"/>
                      </w:rPr>
                      <w:tab/>
                    </w:r>
                    <w:r>
                      <w:rPr>
                        <w:rFonts w:ascii="Verdana"/>
                        <w:w w:val="128"/>
                        <w:sz w:val="10"/>
                      </w:rPr>
                      <w:t>L</w:t>
                    </w:r>
                    <w:r>
                      <w:rPr>
                        <w:rFonts w:ascii="Verdana"/>
                        <w:w w:val="167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149"/>
                        <w:sz w:val="10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w w:val="82"/>
                        <w:sz w:val="10"/>
                      </w:rPr>
                      <w:t>I</w:t>
                    </w:r>
                    <w:r>
                      <w:rPr>
                        <w:rFonts w:ascii="Verdana"/>
                        <w:w w:val="152"/>
                        <w:sz w:val="10"/>
                      </w:rPr>
                      <w:t>N</w:t>
                    </w:r>
                    <w:r>
                      <w:rPr>
                        <w:rFonts w:ascii="Verdana"/>
                        <w:w w:val="170"/>
                        <w:sz w:val="10"/>
                      </w:rPr>
                      <w:t>O</w:t>
                    </w:r>
                    <w:r>
                      <w:rPr>
                        <w:rFonts w:ascii="Verdana"/>
                        <w:spacing w:val="7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12"/>
                        <w:sz w:val="10"/>
                      </w:rPr>
                      <w:t>-</w:t>
                    </w:r>
                    <w:r>
                      <w:rPr>
                        <w:rFonts w:ascii="Verdana"/>
                        <w:spacing w:val="7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40"/>
                        <w:sz w:val="10"/>
                      </w:rPr>
                      <w:t>H</w:t>
                    </w:r>
                    <w:r>
                      <w:rPr>
                        <w:rFonts w:ascii="Verdana"/>
                        <w:w w:val="170"/>
                        <w:sz w:val="10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w w:val="168"/>
                        <w:sz w:val="10"/>
                      </w:rPr>
                      <w:t>M</w:t>
                    </w:r>
                    <w:r>
                      <w:rPr>
                        <w:rFonts w:ascii="Verdana"/>
                        <w:w w:val="129"/>
                        <w:sz w:val="10"/>
                      </w:rPr>
                      <w:t>B</w:t>
                    </w:r>
                    <w:r>
                      <w:rPr>
                        <w:rFonts w:ascii="Verdana"/>
                        <w:w w:val="134"/>
                        <w:sz w:val="1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30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12"/>
                        <w:sz w:val="10"/>
                      </w:rPr>
                      <w:t>S</w:t>
                    </w:r>
                    <w:r>
                      <w:rPr>
                        <w:rFonts w:ascii="Verdana"/>
                        <w:sz w:val="10"/>
                      </w:rPr>
                      <w:tab/>
                    </w:r>
                    <w:r>
                      <w:rPr>
                        <w:rFonts w:ascii="Verdana"/>
                        <w:w w:val="128"/>
                        <w:sz w:val="10"/>
                      </w:rPr>
                      <w:t>L</w:t>
                    </w:r>
                    <w:r>
                      <w:rPr>
                        <w:rFonts w:ascii="Verdana"/>
                        <w:spacing w:val="-1"/>
                        <w:w w:val="167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1"/>
                        <w:w w:val="149"/>
                        <w:sz w:val="10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w w:val="82"/>
                        <w:sz w:val="10"/>
                      </w:rPr>
                      <w:t>I</w:t>
                    </w:r>
                    <w:r>
                      <w:rPr>
                        <w:rFonts w:ascii="Verdana"/>
                        <w:spacing w:val="-1"/>
                        <w:w w:val="152"/>
                        <w:sz w:val="10"/>
                      </w:rPr>
                      <w:t>N</w:t>
                    </w:r>
                    <w:r>
                      <w:rPr>
                        <w:rFonts w:ascii="Verdana"/>
                        <w:w w:val="170"/>
                        <w:sz w:val="10"/>
                      </w:rPr>
                      <w:t>O</w:t>
                    </w:r>
                    <w:r>
                      <w:rPr>
                        <w:rFonts w:ascii="Verdana"/>
                        <w:spacing w:val="8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12"/>
                        <w:sz w:val="10"/>
                      </w:rPr>
                      <w:t>-</w:t>
                    </w:r>
                    <w:r>
                      <w:rPr>
                        <w:rFonts w:ascii="Verdana"/>
                        <w:spacing w:val="7"/>
                        <w:sz w:val="10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68"/>
                        <w:sz w:val="10"/>
                      </w:rPr>
                      <w:t>M</w:t>
                    </w:r>
                    <w:r>
                      <w:rPr>
                        <w:rFonts w:ascii="Verdana"/>
                        <w:w w:val="138"/>
                        <w:sz w:val="10"/>
                      </w:rPr>
                      <w:t>U</w:t>
                    </w:r>
                    <w:r>
                      <w:rPr>
                        <w:rFonts w:ascii="Verdana"/>
                        <w:w w:val="163"/>
                        <w:sz w:val="10"/>
                      </w:rPr>
                      <w:t>J</w:t>
                    </w:r>
                    <w:r>
                      <w:rPr>
                        <w:rFonts w:ascii="Verdana"/>
                        <w:spacing w:val="-1"/>
                        <w:w w:val="130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34"/>
                        <w:sz w:val="1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30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12"/>
                        <w:sz w:val="10"/>
                      </w:rPr>
                      <w:t>S </w:t>
                    </w:r>
                    <w:r>
                      <w:rPr>
                        <w:rFonts w:ascii="Verdana"/>
                        <w:spacing w:val="-1"/>
                        <w:w w:val="168"/>
                        <w:sz w:val="10"/>
                      </w:rPr>
                      <w:t>M</w:t>
                    </w:r>
                    <w:r>
                      <w:rPr>
                        <w:rFonts w:ascii="Verdana"/>
                        <w:spacing w:val="-20"/>
                        <w:w w:val="167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-18"/>
                        <w:w w:val="148"/>
                        <w:sz w:val="10"/>
                      </w:rPr>
                      <w:t>Y</w:t>
                    </w:r>
                    <w:r>
                      <w:rPr>
                        <w:rFonts w:ascii="Verdana"/>
                        <w:w w:val="167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7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12"/>
                        <w:sz w:val="10"/>
                      </w:rPr>
                      <w:t>-</w:t>
                    </w:r>
                    <w:r>
                      <w:rPr>
                        <w:rFonts w:ascii="Verdana"/>
                        <w:spacing w:val="7"/>
                        <w:sz w:val="10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40"/>
                        <w:sz w:val="10"/>
                      </w:rPr>
                      <w:t>H</w:t>
                    </w:r>
                    <w:r>
                      <w:rPr>
                        <w:rFonts w:ascii="Verdana"/>
                        <w:spacing w:val="-1"/>
                        <w:w w:val="170"/>
                        <w:sz w:val="10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w w:val="168"/>
                        <w:sz w:val="10"/>
                      </w:rPr>
                      <w:t>M</w:t>
                    </w:r>
                    <w:r>
                      <w:rPr>
                        <w:rFonts w:ascii="Verdana"/>
                        <w:w w:val="129"/>
                        <w:sz w:val="10"/>
                      </w:rPr>
                      <w:t>B</w:t>
                    </w:r>
                    <w:r>
                      <w:rPr>
                        <w:rFonts w:ascii="Verdana"/>
                        <w:w w:val="134"/>
                        <w:sz w:val="1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30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12"/>
                        <w:sz w:val="10"/>
                      </w:rPr>
                      <w:t>S</w:t>
                    </w:r>
                    <w:r>
                      <w:rPr>
                        <w:rFonts w:ascii="Verdana"/>
                        <w:sz w:val="10"/>
                      </w:rPr>
                      <w:tab/>
                    </w:r>
                    <w:r>
                      <w:rPr>
                        <w:rFonts w:ascii="Verdana"/>
                        <w:spacing w:val="1"/>
                        <w:w w:val="168"/>
                        <w:sz w:val="10"/>
                      </w:rPr>
                      <w:t>M</w:t>
                    </w:r>
                    <w:r>
                      <w:rPr>
                        <w:rFonts w:ascii="Verdana"/>
                        <w:spacing w:val="-19"/>
                        <w:w w:val="167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-20"/>
                        <w:w w:val="148"/>
                        <w:sz w:val="10"/>
                      </w:rPr>
                      <w:t>Y</w:t>
                    </w:r>
                    <w:r>
                      <w:rPr>
                        <w:rFonts w:ascii="Verdana"/>
                        <w:w w:val="167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7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12"/>
                        <w:sz w:val="10"/>
                      </w:rPr>
                      <w:t>-</w:t>
                    </w:r>
                    <w:r>
                      <w:rPr>
                        <w:rFonts w:ascii="Verdana"/>
                        <w:spacing w:val="7"/>
                        <w:sz w:val="10"/>
                      </w:rPr>
                      <w:t> </w:t>
                    </w:r>
                    <w:r>
                      <w:rPr>
                        <w:rFonts w:ascii="Verdana"/>
                        <w:spacing w:val="1"/>
                        <w:w w:val="168"/>
                        <w:sz w:val="10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138"/>
                        <w:sz w:val="10"/>
                      </w:rPr>
                      <w:t>U</w:t>
                    </w:r>
                    <w:r>
                      <w:rPr>
                        <w:rFonts w:ascii="Verdana"/>
                        <w:w w:val="163"/>
                        <w:sz w:val="10"/>
                      </w:rPr>
                      <w:t>J</w:t>
                    </w:r>
                    <w:r>
                      <w:rPr>
                        <w:rFonts w:ascii="Verdana"/>
                        <w:spacing w:val="-1"/>
                        <w:w w:val="130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34"/>
                        <w:sz w:val="1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30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12"/>
                        <w:sz w:val="10"/>
                      </w:rPr>
                      <w:t>S</w:t>
                    </w:r>
                    <w:r>
                      <w:rPr>
                        <w:rFonts w:ascii="Verdana"/>
                        <w:sz w:val="10"/>
                      </w:rPr>
                      <w:tab/>
                    </w:r>
                    <w:r>
                      <w:rPr>
                        <w:rFonts w:ascii="Verdana"/>
                        <w:w w:val="137"/>
                        <w:sz w:val="10"/>
                      </w:rPr>
                      <w:t>X</w:t>
                    </w:r>
                    <w:r>
                      <w:rPr>
                        <w:rFonts w:ascii="Verdana"/>
                        <w:spacing w:val="-1"/>
                        <w:w w:val="82"/>
                        <w:sz w:val="10"/>
                      </w:rPr>
                      <w:t>I</w:t>
                    </w:r>
                    <w:r>
                      <w:rPr>
                        <w:rFonts w:ascii="Verdana"/>
                        <w:w w:val="152"/>
                        <w:sz w:val="10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w w:val="173"/>
                        <w:sz w:val="10"/>
                      </w:rPr>
                      <w:t>C</w:t>
                    </w:r>
                    <w:r>
                      <w:rPr>
                        <w:rFonts w:ascii="Verdana"/>
                        <w:w w:val="173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8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12"/>
                        <w:sz w:val="10"/>
                      </w:rPr>
                      <w:t>-</w:t>
                    </w:r>
                    <w:r>
                      <w:rPr>
                        <w:rFonts w:ascii="Verdana"/>
                        <w:spacing w:val="7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40"/>
                        <w:sz w:val="10"/>
                      </w:rPr>
                      <w:t>H</w:t>
                    </w:r>
                    <w:r>
                      <w:rPr>
                        <w:rFonts w:ascii="Verdana"/>
                        <w:spacing w:val="-1"/>
                        <w:w w:val="170"/>
                        <w:sz w:val="10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w w:val="168"/>
                        <w:sz w:val="10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129"/>
                        <w:sz w:val="10"/>
                      </w:rPr>
                      <w:t>B</w:t>
                    </w:r>
                    <w:r>
                      <w:rPr>
                        <w:rFonts w:ascii="Verdana"/>
                        <w:w w:val="134"/>
                        <w:sz w:val="1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30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12"/>
                        <w:sz w:val="10"/>
                      </w:rPr>
                      <w:t>S</w:t>
                    </w:r>
                  </w:p>
                  <w:p>
                    <w:pPr>
                      <w:tabs>
                        <w:tab w:pos="2846" w:val="left" w:leader="none"/>
                        <w:tab w:pos="5694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rFonts w:ascii="Verdana" w:hAnsi="Verdana"/>
                        <w:sz w:val="10"/>
                      </w:rPr>
                    </w:pPr>
                    <w:r>
                      <w:rPr>
                        <w:rFonts w:ascii="Verdana" w:hAnsi="Verdana"/>
                        <w:w w:val="137"/>
                        <w:sz w:val="10"/>
                      </w:rPr>
                      <w:t>X</w:t>
                    </w:r>
                    <w:r>
                      <w:rPr>
                        <w:rFonts w:ascii="Verdana" w:hAnsi="Verdana"/>
                        <w:spacing w:val="-1"/>
                        <w:w w:val="82"/>
                        <w:sz w:val="10"/>
                      </w:rPr>
                      <w:t>I</w:t>
                    </w:r>
                    <w:r>
                      <w:rPr>
                        <w:rFonts w:ascii="Verdana" w:hAnsi="Verdana"/>
                        <w:w w:val="152"/>
                        <w:sz w:val="10"/>
                      </w:rPr>
                      <w:t>N</w:t>
                    </w:r>
                    <w:r>
                      <w:rPr>
                        <w:rFonts w:ascii="Verdana" w:hAnsi="Verdana"/>
                        <w:spacing w:val="-1"/>
                        <w:w w:val="173"/>
                        <w:sz w:val="10"/>
                      </w:rPr>
                      <w:t>C</w:t>
                    </w:r>
                    <w:r>
                      <w:rPr>
                        <w:rFonts w:ascii="Verdana" w:hAnsi="Verdana"/>
                        <w:w w:val="173"/>
                        <w:sz w:val="10"/>
                      </w:rPr>
                      <w:t>A</w:t>
                    </w:r>
                    <w:r>
                      <w:rPr>
                        <w:rFonts w:ascii="Verdana" w:hAnsi="Verdana"/>
                        <w:spacing w:val="7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12"/>
                        <w:sz w:val="10"/>
                      </w:rPr>
                      <w:t>-</w:t>
                    </w:r>
                    <w:r>
                      <w:rPr>
                        <w:rFonts w:ascii="Verdana" w:hAnsi="Verdana"/>
                        <w:spacing w:val="7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spacing w:val="1"/>
                        <w:w w:val="168"/>
                        <w:sz w:val="10"/>
                      </w:rPr>
                      <w:t>M</w:t>
                    </w:r>
                    <w:r>
                      <w:rPr>
                        <w:rFonts w:ascii="Verdana" w:hAnsi="Verdana"/>
                        <w:spacing w:val="-1"/>
                        <w:w w:val="138"/>
                        <w:sz w:val="10"/>
                      </w:rPr>
                      <w:t>U</w:t>
                    </w:r>
                    <w:r>
                      <w:rPr>
                        <w:rFonts w:ascii="Verdana" w:hAnsi="Verdana"/>
                        <w:w w:val="163"/>
                        <w:sz w:val="10"/>
                      </w:rPr>
                      <w:t>J</w:t>
                    </w:r>
                    <w:r>
                      <w:rPr>
                        <w:rFonts w:ascii="Verdana" w:hAnsi="Verdana"/>
                        <w:spacing w:val="-1"/>
                        <w:w w:val="130"/>
                        <w:sz w:val="10"/>
                      </w:rPr>
                      <w:t>E</w:t>
                    </w:r>
                    <w:r>
                      <w:rPr>
                        <w:rFonts w:ascii="Verdana" w:hAnsi="Verdana"/>
                        <w:w w:val="134"/>
                        <w:sz w:val="10"/>
                      </w:rPr>
                      <w:t>R</w:t>
                    </w:r>
                    <w:r>
                      <w:rPr>
                        <w:rFonts w:ascii="Verdana" w:hAnsi="Verdana"/>
                        <w:w w:val="130"/>
                        <w:sz w:val="10"/>
                      </w:rPr>
                      <w:t>E</w:t>
                    </w:r>
                    <w:r>
                      <w:rPr>
                        <w:rFonts w:ascii="Verdana" w:hAnsi="Verdana"/>
                        <w:w w:val="112"/>
                        <w:sz w:val="10"/>
                      </w:rPr>
                      <w:t>S</w:t>
                    </w:r>
                    <w:r>
                      <w:rPr>
                        <w:rFonts w:ascii="Verdana" w:hAnsi="Verdana"/>
                        <w:sz w:val="10"/>
                      </w:rPr>
                      <w:tab/>
                    </w:r>
                    <w:r>
                      <w:rPr>
                        <w:rFonts w:ascii="Verdana" w:hAnsi="Verdana"/>
                        <w:spacing w:val="-1"/>
                        <w:w w:val="112"/>
                        <w:sz w:val="10"/>
                      </w:rPr>
                      <w:t>S</w:t>
                    </w:r>
                    <w:r>
                      <w:rPr>
                        <w:rFonts w:ascii="Verdana" w:hAnsi="Verdana"/>
                        <w:spacing w:val="1"/>
                        <w:w w:val="112"/>
                        <w:sz w:val="10"/>
                      </w:rPr>
                      <w:t>i</w:t>
                    </w:r>
                    <w:r>
                      <w:rPr>
                        <w:rFonts w:ascii="Verdana" w:hAnsi="Verdana"/>
                        <w:w w:val="148"/>
                        <w:sz w:val="10"/>
                      </w:rPr>
                      <w:t>n</w:t>
                    </w:r>
                    <w:r>
                      <w:rPr>
                        <w:rFonts w:ascii="Verdana" w:hAnsi="Verdana"/>
                        <w:spacing w:val="8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160"/>
                        <w:sz w:val="10"/>
                      </w:rPr>
                      <w:t>Cl</w:t>
                    </w:r>
                    <w:r>
                      <w:rPr>
                        <w:rFonts w:ascii="Verdana" w:hAnsi="Verdana"/>
                        <w:spacing w:val="-1"/>
                        <w:w w:val="175"/>
                        <w:sz w:val="10"/>
                      </w:rPr>
                      <w:t>a</w:t>
                    </w:r>
                    <w:r>
                      <w:rPr>
                        <w:rFonts w:ascii="Verdana" w:hAnsi="Verdana"/>
                        <w:w w:val="115"/>
                        <w:sz w:val="10"/>
                      </w:rPr>
                      <w:t>s</w:t>
                    </w:r>
                    <w:r>
                      <w:rPr>
                        <w:rFonts w:ascii="Verdana" w:hAnsi="Verdana"/>
                        <w:w w:val="112"/>
                        <w:sz w:val="10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126"/>
                        <w:sz w:val="10"/>
                      </w:rPr>
                      <w:t>f</w:t>
                    </w:r>
                    <w:r>
                      <w:rPr>
                        <w:rFonts w:ascii="Verdana" w:hAnsi="Verdana"/>
                        <w:spacing w:val="1"/>
                        <w:w w:val="126"/>
                        <w:sz w:val="10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183"/>
                        <w:sz w:val="10"/>
                      </w:rPr>
                      <w:t>c</w:t>
                    </w:r>
                    <w:r>
                      <w:rPr>
                        <w:rFonts w:ascii="Verdana" w:hAnsi="Verdana"/>
                        <w:w w:val="183"/>
                        <w:sz w:val="10"/>
                      </w:rPr>
                      <w:t>a</w:t>
                    </w:r>
                    <w:r>
                      <w:rPr>
                        <w:rFonts w:ascii="Verdana" w:hAnsi="Verdana"/>
                        <w:spacing w:val="-1"/>
                        <w:w w:val="164"/>
                        <w:sz w:val="10"/>
                      </w:rPr>
                      <w:t>c</w:t>
                    </w:r>
                    <w:r>
                      <w:rPr>
                        <w:rFonts w:ascii="Verdana" w:hAnsi="Verdana"/>
                        <w:w w:val="164"/>
                        <w:sz w:val="10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166"/>
                        <w:sz w:val="10"/>
                      </w:rPr>
                      <w:t>ó</w:t>
                    </w:r>
                    <w:r>
                      <w:rPr>
                        <w:rFonts w:ascii="Verdana" w:hAnsi="Verdana"/>
                        <w:w w:val="148"/>
                        <w:sz w:val="10"/>
                      </w:rPr>
                      <w:t>n</w:t>
                    </w:r>
                    <w:r>
                      <w:rPr>
                        <w:rFonts w:ascii="Verdana" w:hAnsi="Verdana"/>
                        <w:spacing w:val="8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12"/>
                        <w:sz w:val="10"/>
                      </w:rPr>
                      <w:t>-</w:t>
                    </w:r>
                    <w:r>
                      <w:rPr>
                        <w:rFonts w:ascii="Verdana" w:hAnsi="Verdana"/>
                        <w:spacing w:val="7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40"/>
                        <w:sz w:val="10"/>
                      </w:rPr>
                      <w:t>H</w:t>
                    </w:r>
                    <w:r>
                      <w:rPr>
                        <w:rFonts w:ascii="Verdana" w:hAnsi="Verdana"/>
                        <w:spacing w:val="-1"/>
                        <w:w w:val="170"/>
                        <w:sz w:val="10"/>
                      </w:rPr>
                      <w:t>O</w:t>
                    </w:r>
                    <w:r>
                      <w:rPr>
                        <w:rFonts w:ascii="Verdana" w:hAnsi="Verdana"/>
                        <w:spacing w:val="-1"/>
                        <w:w w:val="168"/>
                        <w:sz w:val="10"/>
                      </w:rPr>
                      <w:t>M</w:t>
                    </w:r>
                    <w:r>
                      <w:rPr>
                        <w:rFonts w:ascii="Verdana" w:hAnsi="Verdana"/>
                        <w:w w:val="129"/>
                        <w:sz w:val="10"/>
                      </w:rPr>
                      <w:t>B</w:t>
                    </w:r>
                    <w:r>
                      <w:rPr>
                        <w:rFonts w:ascii="Verdana" w:hAnsi="Verdana"/>
                        <w:w w:val="134"/>
                        <w:sz w:val="10"/>
                      </w:rPr>
                      <w:t>R</w:t>
                    </w:r>
                    <w:r>
                      <w:rPr>
                        <w:rFonts w:ascii="Verdana" w:hAnsi="Verdana"/>
                        <w:spacing w:val="-1"/>
                        <w:w w:val="130"/>
                        <w:sz w:val="10"/>
                      </w:rPr>
                      <w:t>E</w:t>
                    </w:r>
                    <w:r>
                      <w:rPr>
                        <w:rFonts w:ascii="Verdana" w:hAnsi="Verdana"/>
                        <w:w w:val="112"/>
                        <w:sz w:val="10"/>
                      </w:rPr>
                      <w:t>S</w:t>
                    </w:r>
                    <w:r>
                      <w:rPr>
                        <w:rFonts w:ascii="Verdana" w:hAnsi="Verdana"/>
                        <w:sz w:val="10"/>
                      </w:rPr>
                      <w:tab/>
                    </w:r>
                    <w:r>
                      <w:rPr>
                        <w:rFonts w:ascii="Verdana" w:hAnsi="Verdana"/>
                        <w:spacing w:val="-1"/>
                        <w:w w:val="112"/>
                        <w:sz w:val="10"/>
                      </w:rPr>
                      <w:t>S</w:t>
                    </w:r>
                    <w:r>
                      <w:rPr>
                        <w:rFonts w:ascii="Verdana" w:hAnsi="Verdana"/>
                        <w:w w:val="112"/>
                        <w:sz w:val="10"/>
                      </w:rPr>
                      <w:t>i</w:t>
                    </w:r>
                    <w:r>
                      <w:rPr>
                        <w:rFonts w:ascii="Verdana" w:hAnsi="Verdana"/>
                        <w:w w:val="148"/>
                        <w:sz w:val="10"/>
                      </w:rPr>
                      <w:t>n</w:t>
                    </w:r>
                    <w:r>
                      <w:rPr>
                        <w:rFonts w:ascii="Verdana" w:hAnsi="Verdana"/>
                        <w:spacing w:val="7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160"/>
                        <w:sz w:val="10"/>
                      </w:rPr>
                      <w:t>C</w:t>
                    </w:r>
                    <w:r>
                      <w:rPr>
                        <w:rFonts w:ascii="Verdana" w:hAnsi="Verdana"/>
                        <w:w w:val="160"/>
                        <w:sz w:val="10"/>
                      </w:rPr>
                      <w:t>l</w:t>
                    </w:r>
                    <w:r>
                      <w:rPr>
                        <w:rFonts w:ascii="Verdana" w:hAnsi="Verdana"/>
                        <w:w w:val="175"/>
                        <w:sz w:val="10"/>
                      </w:rPr>
                      <w:t>a</w:t>
                    </w:r>
                    <w:r>
                      <w:rPr>
                        <w:rFonts w:ascii="Verdana" w:hAnsi="Verdana"/>
                        <w:spacing w:val="-1"/>
                        <w:w w:val="115"/>
                        <w:sz w:val="10"/>
                      </w:rPr>
                      <w:t>s</w:t>
                    </w:r>
                    <w:r>
                      <w:rPr>
                        <w:rFonts w:ascii="Verdana" w:hAnsi="Verdana"/>
                        <w:w w:val="112"/>
                        <w:sz w:val="10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126"/>
                        <w:sz w:val="10"/>
                      </w:rPr>
                      <w:t>f</w:t>
                    </w:r>
                    <w:r>
                      <w:rPr>
                        <w:rFonts w:ascii="Verdana" w:hAnsi="Verdana"/>
                        <w:spacing w:val="1"/>
                        <w:w w:val="126"/>
                        <w:sz w:val="10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183"/>
                        <w:sz w:val="10"/>
                      </w:rPr>
                      <w:t>c</w:t>
                    </w:r>
                    <w:r>
                      <w:rPr>
                        <w:rFonts w:ascii="Verdana" w:hAnsi="Verdana"/>
                        <w:spacing w:val="1"/>
                        <w:w w:val="183"/>
                        <w:sz w:val="10"/>
                      </w:rPr>
                      <w:t>a</w:t>
                    </w:r>
                    <w:r>
                      <w:rPr>
                        <w:rFonts w:ascii="Verdana" w:hAnsi="Verdana"/>
                        <w:spacing w:val="-1"/>
                        <w:w w:val="164"/>
                        <w:sz w:val="10"/>
                      </w:rPr>
                      <w:t>c</w:t>
                    </w:r>
                    <w:r>
                      <w:rPr>
                        <w:rFonts w:ascii="Verdana" w:hAnsi="Verdana"/>
                        <w:w w:val="164"/>
                        <w:sz w:val="10"/>
                      </w:rPr>
                      <w:t>i</w:t>
                    </w:r>
                    <w:r>
                      <w:rPr>
                        <w:rFonts w:ascii="Verdana" w:hAnsi="Verdana"/>
                        <w:w w:val="166"/>
                        <w:sz w:val="10"/>
                      </w:rPr>
                      <w:t>ó</w:t>
                    </w:r>
                    <w:r>
                      <w:rPr>
                        <w:rFonts w:ascii="Verdana" w:hAnsi="Verdana"/>
                        <w:w w:val="148"/>
                        <w:sz w:val="10"/>
                      </w:rPr>
                      <w:t>n</w:t>
                    </w:r>
                    <w:r>
                      <w:rPr>
                        <w:rFonts w:ascii="Verdana" w:hAnsi="Verdana"/>
                        <w:spacing w:val="6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12"/>
                        <w:sz w:val="10"/>
                      </w:rPr>
                      <w:t>-</w:t>
                    </w:r>
                    <w:r>
                      <w:rPr>
                        <w:rFonts w:ascii="Verdana" w:hAnsi="Verdana"/>
                        <w:spacing w:val="8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168"/>
                        <w:sz w:val="10"/>
                      </w:rPr>
                      <w:t>M</w:t>
                    </w:r>
                    <w:r>
                      <w:rPr>
                        <w:rFonts w:ascii="Verdana" w:hAnsi="Verdana"/>
                        <w:spacing w:val="-1"/>
                        <w:w w:val="138"/>
                        <w:sz w:val="10"/>
                      </w:rPr>
                      <w:t>U</w:t>
                    </w:r>
                    <w:r>
                      <w:rPr>
                        <w:rFonts w:ascii="Verdana" w:hAnsi="Verdana"/>
                        <w:w w:val="163"/>
                        <w:sz w:val="10"/>
                      </w:rPr>
                      <w:t>J</w:t>
                    </w:r>
                    <w:r>
                      <w:rPr>
                        <w:rFonts w:ascii="Verdana" w:hAnsi="Verdana"/>
                        <w:w w:val="130"/>
                        <w:sz w:val="10"/>
                      </w:rPr>
                      <w:t>E</w:t>
                    </w:r>
                    <w:r>
                      <w:rPr>
                        <w:rFonts w:ascii="Verdana" w:hAnsi="Verdana"/>
                        <w:spacing w:val="-1"/>
                        <w:w w:val="134"/>
                        <w:sz w:val="10"/>
                      </w:rPr>
                      <w:t>R</w:t>
                    </w:r>
                    <w:r>
                      <w:rPr>
                        <w:rFonts w:ascii="Verdana" w:hAnsi="Verdana"/>
                        <w:spacing w:val="1"/>
                        <w:w w:val="130"/>
                        <w:sz w:val="10"/>
                      </w:rPr>
                      <w:t>E</w:t>
                    </w:r>
                    <w:r>
                      <w:rPr>
                        <w:rFonts w:ascii="Verdana" w:hAnsi="Verdana"/>
                        <w:w w:val="112"/>
                        <w:sz w:val="10"/>
                      </w:rPr>
                      <w:t>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Gráfico Nº. Total de población estudiantil por niveles educativos, etnia y sexo para el Departamento de</w:t>
      </w:r>
      <w:r>
        <w:rPr>
          <w:spacing w:val="1"/>
        </w:rPr>
        <w:t> </w:t>
      </w:r>
      <w:r>
        <w:rPr/>
        <w:t>Jalapa</w:t>
      </w:r>
      <w:r>
        <w:rPr>
          <w:spacing w:val="-1"/>
        </w:rPr>
        <w:t> </w:t>
      </w:r>
      <w:r>
        <w:rPr/>
        <w:t>(2017-2021)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ind w:left="278" w:right="1073"/>
        <w:jc w:val="both"/>
      </w:pPr>
      <w:r>
        <w:rPr/>
        <w:t>Este gráfico muestra el total de la población estudiantil por niveles educativos, etnia y sexo durante el</w:t>
      </w:r>
      <w:r>
        <w:rPr>
          <w:spacing w:val="1"/>
        </w:rPr>
        <w:t> </w:t>
      </w:r>
      <w:r>
        <w:rPr/>
        <w:t>período 2017-2021, para el Departamento de Jalapa. Según DIPLAN (2021), de las cifras anteriores, la</w:t>
      </w:r>
      <w:r>
        <w:rPr>
          <w:spacing w:val="1"/>
        </w:rPr>
        <w:t> </w:t>
      </w:r>
      <w:r>
        <w:rPr/>
        <w:t>proporción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a la</w:t>
      </w:r>
      <w:r>
        <w:rPr>
          <w:spacing w:val="-3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estudiantil</w:t>
      </w:r>
      <w:r>
        <w:rPr>
          <w:spacing w:val="-3"/>
        </w:rPr>
        <w:t> </w:t>
      </w:r>
      <w:r>
        <w:rPr/>
        <w:t>fue</w:t>
      </w:r>
      <w:r>
        <w:rPr>
          <w:spacing w:val="1"/>
        </w:rPr>
        <w:t> </w:t>
      </w:r>
      <w:r>
        <w:rPr/>
        <w:t>como</w:t>
      </w:r>
      <w:r>
        <w:rPr>
          <w:spacing w:val="-2"/>
        </w:rPr>
        <w:t> </w:t>
      </w:r>
      <w:r>
        <w:rPr/>
        <w:t>sigue: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6186"/>
      </w:pPr>
      <w:r>
        <w:rPr/>
        <w:t>Ladino: 51% de hombres y 47% de mujeres.</w:t>
      </w:r>
      <w:r>
        <w:rPr>
          <w:spacing w:val="1"/>
        </w:rPr>
        <w:t> </w:t>
      </w:r>
      <w:r>
        <w:rPr/>
        <w:t>Maya: 0.6% de hombres y 0.5% de mujeres.</w:t>
      </w:r>
      <w:r>
        <w:rPr>
          <w:spacing w:val="1"/>
        </w:rPr>
        <w:t> </w:t>
      </w:r>
      <w:r>
        <w:rPr/>
        <w:t>Xinca:</w:t>
      </w:r>
      <w:r>
        <w:rPr>
          <w:spacing w:val="-4"/>
        </w:rPr>
        <w:t> </w:t>
      </w:r>
      <w:r>
        <w:rPr/>
        <w:t>0.03%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hombres</w:t>
      </w:r>
      <w:r>
        <w:rPr>
          <w:spacing w:val="-1"/>
        </w:rPr>
        <w:t> </w:t>
      </w:r>
      <w:r>
        <w:rPr/>
        <w:t>y</w:t>
      </w:r>
      <w:r>
        <w:rPr>
          <w:spacing w:val="-6"/>
        </w:rPr>
        <w:t> </w:t>
      </w:r>
      <w:r>
        <w:rPr/>
        <w:t>0.03%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mujeres.</w:t>
      </w:r>
    </w:p>
    <w:p>
      <w:pPr>
        <w:pStyle w:val="BodyText"/>
        <w:spacing w:before="1"/>
      </w:pPr>
    </w:p>
    <w:p>
      <w:pPr>
        <w:pStyle w:val="BodyText"/>
        <w:ind w:left="278" w:right="1070"/>
        <w:jc w:val="both"/>
      </w:pPr>
      <w:r>
        <w:rPr/>
        <w:t>Al comparar estos resultados con la información del INE, (2018), es posible evidenciar la falta de equidad</w:t>
      </w:r>
      <w:r>
        <w:rPr>
          <w:spacing w:val="1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acceso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educación</w:t>
      </w:r>
      <w:r>
        <w:rPr>
          <w:spacing w:val="-8"/>
        </w:rPr>
        <w:t> </w:t>
      </w:r>
      <w:r>
        <w:rPr/>
        <w:t>por</w:t>
      </w:r>
      <w:r>
        <w:rPr>
          <w:spacing w:val="-5"/>
        </w:rPr>
        <w:t> </w:t>
      </w:r>
      <w:r>
        <w:rPr/>
        <w:t>etnias</w:t>
      </w:r>
      <w:r>
        <w:rPr>
          <w:spacing w:val="-7"/>
        </w:rPr>
        <w:t> </w:t>
      </w:r>
      <w:r>
        <w:rPr/>
        <w:t>mayoritarias.</w:t>
      </w:r>
      <w:r>
        <w:rPr>
          <w:spacing w:val="-5"/>
        </w:rPr>
        <w:t> </w:t>
      </w:r>
      <w:r>
        <w:rPr/>
        <w:t>sí</w:t>
      </w:r>
      <w:r>
        <w:rPr>
          <w:spacing w:val="-7"/>
        </w:rPr>
        <w:t> </w:t>
      </w:r>
      <w:r>
        <w:rPr/>
        <w:t>hay</w:t>
      </w:r>
      <w:r>
        <w:rPr>
          <w:spacing w:val="-3"/>
        </w:rPr>
        <w:t> </w:t>
      </w:r>
      <w:r>
        <w:rPr/>
        <w:t>representatividad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etnias</w:t>
      </w:r>
      <w:r>
        <w:rPr>
          <w:spacing w:val="-8"/>
        </w:rPr>
        <w:t> </w:t>
      </w:r>
      <w:r>
        <w:rPr/>
        <w:t>mayoritarias</w:t>
      </w:r>
      <w:r>
        <w:rPr>
          <w:spacing w:val="-5"/>
        </w:rPr>
        <w:t> </w:t>
      </w:r>
      <w:r>
        <w:rPr/>
        <w:t>por</w:t>
      </w:r>
      <w:r>
        <w:rPr>
          <w:spacing w:val="-47"/>
        </w:rPr>
        <w:t> </w:t>
      </w:r>
      <w:r>
        <w:rPr/>
        <w:t>Departamento</w:t>
      </w:r>
      <w:r>
        <w:rPr>
          <w:spacing w:val="-9"/>
        </w:rPr>
        <w:t> </w:t>
      </w:r>
      <w:r>
        <w:rPr/>
        <w:t>(7%</w:t>
      </w:r>
      <w:r>
        <w:rPr>
          <w:spacing w:val="-7"/>
        </w:rPr>
        <w:t> </w:t>
      </w:r>
      <w:r>
        <w:rPr/>
        <w:t>Maya,</w:t>
      </w:r>
      <w:r>
        <w:rPr>
          <w:spacing w:val="-10"/>
        </w:rPr>
        <w:t> </w:t>
      </w:r>
      <w:r>
        <w:rPr/>
        <w:t>61%</w:t>
      </w:r>
      <w:r>
        <w:rPr>
          <w:spacing w:val="-10"/>
        </w:rPr>
        <w:t> </w:t>
      </w:r>
      <w:r>
        <w:rPr/>
        <w:t>Ladina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Xinca</w:t>
      </w:r>
      <w:r>
        <w:rPr>
          <w:spacing w:val="-7"/>
        </w:rPr>
        <w:t> </w:t>
      </w:r>
      <w:r>
        <w:rPr/>
        <w:t>32%).</w:t>
      </w:r>
      <w:r>
        <w:rPr>
          <w:spacing w:val="-11"/>
        </w:rPr>
        <w:t> </w:t>
      </w:r>
      <w:r>
        <w:rPr/>
        <w:t>Es</w:t>
      </w:r>
      <w:r>
        <w:rPr>
          <w:spacing w:val="-10"/>
        </w:rPr>
        <w:t> </w:t>
      </w:r>
      <w:r>
        <w:rPr/>
        <w:t>decir,</w:t>
      </w:r>
      <w:r>
        <w:rPr>
          <w:spacing w:val="-7"/>
        </w:rPr>
        <w:t> </w:t>
      </w:r>
      <w:r>
        <w:rPr/>
        <w:t>un</w:t>
      </w:r>
      <w:r>
        <w:rPr>
          <w:spacing w:val="-9"/>
        </w:rPr>
        <w:t> </w:t>
      </w:r>
      <w:r>
        <w:rPr/>
        <w:t>niño</w:t>
      </w:r>
      <w:r>
        <w:rPr>
          <w:spacing w:val="-8"/>
        </w:rPr>
        <w:t> </w:t>
      </w:r>
      <w:r>
        <w:rPr/>
        <w:t>o</w:t>
      </w:r>
      <w:r>
        <w:rPr>
          <w:spacing w:val="-7"/>
        </w:rPr>
        <w:t> </w:t>
      </w:r>
      <w:r>
        <w:rPr/>
        <w:t>adolescente</w:t>
      </w:r>
      <w:r>
        <w:rPr>
          <w:spacing w:val="-6"/>
        </w:rPr>
        <w:t> </w:t>
      </w:r>
      <w:r>
        <w:rPr/>
        <w:t>Xinca</w:t>
      </w:r>
      <w:r>
        <w:rPr>
          <w:spacing w:val="-10"/>
        </w:rPr>
        <w:t> </w:t>
      </w:r>
      <w:r>
        <w:rPr/>
        <w:t>o</w:t>
      </w:r>
      <w:r>
        <w:rPr>
          <w:spacing w:val="-8"/>
        </w:rPr>
        <w:t> </w:t>
      </w:r>
      <w:r>
        <w:rPr/>
        <w:t>Maya</w:t>
      </w:r>
      <w:r>
        <w:rPr>
          <w:spacing w:val="-8"/>
        </w:rPr>
        <w:t> </w:t>
      </w:r>
      <w:r>
        <w:rPr/>
        <w:t>no</w:t>
      </w:r>
      <w:r>
        <w:rPr>
          <w:spacing w:val="-7"/>
        </w:rPr>
        <w:t> </w:t>
      </w:r>
      <w:r>
        <w:rPr/>
        <w:t>posee</w:t>
      </w:r>
      <w:r>
        <w:rPr>
          <w:spacing w:val="-47"/>
        </w:rPr>
        <w:t> </w:t>
      </w:r>
      <w:r>
        <w:rPr/>
        <w:t>oportunidad de entrar al sistema educativo nacional. Solamente si se es ladino y varón en Jalapa, se</w:t>
      </w:r>
      <w:r>
        <w:rPr>
          <w:spacing w:val="1"/>
        </w:rPr>
        <w:t> </w:t>
      </w:r>
      <w:r>
        <w:rPr/>
        <w:t>tendrán</w:t>
      </w:r>
      <w:r>
        <w:rPr>
          <w:spacing w:val="-2"/>
        </w:rPr>
        <w:t> </w:t>
      </w:r>
      <w:r>
        <w:rPr/>
        <w:t>posibilidades</w:t>
      </w:r>
      <w:r>
        <w:rPr>
          <w:spacing w:val="-1"/>
        </w:rPr>
        <w:t> </w:t>
      </w:r>
      <w:r>
        <w:rPr/>
        <w:t>educativas.</w:t>
      </w:r>
    </w:p>
    <w:p>
      <w:pPr>
        <w:pStyle w:val="BodyText"/>
        <w:spacing w:before="12"/>
        <w:rPr>
          <w:sz w:val="21"/>
        </w:rPr>
      </w:pPr>
    </w:p>
    <w:p>
      <w:pPr>
        <w:pStyle w:val="BodyText"/>
        <w:ind w:left="278" w:right="1070"/>
        <w:jc w:val="both"/>
      </w:pPr>
      <w:r>
        <w:rPr/>
        <w:t>Por otra parte, respecto del sexo se sigue presentando una brecha de atención en dónde la participación</w:t>
      </w:r>
      <w:r>
        <w:rPr>
          <w:spacing w:val="1"/>
        </w:rPr>
        <w:t> </w:t>
      </w:r>
      <w:r>
        <w:rPr/>
        <w:t>del hombre Ladino es mayor que la de la mujer -para todas las etnias-; sobre todo considerando que en</w:t>
      </w:r>
      <w:r>
        <w:rPr>
          <w:spacing w:val="1"/>
        </w:rPr>
        <w:t> </w:t>
      </w:r>
      <w:r>
        <w:rPr/>
        <w:t>este departamento el 52% es mujer y el 48% es hombre. Es decir, –ser mujer- es un factor desfavorable</w:t>
      </w:r>
      <w:r>
        <w:rPr>
          <w:spacing w:val="1"/>
        </w:rPr>
        <w:t> </w:t>
      </w:r>
      <w:r>
        <w:rPr>
          <w:spacing w:val="-1"/>
        </w:rPr>
        <w:t>para</w:t>
      </w:r>
      <w:r>
        <w:rPr>
          <w:spacing w:val="-9"/>
        </w:rPr>
        <w:t> </w:t>
      </w:r>
      <w:r>
        <w:rPr>
          <w:spacing w:val="-1"/>
        </w:rPr>
        <w:t>ingresar</w:t>
      </w:r>
      <w:r>
        <w:rPr>
          <w:spacing w:val="-10"/>
        </w:rPr>
        <w:t> </w:t>
      </w:r>
      <w:r>
        <w:rPr/>
        <w:t>y</w:t>
      </w:r>
      <w:r>
        <w:rPr>
          <w:spacing w:val="-8"/>
        </w:rPr>
        <w:t> </w:t>
      </w:r>
      <w:r>
        <w:rPr/>
        <w:t>permanecer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sistema.</w:t>
      </w:r>
      <w:r>
        <w:rPr>
          <w:spacing w:val="-8"/>
        </w:rPr>
        <w:t> </w:t>
      </w:r>
      <w:r>
        <w:rPr/>
        <w:t>Adicionalmente,</w:t>
      </w:r>
      <w:r>
        <w:rPr>
          <w:spacing w:val="-7"/>
        </w:rPr>
        <w:t> </w:t>
      </w:r>
      <w:r>
        <w:rPr/>
        <w:t>para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mujer</w:t>
      </w:r>
      <w:r>
        <w:rPr>
          <w:spacing w:val="-10"/>
        </w:rPr>
        <w:t> </w:t>
      </w:r>
      <w:r>
        <w:rPr/>
        <w:t>Xinca</w:t>
      </w:r>
      <w:r>
        <w:rPr>
          <w:spacing w:val="-12"/>
        </w:rPr>
        <w:t> </w:t>
      </w:r>
      <w:r>
        <w:rPr/>
        <w:t>o</w:t>
      </w:r>
      <w:r>
        <w:rPr>
          <w:spacing w:val="-8"/>
        </w:rPr>
        <w:t> </w:t>
      </w:r>
      <w:r>
        <w:rPr/>
        <w:t>Maya</w:t>
      </w:r>
      <w:r>
        <w:rPr>
          <w:spacing w:val="-9"/>
        </w:rPr>
        <w:t> </w:t>
      </w:r>
      <w:r>
        <w:rPr/>
        <w:t>existe</w:t>
      </w:r>
      <w:r>
        <w:rPr>
          <w:spacing w:val="-9"/>
        </w:rPr>
        <w:t> </w:t>
      </w:r>
      <w:r>
        <w:rPr/>
        <w:t>nula</w:t>
      </w:r>
      <w:r>
        <w:rPr>
          <w:spacing w:val="-10"/>
        </w:rPr>
        <w:t> </w:t>
      </w:r>
      <w:r>
        <w:rPr/>
        <w:t>o</w:t>
      </w:r>
      <w:r>
        <w:rPr>
          <w:spacing w:val="-9"/>
        </w:rPr>
        <w:t> </w:t>
      </w:r>
      <w:r>
        <w:rPr/>
        <w:t>escasa</w:t>
      </w:r>
      <w:r>
        <w:rPr>
          <w:spacing w:val="-47"/>
        </w:rPr>
        <w:t> </w:t>
      </w:r>
      <w:r>
        <w:rPr/>
        <w:t>oportunidad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ingresar</w:t>
      </w:r>
      <w:r>
        <w:rPr>
          <w:spacing w:val="-2"/>
        </w:rPr>
        <w:t> </w:t>
      </w:r>
      <w:r>
        <w:rPr/>
        <w:t>en el sistema educativo</w:t>
      </w:r>
      <w:r>
        <w:rPr>
          <w:spacing w:val="1"/>
        </w:rPr>
        <w:t> </w:t>
      </w:r>
      <w:r>
        <w:rPr/>
        <w:t>del</w:t>
      </w:r>
      <w:r>
        <w:rPr>
          <w:spacing w:val="-3"/>
        </w:rPr>
        <w:t> </w:t>
      </w:r>
      <w:r>
        <w:rPr/>
        <w:t>departamento.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pict>
          <v:rect style="position:absolute;margin-left:563.880005pt;margin-top:10.75505pt;width:25.44pt;height:1.4399pt;mso-position-horizontal-relative:page;mso-position-vertical-relative:paragraph;z-index:-1541836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157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24512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2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1"/>
          <w:numId w:val="36"/>
        </w:numPr>
        <w:tabs>
          <w:tab w:pos="855" w:val="left" w:leader="none"/>
        </w:tabs>
        <w:spacing w:line="240" w:lineRule="auto" w:before="52" w:after="0"/>
        <w:ind w:left="854" w:right="0" w:hanging="577"/>
        <w:jc w:val="left"/>
      </w:pPr>
      <w:bookmarkStart w:name="_bookmark189" w:id="311"/>
      <w:bookmarkEnd w:id="311"/>
      <w:r>
        <w:rPr>
          <w:b w:val="0"/>
        </w:rPr>
      </w:r>
      <w:bookmarkStart w:name="_bookmark189" w:id="312"/>
      <w:bookmarkEnd w:id="312"/>
      <w:r>
        <w:rPr>
          <w:color w:val="1F4E79"/>
        </w:rPr>
        <w:t>Ju</w:t>
      </w:r>
      <w:r>
        <w:rPr>
          <w:color w:val="1F4E79"/>
        </w:rPr>
        <w:t>tiapa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2"/>
          <w:numId w:val="36"/>
        </w:numPr>
        <w:tabs>
          <w:tab w:pos="999" w:val="left" w:leader="none"/>
        </w:tabs>
        <w:spacing w:line="240" w:lineRule="auto" w:before="187" w:after="0"/>
        <w:ind w:left="998" w:right="0" w:hanging="721"/>
        <w:jc w:val="left"/>
        <w:rPr>
          <w:b/>
          <w:sz w:val="24"/>
        </w:rPr>
      </w:pPr>
      <w:bookmarkStart w:name="_bookmark190" w:id="313"/>
      <w:bookmarkEnd w:id="313"/>
      <w:r>
        <w:rPr/>
      </w:r>
      <w:bookmarkStart w:name="_bookmark190" w:id="314"/>
      <w:bookmarkEnd w:id="314"/>
      <w:r>
        <w:rPr>
          <w:b/>
          <w:sz w:val="24"/>
        </w:rPr>
        <w:t>Inf</w:t>
      </w:r>
      <w:r>
        <w:rPr>
          <w:b/>
          <w:sz w:val="24"/>
        </w:rPr>
        <w:t>ormación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General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0"/>
        <w:jc w:val="both"/>
      </w:pPr>
      <w:r>
        <w:rPr/>
        <w:t>De</w:t>
      </w:r>
      <w:r>
        <w:rPr>
          <w:spacing w:val="-4"/>
        </w:rPr>
        <w:t> </w:t>
      </w:r>
      <w:r>
        <w:rPr/>
        <w:t>acuerdo</w:t>
      </w:r>
      <w:r>
        <w:rPr>
          <w:spacing w:val="-2"/>
        </w:rPr>
        <w:t> </w:t>
      </w:r>
      <w:r>
        <w:rPr/>
        <w:t>con</w:t>
      </w:r>
      <w:r>
        <w:rPr>
          <w:spacing w:val="-4"/>
        </w:rPr>
        <w:t> </w:t>
      </w:r>
      <w:r>
        <w:rPr/>
        <w:t>INE</w:t>
      </w:r>
      <w:r>
        <w:rPr>
          <w:spacing w:val="-3"/>
        </w:rPr>
        <w:t> </w:t>
      </w:r>
      <w:r>
        <w:rPr/>
        <w:t>(2018),</w:t>
      </w:r>
      <w:r>
        <w:rPr>
          <w:spacing w:val="-7"/>
        </w:rPr>
        <w:t> </w:t>
      </w:r>
      <w:r>
        <w:rPr/>
        <w:t>el</w:t>
      </w:r>
      <w:r>
        <w:rPr>
          <w:spacing w:val="-3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Jutiapa</w:t>
      </w:r>
      <w:r>
        <w:rPr>
          <w:spacing w:val="-3"/>
        </w:rPr>
        <w:t> </w:t>
      </w:r>
      <w:r>
        <w:rPr/>
        <w:t>posee</w:t>
      </w:r>
      <w:r>
        <w:rPr>
          <w:spacing w:val="-4"/>
        </w:rPr>
        <w:t> </w:t>
      </w:r>
      <w:r>
        <w:rPr/>
        <w:t>una</w:t>
      </w:r>
      <w:r>
        <w:rPr>
          <w:spacing w:val="-3"/>
        </w:rPr>
        <w:t> </w:t>
      </w:r>
      <w:r>
        <w:rPr/>
        <w:t>población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488,395,</w:t>
      </w:r>
      <w:r>
        <w:rPr>
          <w:spacing w:val="-4"/>
        </w:rPr>
        <w:t> </w:t>
      </w:r>
      <w:r>
        <w:rPr/>
        <w:t>integrada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el</w:t>
      </w:r>
      <w:r>
        <w:rPr>
          <w:spacing w:val="-47"/>
        </w:rPr>
        <w:t> </w:t>
      </w:r>
      <w:r>
        <w:rPr/>
        <w:t>51%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mujeres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49%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hombres.</w:t>
      </w:r>
      <w:r>
        <w:rPr>
          <w:spacing w:val="-3"/>
        </w:rPr>
        <w:t> </w:t>
      </w:r>
      <w:r>
        <w:rPr/>
        <w:t>Cabe</w:t>
      </w:r>
      <w:r>
        <w:rPr>
          <w:spacing w:val="-2"/>
        </w:rPr>
        <w:t> </w:t>
      </w:r>
      <w:r>
        <w:rPr/>
        <w:t>destacar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42%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población</w:t>
      </w:r>
      <w:r>
        <w:rPr>
          <w:spacing w:val="-6"/>
        </w:rPr>
        <w:t> </w:t>
      </w:r>
      <w:r>
        <w:rPr/>
        <w:t>es</w:t>
      </w:r>
      <w:r>
        <w:rPr>
          <w:spacing w:val="-1"/>
        </w:rPr>
        <w:t> </w:t>
      </w:r>
      <w:r>
        <w:rPr/>
        <w:t>niño</w:t>
      </w:r>
      <w:r>
        <w:rPr>
          <w:spacing w:val="-4"/>
        </w:rPr>
        <w:t> </w:t>
      </w:r>
      <w:r>
        <w:rPr/>
        <w:t>o</w:t>
      </w:r>
      <w:r>
        <w:rPr>
          <w:spacing w:val="-2"/>
        </w:rPr>
        <w:t> </w:t>
      </w:r>
      <w:r>
        <w:rPr/>
        <w:t>adolescente,</w:t>
      </w:r>
      <w:r>
        <w:rPr>
          <w:spacing w:val="-5"/>
        </w:rPr>
        <w:t> </w:t>
      </w:r>
      <w:r>
        <w:rPr/>
        <w:t>ya</w:t>
      </w:r>
      <w:r>
        <w:rPr>
          <w:spacing w:val="-47"/>
        </w:rPr>
        <w:t> </w:t>
      </w:r>
      <w:r>
        <w:rPr/>
        <w:t>que se encuentran entre el rango de 0 a 19 años de edad.</w:t>
      </w:r>
      <w:r>
        <w:rPr>
          <w:spacing w:val="1"/>
        </w:rPr>
        <w:t> </w:t>
      </w:r>
      <w:r>
        <w:rPr/>
        <w:t>De este total, el 51% es del área urbana y el</w:t>
      </w:r>
      <w:r>
        <w:rPr>
          <w:spacing w:val="1"/>
        </w:rPr>
        <w:t> </w:t>
      </w:r>
      <w:r>
        <w:rPr/>
        <w:t>restante</w:t>
      </w:r>
      <w:r>
        <w:rPr>
          <w:spacing w:val="-3"/>
        </w:rPr>
        <w:t> </w:t>
      </w:r>
      <w:r>
        <w:rPr/>
        <w:t>49%</w:t>
      </w:r>
      <w:r>
        <w:rPr>
          <w:spacing w:val="-2"/>
        </w:rPr>
        <w:t> </w:t>
      </w:r>
      <w:r>
        <w:rPr/>
        <w:t>es del área</w:t>
      </w:r>
      <w:r>
        <w:rPr>
          <w:spacing w:val="-2"/>
        </w:rPr>
        <w:t> </w:t>
      </w:r>
      <w:r>
        <w:rPr/>
        <w:t>rural, de los cuales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79%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reconoce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Ladina, el</w:t>
      </w:r>
      <w:r>
        <w:rPr>
          <w:spacing w:val="-3"/>
        </w:rPr>
        <w:t> </w:t>
      </w:r>
      <w:r>
        <w:rPr/>
        <w:t>39%</w:t>
      </w:r>
      <w:r>
        <w:rPr>
          <w:spacing w:val="-2"/>
        </w:rPr>
        <w:t> </w:t>
      </w:r>
      <w:r>
        <w:rPr/>
        <w:t>Xinca.</w:t>
      </w:r>
    </w:p>
    <w:p>
      <w:pPr>
        <w:pStyle w:val="BodyText"/>
        <w:spacing w:before="1"/>
      </w:pPr>
    </w:p>
    <w:p>
      <w:pPr>
        <w:pStyle w:val="BodyText"/>
        <w:ind w:left="278"/>
        <w:jc w:val="both"/>
      </w:pPr>
      <w:r>
        <w:rPr/>
        <w:t>Por</w:t>
      </w:r>
      <w:r>
        <w:rPr>
          <w:spacing w:val="-8"/>
        </w:rPr>
        <w:t> </w:t>
      </w:r>
      <w:r>
        <w:rPr/>
        <w:t>otro</w:t>
      </w:r>
      <w:r>
        <w:rPr>
          <w:spacing w:val="-2"/>
        </w:rPr>
        <w:t> </w:t>
      </w:r>
      <w:r>
        <w:rPr/>
        <w:t>lado,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comunidad</w:t>
      </w:r>
      <w:r>
        <w:rPr>
          <w:spacing w:val="-4"/>
        </w:rPr>
        <w:t> </w:t>
      </w:r>
      <w:r>
        <w:rPr/>
        <w:t>maya</w:t>
      </w:r>
      <w:r>
        <w:rPr>
          <w:spacing w:val="-6"/>
        </w:rPr>
        <w:t> </w:t>
      </w:r>
      <w:r>
        <w:rPr/>
        <w:t>lingüística</w:t>
      </w:r>
      <w:r>
        <w:rPr>
          <w:spacing w:val="-3"/>
        </w:rPr>
        <w:t> </w:t>
      </w:r>
      <w:r>
        <w:rPr/>
        <w:t>dominante</w:t>
      </w:r>
      <w:r>
        <w:rPr>
          <w:spacing w:val="-5"/>
        </w:rPr>
        <w:t> </w:t>
      </w:r>
      <w:r>
        <w:rPr/>
        <w:t>es</w:t>
      </w:r>
      <w:r>
        <w:rPr>
          <w:spacing w:val="-5"/>
        </w:rPr>
        <w:t> </w:t>
      </w:r>
      <w:r>
        <w:rPr/>
        <w:t>K’iche’,</w:t>
      </w:r>
      <w:r>
        <w:rPr>
          <w:spacing w:val="-5"/>
        </w:rPr>
        <w:t> </w:t>
      </w:r>
      <w:r>
        <w:rPr/>
        <w:t>Kaqchiele</w:t>
      </w:r>
      <w:r>
        <w:rPr>
          <w:spacing w:val="-7"/>
        </w:rPr>
        <w:t> </w:t>
      </w:r>
      <w:r>
        <w:rPr/>
        <w:t>y</w:t>
      </w:r>
      <w:r>
        <w:rPr>
          <w:spacing w:val="-3"/>
        </w:rPr>
        <w:t> </w:t>
      </w:r>
      <w:r>
        <w:rPr/>
        <w:t>Cholchiteka</w:t>
      </w:r>
      <w:r>
        <w:rPr>
          <w:spacing w:val="-3"/>
        </w:rPr>
        <w:t> </w:t>
      </w:r>
      <w:r>
        <w:rPr/>
        <w:t>reportando</w:t>
      </w:r>
      <w:r>
        <w:rPr>
          <w:spacing w:val="-4"/>
        </w:rPr>
        <w:t> </w:t>
      </w:r>
      <w:r>
        <w:rPr/>
        <w:t>un</w:t>
      </w:r>
    </w:p>
    <w:p>
      <w:pPr>
        <w:pStyle w:val="BodyText"/>
        <w:spacing w:before="1"/>
        <w:ind w:left="278"/>
        <w:jc w:val="both"/>
      </w:pPr>
      <w:r>
        <w:rPr/>
        <w:t>39%,</w:t>
      </w:r>
      <w:r>
        <w:rPr>
          <w:spacing w:val="-1"/>
        </w:rPr>
        <w:t> </w:t>
      </w:r>
      <w:r>
        <w:rPr/>
        <w:t>17%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16% respectivamente.</w:t>
      </w:r>
    </w:p>
    <w:p>
      <w:pPr>
        <w:pStyle w:val="BodyText"/>
        <w:spacing w:before="8"/>
        <w:rPr>
          <w:sz w:val="19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191" w:id="315"/>
      <w:bookmarkEnd w:id="315"/>
      <w:r>
        <w:rPr>
          <w:b w:val="0"/>
        </w:rPr>
      </w:r>
      <w:bookmarkStart w:name="_bookmark191" w:id="316"/>
      <w:bookmarkEnd w:id="316"/>
      <w:r>
        <w:rPr/>
        <w:t>Situ</w:t>
      </w:r>
      <w:r>
        <w:rPr/>
        <w:t>ación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Sistema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Nacional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ind w:left="278" w:right="1068"/>
        <w:jc w:val="both"/>
      </w:pPr>
      <w:r>
        <w:rPr/>
        <w:t>En relación con la población estudiantil del Departamento de Jutiapa, esta presenta cifras similares al</w:t>
      </w:r>
      <w:r>
        <w:rPr>
          <w:spacing w:val="1"/>
        </w:rPr>
        <w:t> </w:t>
      </w:r>
      <w:r>
        <w:rPr/>
        <w:t>comportamiento promedio nacional. La educación primaria es la que reporta mayor crecimiento con una</w:t>
      </w:r>
      <w:r>
        <w:rPr>
          <w:spacing w:val="-47"/>
        </w:rPr>
        <w:t> </w:t>
      </w:r>
      <w:r>
        <w:rPr/>
        <w:t>importante</w:t>
      </w:r>
      <w:r>
        <w:rPr>
          <w:spacing w:val="-5"/>
        </w:rPr>
        <w:t> </w:t>
      </w:r>
      <w:r>
        <w:rPr/>
        <w:t>cantidad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estudiantes</w:t>
      </w:r>
      <w:r>
        <w:rPr>
          <w:spacing w:val="-6"/>
        </w:rPr>
        <w:t> </w:t>
      </w:r>
      <w:r>
        <w:rPr/>
        <w:t>registrados,</w:t>
      </w:r>
      <w:r>
        <w:rPr>
          <w:spacing w:val="-6"/>
        </w:rPr>
        <w:t> </w:t>
      </w:r>
      <w:r>
        <w:rPr/>
        <w:t>seguido</w:t>
      </w:r>
      <w:r>
        <w:rPr>
          <w:spacing w:val="-4"/>
        </w:rPr>
        <w:t> </w:t>
      </w:r>
      <w:r>
        <w:rPr/>
        <w:t>por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nivel</w:t>
      </w:r>
      <w:r>
        <w:rPr>
          <w:spacing w:val="-5"/>
        </w:rPr>
        <w:t> </w:t>
      </w:r>
      <w:r>
        <w:rPr/>
        <w:t>preprimaria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/>
        <w:t>básico.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cantidad</w:t>
      </w:r>
      <w:r>
        <w:rPr>
          <w:spacing w:val="-6"/>
        </w:rPr>
        <w:t> </w:t>
      </w:r>
      <w:r>
        <w:rPr/>
        <w:t>cae</w:t>
      </w:r>
      <w:r>
        <w:rPr>
          <w:spacing w:val="-47"/>
        </w:rPr>
        <w:t> </w:t>
      </w:r>
      <w:r>
        <w:rPr>
          <w:spacing w:val="-1"/>
        </w:rPr>
        <w:t>drásticamente</w:t>
      </w:r>
      <w:r>
        <w:rPr>
          <w:spacing w:val="-13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/>
        <w:t>el</w:t>
      </w:r>
      <w:r>
        <w:rPr>
          <w:spacing w:val="-14"/>
        </w:rPr>
        <w:t> </w:t>
      </w:r>
      <w:r>
        <w:rPr/>
        <w:t>diversificado,</w:t>
      </w:r>
      <w:r>
        <w:rPr>
          <w:spacing w:val="-12"/>
        </w:rPr>
        <w:t> </w:t>
      </w:r>
      <w:r>
        <w:rPr/>
        <w:t>con</w:t>
      </w:r>
      <w:r>
        <w:rPr>
          <w:spacing w:val="-13"/>
        </w:rPr>
        <w:t> </w:t>
      </w:r>
      <w:r>
        <w:rPr/>
        <w:t>respecto</w:t>
      </w:r>
      <w:r>
        <w:rPr>
          <w:spacing w:val="-11"/>
        </w:rPr>
        <w:t> </w:t>
      </w:r>
      <w:r>
        <w:rPr/>
        <w:t>del</w:t>
      </w:r>
      <w:r>
        <w:rPr>
          <w:spacing w:val="-14"/>
        </w:rPr>
        <w:t> </w:t>
      </w:r>
      <w:r>
        <w:rPr/>
        <w:t>nivel</w:t>
      </w:r>
      <w:r>
        <w:rPr>
          <w:spacing w:val="-12"/>
        </w:rPr>
        <w:t> </w:t>
      </w:r>
      <w:r>
        <w:rPr/>
        <w:t>procedente.</w:t>
      </w:r>
      <w:r>
        <w:rPr>
          <w:spacing w:val="-11"/>
        </w:rPr>
        <w:t> </w:t>
      </w:r>
      <w:r>
        <w:rPr/>
        <w:t>A</w:t>
      </w:r>
      <w:r>
        <w:rPr>
          <w:spacing w:val="-15"/>
        </w:rPr>
        <w:t> </w:t>
      </w:r>
      <w:r>
        <w:rPr/>
        <w:t>manera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referencia,</w:t>
      </w:r>
      <w:r>
        <w:rPr>
          <w:spacing w:val="-14"/>
        </w:rPr>
        <w:t> </w:t>
      </w:r>
      <w:r>
        <w:rPr/>
        <w:t>se</w:t>
      </w:r>
      <w:r>
        <w:rPr>
          <w:spacing w:val="-11"/>
        </w:rPr>
        <w:t> </w:t>
      </w:r>
      <w:r>
        <w:rPr/>
        <w:t>presentan</w:t>
      </w:r>
      <w:r>
        <w:rPr>
          <w:spacing w:val="-48"/>
        </w:rPr>
        <w:t> </w:t>
      </w:r>
      <w:r>
        <w:rPr/>
        <w:t>los</w:t>
      </w:r>
      <w:r>
        <w:rPr>
          <w:spacing w:val="-1"/>
        </w:rPr>
        <w:t> </w:t>
      </w:r>
      <w:r>
        <w:rPr/>
        <w:t>datos absolutos para</w:t>
      </w:r>
      <w:r>
        <w:rPr>
          <w:spacing w:val="-4"/>
        </w:rPr>
        <w:t> </w:t>
      </w:r>
      <w:r>
        <w:rPr/>
        <w:t>este</w:t>
      </w:r>
      <w:r>
        <w:rPr>
          <w:spacing w:val="-2"/>
        </w:rPr>
        <w:t> </w:t>
      </w:r>
      <w:r>
        <w:rPr/>
        <w:t>Departamento.</w:t>
      </w:r>
    </w:p>
    <w:p>
      <w:pPr>
        <w:pStyle w:val="BodyText"/>
        <w:spacing w:before="2"/>
      </w:pPr>
    </w:p>
    <w:p>
      <w:pPr>
        <w:pStyle w:val="BodyText"/>
        <w:spacing w:after="5"/>
        <w:ind w:left="278"/>
        <w:jc w:val="both"/>
      </w:pPr>
      <w:r>
        <w:rPr/>
        <w:t>Tabla</w:t>
      </w:r>
      <w:r>
        <w:rPr>
          <w:spacing w:val="-2"/>
        </w:rPr>
        <w:t> </w:t>
      </w:r>
      <w:r>
        <w:rPr/>
        <w:t>Nº.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estudiantes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Nivel</w:t>
      </w:r>
      <w:r>
        <w:rPr>
          <w:spacing w:val="-1"/>
        </w:rPr>
        <w:t> </w:t>
      </w:r>
      <w:r>
        <w:rPr/>
        <w:t>Educativo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Jutiapa</w:t>
      </w:r>
      <w:r>
        <w:rPr>
          <w:spacing w:val="-1"/>
        </w:rPr>
        <w:t> </w:t>
      </w:r>
      <w:r>
        <w:rPr/>
        <w:t>(2017</w:t>
      </w:r>
      <w:r>
        <w:rPr>
          <w:spacing w:val="-2"/>
        </w:rPr>
        <w:t> </w:t>
      </w:r>
      <w:r>
        <w:rPr/>
        <w:t>al</w:t>
      </w:r>
      <w:r>
        <w:rPr>
          <w:spacing w:val="-3"/>
        </w:rPr>
        <w:t> </w:t>
      </w:r>
      <w:r>
        <w:rPr/>
        <w:t>2021)</w:t>
      </w:r>
    </w:p>
    <w:tbl>
      <w:tblPr>
        <w:tblW w:w="0" w:type="auto"/>
        <w:jc w:val="left"/>
        <w:tblInd w:w="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5"/>
        <w:gridCol w:w="1238"/>
        <w:gridCol w:w="936"/>
        <w:gridCol w:w="2015"/>
        <w:gridCol w:w="758"/>
        <w:gridCol w:w="1414"/>
        <w:gridCol w:w="1239"/>
      </w:tblGrid>
      <w:tr>
        <w:trPr>
          <w:trHeight w:val="432" w:hRule="atLeast"/>
        </w:trPr>
        <w:tc>
          <w:tcPr>
            <w:tcW w:w="1215" w:type="dxa"/>
            <w:tcBorders>
              <w:bottom w:val="single" w:sz="8" w:space="0" w:color="8EA9DB"/>
            </w:tcBorders>
            <w:shd w:val="clear" w:color="auto" w:fill="D9E0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8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182" w:lineRule="exact"/>
              <w:ind w:left="1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pacing w:val="-6"/>
                <w:w w:val="105"/>
                <w:sz w:val="17"/>
              </w:rPr>
              <w:t>PREPRIMARIA</w:t>
            </w:r>
          </w:p>
        </w:tc>
        <w:tc>
          <w:tcPr>
            <w:tcW w:w="936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182" w:lineRule="exact"/>
              <w:ind w:left="7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w w:val="105"/>
                <w:sz w:val="17"/>
              </w:rPr>
              <w:t>PRIMARIA</w:t>
            </w:r>
          </w:p>
        </w:tc>
        <w:tc>
          <w:tcPr>
            <w:tcW w:w="2015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182" w:lineRule="exact"/>
              <w:ind w:left="51" w:right="2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pacing w:val="-5"/>
                <w:sz w:val="17"/>
              </w:rPr>
              <w:t>PRIMARIA</w:t>
            </w:r>
            <w:r>
              <w:rPr>
                <w:rFonts w:ascii="Arial"/>
                <w:b/>
                <w:color w:val="FFFFFF"/>
                <w:spacing w:val="4"/>
                <w:sz w:val="17"/>
              </w:rPr>
              <w:t> </w:t>
            </w:r>
            <w:r>
              <w:rPr>
                <w:rFonts w:ascii="Arial"/>
                <w:b/>
                <w:color w:val="FFFFFF"/>
                <w:spacing w:val="-4"/>
                <w:sz w:val="17"/>
              </w:rPr>
              <w:t>DE</w:t>
            </w:r>
            <w:r>
              <w:rPr>
                <w:rFonts w:ascii="Arial"/>
                <w:b/>
                <w:color w:val="FFFFFF"/>
                <w:spacing w:val="-25"/>
                <w:sz w:val="17"/>
              </w:rPr>
              <w:t> </w:t>
            </w:r>
            <w:r>
              <w:rPr>
                <w:rFonts w:ascii="Arial"/>
                <w:b/>
                <w:color w:val="FFFFFF"/>
                <w:spacing w:val="-4"/>
                <w:sz w:val="17"/>
              </w:rPr>
              <w:t>ADULTOS</w:t>
            </w:r>
          </w:p>
        </w:tc>
        <w:tc>
          <w:tcPr>
            <w:tcW w:w="758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182" w:lineRule="exact"/>
              <w:ind w:left="4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w w:val="105"/>
                <w:sz w:val="17"/>
              </w:rPr>
              <w:t>BASICO</w:t>
            </w:r>
          </w:p>
        </w:tc>
        <w:tc>
          <w:tcPr>
            <w:tcW w:w="1414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182" w:lineRule="exact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pacing w:val="-3"/>
                <w:w w:val="105"/>
                <w:sz w:val="17"/>
              </w:rPr>
              <w:t>DIVERSIFICADO</w:t>
            </w:r>
          </w:p>
        </w:tc>
        <w:tc>
          <w:tcPr>
            <w:tcW w:w="1239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182" w:lineRule="exact"/>
              <w:ind w:right="7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Tota</w:t>
            </w:r>
            <w:r>
              <w:rPr>
                <w:rFonts w:ascii="Arial"/>
                <w:b/>
                <w:color w:val="FFFFFF"/>
                <w:spacing w:val="-27"/>
                <w:sz w:val="17"/>
              </w:rPr>
              <w:t> </w:t>
            </w:r>
            <w:r>
              <w:rPr>
                <w:rFonts w:ascii="Arial"/>
                <w:b/>
                <w:color w:val="FFFFFF"/>
                <w:sz w:val="17"/>
              </w:rPr>
              <w:t>l</w:t>
            </w:r>
            <w:r>
              <w:rPr>
                <w:rFonts w:ascii="Arial"/>
                <w:b/>
                <w:color w:val="FFFFFF"/>
                <w:spacing w:val="4"/>
                <w:sz w:val="17"/>
              </w:rPr>
              <w:t> </w:t>
            </w:r>
            <w:r>
              <w:rPr>
                <w:rFonts w:ascii="Arial"/>
                <w:b/>
                <w:color w:val="FFFFFF"/>
                <w:sz w:val="17"/>
              </w:rPr>
              <w:t>general</w:t>
            </w:r>
          </w:p>
        </w:tc>
      </w:tr>
      <w:tr>
        <w:trPr>
          <w:trHeight w:val="191" w:hRule="atLeast"/>
        </w:trPr>
        <w:tc>
          <w:tcPr>
            <w:tcW w:w="1215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9" w:lineRule="exact"/>
              <w:ind w:left="396" w:right="39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2017</w:t>
            </w:r>
          </w:p>
        </w:tc>
        <w:tc>
          <w:tcPr>
            <w:tcW w:w="1238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9" w:lineRule="exact"/>
              <w:ind w:left="10" w:right="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24,440</w:t>
            </w:r>
          </w:p>
        </w:tc>
        <w:tc>
          <w:tcPr>
            <w:tcW w:w="936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9" w:lineRule="exact"/>
              <w:ind w:left="27" w:right="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71,374</w:t>
            </w:r>
          </w:p>
        </w:tc>
        <w:tc>
          <w:tcPr>
            <w:tcW w:w="2015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9" w:lineRule="exact"/>
              <w:ind w:left="39" w:right="28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321</w:t>
            </w:r>
          </w:p>
        </w:tc>
        <w:tc>
          <w:tcPr>
            <w:tcW w:w="758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9" w:lineRule="exact"/>
              <w:ind w:left="4" w:right="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25,918</w:t>
            </w:r>
          </w:p>
        </w:tc>
        <w:tc>
          <w:tcPr>
            <w:tcW w:w="1414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9" w:lineRule="exact"/>
              <w:ind w:left="111" w:right="6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13,577</w:t>
            </w:r>
          </w:p>
        </w:tc>
        <w:tc>
          <w:tcPr>
            <w:tcW w:w="1239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9" w:lineRule="exact"/>
              <w:ind w:right="3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135,630</w:t>
            </w:r>
          </w:p>
        </w:tc>
      </w:tr>
      <w:tr>
        <w:trPr>
          <w:trHeight w:val="209" w:hRule="atLeast"/>
        </w:trPr>
        <w:tc>
          <w:tcPr>
            <w:tcW w:w="1215" w:type="dxa"/>
          </w:tcPr>
          <w:p>
            <w:pPr>
              <w:pStyle w:val="TableParagraph"/>
              <w:spacing w:line="183" w:lineRule="exact" w:before="6"/>
              <w:ind w:left="396" w:right="39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2018</w:t>
            </w:r>
          </w:p>
        </w:tc>
        <w:tc>
          <w:tcPr>
            <w:tcW w:w="1238" w:type="dxa"/>
          </w:tcPr>
          <w:p>
            <w:pPr>
              <w:pStyle w:val="TableParagraph"/>
              <w:spacing w:line="183" w:lineRule="exact" w:before="6"/>
              <w:ind w:left="10" w:right="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25,515</w:t>
            </w:r>
          </w:p>
        </w:tc>
        <w:tc>
          <w:tcPr>
            <w:tcW w:w="936" w:type="dxa"/>
          </w:tcPr>
          <w:p>
            <w:pPr>
              <w:pStyle w:val="TableParagraph"/>
              <w:spacing w:line="183" w:lineRule="exact" w:before="6"/>
              <w:ind w:left="27" w:right="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72,156</w:t>
            </w:r>
          </w:p>
        </w:tc>
        <w:tc>
          <w:tcPr>
            <w:tcW w:w="2015" w:type="dxa"/>
          </w:tcPr>
          <w:p>
            <w:pPr>
              <w:pStyle w:val="TableParagraph"/>
              <w:spacing w:line="183" w:lineRule="exact" w:before="6"/>
              <w:ind w:left="39" w:right="28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268</w:t>
            </w:r>
          </w:p>
        </w:tc>
        <w:tc>
          <w:tcPr>
            <w:tcW w:w="758" w:type="dxa"/>
          </w:tcPr>
          <w:p>
            <w:pPr>
              <w:pStyle w:val="TableParagraph"/>
              <w:spacing w:line="183" w:lineRule="exact" w:before="6"/>
              <w:ind w:left="4" w:right="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26,046</w:t>
            </w:r>
          </w:p>
        </w:tc>
        <w:tc>
          <w:tcPr>
            <w:tcW w:w="1414" w:type="dxa"/>
          </w:tcPr>
          <w:p>
            <w:pPr>
              <w:pStyle w:val="TableParagraph"/>
              <w:spacing w:line="183" w:lineRule="exact" w:before="6"/>
              <w:ind w:left="111" w:right="6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14,220</w:t>
            </w:r>
          </w:p>
        </w:tc>
        <w:tc>
          <w:tcPr>
            <w:tcW w:w="1239" w:type="dxa"/>
          </w:tcPr>
          <w:p>
            <w:pPr>
              <w:pStyle w:val="TableParagraph"/>
              <w:spacing w:line="183" w:lineRule="exact" w:before="6"/>
              <w:ind w:right="3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138,205</w:t>
            </w:r>
          </w:p>
        </w:tc>
      </w:tr>
      <w:tr>
        <w:trPr>
          <w:trHeight w:val="209" w:hRule="atLeast"/>
        </w:trPr>
        <w:tc>
          <w:tcPr>
            <w:tcW w:w="1215" w:type="dxa"/>
          </w:tcPr>
          <w:p>
            <w:pPr>
              <w:pStyle w:val="TableParagraph"/>
              <w:spacing w:line="183" w:lineRule="exact" w:before="6"/>
              <w:ind w:left="396" w:right="39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2019</w:t>
            </w:r>
          </w:p>
        </w:tc>
        <w:tc>
          <w:tcPr>
            <w:tcW w:w="1238" w:type="dxa"/>
          </w:tcPr>
          <w:p>
            <w:pPr>
              <w:pStyle w:val="TableParagraph"/>
              <w:spacing w:line="183" w:lineRule="exact" w:before="6"/>
              <w:ind w:left="10" w:right="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24,816</w:t>
            </w:r>
          </w:p>
        </w:tc>
        <w:tc>
          <w:tcPr>
            <w:tcW w:w="936" w:type="dxa"/>
          </w:tcPr>
          <w:p>
            <w:pPr>
              <w:pStyle w:val="TableParagraph"/>
              <w:spacing w:line="183" w:lineRule="exact" w:before="6"/>
              <w:ind w:left="27" w:right="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71,620</w:t>
            </w:r>
          </w:p>
        </w:tc>
        <w:tc>
          <w:tcPr>
            <w:tcW w:w="2015" w:type="dxa"/>
          </w:tcPr>
          <w:p>
            <w:pPr>
              <w:pStyle w:val="TableParagraph"/>
              <w:spacing w:line="183" w:lineRule="exact" w:before="6"/>
              <w:ind w:left="39" w:right="28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282</w:t>
            </w:r>
          </w:p>
        </w:tc>
        <w:tc>
          <w:tcPr>
            <w:tcW w:w="758" w:type="dxa"/>
          </w:tcPr>
          <w:p>
            <w:pPr>
              <w:pStyle w:val="TableParagraph"/>
              <w:spacing w:line="183" w:lineRule="exact" w:before="6"/>
              <w:ind w:left="4" w:right="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25,416</w:t>
            </w:r>
          </w:p>
        </w:tc>
        <w:tc>
          <w:tcPr>
            <w:tcW w:w="1414" w:type="dxa"/>
          </w:tcPr>
          <w:p>
            <w:pPr>
              <w:pStyle w:val="TableParagraph"/>
              <w:spacing w:line="183" w:lineRule="exact" w:before="6"/>
              <w:ind w:left="111" w:right="6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13,828</w:t>
            </w:r>
          </w:p>
        </w:tc>
        <w:tc>
          <w:tcPr>
            <w:tcW w:w="1239" w:type="dxa"/>
          </w:tcPr>
          <w:p>
            <w:pPr>
              <w:pStyle w:val="TableParagraph"/>
              <w:spacing w:line="183" w:lineRule="exact" w:before="6"/>
              <w:ind w:right="3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135,962</w:t>
            </w:r>
          </w:p>
        </w:tc>
      </w:tr>
      <w:tr>
        <w:trPr>
          <w:trHeight w:val="209" w:hRule="atLeast"/>
        </w:trPr>
        <w:tc>
          <w:tcPr>
            <w:tcW w:w="1215" w:type="dxa"/>
          </w:tcPr>
          <w:p>
            <w:pPr>
              <w:pStyle w:val="TableParagraph"/>
              <w:spacing w:line="183" w:lineRule="exact" w:before="6"/>
              <w:ind w:left="396" w:right="39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2020</w:t>
            </w:r>
          </w:p>
        </w:tc>
        <w:tc>
          <w:tcPr>
            <w:tcW w:w="1238" w:type="dxa"/>
          </w:tcPr>
          <w:p>
            <w:pPr>
              <w:pStyle w:val="TableParagraph"/>
              <w:spacing w:line="183" w:lineRule="exact" w:before="6"/>
              <w:ind w:left="10" w:right="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23,301</w:t>
            </w:r>
          </w:p>
        </w:tc>
        <w:tc>
          <w:tcPr>
            <w:tcW w:w="936" w:type="dxa"/>
          </w:tcPr>
          <w:p>
            <w:pPr>
              <w:pStyle w:val="TableParagraph"/>
              <w:spacing w:line="183" w:lineRule="exact" w:before="6"/>
              <w:ind w:left="27" w:right="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71,120</w:t>
            </w:r>
          </w:p>
        </w:tc>
        <w:tc>
          <w:tcPr>
            <w:tcW w:w="2015" w:type="dxa"/>
          </w:tcPr>
          <w:p>
            <w:pPr>
              <w:pStyle w:val="TableParagraph"/>
              <w:spacing w:line="183" w:lineRule="exact" w:before="6"/>
              <w:ind w:left="39" w:right="28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186</w:t>
            </w:r>
          </w:p>
        </w:tc>
        <w:tc>
          <w:tcPr>
            <w:tcW w:w="758" w:type="dxa"/>
          </w:tcPr>
          <w:p>
            <w:pPr>
              <w:pStyle w:val="TableParagraph"/>
              <w:spacing w:line="183" w:lineRule="exact" w:before="6"/>
              <w:ind w:left="4" w:right="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24,307</w:t>
            </w:r>
          </w:p>
        </w:tc>
        <w:tc>
          <w:tcPr>
            <w:tcW w:w="1414" w:type="dxa"/>
          </w:tcPr>
          <w:p>
            <w:pPr>
              <w:pStyle w:val="TableParagraph"/>
              <w:spacing w:line="183" w:lineRule="exact" w:before="6"/>
              <w:ind w:left="111" w:right="6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13,253</w:t>
            </w:r>
          </w:p>
        </w:tc>
        <w:tc>
          <w:tcPr>
            <w:tcW w:w="1239" w:type="dxa"/>
          </w:tcPr>
          <w:p>
            <w:pPr>
              <w:pStyle w:val="TableParagraph"/>
              <w:spacing w:line="183" w:lineRule="exact" w:before="6"/>
              <w:ind w:right="3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132,167</w:t>
            </w:r>
          </w:p>
        </w:tc>
      </w:tr>
      <w:tr>
        <w:trPr>
          <w:trHeight w:val="201" w:hRule="atLeast"/>
        </w:trPr>
        <w:tc>
          <w:tcPr>
            <w:tcW w:w="1215" w:type="dxa"/>
          </w:tcPr>
          <w:p>
            <w:pPr>
              <w:pStyle w:val="TableParagraph"/>
              <w:spacing w:line="176" w:lineRule="exact" w:before="6"/>
              <w:ind w:left="396" w:right="39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2021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 w:before="6"/>
              <w:ind w:left="10" w:right="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26,260</w:t>
            </w:r>
          </w:p>
        </w:tc>
        <w:tc>
          <w:tcPr>
            <w:tcW w:w="936" w:type="dxa"/>
          </w:tcPr>
          <w:p>
            <w:pPr>
              <w:pStyle w:val="TableParagraph"/>
              <w:spacing w:line="176" w:lineRule="exact" w:before="6"/>
              <w:ind w:left="27" w:right="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72,572</w:t>
            </w:r>
          </w:p>
        </w:tc>
        <w:tc>
          <w:tcPr>
            <w:tcW w:w="2015" w:type="dxa"/>
          </w:tcPr>
          <w:p>
            <w:pPr>
              <w:pStyle w:val="TableParagraph"/>
              <w:spacing w:line="176" w:lineRule="exact" w:before="6"/>
              <w:ind w:left="39" w:right="28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108</w:t>
            </w:r>
          </w:p>
        </w:tc>
        <w:tc>
          <w:tcPr>
            <w:tcW w:w="758" w:type="dxa"/>
          </w:tcPr>
          <w:p>
            <w:pPr>
              <w:pStyle w:val="TableParagraph"/>
              <w:spacing w:line="176" w:lineRule="exact" w:before="6"/>
              <w:ind w:left="4" w:right="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23,594</w:t>
            </w:r>
          </w:p>
        </w:tc>
        <w:tc>
          <w:tcPr>
            <w:tcW w:w="1414" w:type="dxa"/>
          </w:tcPr>
          <w:p>
            <w:pPr>
              <w:pStyle w:val="TableParagraph"/>
              <w:spacing w:line="176" w:lineRule="exact" w:before="6"/>
              <w:ind w:left="111" w:right="6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12,844</w:t>
            </w:r>
          </w:p>
        </w:tc>
        <w:tc>
          <w:tcPr>
            <w:tcW w:w="1239" w:type="dxa"/>
          </w:tcPr>
          <w:p>
            <w:pPr>
              <w:pStyle w:val="TableParagraph"/>
              <w:spacing w:line="176" w:lineRule="exact" w:before="6"/>
              <w:ind w:right="3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135,378</w:t>
            </w:r>
          </w:p>
        </w:tc>
      </w:tr>
    </w:tbl>
    <w:tbl>
      <w:tblPr>
        <w:tblW w:w="0" w:type="auto"/>
        <w:jc w:val="left"/>
        <w:tblInd w:w="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5"/>
        <w:gridCol w:w="1178"/>
        <w:gridCol w:w="1328"/>
        <w:gridCol w:w="1325"/>
        <w:gridCol w:w="1312"/>
        <w:gridCol w:w="1288"/>
        <w:gridCol w:w="1170"/>
      </w:tblGrid>
      <w:tr>
        <w:trPr>
          <w:trHeight w:val="224" w:hRule="atLeast"/>
        </w:trPr>
        <w:tc>
          <w:tcPr>
            <w:tcW w:w="1215" w:type="dxa"/>
            <w:tcBorders>
              <w:top w:val="single" w:sz="8" w:space="0" w:color="8EA9DB"/>
            </w:tcBorders>
            <w:shd w:val="clear" w:color="auto" w:fill="D9E0F1"/>
          </w:tcPr>
          <w:p>
            <w:pPr>
              <w:pStyle w:val="TableParagraph"/>
              <w:spacing w:before="14"/>
              <w:ind w:left="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Tota</w:t>
            </w:r>
            <w:r>
              <w:rPr>
                <w:rFonts w:ascii="Arial"/>
                <w:b/>
                <w:spacing w:val="-2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l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general</w:t>
            </w:r>
          </w:p>
        </w:tc>
        <w:tc>
          <w:tcPr>
            <w:tcW w:w="1178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4"/>
              <w:ind w:left="32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w w:val="105"/>
                <w:sz w:val="17"/>
              </w:rPr>
              <w:t>124,332</w:t>
            </w:r>
          </w:p>
        </w:tc>
        <w:tc>
          <w:tcPr>
            <w:tcW w:w="1328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4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w w:val="105"/>
                <w:sz w:val="17"/>
              </w:rPr>
              <w:t>358,842</w:t>
            </w:r>
          </w:p>
        </w:tc>
        <w:tc>
          <w:tcPr>
            <w:tcW w:w="1325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4"/>
              <w:ind w:left="47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w w:val="105"/>
                <w:sz w:val="17"/>
              </w:rPr>
              <w:t>1,165</w:t>
            </w:r>
          </w:p>
        </w:tc>
        <w:tc>
          <w:tcPr>
            <w:tcW w:w="1312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4"/>
              <w:ind w:left="43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w w:val="105"/>
                <w:sz w:val="17"/>
              </w:rPr>
              <w:t>125,281</w:t>
            </w:r>
          </w:p>
        </w:tc>
        <w:tc>
          <w:tcPr>
            <w:tcW w:w="1288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4"/>
              <w:ind w:left="2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w w:val="105"/>
                <w:sz w:val="17"/>
              </w:rPr>
              <w:t>67,722</w:t>
            </w:r>
          </w:p>
        </w:tc>
        <w:tc>
          <w:tcPr>
            <w:tcW w:w="1170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4"/>
              <w:ind w:left="5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w w:val="105"/>
                <w:sz w:val="17"/>
              </w:rPr>
              <w:t>677,342</w:t>
            </w:r>
          </w:p>
        </w:tc>
      </w:tr>
    </w:tbl>
    <w:p>
      <w:pPr>
        <w:spacing w:before="1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2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2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3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ind w:left="278" w:right="1071"/>
        <w:jc w:val="both"/>
      </w:pPr>
      <w:r>
        <w:rPr/>
        <w:t>Para el período analizado, e total de estudiantes atendidos durante este período fue de 677,342. El 2017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-10"/>
        </w:rPr>
        <w:t> </w:t>
      </w:r>
      <w:r>
        <w:rPr>
          <w:spacing w:val="-1"/>
        </w:rPr>
        <w:t>tuvo</w:t>
      </w:r>
      <w:r>
        <w:rPr>
          <w:spacing w:val="-8"/>
        </w:rPr>
        <w:t> </w:t>
      </w:r>
      <w:r>
        <w:rPr>
          <w:spacing w:val="-1"/>
        </w:rPr>
        <w:t>una</w:t>
      </w:r>
      <w:r>
        <w:rPr>
          <w:spacing w:val="-11"/>
        </w:rPr>
        <w:t> </w:t>
      </w:r>
      <w:r>
        <w:rPr/>
        <w:t>población</w:t>
      </w:r>
      <w:r>
        <w:rPr>
          <w:spacing w:val="-10"/>
        </w:rPr>
        <w:t> </w:t>
      </w:r>
      <w:r>
        <w:rPr/>
        <w:t>estudiantil</w:t>
      </w:r>
      <w:r>
        <w:rPr>
          <w:spacing w:val="-10"/>
        </w:rPr>
        <w:t> </w:t>
      </w:r>
      <w:r>
        <w:rPr/>
        <w:t>total</w:t>
      </w:r>
      <w:r>
        <w:rPr>
          <w:spacing w:val="-11"/>
        </w:rPr>
        <w:t> </w:t>
      </w:r>
      <w:r>
        <w:rPr/>
        <w:t>de135,630.</w:t>
      </w:r>
      <w:r>
        <w:rPr>
          <w:spacing w:val="30"/>
        </w:rPr>
        <w:t> </w:t>
      </w:r>
      <w:r>
        <w:rPr/>
        <w:t>El</w:t>
      </w:r>
      <w:r>
        <w:rPr>
          <w:spacing w:val="-12"/>
        </w:rPr>
        <w:t> </w:t>
      </w:r>
      <w:r>
        <w:rPr/>
        <w:t>2018,</w:t>
      </w:r>
      <w:r>
        <w:rPr>
          <w:spacing w:val="-12"/>
        </w:rPr>
        <w:t> </w:t>
      </w:r>
      <w:r>
        <w:rPr/>
        <w:t>mostró</w:t>
      </w:r>
      <w:r>
        <w:rPr>
          <w:spacing w:val="-9"/>
        </w:rPr>
        <w:t> </w:t>
      </w:r>
      <w:r>
        <w:rPr/>
        <w:t>un</w:t>
      </w:r>
      <w:r>
        <w:rPr>
          <w:spacing w:val="-10"/>
        </w:rPr>
        <w:t> </w:t>
      </w:r>
      <w:r>
        <w:rPr/>
        <w:t>incremento</w:t>
      </w:r>
      <w:r>
        <w:rPr>
          <w:spacing w:val="-8"/>
        </w:rPr>
        <w:t> </w:t>
      </w:r>
      <w:r>
        <w:rPr/>
        <w:t>del</w:t>
      </w:r>
      <w:r>
        <w:rPr>
          <w:spacing w:val="-10"/>
        </w:rPr>
        <w:t> </w:t>
      </w:r>
      <w:r>
        <w:rPr/>
        <w:t>total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población</w:t>
      </w:r>
      <w:r>
        <w:rPr>
          <w:spacing w:val="-47"/>
        </w:rPr>
        <w:t> </w:t>
      </w:r>
      <w:r>
        <w:rPr/>
        <w:t>estudiantil reportando 128,205. En el 2019, registraron 235,962. El 2020, reportó una drástica caída con</w:t>
      </w:r>
      <w:r>
        <w:rPr>
          <w:spacing w:val="1"/>
        </w:rPr>
        <w:t> </w:t>
      </w:r>
      <w:r>
        <w:rPr/>
        <w:t>un total de 132,167 alumnos. Mientras que el 2021, registró una cifra similar a la prepandemia con</w:t>
      </w:r>
      <w:r>
        <w:rPr>
          <w:spacing w:val="1"/>
        </w:rPr>
        <w:t> </w:t>
      </w:r>
      <w:r>
        <w:rPr/>
        <w:t>135,378.</w:t>
      </w:r>
    </w:p>
    <w:p>
      <w:pPr>
        <w:pStyle w:val="BodyText"/>
        <w:rPr>
          <w:sz w:val="20"/>
        </w:rPr>
      </w:pPr>
    </w:p>
    <w:p>
      <w:pPr>
        <w:pStyle w:val="BodyText"/>
        <w:ind w:left="278" w:right="1071"/>
        <w:jc w:val="both"/>
      </w:pPr>
      <w:r>
        <w:rPr/>
        <w:t>Como se muestra, el nivel que presentó más crecimiento fue la Primaria representando el 52% de la</w:t>
      </w:r>
      <w:r>
        <w:rPr>
          <w:spacing w:val="1"/>
        </w:rPr>
        <w:t> </w:t>
      </w:r>
      <w:r>
        <w:rPr/>
        <w:t>población para este período. Seguido del ciclo básico preprimaria reportando un 18% cada uno de los</w:t>
      </w:r>
      <w:r>
        <w:rPr>
          <w:spacing w:val="1"/>
        </w:rPr>
        <w:t> </w:t>
      </w:r>
      <w:r>
        <w:rPr/>
        <w:t>niveles. Situando en el penúltimo sitio al diversificado con un 10%. Y finalizando, con la Primaria para</w:t>
      </w:r>
      <w:r>
        <w:rPr>
          <w:spacing w:val="1"/>
        </w:rPr>
        <w:t> </w:t>
      </w:r>
      <w:r>
        <w:rPr/>
        <w:t>Adultos.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pict>
          <v:rect style="position:absolute;margin-left:563.880005pt;margin-top:9.945988pt;width:25.44pt;height:1.4399pt;mso-position-horizontal-relative:page;mso-position-vertical-relative:paragraph;z-index:-1541683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158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26560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3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52" w:after="0"/>
        <w:ind w:left="998" w:right="0" w:hanging="721"/>
        <w:jc w:val="left"/>
      </w:pPr>
      <w:bookmarkStart w:name="_bookmark192" w:id="317"/>
      <w:bookmarkEnd w:id="317"/>
      <w:r>
        <w:rPr>
          <w:b w:val="0"/>
        </w:rPr>
      </w:r>
      <w:bookmarkStart w:name="_bookmark192" w:id="318"/>
      <w:bookmarkEnd w:id="318"/>
      <w:r>
        <w:rPr/>
        <w:t>Ind</w:t>
      </w:r>
      <w:r>
        <w:rPr/>
        <w:t>icador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Cobertura:</w:t>
      </w:r>
      <w:r>
        <w:rPr>
          <w:spacing w:val="-3"/>
        </w:rPr>
        <w:t> </w:t>
      </w:r>
      <w:r>
        <w:rPr/>
        <w:t>Tasa</w:t>
      </w:r>
      <w:r>
        <w:rPr>
          <w:spacing w:val="-2"/>
        </w:rPr>
        <w:t> </w:t>
      </w:r>
      <w:r>
        <w:rPr/>
        <w:t>Neta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Cobertura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0"/>
        <w:jc w:val="both"/>
      </w:pPr>
      <w:r>
        <w:rPr/>
        <w:t>Como sucede con los otros departamentos, presenta cifras cercanas al promedio de participación de los</w:t>
      </w:r>
      <w:r>
        <w:rPr>
          <w:spacing w:val="1"/>
        </w:rPr>
        <w:t> </w:t>
      </w:r>
      <w:r>
        <w:rPr/>
        <w:t>jóvenes en el ciclo básico y diversificado La cobertura educativa medida a través del (TNE) para Jutiapa</w:t>
      </w:r>
      <w:r>
        <w:rPr>
          <w:spacing w:val="1"/>
        </w:rPr>
        <w:t> </w:t>
      </w:r>
      <w:r>
        <w:rPr/>
        <w:t>durante el período del 2017 al 2020, evidencia un aumento promedio considerable en la cobertura de</w:t>
      </w:r>
      <w:r>
        <w:rPr>
          <w:spacing w:val="1"/>
        </w:rPr>
        <w:t> </w:t>
      </w:r>
      <w:r>
        <w:rPr>
          <w:spacing w:val="-1"/>
        </w:rPr>
        <w:t>nivel</w:t>
      </w:r>
      <w:r>
        <w:rPr>
          <w:spacing w:val="-10"/>
        </w:rPr>
        <w:t> </w:t>
      </w:r>
      <w:r>
        <w:rPr>
          <w:spacing w:val="-1"/>
        </w:rPr>
        <w:t>primaria</w:t>
      </w:r>
      <w:r>
        <w:rPr>
          <w:spacing w:val="-10"/>
        </w:rPr>
        <w:t> </w:t>
      </w:r>
      <w:r>
        <w:rPr/>
        <w:t>(92.93%),</w:t>
      </w:r>
      <w:r>
        <w:rPr>
          <w:spacing w:val="-9"/>
        </w:rPr>
        <w:t> </w:t>
      </w:r>
      <w:r>
        <w:rPr/>
        <w:t>en</w:t>
      </w:r>
      <w:r>
        <w:rPr>
          <w:spacing w:val="-12"/>
        </w:rPr>
        <w:t> </w:t>
      </w:r>
      <w:r>
        <w:rPr/>
        <w:t>comparación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TNE</w:t>
      </w:r>
      <w:r>
        <w:rPr>
          <w:spacing w:val="-10"/>
        </w:rPr>
        <w:t> </w:t>
      </w:r>
      <w:r>
        <w:rPr/>
        <w:t>nacional</w:t>
      </w:r>
      <w:r>
        <w:rPr>
          <w:spacing w:val="-10"/>
        </w:rPr>
        <w:t> </w:t>
      </w:r>
      <w:r>
        <w:rPr/>
        <w:t>promedio</w:t>
      </w:r>
      <w:r>
        <w:rPr>
          <w:spacing w:val="-8"/>
        </w:rPr>
        <w:t> </w:t>
      </w:r>
      <w:r>
        <w:rPr/>
        <w:t>del</w:t>
      </w:r>
      <w:r>
        <w:rPr>
          <w:spacing w:val="-9"/>
        </w:rPr>
        <w:t> </w:t>
      </w:r>
      <w:r>
        <w:rPr/>
        <w:t>período</w:t>
      </w:r>
      <w:r>
        <w:rPr>
          <w:spacing w:val="-8"/>
        </w:rPr>
        <w:t> </w:t>
      </w:r>
      <w:r>
        <w:rPr/>
        <w:t>(2017-2019)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posee</w:t>
      </w:r>
      <w:r>
        <w:rPr>
          <w:spacing w:val="-48"/>
        </w:rPr>
        <w:t> </w:t>
      </w:r>
      <w:r>
        <w:rPr/>
        <w:t>el 77.50%. Es decir, posee un aumento del 19.43%, con respecto del promedio de TN nacional. En la</w:t>
      </w:r>
      <w:r>
        <w:rPr>
          <w:spacing w:val="1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tabla,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observan</w:t>
      </w:r>
      <w:r>
        <w:rPr>
          <w:spacing w:val="-1"/>
        </w:rPr>
        <w:t> </w:t>
      </w:r>
      <w:r>
        <w:rPr/>
        <w:t>las cifras</w:t>
      </w:r>
      <w:r>
        <w:rPr>
          <w:spacing w:val="-1"/>
        </w:rPr>
        <w:t> </w:t>
      </w:r>
      <w:r>
        <w:rPr/>
        <w:t>del TNE para el</w:t>
      </w:r>
      <w:r>
        <w:rPr>
          <w:spacing w:val="-2"/>
        </w:rPr>
        <w:t> </w:t>
      </w:r>
      <w:r>
        <w:rPr/>
        <w:t>período</w:t>
      </w:r>
      <w:r>
        <w:rPr>
          <w:spacing w:val="-2"/>
        </w:rPr>
        <w:t> </w:t>
      </w:r>
      <w:r>
        <w:rPr/>
        <w:t>2017-2020.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1"/>
        <w:ind w:left="278" w:right="1075"/>
        <w:jc w:val="both"/>
      </w:pPr>
      <w:r>
        <w:rPr/>
        <w:t>Tabla</w:t>
      </w:r>
      <w:r>
        <w:rPr>
          <w:spacing w:val="1"/>
        </w:rPr>
        <w:t> </w:t>
      </w:r>
      <w:r>
        <w:rPr/>
        <w:t>Nº.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Cobertura: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Bruta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Académico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47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de Jutiapa</w:t>
      </w:r>
    </w:p>
    <w:p>
      <w:pPr>
        <w:pStyle w:val="BodyText"/>
        <w:ind w:left="276"/>
        <w:rPr>
          <w:sz w:val="20"/>
        </w:rPr>
      </w:pPr>
      <w:r>
        <w:rPr>
          <w:sz w:val="20"/>
        </w:rPr>
        <w:pict>
          <v:group style="width:441.55pt;height:223.5pt;mso-position-horizontal-relative:char;mso-position-vertical-relative:line" coordorigin="0,0" coordsize="8831,4470">
            <v:shape style="position:absolute;left:17;top:14;width:8800;height:1789" coordorigin="17,15" coordsize="8800,1789" path="m8817,15l17,15,17,894,17,909,17,1340,17,1356,17,1803,1139,1803,1139,1356,1139,1340,1139,909,7049,909,8817,15xe" filled="true" fillcolor="#f1f1f1" stroked="false">
              <v:path arrowok="t"/>
              <v:fill type="solid"/>
            </v:shape>
            <v:shape style="position:absolute;left:1121;top:1340;width:5074;height:464" coordorigin="1122,1340" coordsize="5074,464" path="m6196,1340l1122,1340,1122,1803,5280,1803,6196,1340xe" filled="true" fillcolor="#daedf3" stroked="false">
              <v:path arrowok="t"/>
              <v:fill type="solid"/>
            </v:shape>
            <v:shape style="position:absolute;left:17;top:1786;width:1122;height:910" coordorigin="17,1787" coordsize="1122,910" path="m1139,1787l17,1787,17,2235,17,2250,17,2697,1139,2697,1139,2250,1139,2235,1139,1787xe" filled="true" fillcolor="#f1f1f1" stroked="false">
              <v:path arrowok="t"/>
              <v:fill type="solid"/>
            </v:shape>
            <v:shape style="position:absolute;left:1121;top:2234;width:3306;height:462" coordorigin="1122,2235" coordsize="3306,462" path="m4428,2235l1122,2235,1122,2697,3514,2697,4428,2235xe" filled="true" fillcolor="#daedf3" stroked="false">
              <v:path arrowok="t"/>
              <v:fill type="solid"/>
            </v:shape>
            <v:shape style="position:absolute;left:17;top:2681;width:1122;height:910" coordorigin="17,2681" coordsize="1122,910" path="m1139,2681l17,2681,17,3128,17,3144,17,3591,1139,3591,1139,3144,1139,3128,1139,2681xe" filled="true" fillcolor="#f1f1f1" stroked="false">
              <v:path arrowok="t"/>
              <v:fill type="solid"/>
            </v:shape>
            <v:shape style="position:absolute;left:1121;top:3127;width:1540;height:464" coordorigin="1122,3128" coordsize="1540,464" path="m2662,3128l1122,3128,1122,3591,1746,3591,2662,3128xe" filled="true" fillcolor="#daedf3" stroked="false">
              <v:path arrowok="t"/>
              <v:fill type="solid"/>
            </v:shape>
            <v:shape style="position:absolute;left:17;top:3575;width:1122;height:890" coordorigin="17,3576" coordsize="1122,890" path="m1139,3576l17,3576,17,4022,17,4038,17,4465,863,4038,893,4022,1139,3898,1139,3576xe" filled="true" fillcolor="#f1f1f1" stroked="false">
              <v:path arrowok="t"/>
              <v:fill type="solid"/>
            </v:shape>
            <v:shape style="position:absolute;left:8;top:4;width:8823;height:4466" coordorigin="8,4" coordsize="8823,4466" path="m8,4l8,4470m1131,463l1131,3902m4066,463l4066,2418m5327,463l5327,1780m6448,463l6448,1213m7571,463l7571,645m17,8l8831,8m17,454l7948,454m17,901l7065,901m1139,1349l6179,1349m17,1795l5297,1795m1139,2242l4414,2242m17,2690l3528,2690m1139,3136l2645,3136m17,3583l1762,3583e" filled="false" stroked="true" strokeweight=".802612pt" strokecolor="#000000">
              <v:path arrowok="t"/>
              <v:stroke dashstyle="solid"/>
            </v:shape>
            <v:shape style="position:absolute;left:2918;top:110;width:3005;height:248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2"/>
                      </w:rPr>
                      <w:t>Departamento</w:t>
                    </w:r>
                    <w:r>
                      <w:rPr>
                        <w:rFonts w:ascii="Arial"/>
                        <w:b/>
                        <w:spacing w:val="62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22"/>
                      </w:rPr>
                      <w:t>de </w:t>
                    </w:r>
                    <w:r>
                      <w:rPr>
                        <w:rFonts w:ascii="Arial"/>
                        <w:b/>
                        <w:spacing w:val="22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22"/>
                      </w:rPr>
                      <w:t>Jutia</w:t>
                    </w:r>
                    <w:r>
                      <w:rPr>
                        <w:rFonts w:ascii="Arial"/>
                        <w:b/>
                        <w:spacing w:val="-23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22"/>
                      </w:rPr>
                      <w:t>pa</w:t>
                    </w:r>
                  </w:p>
                </w:txbxContent>
              </v:textbox>
              <w10:wrap type="none"/>
            </v:shape>
            <v:shape style="position:absolute;left:346;top:564;width:474;height:21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Verdana" w:hAnsi="Verdana"/>
                        <w:sz w:val="17"/>
                      </w:rPr>
                    </w:pPr>
                    <w:r>
                      <w:rPr>
                        <w:rFonts w:ascii="Verdana" w:hAnsi="Verdana"/>
                        <w:w w:val="110"/>
                        <w:sz w:val="17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1399;top:582;width:2385;height:197" type="#_x0000_t202" filled="false" stroked="false">
              <v:textbox inset="0,0,0,0">
                <w:txbxContent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w w:val="110"/>
                        <w:sz w:val="17"/>
                      </w:rPr>
                      <w:t>Índicadores</w:t>
                    </w:r>
                    <w:r>
                      <w:rPr>
                        <w:rFonts w:ascii="Arial" w:hAnsi="Arial"/>
                        <w:b/>
                        <w:spacing w:val="-2"/>
                        <w:w w:val="11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0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6"/>
                        <w:w w:val="11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0"/>
                        <w:sz w:val="17"/>
                      </w:rPr>
                      <w:t>Cobertura</w:t>
                    </w:r>
                  </w:p>
                </w:txbxContent>
              </v:textbox>
              <w10:wrap type="none"/>
            </v:shape>
            <v:shape style="position:absolute;left:4197;top:582;width:2060;height:197" type="#_x0000_t202" filled="false" stroked="false">
              <v:textbox inset="0,0,0,0">
                <w:txbxContent>
                  <w:p>
                    <w:pPr>
                      <w:tabs>
                        <w:tab w:pos="1310" w:val="left" w:leader="none"/>
                      </w:tabs>
                      <w:spacing w:line="195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3"/>
                        <w:w w:val="110"/>
                        <w:sz w:val="17"/>
                      </w:rPr>
                      <w:t>Preprima</w:t>
                    </w:r>
                    <w:r>
                      <w:rPr>
                        <w:rFonts w:ascii="Arial"/>
                        <w:b/>
                        <w:spacing w:val="-33"/>
                        <w:w w:val="110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17"/>
                      </w:rPr>
                      <w:t>ria</w:t>
                      <w:tab/>
                    </w:r>
                    <w:r>
                      <w:rPr>
                        <w:rFonts w:ascii="Arial"/>
                        <w:b/>
                        <w:spacing w:val="-6"/>
                        <w:w w:val="110"/>
                        <w:sz w:val="17"/>
                      </w:rPr>
                      <w:t>Prima</w:t>
                    </w:r>
                    <w:r>
                      <w:rPr>
                        <w:rFonts w:ascii="Arial"/>
                        <w:b/>
                        <w:spacing w:val="-31"/>
                        <w:w w:val="110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5"/>
                        <w:w w:val="110"/>
                        <w:sz w:val="17"/>
                      </w:rPr>
                      <w:t>ria</w:t>
                    </w:r>
                  </w:p>
                </w:txbxContent>
              </v:textbox>
              <w10:wrap type="none"/>
            </v:shape>
            <v:shape style="position:absolute;left:6699;top:582;width:622;height:197" type="#_x0000_t202" filled="false" stroked="false">
              <v:textbox inset="0,0,0,0">
                <w:txbxContent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pacing w:val="-6"/>
                        <w:w w:val="110"/>
                        <w:sz w:val="17"/>
                      </w:rPr>
                      <w:t>Bá</w:t>
                    </w:r>
                    <w:r>
                      <w:rPr>
                        <w:rFonts w:ascii="Arial" w:hAnsi="Arial"/>
                        <w:b/>
                        <w:spacing w:val="-32"/>
                        <w:w w:val="11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6"/>
                        <w:w w:val="110"/>
                        <w:sz w:val="17"/>
                      </w:rPr>
                      <w:t>sico</w:t>
                    </w:r>
                  </w:p>
                </w:txbxContent>
              </v:textbox>
              <w10:wrap type="none"/>
            </v:shape>
            <v:shape style="position:absolute;left:1674;top:1041;width:1830;height:16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1D7CB3"/>
                        <w:spacing w:val="-3"/>
                        <w:w w:val="110"/>
                        <w:sz w:val="14"/>
                      </w:rPr>
                      <w:t>Ta</w:t>
                    </w:r>
                    <w:r>
                      <w:rPr>
                        <w:rFonts w:ascii="Arial"/>
                        <w:b/>
                        <w:color w:val="1D7CB3"/>
                        <w:spacing w:val="-27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3"/>
                        <w:w w:val="110"/>
                        <w:sz w:val="14"/>
                      </w:rPr>
                      <w:t>sa</w:t>
                    </w:r>
                    <w:r>
                      <w:rPr>
                        <w:rFonts w:ascii="Arial"/>
                        <w:b/>
                        <w:color w:val="1D7CB3"/>
                        <w:spacing w:val="17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3"/>
                        <w:w w:val="110"/>
                        <w:sz w:val="14"/>
                      </w:rPr>
                      <w:t>Bruta</w:t>
                    </w:r>
                    <w:r>
                      <w:rPr>
                        <w:rFonts w:ascii="Arial"/>
                        <w:b/>
                        <w:color w:val="1D7CB3"/>
                        <w:spacing w:val="17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3"/>
                        <w:w w:val="110"/>
                        <w:sz w:val="14"/>
                      </w:rPr>
                      <w:t>de</w:t>
                    </w:r>
                    <w:r>
                      <w:rPr>
                        <w:rFonts w:ascii="Arial"/>
                        <w:b/>
                        <w:color w:val="1D7CB3"/>
                        <w:spacing w:val="14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3"/>
                        <w:w w:val="110"/>
                        <w:sz w:val="14"/>
                      </w:rPr>
                      <w:t>Cobertura</w:t>
                    </w:r>
                  </w:p>
                </w:txbxContent>
              </v:textbox>
              <w10:wrap type="none"/>
            </v:shape>
            <v:shape style="position:absolute;left:4386;top:1025;width:637;height:16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333333"/>
                        <w:w w:val="110"/>
                        <w:sz w:val="14"/>
                      </w:rPr>
                      <w:t>108,71%</w:t>
                    </w:r>
                  </w:p>
                </w:txbxContent>
              </v:textbox>
              <w10:wrap type="none"/>
            </v:shape>
            <v:shape style="position:absolute;left:5577;top:1025;width:637;height:16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333333"/>
                        <w:w w:val="110"/>
                        <w:sz w:val="14"/>
                      </w:rPr>
                      <w:t>107,05%</w:t>
                    </w:r>
                  </w:p>
                </w:txbxContent>
              </v:textbox>
              <w10:wrap type="none"/>
            </v:shape>
            <v:shape style="position:absolute;left:363;top:1235;width:440;height:21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Verdana"/>
                        <w:sz w:val="17"/>
                      </w:rPr>
                    </w:pPr>
                    <w:r>
                      <w:rPr>
                        <w:rFonts w:ascii="Verdana"/>
                        <w:sz w:val="17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1674;top:1489;width:1811;height:16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1D7CB3"/>
                        <w:w w:val="105"/>
                        <w:sz w:val="14"/>
                      </w:rPr>
                      <w:t>Ta</w:t>
                    </w:r>
                    <w:r>
                      <w:rPr>
                        <w:rFonts w:ascii="Arial"/>
                        <w:b/>
                        <w:color w:val="1D7CB3"/>
                        <w:spacing w:val="-2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w w:val="105"/>
                        <w:sz w:val="14"/>
                      </w:rPr>
                      <w:t>sa</w:t>
                    </w:r>
                    <w:r>
                      <w:rPr>
                        <w:rFonts w:ascii="Arial"/>
                        <w:b/>
                        <w:color w:val="1D7CB3"/>
                        <w:spacing w:val="3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w w:val="105"/>
                        <w:sz w:val="14"/>
                      </w:rPr>
                      <w:t>Neta</w:t>
                    </w:r>
                    <w:r>
                      <w:rPr>
                        <w:rFonts w:ascii="Arial"/>
                        <w:b/>
                        <w:color w:val="1D7CB3"/>
                        <w:spacing w:val="35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w w:val="105"/>
                        <w:sz w:val="14"/>
                      </w:rPr>
                      <w:t>de</w:t>
                    </w:r>
                    <w:r>
                      <w:rPr>
                        <w:rFonts w:ascii="Arial"/>
                        <w:b/>
                        <w:color w:val="1D7CB3"/>
                        <w:spacing w:val="33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w w:val="105"/>
                        <w:sz w:val="14"/>
                      </w:rPr>
                      <w:t>Cobertura</w:t>
                    </w:r>
                  </w:p>
                </w:txbxContent>
              </v:textbox>
              <w10:wrap type="none"/>
            </v:shape>
            <v:shape style="position:absolute;left:4438;top:1472;width:550;height:16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333333"/>
                        <w:w w:val="110"/>
                        <w:sz w:val="14"/>
                      </w:rPr>
                      <w:t>71,97%</w:t>
                    </w:r>
                  </w:p>
                </w:txbxContent>
              </v:textbox>
              <w10:wrap type="none"/>
            </v:shape>
            <v:shape style="position:absolute;left:5629;top:1472;width:195;height:16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333333"/>
                        <w:w w:val="110"/>
                        <w:sz w:val="14"/>
                      </w:rPr>
                      <w:t>91</w:t>
                    </w:r>
                  </w:p>
                </w:txbxContent>
              </v:textbox>
              <w10:wrap type="none"/>
            </v:shape>
            <v:shape style="position:absolute;left:1674;top:1935;width:1830;height:16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1D7CB3"/>
                        <w:spacing w:val="-3"/>
                        <w:w w:val="110"/>
                        <w:sz w:val="14"/>
                      </w:rPr>
                      <w:t>Ta</w:t>
                    </w:r>
                    <w:r>
                      <w:rPr>
                        <w:rFonts w:ascii="Arial"/>
                        <w:b/>
                        <w:color w:val="1D7CB3"/>
                        <w:spacing w:val="-27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3"/>
                        <w:w w:val="110"/>
                        <w:sz w:val="14"/>
                      </w:rPr>
                      <w:t>sa</w:t>
                    </w:r>
                    <w:r>
                      <w:rPr>
                        <w:rFonts w:ascii="Arial"/>
                        <w:b/>
                        <w:color w:val="1D7CB3"/>
                        <w:spacing w:val="17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3"/>
                        <w:w w:val="110"/>
                        <w:sz w:val="14"/>
                      </w:rPr>
                      <w:t>Bruta</w:t>
                    </w:r>
                    <w:r>
                      <w:rPr>
                        <w:rFonts w:ascii="Arial"/>
                        <w:b/>
                        <w:color w:val="1D7CB3"/>
                        <w:spacing w:val="17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3"/>
                        <w:w w:val="110"/>
                        <w:sz w:val="14"/>
                      </w:rPr>
                      <w:t>de</w:t>
                    </w:r>
                    <w:r>
                      <w:rPr>
                        <w:rFonts w:ascii="Arial"/>
                        <w:b/>
                        <w:color w:val="1D7CB3"/>
                        <w:spacing w:val="14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3"/>
                        <w:w w:val="110"/>
                        <w:sz w:val="14"/>
                      </w:rPr>
                      <w:t>Cobertura</w:t>
                    </w:r>
                  </w:p>
                </w:txbxContent>
              </v:textbox>
              <w10:wrap type="none"/>
            </v:shape>
            <v:shape style="position:absolute;left:4386;top:1920;width:629;height:16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333333"/>
                        <w:w w:val="110"/>
                        <w:sz w:val="14"/>
                      </w:rPr>
                      <w:t>113,25%</w:t>
                    </w:r>
                  </w:p>
                </w:txbxContent>
              </v:textbox>
              <w10:wrap type="none"/>
            </v:shape>
            <v:shape style="position:absolute;left:363;top:2129;width:440;height:21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Verdana"/>
                        <w:sz w:val="17"/>
                      </w:rPr>
                    </w:pPr>
                    <w:r>
                      <w:rPr>
                        <w:rFonts w:ascii="Verdana"/>
                        <w:sz w:val="17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1674;top:2382;width:1811;height:61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1D7CB3"/>
                        <w:w w:val="105"/>
                        <w:sz w:val="14"/>
                      </w:rPr>
                      <w:t>Ta</w:t>
                    </w:r>
                    <w:r>
                      <w:rPr>
                        <w:rFonts w:ascii="Arial"/>
                        <w:b/>
                        <w:color w:val="1D7CB3"/>
                        <w:spacing w:val="-2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w w:val="105"/>
                        <w:sz w:val="14"/>
                      </w:rPr>
                      <w:t>sa</w:t>
                    </w:r>
                    <w:r>
                      <w:rPr>
                        <w:rFonts w:ascii="Arial"/>
                        <w:b/>
                        <w:color w:val="1D7CB3"/>
                        <w:spacing w:val="3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w w:val="105"/>
                        <w:sz w:val="14"/>
                      </w:rPr>
                      <w:t>Neta</w:t>
                    </w:r>
                    <w:r>
                      <w:rPr>
                        <w:rFonts w:ascii="Arial"/>
                        <w:b/>
                        <w:color w:val="1D7CB3"/>
                        <w:spacing w:val="35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w w:val="105"/>
                        <w:sz w:val="14"/>
                      </w:rPr>
                      <w:t>de</w:t>
                    </w:r>
                    <w:r>
                      <w:rPr>
                        <w:rFonts w:ascii="Arial"/>
                        <w:b/>
                        <w:color w:val="1D7CB3"/>
                        <w:spacing w:val="33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w w:val="105"/>
                        <w:sz w:val="14"/>
                      </w:rPr>
                      <w:t>Cobertura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6"/>
                      </w:rPr>
                    </w:pPr>
                  </w:p>
                  <w:p>
                    <w:pPr>
                      <w:spacing w:before="102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1D7CB3"/>
                        <w:w w:val="105"/>
                        <w:sz w:val="14"/>
                      </w:rPr>
                      <w:t>Ta</w:t>
                    </w:r>
                    <w:r>
                      <w:rPr>
                        <w:rFonts w:ascii="Arial"/>
                        <w:b/>
                        <w:color w:val="1D7CB3"/>
                        <w:spacing w:val="-25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w w:val="105"/>
                        <w:sz w:val="14"/>
                      </w:rPr>
                      <w:t>sa</w:t>
                    </w:r>
                    <w:r>
                      <w:rPr>
                        <w:rFonts w:ascii="Arial"/>
                        <w:b/>
                        <w:color w:val="1D7CB3"/>
                        <w:spacing w:val="23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w w:val="105"/>
                        <w:sz w:val="14"/>
                      </w:rPr>
                      <w:t>Bruta</w:t>
                    </w:r>
                    <w:r>
                      <w:rPr>
                        <w:rFonts w:ascii="Arial"/>
                        <w:b/>
                        <w:color w:val="1D7CB3"/>
                        <w:spacing w:val="22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w w:val="105"/>
                        <w:sz w:val="14"/>
                      </w:rPr>
                      <w:t>de</w:t>
                    </w:r>
                    <w:r>
                      <w:rPr>
                        <w:rFonts w:ascii="Arial"/>
                        <w:b/>
                        <w:color w:val="1D7CB3"/>
                        <w:spacing w:val="19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w w:val="105"/>
                        <w:sz w:val="14"/>
                      </w:rPr>
                      <w:t>Cobe</w:t>
                    </w:r>
                  </w:p>
                </w:txbxContent>
              </v:textbox>
              <w10:wrap type="none"/>
            </v:shape>
            <v:shape style="position:absolute;left:363;top:3024;width:440;height:21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Verdana"/>
                        <w:sz w:val="17"/>
                      </w:rPr>
                    </w:pPr>
                    <w:r>
                      <w:rPr>
                        <w:rFonts w:ascii="Verdana"/>
                        <w:sz w:val="17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1674;top:3276;width:608;height:16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1D7CB3"/>
                        <w:spacing w:val="-7"/>
                        <w:w w:val="110"/>
                        <w:sz w:val="14"/>
                      </w:rPr>
                      <w:t>Ta</w:t>
                    </w:r>
                    <w:r>
                      <w:rPr>
                        <w:rFonts w:ascii="Arial"/>
                        <w:b/>
                        <w:color w:val="1D7CB3"/>
                        <w:spacing w:val="-27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6"/>
                        <w:w w:val="110"/>
                        <w:sz w:val="14"/>
                      </w:rPr>
                      <w:t>sa</w:t>
                    </w:r>
                    <w:r>
                      <w:rPr>
                        <w:rFonts w:ascii="Arial"/>
                        <w:b/>
                        <w:color w:val="1D7CB3"/>
                        <w:spacing w:val="17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6"/>
                        <w:w w:val="110"/>
                        <w:sz w:val="14"/>
                      </w:rPr>
                      <w:t>Ne</w:t>
                    </w:r>
                  </w:p>
                </w:txbxContent>
              </v:textbox>
              <w10:wrap type="none"/>
            </v:shape>
            <v:shape style="position:absolute;left:363;top:3917;width:440;height:21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Verdana"/>
                        <w:sz w:val="17"/>
                      </w:rPr>
                    </w:pPr>
                    <w:r>
                      <w:rPr>
                        <w:rFonts w:ascii="Verdana"/>
                        <w:sz w:val="17"/>
                      </w:rPr>
                      <w:t>2020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0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3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2"/>
          <w:sz w:val="14"/>
        </w:rPr>
        <w:t> </w:t>
      </w:r>
      <w:r>
        <w:rPr>
          <w:sz w:val="14"/>
        </w:rPr>
        <w:t>la</w:t>
      </w:r>
      <w:r>
        <w:rPr>
          <w:spacing w:val="-3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ind w:left="278" w:right="1075"/>
        <w:jc w:val="both"/>
      </w:pPr>
      <w:r>
        <w:rPr/>
        <w:t>Con el propósito de analizar las particularidades educativas del Departamento en la tabla anterior se</w:t>
      </w:r>
      <w:r>
        <w:rPr>
          <w:spacing w:val="1"/>
        </w:rPr>
        <w:t> </w:t>
      </w:r>
      <w:r>
        <w:rPr/>
        <w:t>observan las ratios de los indicadores de cobertura neta y Bruta, para los niveles educativos en un plazo</w:t>
      </w:r>
      <w:r>
        <w:rPr>
          <w:spacing w:val="1"/>
        </w:rPr>
        <w:t> </w:t>
      </w:r>
      <w:r>
        <w:rPr/>
        <w:t>de 4 años.</w:t>
      </w:r>
    </w:p>
    <w:p>
      <w:pPr>
        <w:pStyle w:val="BodyText"/>
        <w:spacing w:before="1"/>
      </w:pPr>
    </w:p>
    <w:p>
      <w:pPr>
        <w:pStyle w:val="BodyText"/>
        <w:ind w:left="278" w:right="1068"/>
        <w:jc w:val="both"/>
      </w:pPr>
      <w:r>
        <w:rPr/>
        <w:t>El nivel preprimaria reporta una alta cobertura durante el periodo 2017‐2020, con una TNE de (71.97%),</w:t>
      </w:r>
      <w:r>
        <w:rPr>
          <w:spacing w:val="1"/>
        </w:rPr>
        <w:t> </w:t>
      </w:r>
      <w:r>
        <w:rPr>
          <w:spacing w:val="-1"/>
        </w:rPr>
        <w:t>(75.85%),</w:t>
      </w:r>
      <w:r>
        <w:rPr>
          <w:spacing w:val="-12"/>
        </w:rPr>
        <w:t> </w:t>
      </w:r>
      <w:r>
        <w:rPr>
          <w:spacing w:val="-1"/>
        </w:rPr>
        <w:t>(74.47%)</w:t>
      </w:r>
      <w:r>
        <w:rPr>
          <w:spacing w:val="-14"/>
        </w:rPr>
        <w:t> </w:t>
      </w:r>
      <w:r>
        <w:rPr>
          <w:spacing w:val="-1"/>
        </w:rPr>
        <w:t>y</w:t>
      </w:r>
      <w:r>
        <w:rPr>
          <w:spacing w:val="-11"/>
        </w:rPr>
        <w:t> </w:t>
      </w:r>
      <w:r>
        <w:rPr>
          <w:spacing w:val="-1"/>
        </w:rPr>
        <w:t>(71.42%)</w:t>
      </w:r>
      <w:r>
        <w:rPr>
          <w:spacing w:val="-11"/>
        </w:rPr>
        <w:t> </w:t>
      </w:r>
      <w:r>
        <w:rPr/>
        <w:t>respectivamente</w:t>
      </w:r>
      <w:r>
        <w:rPr>
          <w:spacing w:val="-11"/>
        </w:rPr>
        <w:t> </w:t>
      </w:r>
      <w:r>
        <w:rPr/>
        <w:t>durante</w:t>
      </w:r>
      <w:r>
        <w:rPr>
          <w:spacing w:val="-9"/>
        </w:rPr>
        <w:t> </w:t>
      </w:r>
      <w:r>
        <w:rPr/>
        <w:t>los</w:t>
      </w:r>
      <w:r>
        <w:rPr>
          <w:spacing w:val="-12"/>
        </w:rPr>
        <w:t> </w:t>
      </w:r>
      <w:r>
        <w:rPr/>
        <w:t>años</w:t>
      </w:r>
      <w:r>
        <w:rPr>
          <w:spacing w:val="-11"/>
        </w:rPr>
        <w:t> </w:t>
      </w:r>
      <w:r>
        <w:rPr/>
        <w:t>indicados.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esta</w:t>
      </w:r>
      <w:r>
        <w:rPr>
          <w:spacing w:val="-12"/>
        </w:rPr>
        <w:t> </w:t>
      </w:r>
      <w:r>
        <w:rPr/>
        <w:t>razón,</w:t>
      </w:r>
      <w:r>
        <w:rPr>
          <w:spacing w:val="-14"/>
        </w:rPr>
        <w:t> </w:t>
      </w:r>
      <w:r>
        <w:rPr/>
        <w:t>más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/>
        <w:t>mitad</w:t>
      </w:r>
      <w:r>
        <w:rPr>
          <w:spacing w:val="-48"/>
        </w:rPr>
        <w:t> </w:t>
      </w:r>
      <w:r>
        <w:rPr/>
        <w:t>de los niños alcanzan este nivel. Además, de evidenciar un 26% más con respecto del promedio TNE</w:t>
      </w:r>
      <w:r>
        <w:rPr>
          <w:spacing w:val="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(47%).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5"/>
        <w:jc w:val="both"/>
      </w:pPr>
      <w:r>
        <w:rPr/>
        <w:t>Las cifras aquí presentadas parecen confirmar que en el nivel primaria se registran mayores valores de</w:t>
      </w:r>
      <w:r>
        <w:rPr>
          <w:spacing w:val="1"/>
        </w:rPr>
        <w:t> </w:t>
      </w:r>
      <w:r>
        <w:rPr/>
        <w:t>cobertura, que van de (91.43%), (92.99%), (93.57%) y (93.73%) para cada año respectivamente. El valor</w:t>
      </w:r>
      <w:r>
        <w:rPr>
          <w:spacing w:val="1"/>
        </w:rPr>
        <w:t> </w:t>
      </w:r>
      <w:r>
        <w:rPr/>
        <w:t>promedio de la TNE de Izabal es de un (93%) durante el periodo fue mayor al TNE Nacional (77.5%) al</w:t>
      </w:r>
      <w:r>
        <w:rPr>
          <w:spacing w:val="1"/>
        </w:rPr>
        <w:t> </w:t>
      </w:r>
      <w:r>
        <w:rPr/>
        <w:t>último valor registrado en el 2019. Esto significa que hay una cobertura del 100% en la atención de los</w:t>
      </w:r>
      <w:r>
        <w:rPr>
          <w:spacing w:val="1"/>
        </w:rPr>
        <w:t> </w:t>
      </w:r>
      <w:r>
        <w:rPr/>
        <w:t>niños en</w:t>
      </w:r>
      <w:r>
        <w:rPr>
          <w:spacing w:val="-3"/>
        </w:rPr>
        <w:t> </w:t>
      </w:r>
      <w:r>
        <w:rPr/>
        <w:t>edad</w:t>
      </w:r>
      <w:r>
        <w:rPr>
          <w:spacing w:val="-1"/>
        </w:rPr>
        <w:t> </w:t>
      </w:r>
      <w:r>
        <w:rPr/>
        <w:t>escolar</w:t>
      </w:r>
      <w:r>
        <w:rPr>
          <w:spacing w:val="-1"/>
        </w:rPr>
        <w:t> </w:t>
      </w:r>
      <w:r>
        <w:rPr/>
        <w:t>para</w:t>
      </w:r>
      <w:r>
        <w:rPr>
          <w:spacing w:val="-6"/>
        </w:rPr>
        <w:t> </w:t>
      </w:r>
      <w:r>
        <w:rPr/>
        <w:t>este</w:t>
      </w:r>
      <w:r>
        <w:rPr>
          <w:spacing w:val="1"/>
        </w:rPr>
        <w:t> </w:t>
      </w:r>
      <w:r>
        <w:rPr/>
        <w:t>nivel.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w:pict>
          <v:rect style="position:absolute;margin-left:563.880005pt;margin-top:12.581924pt;width:25.44pt;height:1.4399pt;mso-position-horizontal-relative:page;mso-position-vertical-relative:paragraph;z-index:-1541478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159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28608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3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3"/>
        <w:jc w:val="both"/>
      </w:pPr>
      <w:r>
        <w:rPr/>
        <w:t>Por lo que se refiere a educación básica, los valores promedio para el período presentan un aumento</w:t>
      </w:r>
      <w:r>
        <w:rPr>
          <w:spacing w:val="1"/>
        </w:rPr>
        <w:t> </w:t>
      </w:r>
      <w:r>
        <w:rPr/>
        <w:t>considerable respecto con los datos nacionales (TNE:45.49%), debido a que reportan valores que van</w:t>
      </w:r>
      <w:r>
        <w:rPr>
          <w:spacing w:val="1"/>
        </w:rPr>
        <w:t> </w:t>
      </w:r>
      <w:r>
        <w:rPr/>
        <w:t>desde (49.54%), (51.53%), (51.62%) y (51.32%), respectivamente para el período analizado.</w:t>
      </w:r>
      <w:r>
        <w:rPr>
          <w:spacing w:val="1"/>
        </w:rPr>
        <w:t> </w:t>
      </w:r>
      <w:r>
        <w:rPr/>
        <w:t>Todo parece</w:t>
      </w:r>
      <w:r>
        <w:rPr>
          <w:spacing w:val="1"/>
        </w:rPr>
        <w:t> </w:t>
      </w:r>
      <w:r>
        <w:rPr/>
        <w:t>indicar que se posee un promedio de TN departamental del 51%, lo cual representa un 5% adicional con</w:t>
      </w:r>
      <w:r>
        <w:rPr>
          <w:spacing w:val="1"/>
        </w:rPr>
        <w:t> </w:t>
      </w:r>
      <w:r>
        <w:rPr/>
        <w:t>respecto de la cifra nacional. Todo esto parece confirmar que 1 de cada 2 adolescentes de Jutiapa están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1"/>
        </w:rPr>
        <w:t> </w:t>
      </w:r>
      <w:r>
        <w:rPr/>
        <w:t>nivel.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2"/>
        <w:jc w:val="both"/>
      </w:pP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nivel</w:t>
      </w:r>
      <w:r>
        <w:rPr>
          <w:spacing w:val="-4"/>
        </w:rPr>
        <w:t> </w:t>
      </w:r>
      <w:r>
        <w:rPr/>
        <w:t>diversificado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Departamento</w:t>
      </w:r>
      <w:r>
        <w:rPr>
          <w:spacing w:val="-3"/>
        </w:rPr>
        <w:t> </w:t>
      </w:r>
      <w:r>
        <w:rPr/>
        <w:t>reporta,</w:t>
      </w:r>
      <w:r>
        <w:rPr>
          <w:spacing w:val="-4"/>
        </w:rPr>
        <w:t> </w:t>
      </w:r>
      <w:r>
        <w:rPr/>
        <w:t>(26.06%),</w:t>
      </w:r>
      <w:r>
        <w:rPr>
          <w:spacing w:val="-4"/>
        </w:rPr>
        <w:t> </w:t>
      </w:r>
      <w:r>
        <w:rPr/>
        <w:t>(27.51%),</w:t>
      </w:r>
      <w:r>
        <w:rPr>
          <w:spacing w:val="-3"/>
        </w:rPr>
        <w:t> </w:t>
      </w:r>
      <w:r>
        <w:rPr/>
        <w:t>(27.73%)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(26.84%)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cada</w:t>
      </w:r>
      <w:r>
        <w:rPr>
          <w:spacing w:val="-4"/>
        </w:rPr>
        <w:t> </w:t>
      </w:r>
      <w:r>
        <w:rPr/>
        <w:t>año.</w:t>
      </w:r>
      <w:r>
        <w:rPr>
          <w:spacing w:val="-48"/>
        </w:rPr>
        <w:t> </w:t>
      </w:r>
      <w:r>
        <w:rPr/>
        <w:t>En términos generales los porcentajes de TNE son levemente mayores al nivel Nacional (24%), debido a</w:t>
      </w:r>
      <w:r>
        <w:rPr>
          <w:spacing w:val="1"/>
        </w:rPr>
        <w:t> </w:t>
      </w:r>
      <w:r>
        <w:rPr/>
        <w:t>que posee una tasa promedio del 27%. La razón de esta reducción de población estudiantil con respecto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los</w:t>
      </w:r>
      <w:r>
        <w:rPr>
          <w:spacing w:val="-14"/>
        </w:rPr>
        <w:t> </w:t>
      </w:r>
      <w:r>
        <w:rPr>
          <w:spacing w:val="-1"/>
        </w:rPr>
        <w:t>otros</w:t>
      </w:r>
      <w:r>
        <w:rPr>
          <w:spacing w:val="-11"/>
        </w:rPr>
        <w:t> </w:t>
      </w:r>
      <w:r>
        <w:rPr>
          <w:spacing w:val="-1"/>
        </w:rPr>
        <w:t>niveles</w:t>
      </w:r>
      <w:r>
        <w:rPr>
          <w:spacing w:val="-14"/>
        </w:rPr>
        <w:t> </w:t>
      </w:r>
      <w:r>
        <w:rPr/>
        <w:t>se</w:t>
      </w:r>
      <w:r>
        <w:rPr>
          <w:spacing w:val="-11"/>
        </w:rPr>
        <w:t> </w:t>
      </w:r>
      <w:r>
        <w:rPr/>
        <w:t>debe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una</w:t>
      </w:r>
      <w:r>
        <w:rPr>
          <w:spacing w:val="-12"/>
        </w:rPr>
        <w:t> </w:t>
      </w:r>
      <w:r>
        <w:rPr/>
        <w:t>alta</w:t>
      </w:r>
      <w:r>
        <w:rPr>
          <w:spacing w:val="-11"/>
        </w:rPr>
        <w:t> </w:t>
      </w:r>
      <w:r>
        <w:rPr/>
        <w:t>deserción</w:t>
      </w:r>
      <w:r>
        <w:rPr>
          <w:spacing w:val="-15"/>
        </w:rPr>
        <w:t> </w:t>
      </w:r>
      <w:r>
        <w:rPr/>
        <w:t>escolar</w:t>
      </w:r>
      <w:r>
        <w:rPr>
          <w:spacing w:val="-15"/>
        </w:rPr>
        <w:t> </w:t>
      </w:r>
      <w:r>
        <w:rPr/>
        <w:t>de</w:t>
      </w:r>
      <w:r>
        <w:rPr>
          <w:spacing w:val="-10"/>
        </w:rPr>
        <w:t> </w:t>
      </w:r>
      <w:r>
        <w:rPr/>
        <w:t>adolescentes</w:t>
      </w:r>
      <w:r>
        <w:rPr>
          <w:spacing w:val="-13"/>
        </w:rPr>
        <w:t> </w:t>
      </w:r>
      <w:r>
        <w:rPr/>
        <w:t>que</w:t>
      </w:r>
      <w:r>
        <w:rPr>
          <w:spacing w:val="-10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vida</w:t>
      </w:r>
      <w:r>
        <w:rPr>
          <w:spacing w:val="-11"/>
        </w:rPr>
        <w:t> </w:t>
      </w:r>
      <w:r>
        <w:rPr/>
        <w:t>laboral</w:t>
      </w:r>
      <w:r>
        <w:rPr>
          <w:spacing w:val="-13"/>
        </w:rPr>
        <w:t> </w:t>
      </w:r>
      <w:r>
        <w:rPr/>
        <w:t>abandonando</w:t>
      </w:r>
      <w:r>
        <w:rPr>
          <w:spacing w:val="-47"/>
        </w:rPr>
        <w:t> </w:t>
      </w:r>
      <w:r>
        <w:rPr/>
        <w:t>su educación.</w:t>
      </w:r>
    </w:p>
    <w:p>
      <w:pPr>
        <w:pStyle w:val="BodyText"/>
        <w:spacing w:before="2"/>
      </w:pPr>
    </w:p>
    <w:p>
      <w:pPr>
        <w:pStyle w:val="BodyText"/>
        <w:ind w:left="278" w:right="1069"/>
        <w:jc w:val="both"/>
      </w:pPr>
      <w:r>
        <w:rPr/>
        <w:t>Cabe aclarar que los motivos de retiro más reportados para este departamento se comprenden desde las</w:t>
      </w:r>
      <w:r>
        <w:rPr>
          <w:spacing w:val="-47"/>
        </w:rPr>
        <w:t> </w:t>
      </w:r>
      <w:r>
        <w:rPr/>
        <w:t>siguientes razones: 1. No le interesa. 2. Otros. 3. Retiro por Traslado. En contraste De acuerdo con INE,</w:t>
      </w:r>
      <w:r>
        <w:rPr>
          <w:spacing w:val="1"/>
        </w:rPr>
        <w:t> </w:t>
      </w:r>
      <w:r>
        <w:rPr/>
        <w:t>2018 las principales causas de deserción escolar para el Departamento son: un 25% por falta de dinero,</w:t>
      </w:r>
      <w:r>
        <w:rPr>
          <w:spacing w:val="1"/>
        </w:rPr>
        <w:t> </w:t>
      </w:r>
      <w:r>
        <w:rPr/>
        <w:t>mientras que un 17% porque, tiene que trabajar. Esto significa que los niveles de pobreza afectan la</w:t>
      </w:r>
      <w:r>
        <w:rPr>
          <w:spacing w:val="1"/>
        </w:rPr>
        <w:t> </w:t>
      </w:r>
      <w:r>
        <w:rPr/>
        <w:t>permanencia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 sector educativo.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193" w:id="319"/>
      <w:bookmarkEnd w:id="319"/>
      <w:r>
        <w:rPr>
          <w:b w:val="0"/>
        </w:rPr>
      </w:r>
      <w:bookmarkStart w:name="_bookmark193" w:id="320"/>
      <w:bookmarkEnd w:id="320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Cobertura:</w:t>
      </w:r>
      <w:r>
        <w:rPr>
          <w:spacing w:val="-3"/>
        </w:rPr>
        <w:t> </w:t>
      </w:r>
      <w:r>
        <w:rPr/>
        <w:t>Tasa</w:t>
      </w:r>
      <w:r>
        <w:rPr>
          <w:spacing w:val="-3"/>
        </w:rPr>
        <w:t> </w:t>
      </w:r>
      <w:r>
        <w:rPr/>
        <w:t>Bruta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Déficit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departamento,</w:t>
      </w:r>
      <w:r>
        <w:rPr>
          <w:spacing w:val="-1"/>
        </w:rPr>
        <w:t> </w:t>
      </w:r>
      <w:r>
        <w:rPr/>
        <w:t>sexo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etnia.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278" w:right="1078"/>
        <w:jc w:val="both"/>
      </w:pPr>
      <w:r>
        <w:rPr/>
        <w:pict>
          <v:group style="position:absolute;margin-left:71.27153pt;margin-top:31.600414pt;width:489.9pt;height:202.75pt;mso-position-horizontal-relative:page;mso-position-vertical-relative:paragraph;z-index:-15413248;mso-wrap-distance-left:0;mso-wrap-distance-right:0" coordorigin="1425,632" coordsize="9798,4055">
            <v:rect style="position:absolute;left:1432;top:638;width:9784;height:4042" filled="true" fillcolor="#ffffff" stroked="false">
              <v:fill type="solid"/>
            </v:rect>
            <v:shape style="position:absolute;left:2002;top:3116;width:2419;height:2" coordorigin="2003,3116" coordsize="2419,0" path="m2003,3116l2625,3116m2745,3116l2918,3116m3040,3116l3057,3116m3177,3116l4422,3116e" filled="false" stroked="true" strokeweight=".619884pt" strokecolor="#888888">
              <v:path arrowok="t"/>
              <v:stroke dashstyle="solid"/>
            </v:shape>
            <v:shape style="position:absolute;left:4543;top:3112;width:6447;height:7" coordorigin="4543,3113" coordsize="6447,7" path="m4543,3119l4716,3119m4836,3119l4855,3119m4975,3119l6514,3119m6635,3119l6652,3119m6773,3119l8311,3119m8433,3119l8449,3119m8570,3119l10109,3119m10229,3119l10248,3119m10368,3119l10990,3119m4543,3113l4716,3113m4836,3113l4855,3113m4975,3113l6514,3113m6635,3113l6652,3113m6773,3113l8311,3113m8433,3113l8449,3113m8570,3113l10109,3113m10229,3113l10248,3113m10368,3113l10990,3113e" filled="false" stroked="true" strokeweight=".309942pt" strokecolor="#888888">
              <v:path arrowok="t"/>
              <v:stroke dashstyle="solid"/>
            </v:shape>
            <v:shape style="position:absolute;left:2002;top:2769;width:8988;height:167" coordorigin="2003,2769" coordsize="8988,167" path="m2003,2936l2918,2936m3040,2936l3057,2936m3177,2936l4716,2936m4836,2936l4855,2936m4975,2936l6514,2936m6635,2936l6652,2936m6773,2936l8311,2936m8433,2936l8449,2936m8570,2936l10109,2936m10229,2936l10990,2936m2003,2769l2918,2769m3040,2769l3057,2769m3177,2769l4716,2769m4836,2769l4855,2769m4975,2769l6514,2769m6635,2769l6652,2769m6773,2769l8311,2769m8433,2769l10990,2769e" filled="false" stroked="true" strokeweight=".619884pt" strokecolor="#888888">
              <v:path arrowok="t"/>
              <v:stroke dashstyle="solid"/>
            </v:shape>
            <v:line style="position:absolute" from="2003,2589" to="2918,2589" stroked="true" strokeweight=".619884pt" strokecolor="#888888">
              <v:stroke dashstyle="solid"/>
            </v:line>
            <v:shape style="position:absolute;left:3039;top:2589;width:7951;height:2" coordorigin="3040,2589" coordsize="7951,0" path="m3040,2589l3057,2589m3177,2589l4716,2589m4836,2589l4855,2589m4975,2589l6514,2589m6635,2589l6652,2589m6773,2589l8311,2589m8433,2589l10990,2589e" filled="false" stroked="true" strokeweight=".619884pt" strokecolor="#888888">
              <v:path arrowok="t"/>
              <v:stroke dashstyle="solid"/>
            </v:shape>
            <v:shape style="position:absolute;left:2002;top:2242;width:8988;height:168" coordorigin="2003,2243" coordsize="8988,168" path="m2003,2410l2918,2410m3040,2410l4716,2410m4836,2410l6514,2410m6635,2410l6652,2410m6773,2410l10990,2410m2003,2243l2918,2243e" filled="false" stroked="true" strokeweight=".619884pt" strokecolor="#888888">
              <v:path arrowok="t"/>
              <v:stroke dashstyle="solid"/>
            </v:shape>
            <v:shape style="position:absolute;left:3039;top:2239;width:7951;height:7" coordorigin="3040,2240" coordsize="7951,7" path="m3040,2246l6514,2246m6635,2246l10990,2246m3040,2240l6514,2240m6635,2240l10990,2240e" filled="false" stroked="true" strokeweight=".309948pt" strokecolor="#888888">
              <v:path arrowok="t"/>
              <v:stroke dashstyle="solid"/>
            </v:shape>
            <v:shape style="position:absolute;left:2002;top:2063;width:8988;height:2" coordorigin="2003,2064" coordsize="8988,0" path="m2003,2064l2918,2064m3040,2064l10990,2064e" filled="false" stroked="true" strokeweight=".619884pt" strokecolor="#888888">
              <v:path arrowok="t"/>
              <v:stroke dashstyle="solid"/>
            </v:shape>
            <v:shape style="position:absolute;left:2002;top:1716;width:8988;height:180" coordorigin="2003,1717" coordsize="8988,180" path="m2003,1896l2003,1896,10990,1896m2003,1717l2003,1717,10990,1717e" filled="false" stroked="true" strokeweight=".727702pt" strokecolor="#888888">
              <v:path arrowok="t"/>
              <v:stroke dashstyle="solid"/>
            </v:shape>
            <v:shape style="position:absolute;left:5787;top:3282;width:1919;height:7" coordorigin="5788,3283" coordsize="1919,7" path="m5908,3283l5788,3283,5788,3289,5908,3289,5908,3283xm7707,3283l7585,3283,7585,3289,7707,3289,7707,3283xe" filled="true" fillcolor="#c46627" stroked="false">
              <v:path arrowok="t"/>
              <v:fill type="solid"/>
            </v:shape>
            <v:shape style="position:absolute;left:4284;top:3282;width:1901;height:7" coordorigin="4284,3283" coordsize="1901,7" path="m4388,3283l4284,3283,4284,3289,4388,3289,4388,3283xm6185,3283l6081,3283,6081,3289,6185,3289,6185,3283xe" filled="true" fillcolor="#d29e00" stroked="false">
              <v:path arrowok="t"/>
              <v:fill type="solid"/>
            </v:shape>
            <v:shape style="position:absolute;left:2625;top:3077;width:7312;height:212" coordorigin="2625,3077" coordsize="7312,212" path="m2745,3077l2625,3077,2625,3289,2745,3289,2745,3077xm4543,3103l4422,3103,4422,3289,4543,3289,4543,3103xm6340,3128l6219,3128,6219,3289,6340,3289,6340,3128xm8138,3116l8018,3116,8018,3289,8138,3289,8138,3116xm9937,3154l9814,3154,9814,3289,9937,3289,9937,3154xe" filled="true" fillcolor="#497eaf" stroked="false">
              <v:path arrowok="t"/>
              <v:fill type="solid"/>
            </v:shape>
            <v:shape style="position:absolute;left:2780;top:3128;width:7294;height:161" coordorigin="2781,3128" coordsize="7294,161" path="m2884,3193l2781,3193,2781,3289,2884,3289,2884,3193xm4681,3167l4577,3167,4577,3289,4681,3289,4681,3167xm6479,3205l6376,3205,6376,3289,6479,3289,6479,3205xm8277,3128l8173,3128,8173,3289,8277,3289,8277,3128xm10074,3167l9970,3167,9970,3289,10074,3289,10074,3167xe" filled="true" fillcolor="#5b8e39" stroked="false">
              <v:path arrowok="t"/>
              <v:fill type="solid"/>
            </v:shape>
            <v:shape style="position:absolute;left:2918;top:1934;width:7312;height:1355" coordorigin="2918,1935" coordsize="7312,1355" path="m3040,1935l2918,1935,2918,3289,3040,3289,3040,1935xm4836,2243l4716,2243,4716,3289,4836,3289,4836,2243xm6635,2204l6514,2204,6514,3289,6635,3289,6635,2204xm8433,2551l8311,2551,8311,3289,8433,3289,8433,2551xm10229,2872l10109,2872,10109,3289,10229,3289,10229,2872xe" filled="true" fillcolor="#4471c4" stroked="false">
              <v:path arrowok="t"/>
              <v:fill type="solid"/>
            </v:shape>
            <v:shape style="position:absolute;left:3056;top:2371;width:7312;height:918" coordorigin="3057,2372" coordsize="7312,918" path="m3177,2449l3057,2449,3057,3289,3177,3289,3177,2449xm4975,2564l4855,2564,4855,3289,4975,3289,4975,2564xm6773,2372l6652,2372,6652,3289,6773,3289,6773,2372xm8570,2859l8449,2859,8449,3289,8570,3289,8570,2859xm10368,3013l10248,3013,10248,3289,10368,3289,10368,3013xe" filled="true" fillcolor="#ec7c30" stroked="false">
              <v:path arrowok="t"/>
              <v:fill type="solid"/>
            </v:shape>
            <v:shape style="position:absolute;left:3212;top:3282;width:5497;height:7" coordorigin="3212,3283" coordsize="5497,7" path="m3316,3283l3212,3283,3212,3289,3316,3289,3316,3283xm5114,3283l5010,3283,5010,3289,5114,3289,5114,3283xm6911,3283l6807,3283,6807,3289,6911,3289,6911,3283xm8709,3283l8605,3283,8605,3289,8709,3289,8709,3283xe" filled="true" fillcolor="#a4a4a4" stroked="false">
              <v:path arrowok="t"/>
              <v:fill type="solid"/>
            </v:shape>
            <v:rect style="position:absolute;left:7084;top:3282;width:121;height:7" filled="true" fillcolor="#5b9bd4" stroked="false">
              <v:fill type="solid"/>
            </v:rect>
            <v:shape style="position:absolute;left:2004;top:3289;width:8988;height:2" coordorigin="2004,3289" coordsize="8988,0" path="m2004,3289l2004,3289,10991,3289e" filled="false" stroked="true" strokeweight=".619872pt" strokecolor="#888888">
              <v:path arrowok="t"/>
              <v:stroke dashstyle="solid"/>
            </v:shape>
            <v:rect style="position:absolute;left:2444;top:3718;width:86;height:64" filled="true" fillcolor="#375da0" stroked="false">
              <v:fill type="solid"/>
            </v:rect>
            <v:rect style="position:absolute;left:5317;top:3718;width:86;height:64" filled="true" fillcolor="#c46627" stroked="false">
              <v:fill type="solid"/>
            </v:rect>
            <v:rect style="position:absolute;left:8188;top:3718;width:86;height:64" filled="true" fillcolor="#878787" stroked="false">
              <v:fill type="solid"/>
            </v:rect>
            <v:rect style="position:absolute;left:2444;top:3955;width:86;height:64" filled="true" fillcolor="#d29e00" stroked="false">
              <v:fill type="solid"/>
            </v:rect>
            <v:rect style="position:absolute;left:5317;top:3955;width:86;height:64" filled="true" fillcolor="#497eaf" stroked="false">
              <v:fill type="solid"/>
            </v:rect>
            <v:rect style="position:absolute;left:8188;top:3955;width:86;height:64" filled="true" fillcolor="#5b8e39" stroked="false">
              <v:fill type="solid"/>
            </v:rect>
            <v:rect style="position:absolute;left:2444;top:4191;width:86;height:64" filled="true" fillcolor="#4471c4" stroked="false">
              <v:fill type="solid"/>
            </v:rect>
            <v:rect style="position:absolute;left:5317;top:4191;width:86;height:64" filled="true" fillcolor="#ec7c30" stroked="false">
              <v:fill type="solid"/>
            </v:rect>
            <v:rect style="position:absolute;left:8188;top:4191;width:86;height:64" filled="true" fillcolor="#a4a4a4" stroked="false">
              <v:fill type="solid"/>
            </v:rect>
            <v:rect style="position:absolute;left:2444;top:4428;width:86;height:64" filled="true" fillcolor="#ffc000" stroked="false">
              <v:fill type="solid"/>
            </v:rect>
            <v:rect style="position:absolute;left:5317;top:4428;width:86;height:64" filled="true" fillcolor="#5b9bd4" stroked="false">
              <v:fill type="solid"/>
            </v:rect>
            <v:rect style="position:absolute;left:8188;top:4428;width:86;height:64" filled="true" fillcolor="#6fac46" stroked="false">
              <v:fill type="solid"/>
            </v:rect>
            <v:rect style="position:absolute;left:1432;top:638;width:9784;height:4042" filled="false" stroked="true" strokeweight=".651307pt" strokecolor="#888888">
              <v:stroke dashstyle="solid"/>
            </v:rect>
            <v:shape style="position:absolute;left:2678;top:782;width:7260;height:741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28" w:right="18" w:firstLine="0"/>
                      <w:jc w:val="center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spacing w:val="-5"/>
                        <w:w w:val="135"/>
                        <w:sz w:val="23"/>
                      </w:rPr>
                      <w:t>Jutia</w:t>
                    </w:r>
                    <w:r>
                      <w:rPr>
                        <w:rFonts w:ascii="Arial"/>
                        <w:b/>
                        <w:spacing w:val="-55"/>
                        <w:w w:val="135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spacing w:val="-5"/>
                        <w:w w:val="135"/>
                        <w:sz w:val="23"/>
                      </w:rPr>
                      <w:t>pa</w:t>
                    </w:r>
                  </w:p>
                  <w:p>
                    <w:pPr>
                      <w:spacing w:line="254" w:lineRule="auto" w:before="3"/>
                      <w:ind w:left="-1" w:right="18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135"/>
                        <w:sz w:val="20"/>
                      </w:rPr>
                      <w:t>Tota</w:t>
                    </w:r>
                    <w:r>
                      <w:rPr>
                        <w:rFonts w:ascii="Arial" w:hAnsi="Arial"/>
                        <w:b/>
                        <w:spacing w:val="-47"/>
                        <w:w w:val="13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20"/>
                      </w:rPr>
                      <w:t>l</w:t>
                    </w:r>
                    <w:r>
                      <w:rPr>
                        <w:rFonts w:ascii="Arial" w:hAnsi="Arial"/>
                        <w:b/>
                        <w:spacing w:val="-9"/>
                        <w:w w:val="13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25"/>
                        <w:w w:val="13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20"/>
                      </w:rPr>
                      <w:t>población</w:t>
                    </w:r>
                    <w:r>
                      <w:rPr>
                        <w:rFonts w:ascii="Arial" w:hAnsi="Arial"/>
                        <w:b/>
                        <w:spacing w:val="-2"/>
                        <w:w w:val="13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53"/>
                        <w:w w:val="13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20"/>
                      </w:rPr>
                      <w:t>studia</w:t>
                    </w:r>
                    <w:r>
                      <w:rPr>
                        <w:rFonts w:ascii="Arial" w:hAnsi="Arial"/>
                        <w:b/>
                        <w:spacing w:val="-47"/>
                        <w:w w:val="13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20"/>
                      </w:rPr>
                      <w:t>ntil</w:t>
                    </w:r>
                    <w:r>
                      <w:rPr>
                        <w:rFonts w:ascii="Arial" w:hAnsi="Arial"/>
                        <w:b/>
                        <w:spacing w:val="-8"/>
                        <w:w w:val="13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20"/>
                      </w:rPr>
                      <w:t>por</w:t>
                    </w:r>
                    <w:r>
                      <w:rPr>
                        <w:rFonts w:ascii="Arial" w:hAnsi="Arial"/>
                        <w:b/>
                        <w:spacing w:val="-18"/>
                        <w:w w:val="13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20"/>
                      </w:rPr>
                      <w:t>Nive</w:t>
                    </w:r>
                    <w:r>
                      <w:rPr>
                        <w:rFonts w:ascii="Arial" w:hAnsi="Arial"/>
                        <w:b/>
                        <w:spacing w:val="-52"/>
                        <w:w w:val="13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20"/>
                      </w:rPr>
                      <w:t>le</w:t>
                    </w:r>
                    <w:r>
                      <w:rPr>
                        <w:rFonts w:ascii="Arial" w:hAnsi="Arial"/>
                        <w:b/>
                        <w:spacing w:val="-53"/>
                        <w:w w:val="13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20"/>
                      </w:rPr>
                      <w:t>s,</w:t>
                    </w:r>
                    <w:r>
                      <w:rPr>
                        <w:rFonts w:ascii="Arial" w:hAnsi="Arial"/>
                        <w:b/>
                        <w:spacing w:val="3"/>
                        <w:w w:val="13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20"/>
                      </w:rPr>
                      <w:t>etnia</w:t>
                    </w:r>
                    <w:r>
                      <w:rPr>
                        <w:rFonts w:ascii="Arial" w:hAnsi="Arial"/>
                        <w:b/>
                        <w:spacing w:val="31"/>
                        <w:w w:val="13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20"/>
                      </w:rPr>
                      <w:t>y</w:t>
                    </w:r>
                    <w:r>
                      <w:rPr>
                        <w:rFonts w:ascii="Arial" w:hAnsi="Arial"/>
                        <w:b/>
                        <w:spacing w:val="8"/>
                        <w:w w:val="13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20"/>
                      </w:rPr>
                      <w:t>se</w:t>
                    </w:r>
                    <w:r>
                      <w:rPr>
                        <w:rFonts w:ascii="Arial" w:hAnsi="Arial"/>
                        <w:b/>
                        <w:spacing w:val="-53"/>
                        <w:w w:val="13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20"/>
                      </w:rPr>
                      <w:t>xo</w:t>
                    </w:r>
                    <w:r>
                      <w:rPr>
                        <w:rFonts w:ascii="Arial" w:hAnsi="Arial"/>
                        <w:b/>
                        <w:spacing w:val="-72"/>
                        <w:w w:val="13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40"/>
                        <w:sz w:val="20"/>
                      </w:rPr>
                      <w:t>2017-</w:t>
                    </w:r>
                    <w:r>
                      <w:rPr>
                        <w:rFonts w:ascii="Arial" w:hAnsi="Arial"/>
                        <w:b/>
                        <w:spacing w:val="-56"/>
                        <w:w w:val="14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40"/>
                        <w:sz w:val="20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1552;top:1640;width:308;height:1730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21" w:firstLine="0"/>
                      <w:jc w:val="righ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spacing w:val="-1"/>
                        <w:w w:val="115"/>
                        <w:sz w:val="13"/>
                      </w:rPr>
                      <w:t>450</w:t>
                    </w:r>
                  </w:p>
                  <w:p>
                    <w:pPr>
                      <w:spacing w:before="16"/>
                      <w:ind w:left="0" w:right="21" w:firstLine="0"/>
                      <w:jc w:val="righ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spacing w:val="-1"/>
                        <w:w w:val="115"/>
                        <w:sz w:val="13"/>
                      </w:rPr>
                      <w:t>400</w:t>
                    </w:r>
                  </w:p>
                  <w:p>
                    <w:pPr>
                      <w:spacing w:before="17"/>
                      <w:ind w:left="0" w:right="21" w:firstLine="0"/>
                      <w:jc w:val="righ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spacing w:val="-1"/>
                        <w:w w:val="115"/>
                        <w:sz w:val="13"/>
                      </w:rPr>
                      <w:t>350</w:t>
                    </w:r>
                  </w:p>
                  <w:p>
                    <w:pPr>
                      <w:spacing w:before="16"/>
                      <w:ind w:left="0" w:right="21" w:firstLine="0"/>
                      <w:jc w:val="righ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spacing w:val="-1"/>
                        <w:w w:val="115"/>
                        <w:sz w:val="13"/>
                      </w:rPr>
                      <w:t>300</w:t>
                    </w:r>
                  </w:p>
                  <w:p>
                    <w:pPr>
                      <w:spacing w:before="18"/>
                      <w:ind w:left="0" w:right="21" w:firstLine="0"/>
                      <w:jc w:val="righ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spacing w:val="-1"/>
                        <w:w w:val="115"/>
                        <w:sz w:val="13"/>
                      </w:rPr>
                      <w:t>250</w:t>
                    </w:r>
                  </w:p>
                  <w:p>
                    <w:pPr>
                      <w:spacing w:before="16"/>
                      <w:ind w:left="0" w:right="21" w:firstLine="0"/>
                      <w:jc w:val="righ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spacing w:val="-1"/>
                        <w:w w:val="115"/>
                        <w:sz w:val="13"/>
                      </w:rPr>
                      <w:t>200</w:t>
                    </w:r>
                  </w:p>
                  <w:p>
                    <w:pPr>
                      <w:spacing w:before="17"/>
                      <w:ind w:left="0" w:right="21" w:firstLine="0"/>
                      <w:jc w:val="righ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spacing w:val="-1"/>
                        <w:w w:val="115"/>
                        <w:sz w:val="13"/>
                      </w:rPr>
                      <w:t>150</w:t>
                    </w:r>
                  </w:p>
                  <w:p>
                    <w:pPr>
                      <w:spacing w:before="16"/>
                      <w:ind w:left="0" w:right="21" w:firstLine="0"/>
                      <w:jc w:val="righ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spacing w:val="-1"/>
                        <w:w w:val="115"/>
                        <w:sz w:val="13"/>
                      </w:rPr>
                      <w:t>100</w:t>
                    </w:r>
                  </w:p>
                  <w:p>
                    <w:pPr>
                      <w:spacing w:before="18"/>
                      <w:ind w:left="0" w:right="19" w:firstLine="0"/>
                      <w:jc w:val="righ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15"/>
                        <w:sz w:val="13"/>
                      </w:rPr>
                      <w:t>50</w:t>
                    </w:r>
                  </w:p>
                  <w:p>
                    <w:pPr>
                      <w:spacing w:before="16"/>
                      <w:ind w:left="0" w:right="18" w:firstLine="0"/>
                      <w:jc w:val="righ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15"/>
                        <w:sz w:val="13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707;top:3374;width:399;height:158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15"/>
                        <w:sz w:val="13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4511;top:3374;width:399;height:158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15"/>
                        <w:sz w:val="13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6307;top:3374;width:399;height:158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15"/>
                        <w:sz w:val="13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8106;top:3374;width:399;height:158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15"/>
                        <w:sz w:val="13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9902;top:3374;width:399;height:158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15"/>
                        <w:sz w:val="13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2565;top:3679;width:7779;height:851" type="#_x0000_t202" filled="false" stroked="false">
              <v:textbox inset="0,0,0,0">
                <w:txbxContent>
                  <w:p>
                    <w:pPr>
                      <w:tabs>
                        <w:tab w:pos="2872" w:val="left" w:leader="none"/>
                        <w:tab w:pos="5744" w:val="left" w:leader="none"/>
                      </w:tabs>
                      <w:spacing w:line="424" w:lineRule="auto" w:before="5"/>
                      <w:ind w:left="0" w:right="377" w:firstLine="0"/>
                      <w:jc w:val="lef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spacing w:val="-1"/>
                        <w:w w:val="119"/>
                        <w:sz w:val="11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w w:val="125"/>
                        <w:sz w:val="11"/>
                      </w:rPr>
                      <w:t>X</w:t>
                    </w:r>
                    <w:r>
                      <w:rPr>
                        <w:rFonts w:ascii="Verdana"/>
                        <w:spacing w:val="-1"/>
                        <w:w w:val="97"/>
                        <w:sz w:val="11"/>
                      </w:rPr>
                      <w:t>T</w:t>
                    </w:r>
                    <w:r>
                      <w:rPr>
                        <w:rFonts w:ascii="Verdana"/>
                        <w:w w:val="123"/>
                        <w:sz w:val="11"/>
                      </w:rPr>
                      <w:t>R</w:t>
                    </w:r>
                    <w:r>
                      <w:rPr>
                        <w:rFonts w:ascii="Verdana"/>
                        <w:w w:val="153"/>
                        <w:sz w:val="11"/>
                      </w:rPr>
                      <w:t>A</w:t>
                    </w:r>
                    <w:r>
                      <w:rPr>
                        <w:rFonts w:ascii="Verdana"/>
                        <w:w w:val="139"/>
                        <w:sz w:val="11"/>
                      </w:rPr>
                      <w:t>N</w:t>
                    </w:r>
                    <w:r>
                      <w:rPr>
                        <w:rFonts w:ascii="Verdana"/>
                        <w:w w:val="149"/>
                        <w:sz w:val="11"/>
                      </w:rPr>
                      <w:t>J</w:t>
                    </w:r>
                    <w:r>
                      <w:rPr>
                        <w:rFonts w:ascii="Verdana"/>
                        <w:spacing w:val="-1"/>
                        <w:w w:val="119"/>
                        <w:sz w:val="11"/>
                      </w:rPr>
                      <w:t>E</w:t>
                    </w:r>
                    <w:r>
                      <w:rPr>
                        <w:rFonts w:ascii="Verdana"/>
                        <w:w w:val="123"/>
                        <w:sz w:val="11"/>
                      </w:rPr>
                      <w:t>R</w:t>
                    </w:r>
                    <w:r>
                      <w:rPr>
                        <w:rFonts w:ascii="Verdana"/>
                        <w:w w:val="156"/>
                        <w:sz w:val="11"/>
                      </w:rPr>
                      <w:t>O</w:t>
                    </w:r>
                    <w:r>
                      <w:rPr>
                        <w:rFonts w:ascii="Verdana"/>
                        <w:spacing w:val="3"/>
                        <w:sz w:val="11"/>
                      </w:rPr>
                      <w:t> </w:t>
                    </w:r>
                    <w:r>
                      <w:rPr>
                        <w:rFonts w:ascii="Verdana"/>
                        <w:w w:val="103"/>
                        <w:sz w:val="11"/>
                      </w:rPr>
                      <w:t>-</w:t>
                    </w:r>
                    <w:r>
                      <w:rPr>
                        <w:rFonts w:ascii="Verdana"/>
                        <w:spacing w:val="4"/>
                        <w:sz w:val="11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28"/>
                        <w:sz w:val="11"/>
                      </w:rPr>
                      <w:t>H</w:t>
                    </w:r>
                    <w:r>
                      <w:rPr>
                        <w:rFonts w:ascii="Verdana"/>
                        <w:spacing w:val="1"/>
                        <w:w w:val="156"/>
                        <w:sz w:val="11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w w:val="154"/>
                        <w:sz w:val="11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118"/>
                        <w:sz w:val="11"/>
                      </w:rPr>
                      <w:t>B</w:t>
                    </w:r>
                    <w:r>
                      <w:rPr>
                        <w:rFonts w:ascii="Verdana"/>
                        <w:w w:val="123"/>
                        <w:sz w:val="11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19"/>
                        <w:sz w:val="11"/>
                      </w:rPr>
                      <w:t>E</w:t>
                    </w:r>
                    <w:r>
                      <w:rPr>
                        <w:rFonts w:ascii="Verdana"/>
                        <w:w w:val="103"/>
                        <w:sz w:val="11"/>
                      </w:rPr>
                      <w:t>S</w:t>
                    </w:r>
                    <w:r>
                      <w:rPr>
                        <w:rFonts w:ascii="Verdana"/>
                        <w:sz w:val="11"/>
                      </w:rPr>
                      <w:tab/>
                    </w:r>
                    <w:r>
                      <w:rPr>
                        <w:rFonts w:ascii="Verdana"/>
                        <w:spacing w:val="-1"/>
                        <w:w w:val="119"/>
                        <w:sz w:val="11"/>
                      </w:rPr>
                      <w:t>E</w:t>
                    </w:r>
                    <w:r>
                      <w:rPr>
                        <w:rFonts w:ascii="Verdana"/>
                        <w:w w:val="125"/>
                        <w:sz w:val="11"/>
                      </w:rPr>
                      <w:t>X</w:t>
                    </w:r>
                    <w:r>
                      <w:rPr>
                        <w:rFonts w:ascii="Verdana"/>
                        <w:spacing w:val="-1"/>
                        <w:w w:val="97"/>
                        <w:sz w:val="11"/>
                      </w:rPr>
                      <w:t>T</w:t>
                    </w:r>
                    <w:r>
                      <w:rPr>
                        <w:rFonts w:ascii="Verdana"/>
                        <w:w w:val="123"/>
                        <w:sz w:val="11"/>
                      </w:rPr>
                      <w:t>R</w:t>
                    </w:r>
                    <w:r>
                      <w:rPr>
                        <w:rFonts w:ascii="Verdana"/>
                        <w:w w:val="153"/>
                        <w:sz w:val="11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139"/>
                        <w:sz w:val="11"/>
                      </w:rPr>
                      <w:t>N</w:t>
                    </w:r>
                    <w:r>
                      <w:rPr>
                        <w:rFonts w:ascii="Verdana"/>
                        <w:w w:val="149"/>
                        <w:sz w:val="11"/>
                      </w:rPr>
                      <w:t>J</w:t>
                    </w:r>
                    <w:r>
                      <w:rPr>
                        <w:rFonts w:ascii="Verdana"/>
                        <w:w w:val="119"/>
                        <w:sz w:val="11"/>
                      </w:rPr>
                      <w:t>E</w:t>
                    </w:r>
                    <w:r>
                      <w:rPr>
                        <w:rFonts w:ascii="Verdana"/>
                        <w:spacing w:val="-2"/>
                        <w:w w:val="123"/>
                        <w:sz w:val="11"/>
                      </w:rPr>
                      <w:t>R</w:t>
                    </w:r>
                    <w:r>
                      <w:rPr>
                        <w:rFonts w:ascii="Verdana"/>
                        <w:w w:val="156"/>
                        <w:sz w:val="11"/>
                      </w:rPr>
                      <w:t>O</w:t>
                    </w:r>
                    <w:r>
                      <w:rPr>
                        <w:rFonts w:ascii="Verdana"/>
                        <w:spacing w:val="5"/>
                        <w:sz w:val="11"/>
                      </w:rPr>
                      <w:t> </w:t>
                    </w:r>
                    <w:r>
                      <w:rPr>
                        <w:rFonts w:ascii="Verdana"/>
                        <w:w w:val="103"/>
                        <w:sz w:val="11"/>
                      </w:rPr>
                      <w:t>-</w:t>
                    </w:r>
                    <w:r>
                      <w:rPr>
                        <w:rFonts w:ascii="Verdana"/>
                        <w:spacing w:val="4"/>
                        <w:sz w:val="11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54"/>
                        <w:sz w:val="11"/>
                      </w:rPr>
                      <w:t>M</w:t>
                    </w:r>
                    <w:r>
                      <w:rPr>
                        <w:rFonts w:ascii="Verdana"/>
                        <w:w w:val="126"/>
                        <w:sz w:val="11"/>
                      </w:rPr>
                      <w:t>U</w:t>
                    </w:r>
                    <w:r>
                      <w:rPr>
                        <w:rFonts w:ascii="Verdana"/>
                        <w:w w:val="149"/>
                        <w:sz w:val="11"/>
                      </w:rPr>
                      <w:t>J</w:t>
                    </w:r>
                    <w:r>
                      <w:rPr>
                        <w:rFonts w:ascii="Verdana"/>
                        <w:spacing w:val="-1"/>
                        <w:w w:val="119"/>
                        <w:sz w:val="11"/>
                      </w:rPr>
                      <w:t>E</w:t>
                    </w:r>
                    <w:r>
                      <w:rPr>
                        <w:rFonts w:ascii="Verdana"/>
                        <w:w w:val="123"/>
                        <w:sz w:val="11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19"/>
                        <w:sz w:val="11"/>
                      </w:rPr>
                      <w:t>E</w:t>
                    </w:r>
                    <w:r>
                      <w:rPr>
                        <w:rFonts w:ascii="Verdana"/>
                        <w:w w:val="103"/>
                        <w:sz w:val="11"/>
                      </w:rPr>
                      <w:t>S</w:t>
                    </w:r>
                    <w:r>
                      <w:rPr>
                        <w:rFonts w:ascii="Verdana"/>
                        <w:sz w:val="11"/>
                      </w:rPr>
                      <w:tab/>
                    </w:r>
                    <w:r>
                      <w:rPr>
                        <w:rFonts w:ascii="Verdana"/>
                        <w:w w:val="159"/>
                        <w:sz w:val="11"/>
                      </w:rPr>
                      <w:t>G</w:t>
                    </w:r>
                    <w:r>
                      <w:rPr>
                        <w:rFonts w:ascii="Verdana"/>
                        <w:w w:val="153"/>
                        <w:sz w:val="11"/>
                      </w:rPr>
                      <w:t>A</w:t>
                    </w:r>
                    <w:r>
                      <w:rPr>
                        <w:rFonts w:ascii="Verdana"/>
                        <w:w w:val="123"/>
                        <w:sz w:val="11"/>
                      </w:rPr>
                      <w:t>R</w:t>
                    </w:r>
                    <w:r>
                      <w:rPr>
                        <w:rFonts w:ascii="Verdana"/>
                        <w:w w:val="75"/>
                        <w:sz w:val="11"/>
                      </w:rPr>
                      <w:t>I</w:t>
                    </w:r>
                    <w:r>
                      <w:rPr>
                        <w:rFonts w:ascii="Verdana"/>
                        <w:w w:val="119"/>
                        <w:sz w:val="11"/>
                      </w:rPr>
                      <w:t>F</w:t>
                    </w:r>
                    <w:r>
                      <w:rPr>
                        <w:rFonts w:ascii="Verdana"/>
                        <w:spacing w:val="-1"/>
                        <w:w w:val="126"/>
                        <w:sz w:val="11"/>
                      </w:rPr>
                      <w:t>U</w:t>
                    </w:r>
                    <w:r>
                      <w:rPr>
                        <w:rFonts w:ascii="Verdana"/>
                        <w:w w:val="139"/>
                        <w:sz w:val="11"/>
                      </w:rPr>
                      <w:t>N</w:t>
                    </w:r>
                    <w:r>
                      <w:rPr>
                        <w:rFonts w:ascii="Verdana"/>
                        <w:w w:val="153"/>
                        <w:sz w:val="11"/>
                      </w:rPr>
                      <w:t>A</w:t>
                    </w:r>
                    <w:r>
                      <w:rPr>
                        <w:rFonts w:ascii="Verdana"/>
                        <w:spacing w:val="4"/>
                        <w:sz w:val="11"/>
                      </w:rPr>
                      <w:t> </w:t>
                    </w:r>
                    <w:r>
                      <w:rPr>
                        <w:rFonts w:ascii="Verdana"/>
                        <w:w w:val="103"/>
                        <w:sz w:val="11"/>
                      </w:rPr>
                      <w:t>-</w:t>
                    </w:r>
                    <w:r>
                      <w:rPr>
                        <w:rFonts w:ascii="Verdana"/>
                        <w:spacing w:val="4"/>
                        <w:sz w:val="11"/>
                      </w:rPr>
                      <w:t> </w:t>
                    </w:r>
                    <w:r>
                      <w:rPr>
                        <w:rFonts w:ascii="Verdana"/>
                        <w:spacing w:val="-3"/>
                        <w:w w:val="128"/>
                        <w:sz w:val="11"/>
                      </w:rPr>
                      <w:t>H</w:t>
                    </w:r>
                    <w:r>
                      <w:rPr>
                        <w:rFonts w:ascii="Verdana"/>
                        <w:spacing w:val="-3"/>
                        <w:w w:val="156"/>
                        <w:sz w:val="11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w w:val="154"/>
                        <w:sz w:val="11"/>
                      </w:rPr>
                      <w:t>M</w:t>
                    </w:r>
                    <w:r>
                      <w:rPr>
                        <w:rFonts w:ascii="Verdana"/>
                        <w:spacing w:val="-2"/>
                        <w:w w:val="118"/>
                        <w:sz w:val="11"/>
                      </w:rPr>
                      <w:t>B</w:t>
                    </w:r>
                    <w:r>
                      <w:rPr>
                        <w:rFonts w:ascii="Verdana"/>
                        <w:spacing w:val="-4"/>
                        <w:w w:val="123"/>
                        <w:sz w:val="11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19"/>
                        <w:sz w:val="11"/>
                      </w:rPr>
                      <w:t>E</w:t>
                    </w:r>
                    <w:r>
                      <w:rPr>
                        <w:rFonts w:ascii="Verdana"/>
                        <w:spacing w:val="-2"/>
                        <w:w w:val="103"/>
                        <w:sz w:val="11"/>
                      </w:rPr>
                      <w:t>S</w:t>
                    </w:r>
                    <w:r>
                      <w:rPr>
                        <w:rFonts w:ascii="Verdana"/>
                        <w:w w:val="103"/>
                        <w:sz w:val="11"/>
                      </w:rPr>
                      <w:t> </w:t>
                    </w:r>
                    <w:r>
                      <w:rPr>
                        <w:rFonts w:ascii="Verdana"/>
                        <w:w w:val="159"/>
                        <w:sz w:val="11"/>
                      </w:rPr>
                      <w:t>G</w:t>
                    </w:r>
                    <w:r>
                      <w:rPr>
                        <w:rFonts w:ascii="Verdana"/>
                        <w:spacing w:val="-1"/>
                        <w:w w:val="153"/>
                        <w:sz w:val="11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123"/>
                        <w:sz w:val="11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75"/>
                        <w:sz w:val="11"/>
                      </w:rPr>
                      <w:t>I</w:t>
                    </w:r>
                    <w:r>
                      <w:rPr>
                        <w:rFonts w:ascii="Verdana"/>
                        <w:spacing w:val="1"/>
                        <w:w w:val="119"/>
                        <w:sz w:val="11"/>
                      </w:rPr>
                      <w:t>F</w:t>
                    </w:r>
                    <w:r>
                      <w:rPr>
                        <w:rFonts w:ascii="Verdana"/>
                        <w:spacing w:val="-1"/>
                        <w:w w:val="126"/>
                        <w:sz w:val="11"/>
                      </w:rPr>
                      <w:t>U</w:t>
                    </w:r>
                    <w:r>
                      <w:rPr>
                        <w:rFonts w:ascii="Verdana"/>
                        <w:w w:val="139"/>
                        <w:sz w:val="11"/>
                      </w:rPr>
                      <w:t>N</w:t>
                    </w:r>
                    <w:r>
                      <w:rPr>
                        <w:rFonts w:ascii="Verdana"/>
                        <w:w w:val="153"/>
                        <w:sz w:val="11"/>
                      </w:rPr>
                      <w:t>A</w:t>
                    </w:r>
                    <w:r>
                      <w:rPr>
                        <w:rFonts w:ascii="Verdana"/>
                        <w:spacing w:val="4"/>
                        <w:sz w:val="11"/>
                      </w:rPr>
                      <w:t> </w:t>
                    </w:r>
                    <w:r>
                      <w:rPr>
                        <w:rFonts w:ascii="Verdana"/>
                        <w:w w:val="103"/>
                        <w:sz w:val="11"/>
                      </w:rPr>
                      <w:t>-</w:t>
                    </w:r>
                    <w:r>
                      <w:rPr>
                        <w:rFonts w:ascii="Verdana"/>
                        <w:spacing w:val="4"/>
                        <w:sz w:val="11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54"/>
                        <w:sz w:val="11"/>
                      </w:rPr>
                      <w:t>M</w:t>
                    </w:r>
                    <w:r>
                      <w:rPr>
                        <w:rFonts w:ascii="Verdana"/>
                        <w:w w:val="126"/>
                        <w:sz w:val="11"/>
                      </w:rPr>
                      <w:t>U</w:t>
                    </w:r>
                    <w:r>
                      <w:rPr>
                        <w:rFonts w:ascii="Verdana"/>
                        <w:spacing w:val="-1"/>
                        <w:w w:val="149"/>
                        <w:sz w:val="11"/>
                      </w:rPr>
                      <w:t>J</w:t>
                    </w:r>
                    <w:r>
                      <w:rPr>
                        <w:rFonts w:ascii="Verdana"/>
                        <w:spacing w:val="-1"/>
                        <w:w w:val="119"/>
                        <w:sz w:val="11"/>
                      </w:rPr>
                      <w:t>E</w:t>
                    </w:r>
                    <w:r>
                      <w:rPr>
                        <w:rFonts w:ascii="Verdana"/>
                        <w:w w:val="123"/>
                        <w:sz w:val="11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19"/>
                        <w:sz w:val="11"/>
                      </w:rPr>
                      <w:t>E</w:t>
                    </w:r>
                    <w:r>
                      <w:rPr>
                        <w:rFonts w:ascii="Verdana"/>
                        <w:w w:val="103"/>
                        <w:sz w:val="11"/>
                      </w:rPr>
                      <w:t>S</w:t>
                    </w:r>
                    <w:r>
                      <w:rPr>
                        <w:rFonts w:ascii="Verdana"/>
                        <w:sz w:val="11"/>
                      </w:rPr>
                      <w:tab/>
                    </w:r>
                    <w:r>
                      <w:rPr>
                        <w:rFonts w:ascii="Verdana"/>
                        <w:spacing w:val="-1"/>
                        <w:w w:val="117"/>
                        <w:sz w:val="11"/>
                      </w:rPr>
                      <w:t>L</w:t>
                    </w:r>
                    <w:r>
                      <w:rPr>
                        <w:rFonts w:ascii="Verdana"/>
                        <w:w w:val="153"/>
                        <w:sz w:val="11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136"/>
                        <w:sz w:val="11"/>
                      </w:rPr>
                      <w:t>D</w:t>
                    </w:r>
                    <w:r>
                      <w:rPr>
                        <w:rFonts w:ascii="Verdana"/>
                        <w:w w:val="75"/>
                        <w:sz w:val="11"/>
                      </w:rPr>
                      <w:t>I</w:t>
                    </w:r>
                    <w:r>
                      <w:rPr>
                        <w:rFonts w:ascii="Verdana"/>
                        <w:w w:val="139"/>
                        <w:sz w:val="11"/>
                      </w:rPr>
                      <w:t>N</w:t>
                    </w:r>
                    <w:r>
                      <w:rPr>
                        <w:rFonts w:ascii="Verdana"/>
                        <w:w w:val="156"/>
                        <w:sz w:val="11"/>
                      </w:rPr>
                      <w:t>O</w:t>
                    </w:r>
                    <w:r>
                      <w:rPr>
                        <w:rFonts w:ascii="Verdana"/>
                        <w:spacing w:val="4"/>
                        <w:sz w:val="11"/>
                      </w:rPr>
                      <w:t> </w:t>
                    </w:r>
                    <w:r>
                      <w:rPr>
                        <w:rFonts w:ascii="Verdana"/>
                        <w:w w:val="103"/>
                        <w:sz w:val="11"/>
                      </w:rPr>
                      <w:t>-</w:t>
                    </w:r>
                    <w:r>
                      <w:rPr>
                        <w:rFonts w:ascii="Verdana"/>
                        <w:spacing w:val="4"/>
                        <w:sz w:val="11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28"/>
                        <w:sz w:val="11"/>
                      </w:rPr>
                      <w:t>H</w:t>
                    </w:r>
                    <w:r>
                      <w:rPr>
                        <w:rFonts w:ascii="Verdana"/>
                        <w:spacing w:val="-1"/>
                        <w:w w:val="156"/>
                        <w:sz w:val="11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w w:val="154"/>
                        <w:sz w:val="11"/>
                      </w:rPr>
                      <w:t>M</w:t>
                    </w:r>
                    <w:r>
                      <w:rPr>
                        <w:rFonts w:ascii="Verdana"/>
                        <w:w w:val="118"/>
                        <w:sz w:val="11"/>
                      </w:rPr>
                      <w:t>B</w:t>
                    </w:r>
                    <w:r>
                      <w:rPr>
                        <w:rFonts w:ascii="Verdana"/>
                        <w:w w:val="123"/>
                        <w:sz w:val="11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19"/>
                        <w:sz w:val="11"/>
                      </w:rPr>
                      <w:t>E</w:t>
                    </w:r>
                    <w:r>
                      <w:rPr>
                        <w:rFonts w:ascii="Verdana"/>
                        <w:w w:val="103"/>
                        <w:sz w:val="11"/>
                      </w:rPr>
                      <w:t>S</w:t>
                    </w:r>
                    <w:r>
                      <w:rPr>
                        <w:rFonts w:ascii="Verdana"/>
                        <w:sz w:val="11"/>
                      </w:rPr>
                      <w:tab/>
                    </w:r>
                    <w:r>
                      <w:rPr>
                        <w:rFonts w:ascii="Verdana"/>
                        <w:w w:val="117"/>
                        <w:sz w:val="11"/>
                      </w:rPr>
                      <w:t>L</w:t>
                    </w:r>
                    <w:r>
                      <w:rPr>
                        <w:rFonts w:ascii="Verdana"/>
                        <w:spacing w:val="-1"/>
                        <w:w w:val="153"/>
                        <w:sz w:val="11"/>
                      </w:rPr>
                      <w:t>A</w:t>
                    </w:r>
                    <w:r>
                      <w:rPr>
                        <w:rFonts w:ascii="Verdana"/>
                        <w:spacing w:val="1"/>
                        <w:w w:val="136"/>
                        <w:sz w:val="11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w w:val="75"/>
                        <w:sz w:val="11"/>
                      </w:rPr>
                      <w:t>I</w:t>
                    </w:r>
                    <w:r>
                      <w:rPr>
                        <w:rFonts w:ascii="Verdana"/>
                        <w:w w:val="139"/>
                        <w:sz w:val="11"/>
                      </w:rPr>
                      <w:t>N</w:t>
                    </w:r>
                    <w:r>
                      <w:rPr>
                        <w:rFonts w:ascii="Verdana"/>
                        <w:w w:val="156"/>
                        <w:sz w:val="11"/>
                      </w:rPr>
                      <w:t>O</w:t>
                    </w:r>
                    <w:r>
                      <w:rPr>
                        <w:rFonts w:ascii="Verdana"/>
                        <w:spacing w:val="3"/>
                        <w:sz w:val="11"/>
                      </w:rPr>
                      <w:t> </w:t>
                    </w:r>
                    <w:r>
                      <w:rPr>
                        <w:rFonts w:ascii="Verdana"/>
                        <w:w w:val="103"/>
                        <w:sz w:val="11"/>
                      </w:rPr>
                      <w:t>-</w:t>
                    </w:r>
                    <w:r>
                      <w:rPr>
                        <w:rFonts w:ascii="Verdana"/>
                        <w:spacing w:val="4"/>
                        <w:sz w:val="11"/>
                      </w:rPr>
                      <w:t> </w:t>
                    </w:r>
                    <w:r>
                      <w:rPr>
                        <w:rFonts w:ascii="Verdana"/>
                        <w:spacing w:val="1"/>
                        <w:w w:val="154"/>
                        <w:sz w:val="11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126"/>
                        <w:sz w:val="11"/>
                      </w:rPr>
                      <w:t>U</w:t>
                    </w:r>
                    <w:r>
                      <w:rPr>
                        <w:rFonts w:ascii="Verdana"/>
                        <w:spacing w:val="-1"/>
                        <w:w w:val="149"/>
                        <w:sz w:val="11"/>
                      </w:rPr>
                      <w:t>J</w:t>
                    </w:r>
                    <w:r>
                      <w:rPr>
                        <w:rFonts w:ascii="Verdana"/>
                        <w:spacing w:val="-1"/>
                        <w:w w:val="119"/>
                        <w:sz w:val="11"/>
                      </w:rPr>
                      <w:t>E</w:t>
                    </w:r>
                    <w:r>
                      <w:rPr>
                        <w:rFonts w:ascii="Verdana"/>
                        <w:w w:val="123"/>
                        <w:sz w:val="11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19"/>
                        <w:sz w:val="11"/>
                      </w:rPr>
                      <w:t>E</w:t>
                    </w:r>
                    <w:r>
                      <w:rPr>
                        <w:rFonts w:ascii="Verdana"/>
                        <w:w w:val="103"/>
                        <w:sz w:val="11"/>
                      </w:rPr>
                      <w:t>S </w:t>
                    </w:r>
                    <w:r>
                      <w:rPr>
                        <w:rFonts w:ascii="Verdana"/>
                        <w:spacing w:val="-1"/>
                        <w:w w:val="154"/>
                        <w:sz w:val="11"/>
                      </w:rPr>
                      <w:t>M</w:t>
                    </w:r>
                    <w:r>
                      <w:rPr>
                        <w:rFonts w:ascii="Verdana"/>
                        <w:spacing w:val="-20"/>
                        <w:w w:val="153"/>
                        <w:sz w:val="11"/>
                      </w:rPr>
                      <w:t>A</w:t>
                    </w:r>
                    <w:r>
                      <w:rPr>
                        <w:rFonts w:ascii="Verdana"/>
                        <w:spacing w:val="-18"/>
                        <w:w w:val="136"/>
                        <w:sz w:val="11"/>
                      </w:rPr>
                      <w:t>Y</w:t>
                    </w:r>
                    <w:r>
                      <w:rPr>
                        <w:rFonts w:ascii="Verdana"/>
                        <w:w w:val="153"/>
                        <w:sz w:val="11"/>
                      </w:rPr>
                      <w:t>A</w:t>
                    </w:r>
                    <w:r>
                      <w:rPr>
                        <w:rFonts w:ascii="Verdana"/>
                        <w:spacing w:val="4"/>
                        <w:sz w:val="11"/>
                      </w:rPr>
                      <w:t> </w:t>
                    </w:r>
                    <w:r>
                      <w:rPr>
                        <w:rFonts w:ascii="Verdana"/>
                        <w:w w:val="103"/>
                        <w:sz w:val="11"/>
                      </w:rPr>
                      <w:t>-</w:t>
                    </w:r>
                    <w:r>
                      <w:rPr>
                        <w:rFonts w:ascii="Verdana"/>
                        <w:spacing w:val="4"/>
                        <w:sz w:val="11"/>
                      </w:rPr>
                      <w:t> </w:t>
                    </w:r>
                    <w:r>
                      <w:rPr>
                        <w:rFonts w:ascii="Verdana"/>
                        <w:w w:val="128"/>
                        <w:sz w:val="11"/>
                      </w:rPr>
                      <w:t>H</w:t>
                    </w:r>
                    <w:r>
                      <w:rPr>
                        <w:rFonts w:ascii="Verdana"/>
                        <w:spacing w:val="-1"/>
                        <w:w w:val="156"/>
                        <w:sz w:val="11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w w:val="154"/>
                        <w:sz w:val="11"/>
                      </w:rPr>
                      <w:t>M</w:t>
                    </w:r>
                    <w:r>
                      <w:rPr>
                        <w:rFonts w:ascii="Verdana"/>
                        <w:w w:val="118"/>
                        <w:sz w:val="11"/>
                      </w:rPr>
                      <w:t>B</w:t>
                    </w:r>
                    <w:r>
                      <w:rPr>
                        <w:rFonts w:ascii="Verdana"/>
                        <w:w w:val="123"/>
                        <w:sz w:val="11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19"/>
                        <w:sz w:val="11"/>
                      </w:rPr>
                      <w:t>E</w:t>
                    </w:r>
                    <w:r>
                      <w:rPr>
                        <w:rFonts w:ascii="Verdana"/>
                        <w:w w:val="103"/>
                        <w:sz w:val="11"/>
                      </w:rPr>
                      <w:t>S</w:t>
                    </w:r>
                    <w:r>
                      <w:rPr>
                        <w:rFonts w:ascii="Verdana"/>
                        <w:sz w:val="11"/>
                      </w:rPr>
                      <w:tab/>
                    </w:r>
                    <w:r>
                      <w:rPr>
                        <w:rFonts w:ascii="Verdana"/>
                        <w:spacing w:val="-1"/>
                        <w:w w:val="154"/>
                        <w:sz w:val="11"/>
                      </w:rPr>
                      <w:t>M</w:t>
                    </w:r>
                    <w:r>
                      <w:rPr>
                        <w:rFonts w:ascii="Verdana"/>
                        <w:spacing w:val="-20"/>
                        <w:w w:val="153"/>
                        <w:sz w:val="11"/>
                      </w:rPr>
                      <w:t>A</w:t>
                    </w:r>
                    <w:r>
                      <w:rPr>
                        <w:rFonts w:ascii="Verdana"/>
                        <w:spacing w:val="-20"/>
                        <w:w w:val="136"/>
                        <w:sz w:val="11"/>
                      </w:rPr>
                      <w:t>Y</w:t>
                    </w:r>
                    <w:r>
                      <w:rPr>
                        <w:rFonts w:ascii="Verdana"/>
                        <w:w w:val="153"/>
                        <w:sz w:val="11"/>
                      </w:rPr>
                      <w:t>A</w:t>
                    </w:r>
                    <w:r>
                      <w:rPr>
                        <w:rFonts w:ascii="Verdana"/>
                        <w:spacing w:val="4"/>
                        <w:sz w:val="11"/>
                      </w:rPr>
                      <w:t> </w:t>
                    </w:r>
                    <w:r>
                      <w:rPr>
                        <w:rFonts w:ascii="Verdana"/>
                        <w:w w:val="103"/>
                        <w:sz w:val="11"/>
                      </w:rPr>
                      <w:t>-</w:t>
                    </w:r>
                    <w:r>
                      <w:rPr>
                        <w:rFonts w:ascii="Verdana"/>
                        <w:spacing w:val="4"/>
                        <w:sz w:val="11"/>
                      </w:rPr>
                      <w:t> </w:t>
                    </w:r>
                    <w:r>
                      <w:rPr>
                        <w:rFonts w:ascii="Verdana"/>
                        <w:spacing w:val="1"/>
                        <w:w w:val="154"/>
                        <w:sz w:val="11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126"/>
                        <w:sz w:val="11"/>
                      </w:rPr>
                      <w:t>U</w:t>
                    </w:r>
                    <w:r>
                      <w:rPr>
                        <w:rFonts w:ascii="Verdana"/>
                        <w:w w:val="149"/>
                        <w:sz w:val="11"/>
                      </w:rPr>
                      <w:t>J</w:t>
                    </w:r>
                    <w:r>
                      <w:rPr>
                        <w:rFonts w:ascii="Verdana"/>
                        <w:spacing w:val="-1"/>
                        <w:w w:val="119"/>
                        <w:sz w:val="11"/>
                      </w:rPr>
                      <w:t>E</w:t>
                    </w:r>
                    <w:r>
                      <w:rPr>
                        <w:rFonts w:ascii="Verdana"/>
                        <w:w w:val="123"/>
                        <w:sz w:val="11"/>
                      </w:rPr>
                      <w:t>R</w:t>
                    </w:r>
                    <w:r>
                      <w:rPr>
                        <w:rFonts w:ascii="Verdana"/>
                        <w:spacing w:val="1"/>
                        <w:w w:val="119"/>
                        <w:sz w:val="11"/>
                      </w:rPr>
                      <w:t>E</w:t>
                    </w:r>
                    <w:r>
                      <w:rPr>
                        <w:rFonts w:ascii="Verdana"/>
                        <w:w w:val="103"/>
                        <w:sz w:val="11"/>
                      </w:rPr>
                      <w:t>S</w:t>
                    </w:r>
                    <w:r>
                      <w:rPr>
                        <w:rFonts w:ascii="Verdana"/>
                        <w:sz w:val="11"/>
                      </w:rPr>
                      <w:tab/>
                    </w:r>
                    <w:r>
                      <w:rPr>
                        <w:rFonts w:ascii="Verdana"/>
                        <w:spacing w:val="-1"/>
                        <w:w w:val="125"/>
                        <w:sz w:val="11"/>
                      </w:rPr>
                      <w:t>X</w:t>
                    </w:r>
                    <w:r>
                      <w:rPr>
                        <w:rFonts w:ascii="Verdana"/>
                        <w:spacing w:val="-1"/>
                        <w:w w:val="75"/>
                        <w:sz w:val="11"/>
                      </w:rPr>
                      <w:t>I</w:t>
                    </w:r>
                    <w:r>
                      <w:rPr>
                        <w:rFonts w:ascii="Verdana"/>
                        <w:w w:val="139"/>
                        <w:sz w:val="11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w w:val="158"/>
                        <w:sz w:val="11"/>
                      </w:rPr>
                      <w:t>C</w:t>
                    </w:r>
                    <w:r>
                      <w:rPr>
                        <w:rFonts w:ascii="Verdana"/>
                        <w:w w:val="158"/>
                        <w:sz w:val="11"/>
                      </w:rPr>
                      <w:t>A</w:t>
                    </w:r>
                    <w:r>
                      <w:rPr>
                        <w:rFonts w:ascii="Verdana"/>
                        <w:spacing w:val="5"/>
                        <w:sz w:val="11"/>
                      </w:rPr>
                      <w:t> </w:t>
                    </w:r>
                    <w:r>
                      <w:rPr>
                        <w:rFonts w:ascii="Verdana"/>
                        <w:w w:val="103"/>
                        <w:sz w:val="11"/>
                      </w:rPr>
                      <w:t>-</w:t>
                    </w:r>
                    <w:r>
                      <w:rPr>
                        <w:rFonts w:ascii="Verdana"/>
                        <w:spacing w:val="4"/>
                        <w:sz w:val="11"/>
                      </w:rPr>
                      <w:t> </w:t>
                    </w:r>
                    <w:r>
                      <w:rPr>
                        <w:rFonts w:ascii="Verdana"/>
                        <w:w w:val="128"/>
                        <w:sz w:val="11"/>
                      </w:rPr>
                      <w:t>H</w:t>
                    </w:r>
                    <w:r>
                      <w:rPr>
                        <w:rFonts w:ascii="Verdana"/>
                        <w:spacing w:val="-1"/>
                        <w:w w:val="156"/>
                        <w:sz w:val="11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w w:val="154"/>
                        <w:sz w:val="11"/>
                      </w:rPr>
                      <w:t>M</w:t>
                    </w:r>
                    <w:r>
                      <w:rPr>
                        <w:rFonts w:ascii="Verdana"/>
                        <w:w w:val="118"/>
                        <w:sz w:val="11"/>
                      </w:rPr>
                      <w:t>B</w:t>
                    </w:r>
                    <w:r>
                      <w:rPr>
                        <w:rFonts w:ascii="Verdana"/>
                        <w:w w:val="123"/>
                        <w:sz w:val="11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19"/>
                        <w:sz w:val="11"/>
                      </w:rPr>
                      <w:t>E</w:t>
                    </w:r>
                    <w:r>
                      <w:rPr>
                        <w:rFonts w:ascii="Verdana"/>
                        <w:w w:val="103"/>
                        <w:sz w:val="11"/>
                      </w:rPr>
                      <w:t>S</w:t>
                    </w:r>
                  </w:p>
                  <w:p>
                    <w:pPr>
                      <w:tabs>
                        <w:tab w:pos="2872" w:val="left" w:leader="none"/>
                        <w:tab w:pos="5744" w:val="left" w:leader="none"/>
                      </w:tabs>
                      <w:spacing w:line="133" w:lineRule="exact" w:before="0"/>
                      <w:ind w:left="0" w:right="0" w:firstLine="0"/>
                      <w:jc w:val="left"/>
                      <w:rPr>
                        <w:rFonts w:ascii="Verdana" w:hAnsi="Verdana"/>
                        <w:sz w:val="11"/>
                      </w:rPr>
                    </w:pPr>
                    <w:r>
                      <w:rPr>
                        <w:rFonts w:ascii="Verdana" w:hAnsi="Verdana"/>
                        <w:spacing w:val="-1"/>
                        <w:w w:val="125"/>
                        <w:sz w:val="11"/>
                      </w:rPr>
                      <w:t>X</w:t>
                    </w:r>
                    <w:r>
                      <w:rPr>
                        <w:rFonts w:ascii="Verdana" w:hAnsi="Verdana"/>
                        <w:spacing w:val="-1"/>
                        <w:w w:val="75"/>
                        <w:sz w:val="11"/>
                      </w:rPr>
                      <w:t>I</w:t>
                    </w:r>
                    <w:r>
                      <w:rPr>
                        <w:rFonts w:ascii="Verdana" w:hAnsi="Verdana"/>
                        <w:w w:val="139"/>
                        <w:sz w:val="11"/>
                      </w:rPr>
                      <w:t>N</w:t>
                    </w:r>
                    <w:r>
                      <w:rPr>
                        <w:rFonts w:ascii="Verdana" w:hAnsi="Verdana"/>
                        <w:spacing w:val="-1"/>
                        <w:w w:val="158"/>
                        <w:sz w:val="11"/>
                      </w:rPr>
                      <w:t>C</w:t>
                    </w:r>
                    <w:r>
                      <w:rPr>
                        <w:rFonts w:ascii="Verdana" w:hAnsi="Verdana"/>
                        <w:w w:val="158"/>
                        <w:sz w:val="11"/>
                      </w:rPr>
                      <w:t>A</w:t>
                    </w:r>
                    <w:r>
                      <w:rPr>
                        <w:rFonts w:ascii="Verdana" w:hAnsi="Verdana"/>
                        <w:spacing w:val="4"/>
                        <w:sz w:val="11"/>
                      </w:rPr>
                      <w:t> </w:t>
                    </w:r>
                    <w:r>
                      <w:rPr>
                        <w:rFonts w:ascii="Verdana" w:hAnsi="Verdana"/>
                        <w:w w:val="103"/>
                        <w:sz w:val="11"/>
                      </w:rPr>
                      <w:t>-</w:t>
                    </w:r>
                    <w:r>
                      <w:rPr>
                        <w:rFonts w:ascii="Verdana" w:hAnsi="Verdana"/>
                        <w:spacing w:val="5"/>
                        <w:sz w:val="11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154"/>
                        <w:sz w:val="11"/>
                      </w:rPr>
                      <w:t>M</w:t>
                    </w:r>
                    <w:r>
                      <w:rPr>
                        <w:rFonts w:ascii="Verdana" w:hAnsi="Verdana"/>
                        <w:spacing w:val="-1"/>
                        <w:w w:val="126"/>
                        <w:sz w:val="11"/>
                      </w:rPr>
                      <w:t>U</w:t>
                    </w:r>
                    <w:r>
                      <w:rPr>
                        <w:rFonts w:ascii="Verdana" w:hAnsi="Verdana"/>
                        <w:spacing w:val="-1"/>
                        <w:w w:val="149"/>
                        <w:sz w:val="11"/>
                      </w:rPr>
                      <w:t>J</w:t>
                    </w:r>
                    <w:r>
                      <w:rPr>
                        <w:rFonts w:ascii="Verdana" w:hAnsi="Verdana"/>
                        <w:spacing w:val="1"/>
                        <w:w w:val="119"/>
                        <w:sz w:val="11"/>
                      </w:rPr>
                      <w:t>E</w:t>
                    </w:r>
                    <w:r>
                      <w:rPr>
                        <w:rFonts w:ascii="Verdana" w:hAnsi="Verdana"/>
                        <w:spacing w:val="-1"/>
                        <w:w w:val="123"/>
                        <w:sz w:val="11"/>
                      </w:rPr>
                      <w:t>R</w:t>
                    </w:r>
                    <w:r>
                      <w:rPr>
                        <w:rFonts w:ascii="Verdana" w:hAnsi="Verdana"/>
                        <w:w w:val="119"/>
                        <w:sz w:val="11"/>
                      </w:rPr>
                      <w:t>E</w:t>
                    </w:r>
                    <w:r>
                      <w:rPr>
                        <w:rFonts w:ascii="Verdana" w:hAnsi="Verdana"/>
                        <w:w w:val="103"/>
                        <w:sz w:val="11"/>
                      </w:rPr>
                      <w:t>S</w:t>
                    </w:r>
                    <w:r>
                      <w:rPr>
                        <w:rFonts w:ascii="Verdana" w:hAnsi="Verdana"/>
                        <w:sz w:val="11"/>
                      </w:rPr>
                      <w:tab/>
                    </w:r>
                    <w:r>
                      <w:rPr>
                        <w:rFonts w:ascii="Verdana" w:hAnsi="Verdana"/>
                        <w:spacing w:val="-1"/>
                        <w:w w:val="103"/>
                        <w:sz w:val="11"/>
                      </w:rPr>
                      <w:t>Si</w:t>
                    </w:r>
                    <w:r>
                      <w:rPr>
                        <w:rFonts w:ascii="Verdana" w:hAnsi="Verdana"/>
                        <w:w w:val="136"/>
                        <w:sz w:val="11"/>
                      </w:rPr>
                      <w:t>n</w:t>
                    </w:r>
                    <w:r>
                      <w:rPr>
                        <w:rFonts w:ascii="Verdana" w:hAnsi="Verdana"/>
                        <w:spacing w:val="5"/>
                        <w:sz w:val="11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147"/>
                        <w:sz w:val="11"/>
                      </w:rPr>
                      <w:t>Cl</w:t>
                    </w:r>
                    <w:r>
                      <w:rPr>
                        <w:rFonts w:ascii="Verdana" w:hAnsi="Verdana"/>
                        <w:w w:val="160"/>
                        <w:sz w:val="11"/>
                      </w:rPr>
                      <w:t>a</w:t>
                    </w:r>
                    <w:r>
                      <w:rPr>
                        <w:rFonts w:ascii="Verdana" w:hAnsi="Verdana"/>
                        <w:w w:val="105"/>
                        <w:sz w:val="11"/>
                      </w:rPr>
                      <w:t>s</w:t>
                    </w:r>
                    <w:r>
                      <w:rPr>
                        <w:rFonts w:ascii="Verdana" w:hAnsi="Verdana"/>
                        <w:w w:val="103"/>
                        <w:sz w:val="11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116"/>
                        <w:sz w:val="11"/>
                      </w:rPr>
                      <w:t>f</w:t>
                    </w:r>
                    <w:r>
                      <w:rPr>
                        <w:rFonts w:ascii="Verdana" w:hAnsi="Verdana"/>
                        <w:w w:val="116"/>
                        <w:sz w:val="11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167"/>
                        <w:sz w:val="11"/>
                      </w:rPr>
                      <w:t>c</w:t>
                    </w:r>
                    <w:r>
                      <w:rPr>
                        <w:rFonts w:ascii="Verdana" w:hAnsi="Verdana"/>
                        <w:w w:val="167"/>
                        <w:sz w:val="11"/>
                      </w:rPr>
                      <w:t>a</w:t>
                    </w:r>
                    <w:r>
                      <w:rPr>
                        <w:rFonts w:ascii="Verdana" w:hAnsi="Verdana"/>
                        <w:spacing w:val="-1"/>
                        <w:w w:val="150"/>
                        <w:sz w:val="11"/>
                      </w:rPr>
                      <w:t>c</w:t>
                    </w:r>
                    <w:r>
                      <w:rPr>
                        <w:rFonts w:ascii="Verdana" w:hAnsi="Verdana"/>
                        <w:spacing w:val="1"/>
                        <w:w w:val="150"/>
                        <w:sz w:val="11"/>
                      </w:rPr>
                      <w:t>i</w:t>
                    </w:r>
                    <w:r>
                      <w:rPr>
                        <w:rFonts w:ascii="Verdana" w:hAnsi="Verdana"/>
                        <w:w w:val="152"/>
                        <w:sz w:val="11"/>
                      </w:rPr>
                      <w:t>ó</w:t>
                    </w:r>
                    <w:r>
                      <w:rPr>
                        <w:rFonts w:ascii="Verdana" w:hAnsi="Verdana"/>
                        <w:w w:val="136"/>
                        <w:sz w:val="11"/>
                      </w:rPr>
                      <w:t>n</w:t>
                    </w:r>
                    <w:r>
                      <w:rPr>
                        <w:rFonts w:ascii="Verdana" w:hAnsi="Verdana"/>
                        <w:spacing w:val="4"/>
                        <w:sz w:val="11"/>
                      </w:rPr>
                      <w:t> </w:t>
                    </w:r>
                    <w:r>
                      <w:rPr>
                        <w:rFonts w:ascii="Verdana" w:hAnsi="Verdana"/>
                        <w:w w:val="103"/>
                        <w:sz w:val="11"/>
                      </w:rPr>
                      <w:t>-</w:t>
                    </w:r>
                    <w:r>
                      <w:rPr>
                        <w:rFonts w:ascii="Verdana" w:hAnsi="Verdana"/>
                        <w:spacing w:val="4"/>
                        <w:sz w:val="11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128"/>
                        <w:sz w:val="11"/>
                      </w:rPr>
                      <w:t>H</w:t>
                    </w:r>
                    <w:r>
                      <w:rPr>
                        <w:rFonts w:ascii="Verdana" w:hAnsi="Verdana"/>
                        <w:spacing w:val="-1"/>
                        <w:w w:val="156"/>
                        <w:sz w:val="11"/>
                      </w:rPr>
                      <w:t>O</w:t>
                    </w:r>
                    <w:r>
                      <w:rPr>
                        <w:rFonts w:ascii="Verdana" w:hAnsi="Verdana"/>
                        <w:spacing w:val="1"/>
                        <w:w w:val="154"/>
                        <w:sz w:val="11"/>
                      </w:rPr>
                      <w:t>M</w:t>
                    </w:r>
                    <w:r>
                      <w:rPr>
                        <w:rFonts w:ascii="Verdana" w:hAnsi="Verdana"/>
                        <w:spacing w:val="-2"/>
                        <w:w w:val="118"/>
                        <w:sz w:val="11"/>
                      </w:rPr>
                      <w:t>B</w:t>
                    </w:r>
                    <w:r>
                      <w:rPr>
                        <w:rFonts w:ascii="Verdana" w:hAnsi="Verdana"/>
                        <w:w w:val="123"/>
                        <w:sz w:val="11"/>
                      </w:rPr>
                      <w:t>R</w:t>
                    </w:r>
                    <w:r>
                      <w:rPr>
                        <w:rFonts w:ascii="Verdana" w:hAnsi="Verdana"/>
                        <w:spacing w:val="1"/>
                        <w:w w:val="119"/>
                        <w:sz w:val="11"/>
                      </w:rPr>
                      <w:t>E</w:t>
                    </w:r>
                    <w:r>
                      <w:rPr>
                        <w:rFonts w:ascii="Verdana" w:hAnsi="Verdana"/>
                        <w:w w:val="103"/>
                        <w:sz w:val="11"/>
                      </w:rPr>
                      <w:t>S</w:t>
                    </w:r>
                    <w:r>
                      <w:rPr>
                        <w:rFonts w:ascii="Verdana" w:hAnsi="Verdana"/>
                        <w:sz w:val="11"/>
                      </w:rPr>
                      <w:tab/>
                    </w:r>
                    <w:r>
                      <w:rPr>
                        <w:rFonts w:ascii="Verdana" w:hAnsi="Verdana"/>
                        <w:spacing w:val="-1"/>
                        <w:w w:val="103"/>
                        <w:sz w:val="11"/>
                      </w:rPr>
                      <w:t>S</w:t>
                    </w:r>
                    <w:r>
                      <w:rPr>
                        <w:rFonts w:ascii="Verdana" w:hAnsi="Verdana"/>
                        <w:w w:val="103"/>
                        <w:sz w:val="11"/>
                      </w:rPr>
                      <w:t>i</w:t>
                    </w:r>
                    <w:r>
                      <w:rPr>
                        <w:rFonts w:ascii="Verdana" w:hAnsi="Verdana"/>
                        <w:w w:val="136"/>
                        <w:sz w:val="11"/>
                      </w:rPr>
                      <w:t>n</w:t>
                    </w:r>
                    <w:r>
                      <w:rPr>
                        <w:rFonts w:ascii="Verdana" w:hAnsi="Verdana"/>
                        <w:spacing w:val="3"/>
                        <w:sz w:val="11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147"/>
                        <w:sz w:val="11"/>
                      </w:rPr>
                      <w:t>C</w:t>
                    </w:r>
                    <w:r>
                      <w:rPr>
                        <w:rFonts w:ascii="Verdana" w:hAnsi="Verdana"/>
                        <w:spacing w:val="1"/>
                        <w:w w:val="147"/>
                        <w:sz w:val="11"/>
                      </w:rPr>
                      <w:t>l</w:t>
                    </w:r>
                    <w:r>
                      <w:rPr>
                        <w:rFonts w:ascii="Verdana" w:hAnsi="Verdana"/>
                        <w:w w:val="160"/>
                        <w:sz w:val="11"/>
                      </w:rPr>
                      <w:t>a</w:t>
                    </w:r>
                    <w:r>
                      <w:rPr>
                        <w:rFonts w:ascii="Verdana" w:hAnsi="Verdana"/>
                        <w:w w:val="105"/>
                        <w:sz w:val="11"/>
                      </w:rPr>
                      <w:t>s</w:t>
                    </w:r>
                    <w:r>
                      <w:rPr>
                        <w:rFonts w:ascii="Verdana" w:hAnsi="Verdana"/>
                        <w:spacing w:val="-1"/>
                        <w:w w:val="103"/>
                        <w:sz w:val="11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116"/>
                        <w:sz w:val="11"/>
                      </w:rPr>
                      <w:t>f</w:t>
                    </w:r>
                    <w:r>
                      <w:rPr>
                        <w:rFonts w:ascii="Verdana" w:hAnsi="Verdana"/>
                        <w:w w:val="116"/>
                        <w:sz w:val="11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167"/>
                        <w:sz w:val="11"/>
                      </w:rPr>
                      <w:t>c</w:t>
                    </w:r>
                    <w:r>
                      <w:rPr>
                        <w:rFonts w:ascii="Verdana" w:hAnsi="Verdana"/>
                        <w:spacing w:val="1"/>
                        <w:w w:val="167"/>
                        <w:sz w:val="11"/>
                      </w:rPr>
                      <w:t>a</w:t>
                    </w:r>
                    <w:r>
                      <w:rPr>
                        <w:rFonts w:ascii="Verdana" w:hAnsi="Verdana"/>
                        <w:spacing w:val="-1"/>
                        <w:w w:val="150"/>
                        <w:sz w:val="11"/>
                      </w:rPr>
                      <w:t>c</w:t>
                    </w:r>
                    <w:r>
                      <w:rPr>
                        <w:rFonts w:ascii="Verdana" w:hAnsi="Verdana"/>
                        <w:spacing w:val="1"/>
                        <w:w w:val="150"/>
                        <w:sz w:val="11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152"/>
                        <w:sz w:val="11"/>
                      </w:rPr>
                      <w:t>ó</w:t>
                    </w:r>
                    <w:r>
                      <w:rPr>
                        <w:rFonts w:ascii="Verdana" w:hAnsi="Verdana"/>
                        <w:w w:val="136"/>
                        <w:sz w:val="11"/>
                      </w:rPr>
                      <w:t>n</w:t>
                    </w:r>
                    <w:r>
                      <w:rPr>
                        <w:rFonts w:ascii="Verdana" w:hAnsi="Verdana"/>
                        <w:spacing w:val="4"/>
                        <w:sz w:val="11"/>
                      </w:rPr>
                      <w:t> </w:t>
                    </w:r>
                    <w:r>
                      <w:rPr>
                        <w:rFonts w:ascii="Verdana" w:hAnsi="Verdana"/>
                        <w:w w:val="103"/>
                        <w:sz w:val="11"/>
                      </w:rPr>
                      <w:t>-</w:t>
                    </w:r>
                    <w:r>
                      <w:rPr>
                        <w:rFonts w:ascii="Verdana" w:hAnsi="Verdana"/>
                        <w:spacing w:val="4"/>
                        <w:sz w:val="11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154"/>
                        <w:sz w:val="11"/>
                      </w:rPr>
                      <w:t>M</w:t>
                    </w:r>
                    <w:r>
                      <w:rPr>
                        <w:rFonts w:ascii="Verdana" w:hAnsi="Verdana"/>
                        <w:w w:val="126"/>
                        <w:sz w:val="11"/>
                      </w:rPr>
                      <w:t>U</w:t>
                    </w:r>
                    <w:r>
                      <w:rPr>
                        <w:rFonts w:ascii="Verdana" w:hAnsi="Verdana"/>
                        <w:spacing w:val="-2"/>
                        <w:w w:val="149"/>
                        <w:sz w:val="11"/>
                      </w:rPr>
                      <w:t>J</w:t>
                    </w:r>
                    <w:r>
                      <w:rPr>
                        <w:rFonts w:ascii="Verdana" w:hAnsi="Verdana"/>
                        <w:spacing w:val="1"/>
                        <w:w w:val="119"/>
                        <w:sz w:val="11"/>
                      </w:rPr>
                      <w:t>E</w:t>
                    </w:r>
                    <w:r>
                      <w:rPr>
                        <w:rFonts w:ascii="Verdana" w:hAnsi="Verdana"/>
                        <w:w w:val="123"/>
                        <w:sz w:val="11"/>
                      </w:rPr>
                      <w:t>R</w:t>
                    </w:r>
                    <w:r>
                      <w:rPr>
                        <w:rFonts w:ascii="Verdana" w:hAnsi="Verdana"/>
                        <w:spacing w:val="-1"/>
                        <w:w w:val="119"/>
                        <w:sz w:val="11"/>
                      </w:rPr>
                      <w:t>E</w:t>
                    </w:r>
                    <w:r>
                      <w:rPr>
                        <w:rFonts w:ascii="Verdana" w:hAnsi="Verdana"/>
                        <w:w w:val="103"/>
                        <w:sz w:val="11"/>
                      </w:rPr>
                      <w:t>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Gráfico Nº. Total de población estudiantil por niveles educativos, etnia y sexo para el Departamento de</w:t>
      </w:r>
      <w:r>
        <w:rPr>
          <w:spacing w:val="1"/>
        </w:rPr>
        <w:t> </w:t>
      </w:r>
      <w:r>
        <w:rPr/>
        <w:t>Jutiapa</w:t>
      </w:r>
      <w:r>
        <w:rPr>
          <w:spacing w:val="-1"/>
        </w:rPr>
        <w:t> </w:t>
      </w:r>
      <w:r>
        <w:rPr/>
        <w:t>(2017-2021)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1"/>
        <w:ind w:left="278" w:right="1073"/>
        <w:jc w:val="both"/>
      </w:pPr>
      <w:r>
        <w:rPr/>
        <w:t>Este gráfico muestra el total de la población estudiantil por niveles educativos, etnia y sexo durante el</w:t>
      </w:r>
      <w:r>
        <w:rPr>
          <w:spacing w:val="1"/>
        </w:rPr>
        <w:t> </w:t>
      </w:r>
      <w:r>
        <w:rPr/>
        <w:t>período 2017-2021, para el Departamento de Jutiapa. Según DIPLAN (2021), de las cifras anteriores, la</w:t>
      </w:r>
      <w:r>
        <w:rPr>
          <w:spacing w:val="1"/>
        </w:rPr>
        <w:t> </w:t>
      </w:r>
      <w:r>
        <w:rPr/>
        <w:t>proporción de atención a la población estudiantil fue como sigue: Ladino: 51% de hombres y 48% de</w:t>
      </w:r>
      <w:r>
        <w:rPr>
          <w:spacing w:val="1"/>
        </w:rPr>
        <w:t> </w:t>
      </w:r>
      <w:r>
        <w:rPr/>
        <w:t>mujeres.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w:pict>
          <v:rect style="position:absolute;margin-left:563.880005pt;margin-top:9.417166pt;width:25.44pt;height:1.4399pt;mso-position-horizontal-relative:page;mso-position-vertical-relative:paragraph;z-index:-1541273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160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30144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3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pStyle w:val="BodyText"/>
        <w:spacing w:before="56"/>
        <w:ind w:left="278" w:right="1071"/>
        <w:jc w:val="both"/>
      </w:pPr>
      <w:r>
        <w:rPr/>
        <w:t>Xinca: 0.0% de hombres y 0.0% de mujeres. Al comparar estos resultados con la información del INE,</w:t>
      </w:r>
      <w:r>
        <w:rPr>
          <w:spacing w:val="1"/>
        </w:rPr>
        <w:t> </w:t>
      </w:r>
      <w:r>
        <w:rPr/>
        <w:t>(2018), es posible evidenciar la falta de equidad en el acceso a la educación por etnias mayoritarias. (79%</w:t>
      </w:r>
      <w:r>
        <w:rPr>
          <w:spacing w:val="-47"/>
        </w:rPr>
        <w:t> </w:t>
      </w:r>
      <w:r>
        <w:rPr/>
        <w:t>Ladina y Xinca 19%). Es decir, un niño o adolescente Xinca no posee oportunidad de entrar al sistema</w:t>
      </w:r>
      <w:r>
        <w:rPr>
          <w:spacing w:val="1"/>
        </w:rPr>
        <w:t> </w:t>
      </w:r>
      <w:r>
        <w:rPr/>
        <w:t>educativo nacional.</w:t>
      </w:r>
      <w:r>
        <w:rPr>
          <w:spacing w:val="-1"/>
        </w:rPr>
        <w:t> </w:t>
      </w:r>
      <w:r>
        <w:rPr/>
        <w:t>Solamente</w:t>
      </w:r>
      <w:r>
        <w:rPr>
          <w:spacing w:val="-1"/>
        </w:rPr>
        <w:t> </w:t>
      </w:r>
      <w:r>
        <w:rPr/>
        <w:t>si se es ladino,</w:t>
      </w:r>
      <w:r>
        <w:rPr>
          <w:spacing w:val="-4"/>
        </w:rPr>
        <w:t> </w:t>
      </w:r>
      <w:r>
        <w:rPr/>
        <w:t>se</w:t>
      </w:r>
      <w:r>
        <w:rPr>
          <w:spacing w:val="-1"/>
        </w:rPr>
        <w:t> </w:t>
      </w:r>
      <w:r>
        <w:rPr/>
        <w:t>tendrán</w:t>
      </w:r>
      <w:r>
        <w:rPr>
          <w:spacing w:val="-2"/>
        </w:rPr>
        <w:t> </w:t>
      </w:r>
      <w:r>
        <w:rPr/>
        <w:t>posibilidades</w:t>
      </w:r>
      <w:r>
        <w:rPr>
          <w:spacing w:val="1"/>
        </w:rPr>
        <w:t> </w:t>
      </w:r>
      <w:r>
        <w:rPr/>
        <w:t>educativas.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2"/>
        <w:jc w:val="both"/>
      </w:pPr>
      <w:r>
        <w:rPr/>
        <w:t>Por otra parte, respecto del sexo se sigue presentando una brecha de atención en dónde la participación</w:t>
      </w:r>
      <w:r>
        <w:rPr>
          <w:spacing w:val="1"/>
        </w:rPr>
        <w:t> </w:t>
      </w:r>
      <w:r>
        <w:rPr/>
        <w:t>del hombre Ladino es mayor que la de la mujer sobre todo considerando que en este departamento el</w:t>
      </w:r>
      <w:r>
        <w:rPr>
          <w:spacing w:val="1"/>
        </w:rPr>
        <w:t> </w:t>
      </w:r>
      <w:r>
        <w:rPr/>
        <w:t>51% es mujer y el 49% es hombre. Es decir, –ser mujer- es un factor desfavorable para ingresar y</w:t>
      </w:r>
      <w:r>
        <w:rPr>
          <w:spacing w:val="1"/>
        </w:rPr>
        <w:t> </w:t>
      </w:r>
      <w:r>
        <w:rPr/>
        <w:t>permanecer en el sistema. Adicionalmente, para la mujer Xinca existe nula o escasa oportunidad de</w:t>
      </w:r>
      <w:r>
        <w:rPr>
          <w:spacing w:val="1"/>
        </w:rPr>
        <w:t> </w:t>
      </w:r>
      <w:r>
        <w:rPr/>
        <w:t>ingresar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el sistema educativo</w:t>
      </w:r>
      <w:r>
        <w:rPr>
          <w:spacing w:val="1"/>
        </w:rPr>
        <w:t> </w:t>
      </w:r>
      <w:r>
        <w:rPr/>
        <w:t>del departamento.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pict>
          <v:rect style="position:absolute;margin-left:563.880005pt;margin-top:16.204849pt;width:25.44pt;height:1.4399pt;mso-position-horizontal-relative:page;mso-position-vertical-relative:paragraph;z-index:-1541120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161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31680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3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1"/>
          <w:numId w:val="36"/>
        </w:numPr>
        <w:tabs>
          <w:tab w:pos="855" w:val="left" w:leader="none"/>
        </w:tabs>
        <w:spacing w:line="240" w:lineRule="auto" w:before="52" w:after="0"/>
        <w:ind w:left="854" w:right="0" w:hanging="577"/>
        <w:jc w:val="left"/>
      </w:pPr>
      <w:bookmarkStart w:name="_bookmark194" w:id="321"/>
      <w:bookmarkEnd w:id="321"/>
      <w:r>
        <w:rPr>
          <w:b w:val="0"/>
        </w:rPr>
      </w:r>
      <w:bookmarkStart w:name="_bookmark194" w:id="322"/>
      <w:bookmarkEnd w:id="322"/>
      <w:r>
        <w:rPr>
          <w:color w:val="1F4E79"/>
        </w:rPr>
        <w:t>P</w:t>
      </w:r>
      <w:r>
        <w:rPr>
          <w:color w:val="1F4E79"/>
        </w:rPr>
        <w:t>etén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2"/>
          <w:numId w:val="36"/>
        </w:numPr>
        <w:tabs>
          <w:tab w:pos="999" w:val="left" w:leader="none"/>
        </w:tabs>
        <w:spacing w:line="240" w:lineRule="auto" w:before="187" w:after="0"/>
        <w:ind w:left="998" w:right="0" w:hanging="721"/>
        <w:jc w:val="left"/>
        <w:rPr>
          <w:b/>
          <w:sz w:val="24"/>
        </w:rPr>
      </w:pPr>
      <w:bookmarkStart w:name="_bookmark195" w:id="323"/>
      <w:bookmarkEnd w:id="323"/>
      <w:r>
        <w:rPr/>
      </w:r>
      <w:bookmarkStart w:name="_bookmark195" w:id="324"/>
      <w:bookmarkEnd w:id="324"/>
      <w:r>
        <w:rPr>
          <w:b/>
          <w:sz w:val="24"/>
        </w:rPr>
        <w:t>Inf</w:t>
      </w:r>
      <w:r>
        <w:rPr>
          <w:b/>
          <w:sz w:val="24"/>
        </w:rPr>
        <w:t>ormación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General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215"/>
        <w:ind w:left="278" w:right="5254"/>
        <w:jc w:val="both"/>
      </w:pPr>
      <w:r>
        <w:rPr/>
        <w:drawing>
          <wp:anchor distT="0" distB="0" distL="0" distR="0" allowOverlap="1" layoutInCell="1" locked="0" behindDoc="0" simplePos="0" relativeHeight="16049152">
            <wp:simplePos x="0" y="0"/>
            <wp:positionH relativeFrom="page">
              <wp:posOffset>4329429</wp:posOffset>
            </wp:positionH>
            <wp:positionV relativeFrom="paragraph">
              <wp:posOffset>146772</wp:posOffset>
            </wp:positionV>
            <wp:extent cx="2402204" cy="1828758"/>
            <wp:effectExtent l="0" t="0" r="0" b="0"/>
            <wp:wrapNone/>
            <wp:docPr id="439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123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204" cy="1828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Petén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545,600</w:t>
      </w:r>
      <w:r>
        <w:rPr>
          <w:spacing w:val="1"/>
        </w:rPr>
        <w:t> </w:t>
      </w:r>
      <w:r>
        <w:rPr/>
        <w:t>habitantes</w:t>
      </w:r>
      <w:r>
        <w:rPr>
          <w:spacing w:val="1"/>
        </w:rPr>
        <w:t> </w:t>
      </w:r>
      <w:r>
        <w:rPr/>
        <w:t>(INE,</w:t>
      </w:r>
      <w:r>
        <w:rPr>
          <w:spacing w:val="1"/>
        </w:rPr>
        <w:t> </w:t>
      </w:r>
      <w:r>
        <w:rPr/>
        <w:t>2018),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interesante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pocos</w:t>
      </w:r>
      <w:r>
        <w:rPr>
          <w:spacing w:val="-47"/>
        </w:rPr>
        <w:t> </w:t>
      </w:r>
      <w:r>
        <w:rPr/>
        <w:t>departamentos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posee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misma</w:t>
      </w:r>
      <w:r>
        <w:rPr>
          <w:spacing w:val="-6"/>
        </w:rPr>
        <w:t> </w:t>
      </w:r>
      <w:r>
        <w:rPr/>
        <w:t>proporción</w:t>
      </w:r>
      <w:r>
        <w:rPr>
          <w:spacing w:val="-5"/>
        </w:rPr>
        <w:t> </w:t>
      </w:r>
      <w:r>
        <w:rPr/>
        <w:t>hombres</w:t>
      </w:r>
      <w:r>
        <w:rPr>
          <w:spacing w:val="-2"/>
        </w:rPr>
        <w:t> </w:t>
      </w:r>
      <w:r>
        <w:rPr/>
        <w:t>y</w:t>
      </w:r>
      <w:r>
        <w:rPr>
          <w:spacing w:val="-47"/>
        </w:rPr>
        <w:t> </w:t>
      </w:r>
      <w:r>
        <w:rPr/>
        <w:t>mujeres con el 50% para cada uno respectivamente. Cabe</w:t>
      </w:r>
      <w:r>
        <w:rPr>
          <w:spacing w:val="1"/>
        </w:rPr>
        <w:t> </w:t>
      </w:r>
      <w:r>
        <w:rPr/>
        <w:t>destacar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48%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6"/>
        </w:rPr>
        <w:t> </w:t>
      </w:r>
      <w:r>
        <w:rPr/>
        <w:t>población</w:t>
      </w:r>
      <w:r>
        <w:rPr>
          <w:spacing w:val="-5"/>
        </w:rPr>
        <w:t> </w:t>
      </w:r>
      <w:r>
        <w:rPr/>
        <w:t>es</w:t>
      </w:r>
      <w:r>
        <w:rPr>
          <w:spacing w:val="-5"/>
        </w:rPr>
        <w:t> </w:t>
      </w:r>
      <w:r>
        <w:rPr/>
        <w:t>niño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adolescente,</w:t>
      </w:r>
      <w:r>
        <w:rPr>
          <w:spacing w:val="-47"/>
        </w:rPr>
        <w:t> </w:t>
      </w:r>
      <w:r>
        <w:rPr/>
        <w:t>ya que se encuentran entre el rango de 0 a 19 años.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-4"/>
        </w:rPr>
        <w:t> </w:t>
      </w:r>
      <w:r>
        <w:rPr/>
        <w:t>total,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40%</w:t>
      </w:r>
      <w:r>
        <w:rPr>
          <w:spacing w:val="-4"/>
        </w:rPr>
        <w:t> </w:t>
      </w:r>
      <w:r>
        <w:rPr/>
        <w:t>reside</w:t>
      </w:r>
      <w:r>
        <w:rPr>
          <w:spacing w:val="-4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2"/>
        </w:rPr>
        <w:t> </w:t>
      </w:r>
      <w:r>
        <w:rPr/>
        <w:t>área</w:t>
      </w:r>
      <w:r>
        <w:rPr>
          <w:spacing w:val="-5"/>
        </w:rPr>
        <w:t> </w:t>
      </w:r>
      <w:r>
        <w:rPr/>
        <w:t>urbana,</w:t>
      </w:r>
      <w:r>
        <w:rPr>
          <w:spacing w:val="-5"/>
        </w:rPr>
        <w:t> </w:t>
      </w:r>
      <w:r>
        <w:rPr/>
        <w:t>mientras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el</w:t>
      </w:r>
      <w:r>
        <w:rPr>
          <w:spacing w:val="-48"/>
        </w:rPr>
        <w:t> </w:t>
      </w:r>
      <w:r>
        <w:rPr/>
        <w:t>restante</w:t>
      </w:r>
      <w:r>
        <w:rPr>
          <w:spacing w:val="-9"/>
        </w:rPr>
        <w:t> </w:t>
      </w:r>
      <w:r>
        <w:rPr/>
        <w:t>60%</w:t>
      </w:r>
      <w:r>
        <w:rPr>
          <w:spacing w:val="-10"/>
        </w:rPr>
        <w:t> </w:t>
      </w:r>
      <w:r>
        <w:rPr/>
        <w:t>es</w:t>
      </w:r>
      <w:r>
        <w:rPr>
          <w:spacing w:val="-10"/>
        </w:rPr>
        <w:t> </w:t>
      </w:r>
      <w:r>
        <w:rPr/>
        <w:t>del</w:t>
      </w:r>
      <w:r>
        <w:rPr>
          <w:spacing w:val="-8"/>
        </w:rPr>
        <w:t> </w:t>
      </w:r>
      <w:r>
        <w:rPr/>
        <w:t>área</w:t>
      </w:r>
      <w:r>
        <w:rPr>
          <w:spacing w:val="-8"/>
        </w:rPr>
        <w:t> </w:t>
      </w:r>
      <w:r>
        <w:rPr/>
        <w:t>rural.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ellos,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69%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reconoce</w:t>
      </w:r>
      <w:r>
        <w:rPr>
          <w:spacing w:val="-47"/>
        </w:rPr>
        <w:t> </w:t>
      </w:r>
      <w:r>
        <w:rPr/>
        <w:t>mayoritariamente</w:t>
      </w:r>
      <w:r>
        <w:rPr>
          <w:spacing w:val="-3"/>
        </w:rPr>
        <w:t> </w:t>
      </w:r>
      <w:r>
        <w:rPr/>
        <w:t>como Ladina,</w:t>
      </w:r>
      <w:r>
        <w:rPr>
          <w:spacing w:val="-1"/>
        </w:rPr>
        <w:t> </w:t>
      </w:r>
      <w:r>
        <w:rPr/>
        <w:t>y el</w:t>
      </w:r>
      <w:r>
        <w:rPr>
          <w:spacing w:val="-5"/>
        </w:rPr>
        <w:t> </w:t>
      </w:r>
      <w:r>
        <w:rPr/>
        <w:t>40% de etnia</w:t>
      </w:r>
      <w:r>
        <w:rPr>
          <w:spacing w:val="-1"/>
        </w:rPr>
        <w:t> </w:t>
      </w:r>
      <w:r>
        <w:rPr/>
        <w:t>Maya.</w:t>
      </w:r>
    </w:p>
    <w:p>
      <w:pPr>
        <w:pStyle w:val="BodyText"/>
        <w:spacing w:before="1"/>
      </w:pPr>
    </w:p>
    <w:p>
      <w:pPr>
        <w:pStyle w:val="BodyText"/>
        <w:ind w:left="278"/>
      </w:pPr>
      <w:r>
        <w:rPr/>
        <w:t>Por</w:t>
      </w:r>
      <w:r>
        <w:rPr>
          <w:spacing w:val="-6"/>
        </w:rPr>
        <w:t> </w:t>
      </w:r>
      <w:r>
        <w:rPr/>
        <w:t>otro</w:t>
      </w:r>
      <w:r>
        <w:rPr>
          <w:spacing w:val="-4"/>
        </w:rPr>
        <w:t> </w:t>
      </w:r>
      <w:r>
        <w:rPr/>
        <w:t>lado,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comunidad</w:t>
      </w:r>
      <w:r>
        <w:rPr>
          <w:spacing w:val="-4"/>
        </w:rPr>
        <w:t> </w:t>
      </w:r>
      <w:r>
        <w:rPr/>
        <w:t>maya</w:t>
      </w:r>
      <w:r>
        <w:rPr>
          <w:spacing w:val="-3"/>
        </w:rPr>
        <w:t> </w:t>
      </w:r>
      <w:r>
        <w:rPr/>
        <w:t>lingüística</w:t>
      </w:r>
      <w:r>
        <w:rPr>
          <w:spacing w:val="-6"/>
        </w:rPr>
        <w:t> </w:t>
      </w:r>
      <w:r>
        <w:rPr/>
        <w:t>dominante</w:t>
      </w:r>
      <w:r>
        <w:rPr>
          <w:spacing w:val="-2"/>
        </w:rPr>
        <w:t> </w:t>
      </w:r>
      <w:r>
        <w:rPr/>
        <w:t>es</w:t>
      </w:r>
    </w:p>
    <w:p>
      <w:pPr>
        <w:pStyle w:val="BodyText"/>
        <w:ind w:left="278"/>
      </w:pPr>
      <w:r>
        <w:rPr/>
        <w:t>el Q’eqchí’ al reportar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93%.</w:t>
      </w:r>
    </w:p>
    <w:p>
      <w:pPr>
        <w:pStyle w:val="BodyText"/>
        <w:spacing w:before="8"/>
        <w:rPr>
          <w:sz w:val="19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1" w:after="0"/>
        <w:ind w:left="998" w:right="0" w:hanging="721"/>
        <w:jc w:val="left"/>
      </w:pPr>
      <w:bookmarkStart w:name="_bookmark196" w:id="325"/>
      <w:bookmarkEnd w:id="325"/>
      <w:r>
        <w:rPr>
          <w:b w:val="0"/>
        </w:rPr>
      </w:r>
      <w:bookmarkStart w:name="_bookmark196" w:id="326"/>
      <w:bookmarkEnd w:id="326"/>
      <w:r>
        <w:rPr/>
        <w:t>Situ</w:t>
      </w:r>
      <w:r>
        <w:rPr/>
        <w:t>ación</w:t>
      </w:r>
      <w:r>
        <w:rPr>
          <w:spacing w:val="-1"/>
        </w:rPr>
        <w:t> </w:t>
      </w:r>
      <w:r>
        <w:rPr/>
        <w:t>del</w:t>
      </w:r>
      <w:r>
        <w:rPr>
          <w:spacing w:val="-4"/>
        </w:rPr>
        <w:t> </w:t>
      </w:r>
      <w:r>
        <w:rPr/>
        <w:t>Sistema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Nacional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ind w:left="278" w:right="1068"/>
        <w:jc w:val="both"/>
      </w:pPr>
      <w:r>
        <w:rPr/>
        <w:t>El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Petén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estudiantil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cifras</w:t>
      </w:r>
      <w:r>
        <w:rPr>
          <w:spacing w:val="1"/>
        </w:rPr>
        <w:t> </w:t>
      </w:r>
      <w:r>
        <w:rPr/>
        <w:t>similares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comportamiento promedio nacional. La educación primaria es la que reporta mayor crecimiento con una</w:t>
      </w:r>
      <w:r>
        <w:rPr>
          <w:spacing w:val="-47"/>
        </w:rPr>
        <w:t> </w:t>
      </w:r>
      <w:r>
        <w:rPr/>
        <w:t>importante</w:t>
      </w:r>
      <w:r>
        <w:rPr>
          <w:spacing w:val="-5"/>
        </w:rPr>
        <w:t> </w:t>
      </w:r>
      <w:r>
        <w:rPr/>
        <w:t>cantidad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estudiantes</w:t>
      </w:r>
      <w:r>
        <w:rPr>
          <w:spacing w:val="-6"/>
        </w:rPr>
        <w:t> </w:t>
      </w:r>
      <w:r>
        <w:rPr/>
        <w:t>registrados,</w:t>
      </w:r>
      <w:r>
        <w:rPr>
          <w:spacing w:val="-6"/>
        </w:rPr>
        <w:t> </w:t>
      </w:r>
      <w:r>
        <w:rPr/>
        <w:t>seguido</w:t>
      </w:r>
      <w:r>
        <w:rPr>
          <w:spacing w:val="-3"/>
        </w:rPr>
        <w:t> </w:t>
      </w:r>
      <w:r>
        <w:rPr/>
        <w:t>por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nivel</w:t>
      </w:r>
      <w:r>
        <w:rPr>
          <w:spacing w:val="-5"/>
        </w:rPr>
        <w:t> </w:t>
      </w:r>
      <w:r>
        <w:rPr/>
        <w:t>preprimaria</w:t>
      </w:r>
      <w:r>
        <w:rPr>
          <w:spacing w:val="-8"/>
        </w:rPr>
        <w:t> </w:t>
      </w:r>
      <w:r>
        <w:rPr/>
        <w:t>y</w:t>
      </w:r>
      <w:r>
        <w:rPr>
          <w:spacing w:val="-5"/>
        </w:rPr>
        <w:t> </w:t>
      </w:r>
      <w:r>
        <w:rPr/>
        <w:t>básico.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cantidad</w:t>
      </w:r>
      <w:r>
        <w:rPr>
          <w:spacing w:val="-6"/>
        </w:rPr>
        <w:t> </w:t>
      </w:r>
      <w:r>
        <w:rPr/>
        <w:t>cae</w:t>
      </w:r>
      <w:r>
        <w:rPr>
          <w:spacing w:val="-47"/>
        </w:rPr>
        <w:t> </w:t>
      </w:r>
      <w:r>
        <w:rPr>
          <w:spacing w:val="-1"/>
        </w:rPr>
        <w:t>drásticamente</w:t>
      </w:r>
      <w:r>
        <w:rPr>
          <w:spacing w:val="-13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/>
        <w:t>el</w:t>
      </w:r>
      <w:r>
        <w:rPr>
          <w:spacing w:val="-14"/>
        </w:rPr>
        <w:t> </w:t>
      </w:r>
      <w:r>
        <w:rPr/>
        <w:t>diversificado,</w:t>
      </w:r>
      <w:r>
        <w:rPr>
          <w:spacing w:val="-12"/>
        </w:rPr>
        <w:t> </w:t>
      </w:r>
      <w:r>
        <w:rPr/>
        <w:t>con</w:t>
      </w:r>
      <w:r>
        <w:rPr>
          <w:spacing w:val="-13"/>
        </w:rPr>
        <w:t> </w:t>
      </w:r>
      <w:r>
        <w:rPr/>
        <w:t>respecto</w:t>
      </w:r>
      <w:r>
        <w:rPr>
          <w:spacing w:val="-11"/>
        </w:rPr>
        <w:t> </w:t>
      </w:r>
      <w:r>
        <w:rPr/>
        <w:t>del</w:t>
      </w:r>
      <w:r>
        <w:rPr>
          <w:spacing w:val="-14"/>
        </w:rPr>
        <w:t> </w:t>
      </w:r>
      <w:r>
        <w:rPr/>
        <w:t>nivel</w:t>
      </w:r>
      <w:r>
        <w:rPr>
          <w:spacing w:val="-12"/>
        </w:rPr>
        <w:t> </w:t>
      </w:r>
      <w:r>
        <w:rPr/>
        <w:t>procedente.</w:t>
      </w:r>
      <w:r>
        <w:rPr>
          <w:spacing w:val="-11"/>
        </w:rPr>
        <w:t> </w:t>
      </w:r>
      <w:r>
        <w:rPr/>
        <w:t>A</w:t>
      </w:r>
      <w:r>
        <w:rPr>
          <w:spacing w:val="-15"/>
        </w:rPr>
        <w:t> </w:t>
      </w:r>
      <w:r>
        <w:rPr/>
        <w:t>manera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referencia,</w:t>
      </w:r>
      <w:r>
        <w:rPr>
          <w:spacing w:val="-14"/>
        </w:rPr>
        <w:t> </w:t>
      </w:r>
      <w:r>
        <w:rPr/>
        <w:t>se</w:t>
      </w:r>
      <w:r>
        <w:rPr>
          <w:spacing w:val="-11"/>
        </w:rPr>
        <w:t> </w:t>
      </w:r>
      <w:r>
        <w:rPr/>
        <w:t>presentan</w:t>
      </w:r>
      <w:r>
        <w:rPr>
          <w:spacing w:val="-48"/>
        </w:rPr>
        <w:t> </w:t>
      </w:r>
      <w:r>
        <w:rPr/>
        <w:t>los</w:t>
      </w:r>
      <w:r>
        <w:rPr>
          <w:spacing w:val="-1"/>
        </w:rPr>
        <w:t> </w:t>
      </w:r>
      <w:r>
        <w:rPr/>
        <w:t>datos absolutos para</w:t>
      </w:r>
      <w:r>
        <w:rPr>
          <w:spacing w:val="-4"/>
        </w:rPr>
        <w:t> </w:t>
      </w:r>
      <w:r>
        <w:rPr/>
        <w:t>este</w:t>
      </w:r>
      <w:r>
        <w:rPr>
          <w:spacing w:val="-2"/>
        </w:rPr>
        <w:t> </w:t>
      </w:r>
      <w:r>
        <w:rPr/>
        <w:t>Departamento.</w:t>
      </w:r>
    </w:p>
    <w:p>
      <w:pPr>
        <w:pStyle w:val="BodyText"/>
      </w:pPr>
    </w:p>
    <w:p>
      <w:pPr>
        <w:pStyle w:val="BodyText"/>
        <w:spacing w:after="4"/>
        <w:ind w:left="278"/>
      </w:pPr>
      <w:r>
        <w:rPr/>
        <w:t>Tabla</w:t>
      </w:r>
      <w:r>
        <w:rPr>
          <w:spacing w:val="-2"/>
        </w:rPr>
        <w:t> </w:t>
      </w:r>
      <w:r>
        <w:rPr/>
        <w:t>Nº.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estudiantes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Nivel</w:t>
      </w:r>
      <w:r>
        <w:rPr>
          <w:spacing w:val="-2"/>
        </w:rPr>
        <w:t> </w:t>
      </w:r>
      <w:r>
        <w:rPr/>
        <w:t>Educativo para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Petén</w:t>
      </w:r>
      <w:r>
        <w:rPr>
          <w:spacing w:val="-2"/>
        </w:rPr>
        <w:t> </w:t>
      </w:r>
      <w:r>
        <w:rPr/>
        <w:t>(2017</w:t>
      </w:r>
      <w:r>
        <w:rPr>
          <w:spacing w:val="-3"/>
        </w:rPr>
        <w:t> </w:t>
      </w:r>
      <w:r>
        <w:rPr/>
        <w:t>al</w:t>
      </w:r>
      <w:r>
        <w:rPr>
          <w:spacing w:val="-4"/>
        </w:rPr>
        <w:t> </w:t>
      </w:r>
      <w:r>
        <w:rPr/>
        <w:t>2021)</w:t>
      </w:r>
    </w:p>
    <w:tbl>
      <w:tblPr>
        <w:tblW w:w="0" w:type="auto"/>
        <w:jc w:val="left"/>
        <w:tblInd w:w="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5"/>
        <w:gridCol w:w="1169"/>
        <w:gridCol w:w="1336"/>
        <w:gridCol w:w="1314"/>
        <w:gridCol w:w="1298"/>
        <w:gridCol w:w="1336"/>
        <w:gridCol w:w="1146"/>
      </w:tblGrid>
      <w:tr>
        <w:trPr>
          <w:trHeight w:val="333" w:hRule="atLeast"/>
        </w:trPr>
        <w:tc>
          <w:tcPr>
            <w:tcW w:w="1215" w:type="dxa"/>
            <w:tcBorders>
              <w:bottom w:val="single" w:sz="6" w:space="0" w:color="8EA9DB"/>
            </w:tcBorders>
            <w:shd w:val="clear" w:color="auto" w:fill="D9E0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99" w:type="dxa"/>
            <w:gridSpan w:val="6"/>
            <w:tcBorders>
              <w:bottom w:val="single" w:sz="6" w:space="0" w:color="8EA9DB"/>
            </w:tcBorders>
            <w:shd w:val="clear" w:color="auto" w:fill="585858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line="135" w:lineRule="exact" w:before="1"/>
              <w:ind w:left="7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FFFFFF"/>
                <w:spacing w:val="-8"/>
                <w:w w:val="135"/>
                <w:sz w:val="13"/>
              </w:rPr>
              <w:t>PREPRIMARIA</w:t>
            </w:r>
            <w:r>
              <w:rPr>
                <w:rFonts w:ascii="Arial"/>
                <w:b/>
                <w:color w:val="FFFFFF"/>
                <w:spacing w:val="42"/>
                <w:w w:val="135"/>
                <w:sz w:val="13"/>
              </w:rPr>
              <w:t> </w:t>
            </w:r>
            <w:r>
              <w:rPr>
                <w:rFonts w:ascii="Arial"/>
                <w:b/>
                <w:color w:val="FFFFFF"/>
                <w:spacing w:val="-7"/>
                <w:w w:val="135"/>
                <w:sz w:val="13"/>
              </w:rPr>
              <w:t>PRIMARIA</w:t>
            </w:r>
            <w:r>
              <w:rPr>
                <w:rFonts w:ascii="Arial"/>
                <w:b/>
                <w:color w:val="FFFFFF"/>
                <w:spacing w:val="82"/>
                <w:w w:val="135"/>
                <w:sz w:val="13"/>
              </w:rPr>
              <w:t> </w:t>
            </w:r>
            <w:r>
              <w:rPr>
                <w:rFonts w:ascii="Arial"/>
                <w:b/>
                <w:color w:val="FFFFFF"/>
                <w:spacing w:val="-7"/>
                <w:w w:val="135"/>
                <w:sz w:val="13"/>
              </w:rPr>
              <w:t>PRIMARIA</w:t>
            </w:r>
            <w:r>
              <w:rPr>
                <w:rFonts w:ascii="Arial"/>
                <w:b/>
                <w:color w:val="FFFFFF"/>
                <w:spacing w:val="3"/>
                <w:w w:val="135"/>
                <w:sz w:val="13"/>
              </w:rPr>
              <w:t> </w:t>
            </w:r>
            <w:r>
              <w:rPr>
                <w:rFonts w:ascii="Arial"/>
                <w:b/>
                <w:color w:val="FFFFFF"/>
                <w:spacing w:val="-7"/>
                <w:w w:val="135"/>
                <w:sz w:val="13"/>
              </w:rPr>
              <w:t>DE</w:t>
            </w:r>
            <w:r>
              <w:rPr>
                <w:rFonts w:ascii="Arial"/>
                <w:b/>
                <w:color w:val="FFFFFF"/>
                <w:spacing w:val="-26"/>
                <w:w w:val="135"/>
                <w:sz w:val="13"/>
              </w:rPr>
              <w:t> </w:t>
            </w:r>
            <w:r>
              <w:rPr>
                <w:rFonts w:ascii="Arial"/>
                <w:b/>
                <w:color w:val="FFFFFF"/>
                <w:spacing w:val="-7"/>
                <w:w w:val="135"/>
                <w:sz w:val="13"/>
              </w:rPr>
              <w:t>ADULTOS</w:t>
            </w:r>
            <w:r>
              <w:rPr>
                <w:rFonts w:ascii="Arial"/>
                <w:b/>
                <w:color w:val="FFFFFF"/>
                <w:spacing w:val="42"/>
                <w:w w:val="135"/>
                <w:sz w:val="13"/>
              </w:rPr>
              <w:t> </w:t>
            </w:r>
            <w:r>
              <w:rPr>
                <w:rFonts w:ascii="Arial"/>
                <w:b/>
                <w:color w:val="FFFFFF"/>
                <w:spacing w:val="-7"/>
                <w:w w:val="135"/>
                <w:sz w:val="13"/>
              </w:rPr>
              <w:t>BASICO</w:t>
            </w:r>
            <w:r>
              <w:rPr>
                <w:rFonts w:ascii="Arial"/>
                <w:b/>
                <w:color w:val="FFFFFF"/>
                <w:spacing w:val="89"/>
                <w:w w:val="135"/>
                <w:sz w:val="13"/>
              </w:rPr>
              <w:t> </w:t>
            </w:r>
            <w:r>
              <w:rPr>
                <w:rFonts w:ascii="Arial"/>
                <w:b/>
                <w:color w:val="FFFFFF"/>
                <w:spacing w:val="-7"/>
                <w:w w:val="135"/>
                <w:sz w:val="13"/>
              </w:rPr>
              <w:t>DIVERSIFICADO</w:t>
            </w:r>
            <w:r>
              <w:rPr>
                <w:rFonts w:ascii="Arial"/>
                <w:b/>
                <w:color w:val="FFFFFF"/>
                <w:spacing w:val="72"/>
                <w:w w:val="135"/>
                <w:sz w:val="13"/>
              </w:rPr>
              <w:t> </w:t>
            </w:r>
            <w:r>
              <w:rPr>
                <w:rFonts w:ascii="Arial"/>
                <w:b/>
                <w:color w:val="FFFFFF"/>
                <w:spacing w:val="-7"/>
                <w:w w:val="135"/>
                <w:sz w:val="13"/>
              </w:rPr>
              <w:t>Tota</w:t>
            </w:r>
            <w:r>
              <w:rPr>
                <w:rFonts w:ascii="Arial"/>
                <w:b/>
                <w:color w:val="FFFFFF"/>
                <w:spacing w:val="-32"/>
                <w:w w:val="135"/>
                <w:sz w:val="13"/>
              </w:rPr>
              <w:t> </w:t>
            </w:r>
            <w:r>
              <w:rPr>
                <w:rFonts w:ascii="Arial"/>
                <w:b/>
                <w:color w:val="FFFFFF"/>
                <w:spacing w:val="-7"/>
                <w:w w:val="135"/>
                <w:sz w:val="13"/>
              </w:rPr>
              <w:t>l</w:t>
            </w:r>
            <w:r>
              <w:rPr>
                <w:rFonts w:ascii="Arial"/>
                <w:b/>
                <w:color w:val="FFFFFF"/>
                <w:spacing w:val="-8"/>
                <w:w w:val="135"/>
                <w:sz w:val="13"/>
              </w:rPr>
              <w:t> </w:t>
            </w:r>
            <w:r>
              <w:rPr>
                <w:rFonts w:ascii="Arial"/>
                <w:b/>
                <w:color w:val="FFFFFF"/>
                <w:spacing w:val="-7"/>
                <w:w w:val="135"/>
                <w:sz w:val="13"/>
              </w:rPr>
              <w:t>general</w:t>
            </w:r>
          </w:p>
        </w:tc>
      </w:tr>
      <w:tr>
        <w:trPr>
          <w:trHeight w:val="148" w:hRule="atLeast"/>
        </w:trPr>
        <w:tc>
          <w:tcPr>
            <w:tcW w:w="1215" w:type="dxa"/>
            <w:tcBorders>
              <w:top w:val="single" w:sz="6" w:space="0" w:color="8EA9DB"/>
            </w:tcBorders>
          </w:tcPr>
          <w:p>
            <w:pPr>
              <w:pStyle w:val="TableParagraph"/>
              <w:spacing w:line="126" w:lineRule="exact"/>
              <w:ind w:left="396" w:right="392"/>
              <w:jc w:val="center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2017</w:t>
            </w:r>
          </w:p>
        </w:tc>
        <w:tc>
          <w:tcPr>
            <w:tcW w:w="1169" w:type="dxa"/>
            <w:tcBorders>
              <w:top w:val="single" w:sz="6" w:space="0" w:color="8EA9DB"/>
            </w:tcBorders>
          </w:tcPr>
          <w:p>
            <w:pPr>
              <w:pStyle w:val="TableParagraph"/>
              <w:spacing w:line="126" w:lineRule="exact"/>
              <w:ind w:right="303"/>
              <w:jc w:val="right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28,819</w:t>
            </w:r>
          </w:p>
        </w:tc>
        <w:tc>
          <w:tcPr>
            <w:tcW w:w="1336" w:type="dxa"/>
            <w:tcBorders>
              <w:top w:val="single" w:sz="6" w:space="0" w:color="8EA9DB"/>
            </w:tcBorders>
          </w:tcPr>
          <w:p>
            <w:pPr>
              <w:pStyle w:val="TableParagraph"/>
              <w:spacing w:line="126" w:lineRule="exact"/>
              <w:ind w:left="307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94,732</w:t>
            </w:r>
          </w:p>
        </w:tc>
        <w:tc>
          <w:tcPr>
            <w:tcW w:w="1314" w:type="dxa"/>
            <w:tcBorders>
              <w:top w:val="single" w:sz="6" w:space="0" w:color="8EA9DB"/>
            </w:tcBorders>
          </w:tcPr>
          <w:p>
            <w:pPr>
              <w:pStyle w:val="TableParagraph"/>
              <w:spacing w:line="126" w:lineRule="exact"/>
              <w:ind w:left="551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519</w:t>
            </w:r>
          </w:p>
        </w:tc>
        <w:tc>
          <w:tcPr>
            <w:tcW w:w="1298" w:type="dxa"/>
            <w:tcBorders>
              <w:top w:val="single" w:sz="6" w:space="0" w:color="8EA9DB"/>
            </w:tcBorders>
          </w:tcPr>
          <w:p>
            <w:pPr>
              <w:pStyle w:val="TableParagraph"/>
              <w:spacing w:line="126" w:lineRule="exact"/>
              <w:ind w:right="310"/>
              <w:jc w:val="right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27,492</w:t>
            </w:r>
          </w:p>
        </w:tc>
        <w:tc>
          <w:tcPr>
            <w:tcW w:w="1336" w:type="dxa"/>
            <w:tcBorders>
              <w:top w:val="single" w:sz="6" w:space="0" w:color="8EA9DB"/>
            </w:tcBorders>
          </w:tcPr>
          <w:p>
            <w:pPr>
              <w:pStyle w:val="TableParagraph"/>
              <w:spacing w:line="126" w:lineRule="exact"/>
              <w:ind w:left="317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14,336</w:t>
            </w:r>
          </w:p>
        </w:tc>
        <w:tc>
          <w:tcPr>
            <w:tcW w:w="1146" w:type="dxa"/>
            <w:tcBorders>
              <w:top w:val="single" w:sz="6" w:space="0" w:color="8EA9DB"/>
            </w:tcBorders>
          </w:tcPr>
          <w:p>
            <w:pPr>
              <w:pStyle w:val="TableParagraph"/>
              <w:spacing w:line="126" w:lineRule="exact"/>
              <w:ind w:right="32"/>
              <w:jc w:val="right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165,898</w:t>
            </w:r>
          </w:p>
        </w:tc>
      </w:tr>
      <w:tr>
        <w:trPr>
          <w:trHeight w:val="161" w:hRule="atLeast"/>
        </w:trPr>
        <w:tc>
          <w:tcPr>
            <w:tcW w:w="1215" w:type="dxa"/>
          </w:tcPr>
          <w:p>
            <w:pPr>
              <w:pStyle w:val="TableParagraph"/>
              <w:spacing w:line="133" w:lineRule="exact" w:before="8"/>
              <w:ind w:left="396" w:right="392"/>
              <w:jc w:val="center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2018</w:t>
            </w:r>
          </w:p>
        </w:tc>
        <w:tc>
          <w:tcPr>
            <w:tcW w:w="1169" w:type="dxa"/>
          </w:tcPr>
          <w:p>
            <w:pPr>
              <w:pStyle w:val="TableParagraph"/>
              <w:spacing w:line="133" w:lineRule="exact" w:before="8"/>
              <w:ind w:right="303"/>
              <w:jc w:val="right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30,485</w:t>
            </w:r>
          </w:p>
        </w:tc>
        <w:tc>
          <w:tcPr>
            <w:tcW w:w="1336" w:type="dxa"/>
          </w:tcPr>
          <w:p>
            <w:pPr>
              <w:pStyle w:val="TableParagraph"/>
              <w:spacing w:line="133" w:lineRule="exact" w:before="8"/>
              <w:ind w:left="307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97,645</w:t>
            </w:r>
          </w:p>
        </w:tc>
        <w:tc>
          <w:tcPr>
            <w:tcW w:w="1314" w:type="dxa"/>
          </w:tcPr>
          <w:p>
            <w:pPr>
              <w:pStyle w:val="TableParagraph"/>
              <w:spacing w:line="133" w:lineRule="exact" w:before="8"/>
              <w:ind w:left="551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579</w:t>
            </w:r>
          </w:p>
        </w:tc>
        <w:tc>
          <w:tcPr>
            <w:tcW w:w="1298" w:type="dxa"/>
          </w:tcPr>
          <w:p>
            <w:pPr>
              <w:pStyle w:val="TableParagraph"/>
              <w:spacing w:line="133" w:lineRule="exact" w:before="8"/>
              <w:ind w:right="310"/>
              <w:jc w:val="right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28,251</w:t>
            </w:r>
          </w:p>
        </w:tc>
        <w:tc>
          <w:tcPr>
            <w:tcW w:w="1336" w:type="dxa"/>
          </w:tcPr>
          <w:p>
            <w:pPr>
              <w:pStyle w:val="TableParagraph"/>
              <w:spacing w:line="133" w:lineRule="exact" w:before="8"/>
              <w:ind w:left="317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14,319</w:t>
            </w:r>
          </w:p>
        </w:tc>
        <w:tc>
          <w:tcPr>
            <w:tcW w:w="1146" w:type="dxa"/>
          </w:tcPr>
          <w:p>
            <w:pPr>
              <w:pStyle w:val="TableParagraph"/>
              <w:spacing w:line="133" w:lineRule="exact" w:before="8"/>
              <w:ind w:right="32"/>
              <w:jc w:val="right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171,279</w:t>
            </w:r>
          </w:p>
        </w:tc>
      </w:tr>
      <w:tr>
        <w:trPr>
          <w:trHeight w:val="161" w:hRule="atLeast"/>
        </w:trPr>
        <w:tc>
          <w:tcPr>
            <w:tcW w:w="1215" w:type="dxa"/>
          </w:tcPr>
          <w:p>
            <w:pPr>
              <w:pStyle w:val="TableParagraph"/>
              <w:spacing w:line="133" w:lineRule="exact" w:before="8"/>
              <w:ind w:left="396" w:right="392"/>
              <w:jc w:val="center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2019</w:t>
            </w:r>
          </w:p>
        </w:tc>
        <w:tc>
          <w:tcPr>
            <w:tcW w:w="1169" w:type="dxa"/>
          </w:tcPr>
          <w:p>
            <w:pPr>
              <w:pStyle w:val="TableParagraph"/>
              <w:spacing w:line="133" w:lineRule="exact" w:before="8"/>
              <w:ind w:right="303"/>
              <w:jc w:val="right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30,673</w:t>
            </w:r>
          </w:p>
        </w:tc>
        <w:tc>
          <w:tcPr>
            <w:tcW w:w="1336" w:type="dxa"/>
          </w:tcPr>
          <w:p>
            <w:pPr>
              <w:pStyle w:val="TableParagraph"/>
              <w:spacing w:line="133" w:lineRule="exact" w:before="8"/>
              <w:ind w:left="307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96,466</w:t>
            </w:r>
          </w:p>
        </w:tc>
        <w:tc>
          <w:tcPr>
            <w:tcW w:w="1314" w:type="dxa"/>
          </w:tcPr>
          <w:p>
            <w:pPr>
              <w:pStyle w:val="TableParagraph"/>
              <w:spacing w:line="133" w:lineRule="exact" w:before="8"/>
              <w:ind w:left="551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502</w:t>
            </w:r>
          </w:p>
        </w:tc>
        <w:tc>
          <w:tcPr>
            <w:tcW w:w="1298" w:type="dxa"/>
          </w:tcPr>
          <w:p>
            <w:pPr>
              <w:pStyle w:val="TableParagraph"/>
              <w:spacing w:line="133" w:lineRule="exact" w:before="8"/>
              <w:ind w:right="310"/>
              <w:jc w:val="right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26,797</w:t>
            </w:r>
          </w:p>
        </w:tc>
        <w:tc>
          <w:tcPr>
            <w:tcW w:w="1336" w:type="dxa"/>
          </w:tcPr>
          <w:p>
            <w:pPr>
              <w:pStyle w:val="TableParagraph"/>
              <w:spacing w:line="133" w:lineRule="exact" w:before="8"/>
              <w:ind w:left="317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13,660</w:t>
            </w:r>
          </w:p>
        </w:tc>
        <w:tc>
          <w:tcPr>
            <w:tcW w:w="1146" w:type="dxa"/>
          </w:tcPr>
          <w:p>
            <w:pPr>
              <w:pStyle w:val="TableParagraph"/>
              <w:spacing w:line="133" w:lineRule="exact" w:before="8"/>
              <w:ind w:right="32"/>
              <w:jc w:val="right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168,098</w:t>
            </w:r>
          </w:p>
        </w:tc>
      </w:tr>
      <w:tr>
        <w:trPr>
          <w:trHeight w:val="161" w:hRule="atLeast"/>
        </w:trPr>
        <w:tc>
          <w:tcPr>
            <w:tcW w:w="1215" w:type="dxa"/>
          </w:tcPr>
          <w:p>
            <w:pPr>
              <w:pStyle w:val="TableParagraph"/>
              <w:spacing w:line="133" w:lineRule="exact" w:before="8"/>
              <w:ind w:left="396" w:right="392"/>
              <w:jc w:val="center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2020</w:t>
            </w:r>
          </w:p>
        </w:tc>
        <w:tc>
          <w:tcPr>
            <w:tcW w:w="1169" w:type="dxa"/>
          </w:tcPr>
          <w:p>
            <w:pPr>
              <w:pStyle w:val="TableParagraph"/>
              <w:spacing w:line="133" w:lineRule="exact" w:before="8"/>
              <w:ind w:right="303"/>
              <w:jc w:val="right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29,026</w:t>
            </w:r>
          </w:p>
        </w:tc>
        <w:tc>
          <w:tcPr>
            <w:tcW w:w="1336" w:type="dxa"/>
          </w:tcPr>
          <w:p>
            <w:pPr>
              <w:pStyle w:val="TableParagraph"/>
              <w:spacing w:line="133" w:lineRule="exact" w:before="8"/>
              <w:ind w:left="307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95,918</w:t>
            </w:r>
          </w:p>
        </w:tc>
        <w:tc>
          <w:tcPr>
            <w:tcW w:w="1314" w:type="dxa"/>
          </w:tcPr>
          <w:p>
            <w:pPr>
              <w:pStyle w:val="TableParagraph"/>
              <w:spacing w:line="133" w:lineRule="exact" w:before="8"/>
              <w:ind w:left="551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523</w:t>
            </w:r>
          </w:p>
        </w:tc>
        <w:tc>
          <w:tcPr>
            <w:tcW w:w="1298" w:type="dxa"/>
          </w:tcPr>
          <w:p>
            <w:pPr>
              <w:pStyle w:val="TableParagraph"/>
              <w:spacing w:line="133" w:lineRule="exact" w:before="8"/>
              <w:ind w:right="310"/>
              <w:jc w:val="right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26,120</w:t>
            </w:r>
          </w:p>
        </w:tc>
        <w:tc>
          <w:tcPr>
            <w:tcW w:w="1336" w:type="dxa"/>
          </w:tcPr>
          <w:p>
            <w:pPr>
              <w:pStyle w:val="TableParagraph"/>
              <w:spacing w:line="133" w:lineRule="exact" w:before="8"/>
              <w:ind w:left="317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13,367</w:t>
            </w:r>
          </w:p>
        </w:tc>
        <w:tc>
          <w:tcPr>
            <w:tcW w:w="1146" w:type="dxa"/>
          </w:tcPr>
          <w:p>
            <w:pPr>
              <w:pStyle w:val="TableParagraph"/>
              <w:spacing w:line="133" w:lineRule="exact" w:before="8"/>
              <w:ind w:right="32"/>
              <w:jc w:val="right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164,954</w:t>
            </w:r>
          </w:p>
        </w:tc>
      </w:tr>
      <w:tr>
        <w:trPr>
          <w:trHeight w:val="155" w:hRule="atLeast"/>
        </w:trPr>
        <w:tc>
          <w:tcPr>
            <w:tcW w:w="1215" w:type="dxa"/>
          </w:tcPr>
          <w:p>
            <w:pPr>
              <w:pStyle w:val="TableParagraph"/>
              <w:spacing w:line="128" w:lineRule="exact" w:before="8"/>
              <w:ind w:left="396" w:right="392"/>
              <w:jc w:val="center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2021</w:t>
            </w:r>
          </w:p>
        </w:tc>
        <w:tc>
          <w:tcPr>
            <w:tcW w:w="1169" w:type="dxa"/>
          </w:tcPr>
          <w:p>
            <w:pPr>
              <w:pStyle w:val="TableParagraph"/>
              <w:spacing w:line="128" w:lineRule="exact" w:before="8"/>
              <w:ind w:right="303"/>
              <w:jc w:val="right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31,689</w:t>
            </w:r>
          </w:p>
        </w:tc>
        <w:tc>
          <w:tcPr>
            <w:tcW w:w="1336" w:type="dxa"/>
          </w:tcPr>
          <w:p>
            <w:pPr>
              <w:pStyle w:val="TableParagraph"/>
              <w:spacing w:line="128" w:lineRule="exact" w:before="8"/>
              <w:ind w:left="307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99,085</w:t>
            </w:r>
          </w:p>
        </w:tc>
        <w:tc>
          <w:tcPr>
            <w:tcW w:w="1314" w:type="dxa"/>
          </w:tcPr>
          <w:p>
            <w:pPr>
              <w:pStyle w:val="TableParagraph"/>
              <w:spacing w:line="128" w:lineRule="exact" w:before="8"/>
              <w:ind w:left="586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81</w:t>
            </w:r>
          </w:p>
        </w:tc>
        <w:tc>
          <w:tcPr>
            <w:tcW w:w="1298" w:type="dxa"/>
          </w:tcPr>
          <w:p>
            <w:pPr>
              <w:pStyle w:val="TableParagraph"/>
              <w:spacing w:line="128" w:lineRule="exact" w:before="8"/>
              <w:ind w:right="310"/>
              <w:jc w:val="right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24,093</w:t>
            </w:r>
          </w:p>
        </w:tc>
        <w:tc>
          <w:tcPr>
            <w:tcW w:w="1336" w:type="dxa"/>
          </w:tcPr>
          <w:p>
            <w:pPr>
              <w:pStyle w:val="TableParagraph"/>
              <w:spacing w:line="128" w:lineRule="exact" w:before="8"/>
              <w:ind w:left="317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12,125</w:t>
            </w:r>
          </w:p>
        </w:tc>
        <w:tc>
          <w:tcPr>
            <w:tcW w:w="1146" w:type="dxa"/>
          </w:tcPr>
          <w:p>
            <w:pPr>
              <w:pStyle w:val="TableParagraph"/>
              <w:spacing w:line="128" w:lineRule="exact" w:before="8"/>
              <w:ind w:right="32"/>
              <w:jc w:val="right"/>
              <w:rPr>
                <w:rFonts w:ascii="Verdana"/>
                <w:sz w:val="12"/>
              </w:rPr>
            </w:pPr>
            <w:r>
              <w:rPr>
                <w:rFonts w:ascii="Verdana"/>
                <w:w w:val="115"/>
                <w:sz w:val="12"/>
              </w:rPr>
              <w:t>167,073</w:t>
            </w:r>
          </w:p>
        </w:tc>
      </w:tr>
    </w:tbl>
    <w:tbl>
      <w:tblPr>
        <w:tblW w:w="0" w:type="auto"/>
        <w:jc w:val="left"/>
        <w:tblInd w:w="2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5"/>
        <w:gridCol w:w="1178"/>
        <w:gridCol w:w="1328"/>
        <w:gridCol w:w="1325"/>
        <w:gridCol w:w="1312"/>
        <w:gridCol w:w="1288"/>
        <w:gridCol w:w="1170"/>
      </w:tblGrid>
      <w:tr>
        <w:trPr>
          <w:trHeight w:val="173" w:hRule="atLeast"/>
        </w:trPr>
        <w:tc>
          <w:tcPr>
            <w:tcW w:w="1215" w:type="dxa"/>
            <w:tcBorders>
              <w:top w:val="single" w:sz="6" w:space="0" w:color="8EA9DB"/>
            </w:tcBorders>
            <w:shd w:val="clear" w:color="auto" w:fill="D9E0F1"/>
          </w:tcPr>
          <w:p>
            <w:pPr>
              <w:pStyle w:val="TableParagraph"/>
              <w:spacing w:before="14"/>
              <w:ind w:left="4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30"/>
                <w:sz w:val="12"/>
              </w:rPr>
              <w:t>Tota</w:t>
            </w:r>
            <w:r>
              <w:rPr>
                <w:rFonts w:ascii="Arial"/>
                <w:b/>
                <w:spacing w:val="-27"/>
                <w:w w:val="130"/>
                <w:sz w:val="12"/>
              </w:rPr>
              <w:t> </w:t>
            </w:r>
            <w:r>
              <w:rPr>
                <w:rFonts w:ascii="Arial"/>
                <w:b/>
                <w:w w:val="130"/>
                <w:sz w:val="12"/>
              </w:rPr>
              <w:t>l</w:t>
            </w:r>
            <w:r>
              <w:rPr>
                <w:rFonts w:ascii="Arial"/>
                <w:b/>
                <w:spacing w:val="-3"/>
                <w:w w:val="130"/>
                <w:sz w:val="12"/>
              </w:rPr>
              <w:t> </w:t>
            </w:r>
            <w:r>
              <w:rPr>
                <w:rFonts w:ascii="Arial"/>
                <w:b/>
                <w:w w:val="130"/>
                <w:sz w:val="12"/>
              </w:rPr>
              <w:t>general</w:t>
            </w:r>
          </w:p>
        </w:tc>
        <w:tc>
          <w:tcPr>
            <w:tcW w:w="1178" w:type="dxa"/>
            <w:tcBorders>
              <w:top w:val="single" w:sz="6" w:space="0" w:color="8EA9DB"/>
            </w:tcBorders>
            <w:shd w:val="clear" w:color="auto" w:fill="585858"/>
          </w:tcPr>
          <w:p>
            <w:pPr>
              <w:pStyle w:val="TableParagraph"/>
              <w:spacing w:line="149" w:lineRule="exact" w:before="4"/>
              <w:ind w:left="32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FFFFFF"/>
                <w:w w:val="135"/>
                <w:sz w:val="13"/>
              </w:rPr>
              <w:t>150,692</w:t>
            </w:r>
          </w:p>
        </w:tc>
        <w:tc>
          <w:tcPr>
            <w:tcW w:w="1328" w:type="dxa"/>
            <w:tcBorders>
              <w:top w:val="single" w:sz="6" w:space="0" w:color="8EA9DB"/>
            </w:tcBorders>
            <w:shd w:val="clear" w:color="auto" w:fill="585858"/>
          </w:tcPr>
          <w:p>
            <w:pPr>
              <w:pStyle w:val="TableParagraph"/>
              <w:spacing w:line="149" w:lineRule="exact" w:before="4"/>
              <w:ind w:left="23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FFFFFF"/>
                <w:w w:val="135"/>
                <w:sz w:val="13"/>
              </w:rPr>
              <w:t>483,846</w:t>
            </w:r>
          </w:p>
        </w:tc>
        <w:tc>
          <w:tcPr>
            <w:tcW w:w="1325" w:type="dxa"/>
            <w:tcBorders>
              <w:top w:val="single" w:sz="6" w:space="0" w:color="8EA9DB"/>
            </w:tcBorders>
            <w:shd w:val="clear" w:color="auto" w:fill="585858"/>
          </w:tcPr>
          <w:p>
            <w:pPr>
              <w:pStyle w:val="TableParagraph"/>
              <w:spacing w:line="149" w:lineRule="exact" w:before="4"/>
              <w:ind w:left="47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FFFFFF"/>
                <w:w w:val="135"/>
                <w:sz w:val="13"/>
              </w:rPr>
              <w:t>2,204</w:t>
            </w:r>
          </w:p>
        </w:tc>
        <w:tc>
          <w:tcPr>
            <w:tcW w:w="1312" w:type="dxa"/>
            <w:tcBorders>
              <w:top w:val="single" w:sz="6" w:space="0" w:color="8EA9DB"/>
            </w:tcBorders>
            <w:shd w:val="clear" w:color="auto" w:fill="585858"/>
          </w:tcPr>
          <w:p>
            <w:pPr>
              <w:pStyle w:val="TableParagraph"/>
              <w:spacing w:line="149" w:lineRule="exact" w:before="4"/>
              <w:ind w:left="42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FFFFFF"/>
                <w:w w:val="135"/>
                <w:sz w:val="13"/>
              </w:rPr>
              <w:t>132,753</w:t>
            </w:r>
          </w:p>
        </w:tc>
        <w:tc>
          <w:tcPr>
            <w:tcW w:w="1288" w:type="dxa"/>
            <w:tcBorders>
              <w:top w:val="single" w:sz="6" w:space="0" w:color="8EA9DB"/>
            </w:tcBorders>
            <w:shd w:val="clear" w:color="auto" w:fill="585858"/>
          </w:tcPr>
          <w:p>
            <w:pPr>
              <w:pStyle w:val="TableParagraph"/>
              <w:spacing w:line="149" w:lineRule="exact" w:before="4"/>
              <w:ind w:left="26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FFFFFF"/>
                <w:w w:val="135"/>
                <w:sz w:val="13"/>
              </w:rPr>
              <w:t>67,807</w:t>
            </w:r>
          </w:p>
        </w:tc>
        <w:tc>
          <w:tcPr>
            <w:tcW w:w="1170" w:type="dxa"/>
            <w:tcBorders>
              <w:top w:val="single" w:sz="6" w:space="0" w:color="8EA9DB"/>
            </w:tcBorders>
            <w:shd w:val="clear" w:color="auto" w:fill="585858"/>
          </w:tcPr>
          <w:p>
            <w:pPr>
              <w:pStyle w:val="TableParagraph"/>
              <w:spacing w:line="149" w:lineRule="exact" w:before="4"/>
              <w:ind w:left="50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FFFFFF"/>
                <w:w w:val="135"/>
                <w:sz w:val="13"/>
              </w:rPr>
              <w:t>837,302</w:t>
            </w:r>
          </w:p>
        </w:tc>
      </w:tr>
    </w:tbl>
    <w:p>
      <w:pPr>
        <w:spacing w:before="16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2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2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278" w:right="1071"/>
        <w:jc w:val="both"/>
      </w:pPr>
      <w:r>
        <w:rPr/>
        <w:t>Para el período analizado, el total de estudiantes atendidos durante este período fue de 837,302. El 2017</w:t>
      </w:r>
      <w:r>
        <w:rPr>
          <w:spacing w:val="-47"/>
        </w:rPr>
        <w:t> </w:t>
      </w:r>
      <w:r>
        <w:rPr>
          <w:spacing w:val="-1"/>
        </w:rPr>
        <w:t>se</w:t>
      </w:r>
      <w:r>
        <w:rPr>
          <w:spacing w:val="-10"/>
        </w:rPr>
        <w:t> </w:t>
      </w:r>
      <w:r>
        <w:rPr>
          <w:spacing w:val="-1"/>
        </w:rPr>
        <w:t>tuvo</w:t>
      </w:r>
      <w:r>
        <w:rPr>
          <w:spacing w:val="-8"/>
        </w:rPr>
        <w:t> </w:t>
      </w:r>
      <w:r>
        <w:rPr>
          <w:spacing w:val="-1"/>
        </w:rPr>
        <w:t>una</w:t>
      </w:r>
      <w:r>
        <w:rPr>
          <w:spacing w:val="-10"/>
        </w:rPr>
        <w:t> </w:t>
      </w:r>
      <w:r>
        <w:rPr/>
        <w:t>población</w:t>
      </w:r>
      <w:r>
        <w:rPr>
          <w:spacing w:val="-11"/>
        </w:rPr>
        <w:t> </w:t>
      </w:r>
      <w:r>
        <w:rPr/>
        <w:t>estudiantil</w:t>
      </w:r>
      <w:r>
        <w:rPr>
          <w:spacing w:val="-10"/>
        </w:rPr>
        <w:t> </w:t>
      </w:r>
      <w:r>
        <w:rPr/>
        <w:t>total</w:t>
      </w:r>
      <w:r>
        <w:rPr>
          <w:spacing w:val="-10"/>
        </w:rPr>
        <w:t> </w:t>
      </w:r>
      <w:r>
        <w:rPr/>
        <w:t>de165,898.</w:t>
      </w:r>
      <w:r>
        <w:rPr>
          <w:spacing w:val="30"/>
        </w:rPr>
        <w:t> </w:t>
      </w:r>
      <w:r>
        <w:rPr/>
        <w:t>El</w:t>
      </w:r>
      <w:r>
        <w:rPr>
          <w:spacing w:val="-12"/>
        </w:rPr>
        <w:t> </w:t>
      </w:r>
      <w:r>
        <w:rPr/>
        <w:t>2018,</w:t>
      </w:r>
      <w:r>
        <w:rPr>
          <w:spacing w:val="-13"/>
        </w:rPr>
        <w:t> </w:t>
      </w:r>
      <w:r>
        <w:rPr/>
        <w:t>mostró</w:t>
      </w:r>
      <w:r>
        <w:rPr>
          <w:spacing w:val="-8"/>
        </w:rPr>
        <w:t> </w:t>
      </w:r>
      <w:r>
        <w:rPr/>
        <w:t>un</w:t>
      </w:r>
      <w:r>
        <w:rPr>
          <w:spacing w:val="-10"/>
        </w:rPr>
        <w:t> </w:t>
      </w:r>
      <w:r>
        <w:rPr/>
        <w:t>incremento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total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población</w:t>
      </w:r>
      <w:r>
        <w:rPr>
          <w:spacing w:val="-47"/>
        </w:rPr>
        <w:t> </w:t>
      </w:r>
      <w:r>
        <w:rPr/>
        <w:t>estudiantil reportando 171,279. En el 2019, registraron 168,098. El 2020, reportó una drástica caída con</w:t>
      </w:r>
      <w:r>
        <w:rPr>
          <w:spacing w:val="1"/>
        </w:rPr>
        <w:t> </w:t>
      </w:r>
      <w:r>
        <w:rPr/>
        <w:t>un</w:t>
      </w:r>
      <w:r>
        <w:rPr>
          <w:spacing w:val="-2"/>
        </w:rPr>
        <w:t> </w:t>
      </w:r>
      <w:r>
        <w:rPr/>
        <w:t>total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164,954</w:t>
      </w:r>
      <w:r>
        <w:rPr>
          <w:spacing w:val="-2"/>
        </w:rPr>
        <w:t> </w:t>
      </w:r>
      <w:r>
        <w:rPr/>
        <w:t>alumnos.</w:t>
      </w:r>
      <w:r>
        <w:rPr>
          <w:spacing w:val="-4"/>
        </w:rPr>
        <w:t> </w:t>
      </w:r>
      <w:r>
        <w:rPr/>
        <w:t>Mientras</w:t>
      </w:r>
      <w:r>
        <w:rPr>
          <w:spacing w:val="-3"/>
        </w:rPr>
        <w:t> </w:t>
      </w:r>
      <w:r>
        <w:rPr/>
        <w:t>que</w:t>
      </w:r>
      <w:r>
        <w:rPr>
          <w:spacing w:val="1"/>
        </w:rPr>
        <w:t> </w:t>
      </w:r>
      <w:r>
        <w:rPr/>
        <w:t>el 2021, registró</w:t>
      </w:r>
      <w:r>
        <w:rPr>
          <w:spacing w:val="-2"/>
        </w:rPr>
        <w:t> </w:t>
      </w:r>
      <w:r>
        <w:rPr/>
        <w:t>una cifra de</w:t>
      </w:r>
      <w:r>
        <w:rPr>
          <w:spacing w:val="-3"/>
        </w:rPr>
        <w:t> </w:t>
      </w:r>
      <w:r>
        <w:rPr/>
        <w:t>167,302.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ind w:left="278" w:right="1069"/>
        <w:jc w:val="both"/>
      </w:pPr>
      <w:r>
        <w:rPr/>
        <w:t>Como se muestra, el nivel que presentó más crecimiento fue la Primaria representando el 58% de la</w:t>
      </w:r>
      <w:r>
        <w:rPr>
          <w:spacing w:val="1"/>
        </w:rPr>
        <w:t> </w:t>
      </w:r>
      <w:r>
        <w:rPr/>
        <w:t>población</w:t>
      </w:r>
      <w:r>
        <w:rPr>
          <w:spacing w:val="-11"/>
        </w:rPr>
        <w:t> </w:t>
      </w:r>
      <w:r>
        <w:rPr/>
        <w:t>para</w:t>
      </w:r>
      <w:r>
        <w:rPr>
          <w:spacing w:val="-9"/>
        </w:rPr>
        <w:t> </w:t>
      </w:r>
      <w:r>
        <w:rPr/>
        <w:t>este</w:t>
      </w:r>
      <w:r>
        <w:rPr>
          <w:spacing w:val="-10"/>
        </w:rPr>
        <w:t> </w:t>
      </w:r>
      <w:r>
        <w:rPr/>
        <w:t>período.</w:t>
      </w:r>
      <w:r>
        <w:rPr>
          <w:spacing w:val="-9"/>
        </w:rPr>
        <w:t> </w:t>
      </w:r>
      <w:r>
        <w:rPr/>
        <w:t>Seguido</w:t>
      </w:r>
      <w:r>
        <w:rPr>
          <w:spacing w:val="-9"/>
        </w:rPr>
        <w:t> </w:t>
      </w:r>
      <w:r>
        <w:rPr/>
        <w:t>del</w:t>
      </w:r>
      <w:r>
        <w:rPr>
          <w:spacing w:val="-6"/>
        </w:rPr>
        <w:t> </w:t>
      </w:r>
      <w:r>
        <w:rPr/>
        <w:t>nivel</w:t>
      </w:r>
      <w:r>
        <w:rPr>
          <w:spacing w:val="-10"/>
        </w:rPr>
        <w:t> </w:t>
      </w:r>
      <w:r>
        <w:rPr/>
        <w:t>preprimaria</w:t>
      </w:r>
      <w:r>
        <w:rPr>
          <w:spacing w:val="-9"/>
        </w:rPr>
        <w:t> </w:t>
      </w:r>
      <w:r>
        <w:rPr/>
        <w:t>con</w:t>
      </w:r>
      <w:r>
        <w:rPr>
          <w:spacing w:val="-11"/>
        </w:rPr>
        <w:t> </w:t>
      </w:r>
      <w:r>
        <w:rPr/>
        <w:t>un</w:t>
      </w:r>
      <w:r>
        <w:rPr>
          <w:spacing w:val="-9"/>
        </w:rPr>
        <w:t> </w:t>
      </w:r>
      <w:r>
        <w:rPr/>
        <w:t>reportando</w:t>
      </w:r>
      <w:r>
        <w:rPr>
          <w:spacing w:val="-9"/>
        </w:rPr>
        <w:t> </w:t>
      </w:r>
      <w:r>
        <w:rPr/>
        <w:t>un</w:t>
      </w:r>
      <w:r>
        <w:rPr>
          <w:spacing w:val="-8"/>
        </w:rPr>
        <w:t> </w:t>
      </w:r>
      <w:r>
        <w:rPr/>
        <w:t>18%,</w:t>
      </w:r>
      <w:r>
        <w:rPr>
          <w:spacing w:val="-10"/>
        </w:rPr>
        <w:t> </w:t>
      </w:r>
      <w:r>
        <w:rPr/>
        <w:t>el</w:t>
      </w:r>
      <w:r>
        <w:rPr>
          <w:spacing w:val="-8"/>
        </w:rPr>
        <w:t> </w:t>
      </w:r>
      <w:r>
        <w:rPr/>
        <w:t>nivel</w:t>
      </w:r>
      <w:r>
        <w:rPr>
          <w:spacing w:val="-8"/>
        </w:rPr>
        <w:t> </w:t>
      </w:r>
      <w:r>
        <w:rPr/>
        <w:t>preprimaria</w:t>
      </w:r>
      <w:r>
        <w:rPr>
          <w:spacing w:val="-47"/>
        </w:rPr>
        <w:t> </w:t>
      </w:r>
      <w:r>
        <w:rPr/>
        <w:t>con un 16% Situando en el penúltimo sitio al diversificado con un 8%. Y finalizando, con la Primaria para</w:t>
      </w:r>
      <w:r>
        <w:rPr>
          <w:spacing w:val="1"/>
        </w:rPr>
        <w:t> </w:t>
      </w:r>
      <w:r>
        <w:rPr/>
        <w:t>Adultos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  <w:r>
        <w:rPr/>
        <w:pict>
          <v:rect style="position:absolute;margin-left:563.880005pt;margin-top:10.623579pt;width:25.44pt;height:1.4399pt;mso-position-horizontal-relative:page;mso-position-vertical-relative:paragraph;z-index:-1540966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162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33728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4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52" w:after="0"/>
        <w:ind w:left="998" w:right="0" w:hanging="721"/>
        <w:jc w:val="left"/>
      </w:pPr>
      <w:bookmarkStart w:name="_bookmark197" w:id="327"/>
      <w:bookmarkEnd w:id="327"/>
      <w:r>
        <w:rPr>
          <w:b w:val="0"/>
        </w:rPr>
      </w:r>
      <w:bookmarkStart w:name="_bookmark197" w:id="328"/>
      <w:bookmarkEnd w:id="328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Cobertura:</w:t>
      </w:r>
      <w:r>
        <w:rPr>
          <w:spacing w:val="-4"/>
        </w:rPr>
        <w:t> </w:t>
      </w:r>
      <w:r>
        <w:rPr/>
        <w:t>Tasa</w:t>
      </w:r>
      <w:r>
        <w:rPr>
          <w:spacing w:val="-3"/>
        </w:rPr>
        <w:t> </w:t>
      </w:r>
      <w:r>
        <w:rPr/>
        <w:t>Neta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Cobertura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0"/>
        <w:jc w:val="both"/>
      </w:pPr>
      <w:r>
        <w:rPr>
          <w:spacing w:val="-1"/>
        </w:rPr>
        <w:t>Por</w:t>
      </w:r>
      <w:r>
        <w:rPr>
          <w:spacing w:val="-12"/>
        </w:rPr>
        <w:t> </w:t>
      </w:r>
      <w:r>
        <w:rPr>
          <w:spacing w:val="-1"/>
        </w:rPr>
        <w:t>lo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refiere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cobertura</w:t>
      </w:r>
      <w:r>
        <w:rPr>
          <w:spacing w:val="-10"/>
        </w:rPr>
        <w:t> </w:t>
      </w:r>
      <w:r>
        <w:rPr/>
        <w:t>educativa</w:t>
      </w:r>
      <w:r>
        <w:rPr>
          <w:spacing w:val="-12"/>
        </w:rPr>
        <w:t> </w:t>
      </w:r>
      <w:r>
        <w:rPr/>
        <w:t>medida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través</w:t>
      </w:r>
      <w:r>
        <w:rPr>
          <w:spacing w:val="-8"/>
        </w:rPr>
        <w:t> </w:t>
      </w:r>
      <w:r>
        <w:rPr/>
        <w:t>del</w:t>
      </w:r>
      <w:r>
        <w:rPr>
          <w:spacing w:val="-12"/>
        </w:rPr>
        <w:t> </w:t>
      </w:r>
      <w:r>
        <w:rPr/>
        <w:t>(TNE)</w:t>
      </w:r>
      <w:r>
        <w:rPr>
          <w:spacing w:val="-9"/>
        </w:rPr>
        <w:t> </w:t>
      </w:r>
      <w:r>
        <w:rPr/>
        <w:t>para</w:t>
      </w:r>
      <w:r>
        <w:rPr>
          <w:spacing w:val="-12"/>
        </w:rPr>
        <w:t> </w:t>
      </w:r>
      <w:r>
        <w:rPr/>
        <w:t>El</w:t>
      </w:r>
      <w:r>
        <w:rPr>
          <w:spacing w:val="-10"/>
        </w:rPr>
        <w:t> </w:t>
      </w:r>
      <w:r>
        <w:rPr/>
        <w:t>Progreso</w:t>
      </w:r>
      <w:r>
        <w:rPr>
          <w:spacing w:val="-8"/>
        </w:rPr>
        <w:t> </w:t>
      </w:r>
      <w:r>
        <w:rPr/>
        <w:t>durante</w:t>
      </w:r>
      <w:r>
        <w:rPr>
          <w:spacing w:val="-8"/>
        </w:rPr>
        <w:t> </w:t>
      </w:r>
      <w:r>
        <w:rPr/>
        <w:t>el</w:t>
      </w:r>
      <w:r>
        <w:rPr>
          <w:spacing w:val="-12"/>
        </w:rPr>
        <w:t> </w:t>
      </w:r>
      <w:r>
        <w:rPr/>
        <w:t>período</w:t>
      </w:r>
      <w:r>
        <w:rPr>
          <w:spacing w:val="-48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2017</w:t>
      </w:r>
      <w:r>
        <w:rPr>
          <w:spacing w:val="-9"/>
        </w:rPr>
        <w:t> </w:t>
      </w:r>
      <w:r>
        <w:rPr>
          <w:spacing w:val="-1"/>
        </w:rPr>
        <w:t>al</w:t>
      </w:r>
      <w:r>
        <w:rPr>
          <w:spacing w:val="-11"/>
        </w:rPr>
        <w:t> </w:t>
      </w:r>
      <w:r>
        <w:rPr>
          <w:spacing w:val="-1"/>
        </w:rPr>
        <w:t>2020,</w:t>
      </w:r>
      <w:r>
        <w:rPr>
          <w:spacing w:val="-12"/>
        </w:rPr>
        <w:t> </w:t>
      </w:r>
      <w:r>
        <w:rPr>
          <w:spacing w:val="-1"/>
        </w:rPr>
        <w:t>evidencia</w:t>
      </w:r>
      <w:r>
        <w:rPr>
          <w:spacing w:val="-12"/>
        </w:rPr>
        <w:t> </w:t>
      </w:r>
      <w:r>
        <w:rPr/>
        <w:t>un</w:t>
      </w:r>
      <w:r>
        <w:rPr>
          <w:spacing w:val="-9"/>
        </w:rPr>
        <w:t> </w:t>
      </w:r>
      <w:r>
        <w:rPr/>
        <w:t>aumento</w:t>
      </w:r>
      <w:r>
        <w:rPr>
          <w:spacing w:val="-8"/>
        </w:rPr>
        <w:t> </w:t>
      </w:r>
      <w:r>
        <w:rPr/>
        <w:t>promedio</w:t>
      </w:r>
      <w:r>
        <w:rPr>
          <w:spacing w:val="-10"/>
        </w:rPr>
        <w:t> </w:t>
      </w:r>
      <w:r>
        <w:rPr/>
        <w:t>considerable</w:t>
      </w:r>
      <w:r>
        <w:rPr>
          <w:spacing w:val="-9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9"/>
        </w:rPr>
        <w:t> </w:t>
      </w:r>
      <w:r>
        <w:rPr/>
        <w:t>cobertura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nivel</w:t>
      </w:r>
      <w:r>
        <w:rPr>
          <w:spacing w:val="-9"/>
        </w:rPr>
        <w:t> </w:t>
      </w:r>
      <w:r>
        <w:rPr/>
        <w:t>primaria</w:t>
      </w:r>
      <w:r>
        <w:rPr>
          <w:spacing w:val="-12"/>
        </w:rPr>
        <w:t> </w:t>
      </w:r>
      <w:r>
        <w:rPr/>
        <w:t>(99.18%),</w:t>
      </w:r>
      <w:r>
        <w:rPr>
          <w:spacing w:val="-47"/>
        </w:rPr>
        <w:t> </w:t>
      </w:r>
      <w:r>
        <w:rPr>
          <w:spacing w:val="-1"/>
        </w:rPr>
        <w:t>en</w:t>
      </w:r>
      <w:r>
        <w:rPr>
          <w:spacing w:val="-9"/>
        </w:rPr>
        <w:t> </w:t>
      </w:r>
      <w:r>
        <w:rPr>
          <w:spacing w:val="-1"/>
        </w:rPr>
        <w:t>contraste</w:t>
      </w:r>
      <w:r>
        <w:rPr>
          <w:spacing w:val="-11"/>
        </w:rPr>
        <w:t> </w:t>
      </w:r>
      <w:r>
        <w:rPr>
          <w:spacing w:val="-1"/>
        </w:rPr>
        <w:t>con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TNE</w:t>
      </w:r>
      <w:r>
        <w:rPr>
          <w:spacing w:val="-9"/>
        </w:rPr>
        <w:t> </w:t>
      </w:r>
      <w:r>
        <w:rPr/>
        <w:t>nacional</w:t>
      </w:r>
      <w:r>
        <w:rPr>
          <w:spacing w:val="-10"/>
        </w:rPr>
        <w:t> </w:t>
      </w:r>
      <w:r>
        <w:rPr/>
        <w:t>promedio</w:t>
      </w:r>
      <w:r>
        <w:rPr>
          <w:spacing w:val="-8"/>
        </w:rPr>
        <w:t> </w:t>
      </w:r>
      <w:r>
        <w:rPr/>
        <w:t>del</w:t>
      </w:r>
      <w:r>
        <w:rPr>
          <w:spacing w:val="-9"/>
        </w:rPr>
        <w:t> </w:t>
      </w:r>
      <w:r>
        <w:rPr/>
        <w:t>77.5%.</w:t>
      </w:r>
      <w:r>
        <w:rPr>
          <w:spacing w:val="-12"/>
        </w:rPr>
        <w:t> </w:t>
      </w:r>
      <w:r>
        <w:rPr/>
        <w:t>Como</w:t>
      </w:r>
      <w:r>
        <w:rPr>
          <w:spacing w:val="-8"/>
        </w:rPr>
        <w:t> </w:t>
      </w:r>
      <w:r>
        <w:rPr/>
        <w:t>sucede</w:t>
      </w:r>
      <w:r>
        <w:rPr>
          <w:spacing w:val="-9"/>
        </w:rPr>
        <w:t> </w:t>
      </w:r>
      <w:r>
        <w:rPr/>
        <w:t>con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otros</w:t>
      </w:r>
      <w:r>
        <w:rPr>
          <w:spacing w:val="-14"/>
        </w:rPr>
        <w:t> </w:t>
      </w:r>
      <w:r>
        <w:rPr/>
        <w:t>departamentos,</w:t>
      </w:r>
      <w:r>
        <w:rPr>
          <w:spacing w:val="-12"/>
        </w:rPr>
        <w:t> </w:t>
      </w:r>
      <w:r>
        <w:rPr/>
        <w:t>muestra</w:t>
      </w:r>
      <w:r>
        <w:rPr>
          <w:spacing w:val="-48"/>
        </w:rPr>
        <w:t> </w:t>
      </w:r>
      <w:r>
        <w:rPr/>
        <w:t>valores reducidas en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de los jóvenes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 ciclo</w:t>
      </w:r>
      <w:r>
        <w:rPr>
          <w:spacing w:val="1"/>
        </w:rPr>
        <w:t> </w:t>
      </w:r>
      <w:r>
        <w:rPr/>
        <w:t>básico</w:t>
      </w:r>
      <w:r>
        <w:rPr>
          <w:spacing w:val="-2"/>
        </w:rPr>
        <w:t> </w:t>
      </w:r>
      <w:r>
        <w:rPr/>
        <w:t>y diversificado.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278" w:right="1075"/>
        <w:jc w:val="both"/>
      </w:pPr>
      <w:r>
        <w:rPr/>
        <w:t>Tabla</w:t>
      </w:r>
      <w:r>
        <w:rPr>
          <w:spacing w:val="1"/>
        </w:rPr>
        <w:t> </w:t>
      </w:r>
      <w:r>
        <w:rPr/>
        <w:t>Nº.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Cobertura: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Bruta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Académico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47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Petén</w:t>
      </w:r>
    </w:p>
    <w:tbl>
      <w:tblPr>
        <w:tblW w:w="0" w:type="auto"/>
        <w:jc w:val="left"/>
        <w:tblInd w:w="2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2"/>
        <w:gridCol w:w="2334"/>
        <w:gridCol w:w="1326"/>
        <w:gridCol w:w="1411"/>
        <w:gridCol w:w="1259"/>
        <w:gridCol w:w="1407"/>
      </w:tblGrid>
      <w:tr>
        <w:trPr>
          <w:trHeight w:val="352" w:hRule="atLeast"/>
        </w:trPr>
        <w:tc>
          <w:tcPr>
            <w:tcW w:w="8829" w:type="dxa"/>
            <w:gridSpan w:val="6"/>
            <w:tcBorders>
              <w:left w:val="single" w:sz="8" w:space="0" w:color="000000"/>
              <w:right w:val="nil"/>
            </w:tcBorders>
            <w:shd w:val="clear" w:color="auto" w:fill="F1F1F1"/>
          </w:tcPr>
          <w:p>
            <w:pPr>
              <w:pStyle w:val="TableParagraph"/>
              <w:spacing w:before="73"/>
              <w:ind w:left="2526" w:right="253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30"/>
                <w:sz w:val="18"/>
              </w:rPr>
              <w:t>Departamento</w:t>
            </w:r>
            <w:r>
              <w:rPr>
                <w:rFonts w:ascii="Arial" w:hAnsi="Arial"/>
                <w:b/>
                <w:spacing w:val="25"/>
                <w:w w:val="130"/>
                <w:sz w:val="18"/>
              </w:rPr>
              <w:t> </w:t>
            </w:r>
            <w:r>
              <w:rPr>
                <w:rFonts w:ascii="Arial" w:hAnsi="Arial"/>
                <w:b/>
                <w:w w:val="130"/>
                <w:sz w:val="18"/>
              </w:rPr>
              <w:t>de</w:t>
            </w:r>
            <w:r>
              <w:rPr>
                <w:rFonts w:ascii="Arial" w:hAnsi="Arial"/>
                <w:b/>
                <w:spacing w:val="42"/>
                <w:w w:val="130"/>
                <w:sz w:val="18"/>
              </w:rPr>
              <w:t> </w:t>
            </w:r>
            <w:r>
              <w:rPr>
                <w:rFonts w:ascii="Arial" w:hAnsi="Arial"/>
                <w:b/>
                <w:w w:val="130"/>
                <w:sz w:val="18"/>
              </w:rPr>
              <w:t>Petén</w:t>
            </w:r>
          </w:p>
        </w:tc>
      </w:tr>
      <w:tr>
        <w:trPr>
          <w:trHeight w:val="352" w:hRule="atLeast"/>
        </w:trPr>
        <w:tc>
          <w:tcPr>
            <w:tcW w:w="109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88"/>
              <w:ind w:left="326"/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w w:val="130"/>
                <w:sz w:val="14"/>
              </w:rPr>
              <w:t>Años</w:t>
            </w: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6"/>
              <w:ind w:left="248" w:right="26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30"/>
                <w:sz w:val="14"/>
              </w:rPr>
              <w:t>Índicadores</w:t>
            </w:r>
            <w:r>
              <w:rPr>
                <w:rFonts w:ascii="Arial" w:hAnsi="Arial"/>
                <w:b/>
                <w:spacing w:val="7"/>
                <w:w w:val="130"/>
                <w:sz w:val="14"/>
              </w:rPr>
              <w:t> </w:t>
            </w:r>
            <w:r>
              <w:rPr>
                <w:rFonts w:ascii="Arial" w:hAnsi="Arial"/>
                <w:b/>
                <w:w w:val="130"/>
                <w:sz w:val="14"/>
              </w:rPr>
              <w:t>de</w:t>
            </w:r>
          </w:p>
          <w:p>
            <w:pPr>
              <w:pStyle w:val="TableParagraph"/>
              <w:spacing w:line="142" w:lineRule="exact" w:before="23"/>
              <w:ind w:left="261" w:right="25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30"/>
                <w:sz w:val="14"/>
              </w:rPr>
              <w:t>Cobertura</w:t>
            </w:r>
          </w:p>
        </w:tc>
        <w:tc>
          <w:tcPr>
            <w:tcW w:w="132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97"/>
              <w:ind w:left="158" w:right="10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w w:val="130"/>
                <w:sz w:val="14"/>
              </w:rPr>
              <w:t>Pre</w:t>
            </w:r>
            <w:r>
              <w:rPr>
                <w:rFonts w:ascii="Arial"/>
                <w:b/>
                <w:spacing w:val="-36"/>
                <w:w w:val="130"/>
                <w:sz w:val="14"/>
              </w:rPr>
              <w:t> </w:t>
            </w:r>
            <w:r>
              <w:rPr>
                <w:rFonts w:ascii="Arial"/>
                <w:b/>
                <w:spacing w:val="-2"/>
                <w:w w:val="130"/>
                <w:sz w:val="14"/>
              </w:rPr>
              <w:t>primaria</w:t>
            </w:r>
          </w:p>
        </w:tc>
        <w:tc>
          <w:tcPr>
            <w:tcW w:w="14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97"/>
              <w:ind w:left="326" w:right="3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6"/>
                <w:w w:val="130"/>
                <w:sz w:val="14"/>
              </w:rPr>
              <w:t>Prima</w:t>
            </w:r>
            <w:r>
              <w:rPr>
                <w:rFonts w:ascii="Arial"/>
                <w:b/>
                <w:spacing w:val="-31"/>
                <w:w w:val="130"/>
                <w:sz w:val="14"/>
              </w:rPr>
              <w:t> </w:t>
            </w:r>
            <w:r>
              <w:rPr>
                <w:rFonts w:ascii="Arial"/>
                <w:b/>
                <w:spacing w:val="-5"/>
                <w:w w:val="130"/>
                <w:sz w:val="14"/>
              </w:rPr>
              <w:t>ria</w:t>
            </w:r>
          </w:p>
        </w:tc>
        <w:tc>
          <w:tcPr>
            <w:tcW w:w="125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97"/>
              <w:ind w:left="32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8"/>
                <w:w w:val="130"/>
                <w:sz w:val="14"/>
              </w:rPr>
              <w:t>Bá</w:t>
            </w:r>
            <w:r>
              <w:rPr>
                <w:rFonts w:ascii="Arial" w:hAnsi="Arial"/>
                <w:b/>
                <w:spacing w:val="-32"/>
                <w:w w:val="130"/>
                <w:sz w:val="14"/>
              </w:rPr>
              <w:t> </w:t>
            </w:r>
            <w:r>
              <w:rPr>
                <w:rFonts w:ascii="Arial" w:hAnsi="Arial"/>
                <w:b/>
                <w:spacing w:val="-8"/>
                <w:w w:val="130"/>
                <w:sz w:val="14"/>
              </w:rPr>
              <w:t>sic</w:t>
            </w:r>
            <w:r>
              <w:rPr>
                <w:rFonts w:ascii="Arial" w:hAnsi="Arial"/>
                <w:b/>
                <w:spacing w:val="-36"/>
                <w:w w:val="130"/>
                <w:sz w:val="14"/>
              </w:rPr>
              <w:t> </w:t>
            </w:r>
            <w:r>
              <w:rPr>
                <w:rFonts w:ascii="Arial" w:hAnsi="Arial"/>
                <w:b/>
                <w:spacing w:val="-8"/>
                <w:w w:val="130"/>
                <w:sz w:val="14"/>
              </w:rPr>
              <w:t>o</w:t>
            </w:r>
          </w:p>
        </w:tc>
        <w:tc>
          <w:tcPr>
            <w:tcW w:w="1407" w:type="dxa"/>
            <w:tcBorders>
              <w:left w:val="single" w:sz="8" w:space="0" w:color="000000"/>
              <w:right w:val="nil"/>
            </w:tcBorders>
            <w:shd w:val="clear" w:color="auto" w:fill="F1F1F1"/>
          </w:tcPr>
          <w:p>
            <w:pPr>
              <w:pStyle w:val="TableParagraph"/>
              <w:spacing w:before="97"/>
              <w:ind w:left="108" w:right="10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w w:val="130"/>
                <w:sz w:val="14"/>
              </w:rPr>
              <w:t>Dive</w:t>
            </w:r>
            <w:r>
              <w:rPr>
                <w:rFonts w:ascii="Arial"/>
                <w:b/>
                <w:spacing w:val="-36"/>
                <w:w w:val="130"/>
                <w:sz w:val="14"/>
              </w:rPr>
              <w:t> </w:t>
            </w:r>
            <w:r>
              <w:rPr>
                <w:rFonts w:ascii="Arial"/>
                <w:b/>
                <w:spacing w:val="-2"/>
                <w:w w:val="130"/>
                <w:sz w:val="14"/>
              </w:rPr>
              <w:t>rsific</w:t>
            </w:r>
            <w:r>
              <w:rPr>
                <w:rFonts w:ascii="Arial"/>
                <w:b/>
                <w:spacing w:val="-35"/>
                <w:w w:val="130"/>
                <w:sz w:val="14"/>
              </w:rPr>
              <w:t> </w:t>
            </w:r>
            <w:r>
              <w:rPr>
                <w:rFonts w:ascii="Arial"/>
                <w:b/>
                <w:spacing w:val="-2"/>
                <w:w w:val="130"/>
                <w:sz w:val="14"/>
              </w:rPr>
              <w:t>ado</w:t>
            </w:r>
          </w:p>
        </w:tc>
      </w:tr>
      <w:tr>
        <w:trPr>
          <w:trHeight w:val="353" w:hRule="atLeast"/>
        </w:trPr>
        <w:tc>
          <w:tcPr>
            <w:tcW w:w="1092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343"/>
              <w:rPr>
                <w:rFonts w:ascii="Verdana"/>
                <w:sz w:val="14"/>
              </w:rPr>
            </w:pPr>
            <w:r>
              <w:rPr>
                <w:rFonts w:ascii="Verdana"/>
                <w:w w:val="115"/>
                <w:sz w:val="14"/>
              </w:rPr>
              <w:t>2017</w:t>
            </w: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261" w:right="26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Ta</w:t>
            </w:r>
            <w:r>
              <w:rPr>
                <w:rFonts w:ascii="Arial"/>
                <w:b/>
                <w:color w:val="1D7CB3"/>
                <w:spacing w:val="-27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sa</w:t>
            </w:r>
            <w:r>
              <w:rPr>
                <w:rFonts w:ascii="Arial"/>
                <w:b/>
                <w:color w:val="1D7CB3"/>
                <w:spacing w:val="16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Bruta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de</w:t>
            </w:r>
            <w:r>
              <w:rPr>
                <w:rFonts w:ascii="Arial"/>
                <w:b/>
                <w:color w:val="1D7CB3"/>
                <w:spacing w:val="12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Cobertura</w:t>
            </w:r>
          </w:p>
        </w:tc>
        <w:tc>
          <w:tcPr>
            <w:tcW w:w="13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0"/>
              <w:ind w:left="132" w:right="103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99,79%</w:t>
            </w:r>
          </w:p>
        </w:tc>
        <w:tc>
          <w:tcPr>
            <w:tcW w:w="141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0"/>
              <w:ind w:left="326" w:right="303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115,17%</w:t>
            </w:r>
          </w:p>
        </w:tc>
        <w:tc>
          <w:tcPr>
            <w:tcW w:w="12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0"/>
              <w:ind w:left="377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66,11%</w:t>
            </w:r>
          </w:p>
        </w:tc>
        <w:tc>
          <w:tcPr>
            <w:tcW w:w="1407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90"/>
              <w:ind w:left="106" w:right="100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32,75%</w:t>
            </w:r>
          </w:p>
        </w:tc>
      </w:tr>
      <w:tr>
        <w:trPr>
          <w:trHeight w:val="352" w:hRule="atLeast"/>
        </w:trPr>
        <w:tc>
          <w:tcPr>
            <w:tcW w:w="109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3"/>
              <w:ind w:left="243" w:right="26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Ta</w:t>
            </w:r>
            <w:r>
              <w:rPr>
                <w:rFonts w:ascii="Arial"/>
                <w:b/>
                <w:color w:val="1D7CB3"/>
                <w:spacing w:val="-26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sa</w:t>
            </w:r>
            <w:r>
              <w:rPr>
                <w:rFonts w:ascii="Arial"/>
                <w:b/>
                <w:color w:val="1D7CB3"/>
                <w:spacing w:val="18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Neta</w:t>
            </w:r>
            <w:r>
              <w:rPr>
                <w:rFonts w:ascii="Arial"/>
                <w:b/>
                <w:color w:val="1D7CB3"/>
                <w:spacing w:val="18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Cobertura</w:t>
            </w:r>
          </w:p>
        </w:tc>
        <w:tc>
          <w:tcPr>
            <w:tcW w:w="132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89"/>
              <w:ind w:left="132" w:right="103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67,69%</w:t>
            </w:r>
          </w:p>
        </w:tc>
        <w:tc>
          <w:tcPr>
            <w:tcW w:w="14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89"/>
              <w:ind w:left="326" w:right="314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93,66%</w:t>
            </w:r>
          </w:p>
        </w:tc>
        <w:tc>
          <w:tcPr>
            <w:tcW w:w="125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89"/>
              <w:ind w:left="377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38,22%</w:t>
            </w:r>
          </w:p>
        </w:tc>
        <w:tc>
          <w:tcPr>
            <w:tcW w:w="1407" w:type="dxa"/>
            <w:tcBorders>
              <w:left w:val="single" w:sz="8" w:space="0" w:color="000000"/>
              <w:right w:val="nil"/>
            </w:tcBorders>
            <w:shd w:val="clear" w:color="auto" w:fill="DAEDF3"/>
          </w:tcPr>
          <w:p>
            <w:pPr>
              <w:pStyle w:val="TableParagraph"/>
              <w:spacing w:before="89"/>
              <w:ind w:left="106" w:right="10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333333"/>
                <w:w w:val="125"/>
                <w:sz w:val="12"/>
              </w:rPr>
              <w:t>20,79%</w:t>
            </w:r>
          </w:p>
        </w:tc>
      </w:tr>
      <w:tr>
        <w:trPr>
          <w:trHeight w:val="352" w:hRule="atLeast"/>
        </w:trPr>
        <w:tc>
          <w:tcPr>
            <w:tcW w:w="1092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343"/>
              <w:rPr>
                <w:rFonts w:ascii="Verdana"/>
                <w:sz w:val="14"/>
              </w:rPr>
            </w:pPr>
            <w:r>
              <w:rPr>
                <w:rFonts w:ascii="Verdana"/>
                <w:w w:val="115"/>
                <w:sz w:val="14"/>
              </w:rPr>
              <w:t>2018</w:t>
            </w: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261" w:right="26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Ta</w:t>
            </w:r>
            <w:r>
              <w:rPr>
                <w:rFonts w:ascii="Arial"/>
                <w:b/>
                <w:color w:val="1D7CB3"/>
                <w:spacing w:val="-27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sa</w:t>
            </w:r>
            <w:r>
              <w:rPr>
                <w:rFonts w:ascii="Arial"/>
                <w:b/>
                <w:color w:val="1D7CB3"/>
                <w:spacing w:val="16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Bruta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de</w:t>
            </w:r>
            <w:r>
              <w:rPr>
                <w:rFonts w:ascii="Arial"/>
                <w:b/>
                <w:color w:val="1D7CB3"/>
                <w:spacing w:val="12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Cobertura</w:t>
            </w:r>
          </w:p>
        </w:tc>
        <w:tc>
          <w:tcPr>
            <w:tcW w:w="13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116" w:right="103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104,58%</w:t>
            </w:r>
          </w:p>
        </w:tc>
        <w:tc>
          <w:tcPr>
            <w:tcW w:w="141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326" w:right="303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117,85%</w:t>
            </w:r>
          </w:p>
        </w:tc>
        <w:tc>
          <w:tcPr>
            <w:tcW w:w="12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377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70,01%</w:t>
            </w:r>
          </w:p>
        </w:tc>
        <w:tc>
          <w:tcPr>
            <w:tcW w:w="1407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91"/>
              <w:ind w:left="106" w:right="100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32,97%</w:t>
            </w:r>
          </w:p>
        </w:tc>
      </w:tr>
      <w:tr>
        <w:trPr>
          <w:trHeight w:val="353" w:hRule="atLeast"/>
        </w:trPr>
        <w:tc>
          <w:tcPr>
            <w:tcW w:w="109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3"/>
              <w:ind w:left="243" w:right="26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Ta</w:t>
            </w:r>
            <w:r>
              <w:rPr>
                <w:rFonts w:ascii="Arial"/>
                <w:b/>
                <w:color w:val="1D7CB3"/>
                <w:spacing w:val="-26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sa</w:t>
            </w:r>
            <w:r>
              <w:rPr>
                <w:rFonts w:ascii="Arial"/>
                <w:b/>
                <w:color w:val="1D7CB3"/>
                <w:spacing w:val="18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Neta</w:t>
            </w:r>
            <w:r>
              <w:rPr>
                <w:rFonts w:ascii="Arial"/>
                <w:b/>
                <w:color w:val="1D7CB3"/>
                <w:spacing w:val="18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Cobertura</w:t>
            </w:r>
          </w:p>
        </w:tc>
        <w:tc>
          <w:tcPr>
            <w:tcW w:w="132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94"/>
              <w:ind w:left="121" w:right="10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333333"/>
                <w:w w:val="130"/>
                <w:sz w:val="13"/>
              </w:rPr>
              <w:t>72,80%</w:t>
            </w:r>
          </w:p>
        </w:tc>
        <w:tc>
          <w:tcPr>
            <w:tcW w:w="14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91"/>
              <w:ind w:left="326" w:right="314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95,74%</w:t>
            </w:r>
          </w:p>
        </w:tc>
        <w:tc>
          <w:tcPr>
            <w:tcW w:w="125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94"/>
              <w:ind w:left="34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333333"/>
                <w:w w:val="130"/>
                <w:sz w:val="13"/>
              </w:rPr>
              <w:t>41,67%</w:t>
            </w:r>
          </w:p>
        </w:tc>
        <w:tc>
          <w:tcPr>
            <w:tcW w:w="1407" w:type="dxa"/>
            <w:tcBorders>
              <w:left w:val="single" w:sz="8" w:space="0" w:color="000000"/>
              <w:right w:val="nil"/>
            </w:tcBorders>
            <w:shd w:val="clear" w:color="auto" w:fill="DAEDF3"/>
          </w:tcPr>
          <w:p>
            <w:pPr>
              <w:pStyle w:val="TableParagraph"/>
              <w:spacing w:before="91"/>
              <w:ind w:left="106" w:right="100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20,78%</w:t>
            </w:r>
          </w:p>
        </w:tc>
      </w:tr>
      <w:tr>
        <w:trPr>
          <w:trHeight w:val="352" w:hRule="atLeast"/>
        </w:trPr>
        <w:tc>
          <w:tcPr>
            <w:tcW w:w="1092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343"/>
              <w:rPr>
                <w:rFonts w:ascii="Verdana"/>
                <w:sz w:val="14"/>
              </w:rPr>
            </w:pPr>
            <w:r>
              <w:rPr>
                <w:rFonts w:ascii="Verdana"/>
                <w:w w:val="115"/>
                <w:sz w:val="14"/>
              </w:rPr>
              <w:t>2019</w:t>
            </w: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261" w:right="26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Ta</w:t>
            </w:r>
            <w:r>
              <w:rPr>
                <w:rFonts w:ascii="Arial"/>
                <w:b/>
                <w:color w:val="1D7CB3"/>
                <w:spacing w:val="-27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sa</w:t>
            </w:r>
            <w:r>
              <w:rPr>
                <w:rFonts w:ascii="Arial"/>
                <w:b/>
                <w:color w:val="1D7CB3"/>
                <w:spacing w:val="16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Bruta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de</w:t>
            </w:r>
            <w:r>
              <w:rPr>
                <w:rFonts w:ascii="Arial"/>
                <w:b/>
                <w:color w:val="1D7CB3"/>
                <w:spacing w:val="12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Cobertura</w:t>
            </w:r>
          </w:p>
        </w:tc>
        <w:tc>
          <w:tcPr>
            <w:tcW w:w="13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0"/>
              <w:ind w:left="116" w:right="103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103,70%</w:t>
            </w:r>
          </w:p>
        </w:tc>
        <w:tc>
          <w:tcPr>
            <w:tcW w:w="141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0"/>
              <w:ind w:left="326" w:right="303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115,54%</w:t>
            </w:r>
          </w:p>
        </w:tc>
        <w:tc>
          <w:tcPr>
            <w:tcW w:w="12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0"/>
              <w:ind w:left="377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67,30%</w:t>
            </w:r>
          </w:p>
        </w:tc>
        <w:tc>
          <w:tcPr>
            <w:tcW w:w="1407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90"/>
              <w:ind w:left="106" w:right="100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32,71%</w:t>
            </w:r>
          </w:p>
        </w:tc>
      </w:tr>
      <w:tr>
        <w:trPr>
          <w:trHeight w:val="352" w:hRule="atLeast"/>
        </w:trPr>
        <w:tc>
          <w:tcPr>
            <w:tcW w:w="109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3"/>
              <w:ind w:left="243" w:right="26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Ta</w:t>
            </w:r>
            <w:r>
              <w:rPr>
                <w:rFonts w:ascii="Arial"/>
                <w:b/>
                <w:color w:val="1D7CB3"/>
                <w:spacing w:val="-26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sa</w:t>
            </w:r>
            <w:r>
              <w:rPr>
                <w:rFonts w:ascii="Arial"/>
                <w:b/>
                <w:color w:val="1D7CB3"/>
                <w:spacing w:val="18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Neta</w:t>
            </w:r>
            <w:r>
              <w:rPr>
                <w:rFonts w:ascii="Arial"/>
                <w:b/>
                <w:color w:val="1D7CB3"/>
                <w:spacing w:val="18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Cobertura</w:t>
            </w:r>
          </w:p>
        </w:tc>
        <w:tc>
          <w:tcPr>
            <w:tcW w:w="132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91"/>
              <w:ind w:left="132" w:right="103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72,71%</w:t>
            </w:r>
          </w:p>
        </w:tc>
        <w:tc>
          <w:tcPr>
            <w:tcW w:w="14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94"/>
              <w:ind w:left="326" w:right="29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333333"/>
                <w:w w:val="130"/>
                <w:sz w:val="13"/>
              </w:rPr>
              <w:t>95,84%</w:t>
            </w:r>
          </w:p>
        </w:tc>
        <w:tc>
          <w:tcPr>
            <w:tcW w:w="125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91"/>
              <w:ind w:left="377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41,03%</w:t>
            </w:r>
          </w:p>
        </w:tc>
        <w:tc>
          <w:tcPr>
            <w:tcW w:w="1407" w:type="dxa"/>
            <w:tcBorders>
              <w:left w:val="single" w:sz="8" w:space="0" w:color="000000"/>
              <w:right w:val="nil"/>
            </w:tcBorders>
            <w:shd w:val="clear" w:color="auto" w:fill="DAEDF3"/>
          </w:tcPr>
          <w:p>
            <w:pPr>
              <w:pStyle w:val="TableParagraph"/>
              <w:spacing w:before="91"/>
              <w:ind w:left="106" w:right="100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20,06%</w:t>
            </w:r>
          </w:p>
        </w:tc>
      </w:tr>
      <w:tr>
        <w:trPr>
          <w:trHeight w:val="353" w:hRule="atLeast"/>
        </w:trPr>
        <w:tc>
          <w:tcPr>
            <w:tcW w:w="1092" w:type="dxa"/>
            <w:vMerge w:val="restart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343"/>
              <w:rPr>
                <w:rFonts w:ascii="Verdana"/>
                <w:sz w:val="14"/>
              </w:rPr>
            </w:pPr>
            <w:r>
              <w:rPr>
                <w:rFonts w:ascii="Verdana"/>
                <w:w w:val="115"/>
                <w:sz w:val="14"/>
              </w:rPr>
              <w:t>2020</w:t>
            </w:r>
          </w:p>
        </w:tc>
        <w:tc>
          <w:tcPr>
            <w:tcW w:w="23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261" w:right="26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Ta</w:t>
            </w:r>
            <w:r>
              <w:rPr>
                <w:rFonts w:ascii="Arial"/>
                <w:b/>
                <w:color w:val="1D7CB3"/>
                <w:spacing w:val="-27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sa</w:t>
            </w:r>
            <w:r>
              <w:rPr>
                <w:rFonts w:ascii="Arial"/>
                <w:b/>
                <w:color w:val="1D7CB3"/>
                <w:spacing w:val="16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Bruta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de</w:t>
            </w:r>
            <w:r>
              <w:rPr>
                <w:rFonts w:ascii="Arial"/>
                <w:b/>
                <w:color w:val="1D7CB3"/>
                <w:spacing w:val="12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25"/>
                <w:sz w:val="12"/>
              </w:rPr>
              <w:t>Cobertura</w:t>
            </w:r>
          </w:p>
        </w:tc>
        <w:tc>
          <w:tcPr>
            <w:tcW w:w="13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132" w:right="103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97,80%</w:t>
            </w:r>
          </w:p>
        </w:tc>
        <w:tc>
          <w:tcPr>
            <w:tcW w:w="141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326" w:right="303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113,75%</w:t>
            </w:r>
          </w:p>
        </w:tc>
        <w:tc>
          <w:tcPr>
            <w:tcW w:w="12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377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66,21%</w:t>
            </w:r>
          </w:p>
        </w:tc>
        <w:tc>
          <w:tcPr>
            <w:tcW w:w="1407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91"/>
              <w:ind w:left="106" w:right="100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33,13%</w:t>
            </w:r>
          </w:p>
        </w:tc>
      </w:tr>
      <w:tr>
        <w:trPr>
          <w:trHeight w:val="356" w:hRule="atLeast"/>
        </w:trPr>
        <w:tc>
          <w:tcPr>
            <w:tcW w:w="109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4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3"/>
              <w:ind w:left="243" w:right="26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Ta</w:t>
            </w:r>
            <w:r>
              <w:rPr>
                <w:rFonts w:ascii="Arial"/>
                <w:b/>
                <w:color w:val="1D7CB3"/>
                <w:spacing w:val="-26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sa</w:t>
            </w:r>
            <w:r>
              <w:rPr>
                <w:rFonts w:ascii="Arial"/>
                <w:b/>
                <w:color w:val="1D7CB3"/>
                <w:spacing w:val="18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Neta</w:t>
            </w:r>
            <w:r>
              <w:rPr>
                <w:rFonts w:ascii="Arial"/>
                <w:b/>
                <w:color w:val="1D7CB3"/>
                <w:spacing w:val="18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w w:val="125"/>
                <w:sz w:val="12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25"/>
                <w:sz w:val="12"/>
              </w:rPr>
              <w:t>Cobertura</w:t>
            </w:r>
          </w:p>
        </w:tc>
        <w:tc>
          <w:tcPr>
            <w:tcW w:w="1326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90"/>
              <w:ind w:left="132" w:right="103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69,95%</w:t>
            </w:r>
          </w:p>
        </w:tc>
        <w:tc>
          <w:tcPr>
            <w:tcW w:w="1411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90"/>
              <w:ind w:left="326" w:right="314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95,46%</w:t>
            </w:r>
          </w:p>
        </w:tc>
        <w:tc>
          <w:tcPr>
            <w:tcW w:w="1259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90"/>
              <w:ind w:left="377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40,98%</w:t>
            </w:r>
          </w:p>
        </w:tc>
        <w:tc>
          <w:tcPr>
            <w:tcW w:w="1407" w:type="dxa"/>
            <w:tcBorders>
              <w:left w:val="single" w:sz="8" w:space="0" w:color="000000"/>
              <w:bottom w:val="nil"/>
              <w:right w:val="nil"/>
            </w:tcBorders>
            <w:shd w:val="clear" w:color="auto" w:fill="DAEDF3"/>
          </w:tcPr>
          <w:p>
            <w:pPr>
              <w:pStyle w:val="TableParagraph"/>
              <w:spacing w:before="90"/>
              <w:ind w:left="106" w:right="100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color w:val="333333"/>
                <w:w w:val="125"/>
                <w:sz w:val="12"/>
              </w:rPr>
              <w:t>19,47%</w:t>
            </w:r>
          </w:p>
        </w:tc>
      </w:tr>
    </w:tbl>
    <w:p>
      <w:pPr>
        <w:spacing w:before="14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3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3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ind w:left="278" w:right="1073"/>
        <w:jc w:val="both"/>
      </w:pPr>
      <w:r>
        <w:rPr/>
        <w:t>El nivel preprimaria reporta una alta cobertura durante el periodo 2017‐2020, con una TNE de (67.69%),</w:t>
      </w:r>
      <w:r>
        <w:rPr>
          <w:spacing w:val="1"/>
        </w:rPr>
        <w:t> </w:t>
      </w:r>
      <w:r>
        <w:rPr/>
        <w:t>(72.80%), (77.71%) y (69.95%) respectivamente durante los años indicados. Por esta razón, siete (7) de</w:t>
      </w:r>
      <w:r>
        <w:rPr>
          <w:spacing w:val="1"/>
        </w:rPr>
        <w:t> </w:t>
      </w:r>
      <w:r>
        <w:rPr/>
        <w:t>cada diez (10) alcanzan este nivel. Además, de evidenciar un 25% más con respecto del promedio TNE</w:t>
      </w:r>
      <w:r>
        <w:rPr>
          <w:spacing w:val="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(47%).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278" w:right="1070"/>
        <w:jc w:val="both"/>
      </w:pPr>
      <w:r>
        <w:rPr/>
        <w:t>Las cifras aquí presentadas parecen confirmar que en el nivel primaria se registran mayores valores de</w:t>
      </w:r>
      <w:r>
        <w:rPr>
          <w:spacing w:val="1"/>
        </w:rPr>
        <w:t> </w:t>
      </w:r>
      <w:r>
        <w:rPr/>
        <w:t>cobertura, que van de (93.63%), (95.74%), (95.84%) y (95.46%) para cada año respectivamente. El valor</w:t>
      </w:r>
      <w:r>
        <w:rPr>
          <w:spacing w:val="1"/>
        </w:rPr>
        <w:t> </w:t>
      </w:r>
      <w:r>
        <w:rPr/>
        <w:t>promedio de la TNE de Petén es de un (95%) durante el periodo, siendo considerablemente mayor al TNE</w:t>
      </w:r>
      <w:r>
        <w:rPr>
          <w:spacing w:val="-47"/>
        </w:rPr>
        <w:t> </w:t>
      </w:r>
      <w:r>
        <w:rPr/>
        <w:t>Nacional</w:t>
      </w:r>
      <w:r>
        <w:rPr>
          <w:spacing w:val="-6"/>
        </w:rPr>
        <w:t> </w:t>
      </w:r>
      <w:r>
        <w:rPr/>
        <w:t>(77.5%)</w:t>
      </w:r>
      <w:r>
        <w:rPr>
          <w:spacing w:val="-5"/>
        </w:rPr>
        <w:t> </w:t>
      </w:r>
      <w:r>
        <w:rPr/>
        <w:t>al</w:t>
      </w:r>
      <w:r>
        <w:rPr>
          <w:spacing w:val="-6"/>
        </w:rPr>
        <w:t> </w:t>
      </w:r>
      <w:r>
        <w:rPr/>
        <w:t>último</w:t>
      </w:r>
      <w:r>
        <w:rPr>
          <w:spacing w:val="-7"/>
        </w:rPr>
        <w:t> </w:t>
      </w:r>
      <w:r>
        <w:rPr/>
        <w:t>valor</w:t>
      </w:r>
      <w:r>
        <w:rPr>
          <w:spacing w:val="-6"/>
        </w:rPr>
        <w:t> </w:t>
      </w:r>
      <w:r>
        <w:rPr/>
        <w:t>registrado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2019.</w:t>
      </w:r>
      <w:r>
        <w:rPr>
          <w:spacing w:val="-7"/>
        </w:rPr>
        <w:t> </w:t>
      </w:r>
      <w:r>
        <w:rPr/>
        <w:t>Esto</w:t>
      </w:r>
      <w:r>
        <w:rPr>
          <w:spacing w:val="-4"/>
        </w:rPr>
        <w:t> </w:t>
      </w:r>
      <w:r>
        <w:rPr/>
        <w:t>significa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hay</w:t>
      </w:r>
      <w:r>
        <w:rPr>
          <w:spacing w:val="-5"/>
        </w:rPr>
        <w:t> </w:t>
      </w:r>
      <w:r>
        <w:rPr/>
        <w:t>una</w:t>
      </w:r>
      <w:r>
        <w:rPr>
          <w:spacing w:val="-8"/>
        </w:rPr>
        <w:t> </w:t>
      </w:r>
      <w:r>
        <w:rPr/>
        <w:t>cobertura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100%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48"/>
        </w:rPr>
        <w:t> </w:t>
      </w:r>
      <w:r>
        <w:rPr/>
        <w:t>atención</w:t>
      </w:r>
      <w:r>
        <w:rPr>
          <w:spacing w:val="-5"/>
        </w:rPr>
        <w:t> </w:t>
      </w:r>
      <w:r>
        <w:rPr/>
        <w:t>de los niños en</w:t>
      </w:r>
      <w:r>
        <w:rPr>
          <w:spacing w:val="-3"/>
        </w:rPr>
        <w:t> </w:t>
      </w:r>
      <w:r>
        <w:rPr/>
        <w:t>edad</w:t>
      </w:r>
      <w:r>
        <w:rPr>
          <w:spacing w:val="-1"/>
        </w:rPr>
        <w:t> </w:t>
      </w:r>
      <w:r>
        <w:rPr/>
        <w:t>escolar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este</w:t>
      </w:r>
      <w:r>
        <w:rPr>
          <w:spacing w:val="1"/>
        </w:rPr>
        <w:t> </w:t>
      </w:r>
      <w:r>
        <w:rPr/>
        <w:t>nivel.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ind w:left="278" w:right="1071"/>
        <w:jc w:val="both"/>
      </w:pPr>
      <w:r>
        <w:rPr/>
        <w:t>Por lo que se refiere a educación básica, los valores promedio para el período presentan un aumento</w:t>
      </w:r>
      <w:r>
        <w:rPr>
          <w:spacing w:val="1"/>
        </w:rPr>
        <w:t> </w:t>
      </w:r>
      <w:r>
        <w:rPr/>
        <w:t>considerable respecto con los datos nacionales (TNE:45.49%), debido a que reportan valores que van</w:t>
      </w:r>
      <w:r>
        <w:rPr>
          <w:spacing w:val="1"/>
        </w:rPr>
        <w:t> </w:t>
      </w:r>
      <w:r>
        <w:rPr/>
        <w:t>desde (38.22%), (41.67%), (41.03%) y (40.98%), respectivamente para el período analizado.</w:t>
      </w:r>
      <w:r>
        <w:rPr>
          <w:spacing w:val="1"/>
        </w:rPr>
        <w:t> </w:t>
      </w:r>
      <w:r>
        <w:rPr/>
        <w:t>Todo parece</w:t>
      </w:r>
      <w:r>
        <w:rPr>
          <w:spacing w:val="1"/>
        </w:rPr>
        <w:t> </w:t>
      </w:r>
      <w:r>
        <w:rPr/>
        <w:t>indicar que se posee una tasa neta promedio de TN departamental del 40.58%, lo cual representa un 5%</w:t>
      </w:r>
      <w:r>
        <w:rPr>
          <w:spacing w:val="1"/>
        </w:rPr>
        <w:t> </w:t>
      </w:r>
      <w:r>
        <w:rPr/>
        <w:t>por debajo de la cifra nacional. Todo esto parece confirmar que 4 de cada 10 adolescentes que</w:t>
      </w:r>
      <w:r>
        <w:rPr>
          <w:spacing w:val="1"/>
        </w:rPr>
        <w:t> </w:t>
      </w:r>
      <w:r>
        <w:rPr/>
        <w:t>están 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nivel.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  <w:r>
        <w:rPr/>
        <w:pict>
          <v:rect style="position:absolute;margin-left:563.880005pt;margin-top:14.917732pt;width:25.44pt;height:1.4399pt;mso-position-horizontal-relative:page;mso-position-vertical-relative:paragraph;z-index:-1540761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163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3577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4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1"/>
        <w:jc w:val="both"/>
      </w:pP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nivel</w:t>
      </w:r>
      <w:r>
        <w:rPr>
          <w:spacing w:val="-9"/>
        </w:rPr>
        <w:t> </w:t>
      </w:r>
      <w:r>
        <w:rPr/>
        <w:t>diversificado</w:t>
      </w:r>
      <w:r>
        <w:rPr>
          <w:spacing w:val="-7"/>
        </w:rPr>
        <w:t> </w:t>
      </w:r>
      <w:r>
        <w:rPr/>
        <w:t>el</w:t>
      </w:r>
      <w:r>
        <w:rPr>
          <w:spacing w:val="-11"/>
        </w:rPr>
        <w:t> </w:t>
      </w:r>
      <w:r>
        <w:rPr/>
        <w:t>Departamento</w:t>
      </w:r>
      <w:r>
        <w:rPr>
          <w:spacing w:val="-7"/>
        </w:rPr>
        <w:t> </w:t>
      </w:r>
      <w:r>
        <w:rPr/>
        <w:t>reporta,</w:t>
      </w:r>
      <w:r>
        <w:rPr>
          <w:spacing w:val="-8"/>
        </w:rPr>
        <w:t> </w:t>
      </w:r>
      <w:r>
        <w:rPr/>
        <w:t>(20.79%),</w:t>
      </w:r>
      <w:r>
        <w:rPr>
          <w:spacing w:val="35"/>
        </w:rPr>
        <w:t> </w:t>
      </w:r>
      <w:r>
        <w:rPr/>
        <w:t>(20.78%),</w:t>
      </w:r>
      <w:r>
        <w:rPr>
          <w:spacing w:val="-6"/>
        </w:rPr>
        <w:t> </w:t>
      </w:r>
      <w:r>
        <w:rPr/>
        <w:t>(20.06%)</w:t>
      </w:r>
      <w:r>
        <w:rPr>
          <w:spacing w:val="-9"/>
        </w:rPr>
        <w:t> </w:t>
      </w:r>
      <w:r>
        <w:rPr/>
        <w:t>y</w:t>
      </w:r>
      <w:r>
        <w:rPr>
          <w:spacing w:val="-6"/>
        </w:rPr>
        <w:t> </w:t>
      </w:r>
      <w:r>
        <w:rPr/>
        <w:t>(19.47%)</w:t>
      </w:r>
      <w:r>
        <w:rPr>
          <w:spacing w:val="-6"/>
        </w:rPr>
        <w:t> </w:t>
      </w:r>
      <w:r>
        <w:rPr/>
        <w:t>para</w:t>
      </w:r>
      <w:r>
        <w:rPr>
          <w:spacing w:val="-10"/>
        </w:rPr>
        <w:t> </w:t>
      </w:r>
      <w:r>
        <w:rPr/>
        <w:t>cada</w:t>
      </w:r>
      <w:r>
        <w:rPr>
          <w:spacing w:val="-8"/>
        </w:rPr>
        <w:t> </w:t>
      </w:r>
      <w:r>
        <w:rPr/>
        <w:t>año,</w:t>
      </w:r>
      <w:r>
        <w:rPr>
          <w:spacing w:val="-48"/>
        </w:rPr>
        <w:t> </w:t>
      </w:r>
      <w:r>
        <w:rPr/>
        <w:t>siendo el promedio departamental del 20%. En términos generales los porcentajes de TNE presentan una</w:t>
      </w:r>
      <w:r>
        <w:rPr>
          <w:spacing w:val="-47"/>
        </w:rPr>
        <w:t> </w:t>
      </w:r>
      <w:r>
        <w:rPr/>
        <w:t>diferencia a la baja del 4% respecto del nivel Nacional (24%). Según el INE, 2018 dentro de las causas</w:t>
      </w:r>
      <w:r>
        <w:rPr>
          <w:spacing w:val="1"/>
        </w:rPr>
        <w:t> </w:t>
      </w:r>
      <w:r>
        <w:rPr/>
        <w:t>principales</w:t>
      </w:r>
      <w:r>
        <w:rPr>
          <w:spacing w:val="-10"/>
        </w:rPr>
        <w:t> </w:t>
      </w:r>
      <w:r>
        <w:rPr/>
        <w:t>están: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falta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dinero</w:t>
      </w:r>
      <w:r>
        <w:rPr>
          <w:spacing w:val="-9"/>
        </w:rPr>
        <w:t> </w:t>
      </w:r>
      <w:r>
        <w:rPr/>
        <w:t>(23%)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porque</w:t>
      </w:r>
      <w:r>
        <w:rPr>
          <w:spacing w:val="-10"/>
        </w:rPr>
        <w:t> </w:t>
      </w:r>
      <w:r>
        <w:rPr/>
        <w:t>tiene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trabajar</w:t>
      </w:r>
      <w:r>
        <w:rPr>
          <w:spacing w:val="-11"/>
        </w:rPr>
        <w:t> </w:t>
      </w:r>
      <w:r>
        <w:rPr/>
        <w:t>(15%).</w:t>
      </w:r>
      <w:r>
        <w:rPr>
          <w:spacing w:val="-11"/>
        </w:rPr>
        <w:t> </w:t>
      </w:r>
      <w:r>
        <w:rPr/>
        <w:t>Es</w:t>
      </w:r>
      <w:r>
        <w:rPr>
          <w:spacing w:val="-10"/>
        </w:rPr>
        <w:t> </w:t>
      </w:r>
      <w:r>
        <w:rPr/>
        <w:t>decir,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alta</w:t>
      </w:r>
      <w:r>
        <w:rPr>
          <w:spacing w:val="-11"/>
        </w:rPr>
        <w:t> </w:t>
      </w:r>
      <w:r>
        <w:rPr/>
        <w:t>deserción</w:t>
      </w:r>
      <w:r>
        <w:rPr>
          <w:spacing w:val="-48"/>
        </w:rPr>
        <w:t> </w:t>
      </w:r>
      <w:r>
        <w:rPr/>
        <w:t>escolar de adolescentes se debe a la incorporación de jóvenes al mercado laboral lo que provoca un</w:t>
      </w:r>
      <w:r>
        <w:rPr>
          <w:spacing w:val="1"/>
        </w:rPr>
        <w:t> </w:t>
      </w:r>
      <w:r>
        <w:rPr/>
        <w:t>abandono de</w:t>
      </w:r>
      <w:r>
        <w:rPr>
          <w:spacing w:val="-3"/>
        </w:rPr>
        <w:t> </w:t>
      </w:r>
      <w:r>
        <w:rPr/>
        <w:t>la educación</w:t>
      </w:r>
      <w:r>
        <w:rPr>
          <w:spacing w:val="-3"/>
        </w:rPr>
        <w:t> </w:t>
      </w:r>
      <w:r>
        <w:rPr/>
        <w:t>básica y diversificada.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3"/>
        <w:jc w:val="both"/>
      </w:pPr>
      <w:r>
        <w:rPr/>
        <w:t>Por otro lado, según DIPLAN (2021), durante el 2020 dentro de las principales causas de abandono de los</w:t>
      </w:r>
      <w:r>
        <w:rPr>
          <w:spacing w:val="-47"/>
        </w:rPr>
        <w:t> </w:t>
      </w:r>
      <w:r>
        <w:rPr/>
        <w:t>niveles básico y diversificado se debe particularmente a las siguientes razones: 1. No le interesa. 2. Retiro</w:t>
      </w:r>
      <w:r>
        <w:rPr>
          <w:spacing w:val="-47"/>
        </w:rPr>
        <w:t> </w:t>
      </w:r>
      <w:r>
        <w:rPr/>
        <w:t>por</w:t>
      </w:r>
      <w:r>
        <w:rPr>
          <w:spacing w:val="-1"/>
        </w:rPr>
        <w:t> </w:t>
      </w:r>
      <w:r>
        <w:rPr/>
        <w:t>Traslado.</w:t>
      </w:r>
      <w:r>
        <w:rPr>
          <w:spacing w:val="-3"/>
        </w:rPr>
        <w:t> </w:t>
      </w:r>
      <w:r>
        <w:rPr/>
        <w:t>3.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y 4.</w:t>
      </w:r>
      <w:r>
        <w:rPr>
          <w:spacing w:val="-1"/>
        </w:rPr>
        <w:t> </w:t>
      </w:r>
      <w:r>
        <w:rPr/>
        <w:t>Migración</w:t>
      </w:r>
      <w:r>
        <w:rPr>
          <w:spacing w:val="-1"/>
        </w:rPr>
        <w:t> </w:t>
      </w:r>
      <w:r>
        <w:rPr/>
        <w:t>Temporal.</w:t>
      </w:r>
    </w:p>
    <w:p>
      <w:pPr>
        <w:pStyle w:val="BodyText"/>
        <w:spacing w:before="10"/>
        <w:rPr>
          <w:sz w:val="19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198" w:id="329"/>
      <w:bookmarkEnd w:id="329"/>
      <w:r>
        <w:rPr>
          <w:b w:val="0"/>
        </w:rPr>
      </w:r>
      <w:bookmarkStart w:name="_bookmark198" w:id="330"/>
      <w:bookmarkEnd w:id="330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Cobertura:</w:t>
      </w:r>
      <w:r>
        <w:rPr>
          <w:spacing w:val="-3"/>
        </w:rPr>
        <w:t> </w:t>
      </w:r>
      <w:r>
        <w:rPr/>
        <w:t>Tasa</w:t>
      </w:r>
      <w:r>
        <w:rPr>
          <w:spacing w:val="-3"/>
        </w:rPr>
        <w:t> </w:t>
      </w:r>
      <w:r>
        <w:rPr/>
        <w:t>Bruta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Déficit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departamento,</w:t>
      </w:r>
      <w:r>
        <w:rPr>
          <w:spacing w:val="-1"/>
        </w:rPr>
        <w:t> </w:t>
      </w:r>
      <w:r>
        <w:rPr/>
        <w:t>sexo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etnia.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8"/>
        <w:jc w:val="both"/>
      </w:pPr>
      <w:r>
        <w:rPr/>
        <w:pict>
          <v:group style="position:absolute;margin-left:70.167976pt;margin-top:29.57102pt;width:467pt;height:138.8pt;mso-position-horizontal-relative:page;mso-position-vertical-relative:paragraph;z-index:-15406080;mso-wrap-distance-left:0;mso-wrap-distance-right:0" coordorigin="1403,591" coordsize="9340,2776">
            <v:rect style="position:absolute;left:1408;top:596;width:9329;height:2766" filled="true" fillcolor="#ffffff" stroked="false">
              <v:fill type="solid"/>
            </v:rect>
            <v:shape style="position:absolute;left:1952;top:2291;width:2307;height:2" coordorigin="1953,2291" coordsize="2307,0" path="m1953,2291l2546,2291m2661,2291l2825,2291m2941,2291l2957,2291m3073,2291l4259,2291e" filled="false" stroked="true" strokeweight=".424122pt" strokecolor="#888888">
              <v:path arrowok="t"/>
              <v:stroke dashstyle="solid"/>
            </v:shape>
            <v:shape style="position:absolute;left:4375;top:2289;width:6148;height:5" coordorigin="4375,2289" coordsize="6148,5" path="m4375,2294l4540,2294m4654,2294l4672,2294m4787,2294l6254,2294m6369,2294l6385,2294m6501,2294l7967,2294m8083,2294l8099,2294m8215,2294l9682,2294m9797,2294l9814,2294m9929,2294l10522,2294m4375,2289l4540,2289m4654,2289l4672,2289m4787,2289l6254,2289m6369,2289l6385,2289m6501,2289l7967,2289m8083,2289l8099,2289m8215,2289l9682,2289m9797,2289l9814,2289m9929,2289l10522,2289e" filled="false" stroked="true" strokeweight=".212057pt" strokecolor="#888888">
              <v:path arrowok="t"/>
              <v:stroke dashstyle="solid"/>
            </v:shape>
            <v:shape style="position:absolute;left:1952;top:1693;width:8570;height:475" coordorigin="1953,1694" coordsize="8570,475" path="m1953,2168l2825,2168m2941,2168l2957,2168m3073,2168l4540,2168m4654,2168l4672,2168m4787,2168l6254,2168m6369,2168l6385,2168m6501,2168l7967,2168m8083,2168l8099,2168m8215,2168l9682,2168m9797,2168l10522,2168m1953,2054l2825,2054m2941,2054l2957,2054m3073,2054l4540,2054m4654,2054l4672,2054m4787,2054l6254,2054m6369,2054l6385,2054m6501,2054l7967,2054m8083,2054l10522,2054m1953,1931l2825,1931m2941,1931l2957,1931m3073,1931l4540,1931m4654,1931l4672,1931m4787,1931l6254,1931m6369,1931l6385,1931m6501,1931l7967,1931m8083,1931l10522,1931m1953,1809l2825,1809m2941,1809l4540,1809m4654,1809l6254,1809m6369,1809l6385,1809m6501,1809l10522,1809m1953,1694l2825,1694e" filled="false" stroked="true" strokeweight=".424122pt" strokecolor="#888888">
              <v:path arrowok="t"/>
              <v:stroke dashstyle="solid"/>
            </v:shape>
            <v:shape style="position:absolute;left:2941;top:1691;width:7581;height:5" coordorigin="2941,1692" coordsize="7581,5" path="m2941,1696l6254,1696m6369,1696l10522,1696m2941,1692l6254,1692m6369,1692l10522,1692e" filled="false" stroked="true" strokeweight=".212066pt" strokecolor="#888888">
              <v:path arrowok="t"/>
              <v:stroke dashstyle="solid"/>
            </v:shape>
            <v:shape style="position:absolute;left:1952;top:1571;width:8570;height:2" coordorigin="1953,1572" coordsize="8570,0" path="m1953,1572l2825,1572m2941,1572l10522,1572e" filled="false" stroked="true" strokeweight=".424122pt" strokecolor="#888888">
              <v:path arrowok="t"/>
              <v:stroke dashstyle="solid"/>
            </v:shape>
            <v:shape style="position:absolute;left:1952;top:1334;width:8570;height:123" coordorigin="1953,1334" coordsize="8570,123" path="m1953,1457l1953,1457,10522,1457m1953,1334l1953,1334,10522,1334e" filled="false" stroked="true" strokeweight=".610388pt" strokecolor="#888888">
              <v:path arrowok="t"/>
              <v:stroke dashstyle="solid"/>
            </v:shape>
            <v:shape style="position:absolute;left:5561;top:2405;width:1830;height:5" coordorigin="5562,2405" coordsize="1830,5" path="m5677,2405l5562,2405,5562,2410,5677,2410,5677,2405xm7391,2405l7275,2405,7275,2410,7391,2410,7391,2405xe" filled="true" fillcolor="#c46627" stroked="false">
              <v:path arrowok="t"/>
              <v:fill type="solid"/>
            </v:shape>
            <v:shape style="position:absolute;left:4127;top:2405;width:1813;height:5" coordorigin="4128,2405" coordsize="1813,5" path="m4227,2405l4128,2405,4128,2410,4227,2410,4227,2405xm5940,2405l5841,2405,5841,2410,5940,2410,5940,2405xe" filled="true" fillcolor="#d29e00" stroked="false">
              <v:path arrowok="t"/>
              <v:fill type="solid"/>
            </v:shape>
            <v:shape style="position:absolute;left:2545;top:2265;width:6972;height:145" coordorigin="2546,2265" coordsize="6972,145" path="m2661,2265l2546,2265,2546,2410,2661,2410,2661,2265xm4375,2283l4259,2283,4259,2410,4375,2410,4375,2283xm6088,2300l5973,2300,5973,2410,6088,2410,6088,2300xm7803,2291l7688,2291,7688,2410,7803,2410,7803,2291xm9518,2318l9401,2318,9401,2410,9518,2410,9518,2318xe" filled="true" fillcolor="#497eaf" stroked="false">
              <v:path arrowok="t"/>
              <v:fill type="solid"/>
            </v:shape>
            <v:shape style="position:absolute;left:2694;top:2299;width:6955;height:111" coordorigin="2694,2300" coordsize="6955,111" path="m2793,2344l2694,2344,2694,2410,2793,2410,2793,2344xm4506,2326l4407,2326,4407,2410,4506,2410,4506,2326xm6221,2353l6122,2353,6122,2410,6221,2410,6221,2353xm7935,2300l7836,2300,7836,2410,7935,2410,7935,2300xm9648,2326l9549,2326,9549,2410,9648,2410,9648,2326xe" filled="true" fillcolor="#5b8e39" stroked="false">
              <v:path arrowok="t"/>
              <v:fill type="solid"/>
            </v:shape>
            <v:shape style="position:absolute;left:2825;top:1483;width:6972;height:927" coordorigin="2825,1483" coordsize="6972,927" path="m2941,1483l2825,1483,2825,2410,2941,2410,2941,1483xm4654,1694l4540,1694,4540,2410,4654,2410,4654,1694xm6369,1668l6254,1668,6254,2410,6369,2410,6369,1668xm8083,1905l7967,1905,7967,2410,8083,2410,8083,1905xm9797,2125l9682,2125,9682,2410,9797,2410,9797,2125xe" filled="true" fillcolor="#4471c4" stroked="false">
              <v:path arrowok="t"/>
              <v:fill type="solid"/>
            </v:shape>
            <v:shape style="position:absolute;left:2957;top:1782;width:6972;height:628" coordorigin="2957,1782" coordsize="6972,628" path="m3073,1835l2957,1835,2957,2410,3073,2410,3073,1835xm4787,1914l4672,1914,4672,2410,4787,2410,4787,1914xm6501,1782l6385,1782,6385,2410,6501,2410,6501,1782xm8215,2115l8099,2115,8099,2410,8215,2410,8215,2115xm9929,2221l9814,2221,9814,2410,9929,2410,9929,2221xe" filled="true" fillcolor="#ec7c30" stroked="false">
              <v:path arrowok="t"/>
              <v:fill type="solid"/>
            </v:shape>
            <v:shape style="position:absolute;left:3105;top:2405;width:5241;height:5" coordorigin="3106,2405" coordsize="5241,5" path="m3205,2405l3106,2405,3106,2410,3205,2410,3205,2405xm4919,2405l4820,2405,4820,2410,4919,2410,4919,2405xm6632,2405l6533,2405,6533,2410,6632,2410,6632,2405xm8347,2405l8248,2405,8248,2410,8347,2410,8347,2405xe" filled="true" fillcolor="#a4a4a4" stroked="false">
              <v:path arrowok="t"/>
              <v:fill type="solid"/>
            </v:shape>
            <v:rect style="position:absolute;left:6797;top:2405;width:116;height:5" filled="true" fillcolor="#5b9bd4" stroked="false">
              <v:fill type="solid"/>
            </v:rect>
            <v:shape style="position:absolute;left:1953;top:2409;width:8570;height:2" coordorigin="1954,2410" coordsize="8570,0" path="m1954,2410l1954,2410,10523,2410e" filled="false" stroked="true" strokeweight=".424097pt" strokecolor="#888888">
              <v:path arrowok="t"/>
              <v:stroke dashstyle="solid"/>
            </v:shape>
            <v:rect style="position:absolute;left:2373;top:2703;width:82;height:44" filled="true" fillcolor="#375da0" stroked="false">
              <v:fill type="solid"/>
            </v:rect>
            <v:rect style="position:absolute;left:5113;top:2703;width:82;height:44" filled="true" fillcolor="#c46627" stroked="false">
              <v:fill type="solid"/>
            </v:rect>
            <v:rect style="position:absolute;left:7851;top:2703;width:82;height:44" filled="true" fillcolor="#878787" stroked="false">
              <v:fill type="solid"/>
            </v:rect>
            <v:rect style="position:absolute;left:2373;top:2865;width:82;height:44" filled="true" fillcolor="#d29e00" stroked="false">
              <v:fill type="solid"/>
            </v:rect>
            <v:rect style="position:absolute;left:5113;top:2865;width:82;height:44" filled="true" fillcolor="#497eaf" stroked="false">
              <v:fill type="solid"/>
            </v:rect>
            <v:rect style="position:absolute;left:7851;top:2865;width:82;height:44" filled="true" fillcolor="#5b8e39" stroked="false">
              <v:fill type="solid"/>
            </v:rect>
            <v:rect style="position:absolute;left:2373;top:3027;width:82;height:44" filled="true" fillcolor="#4471c4" stroked="false">
              <v:fill type="solid"/>
            </v:rect>
            <v:rect style="position:absolute;left:5113;top:3027;width:82;height:44" filled="true" fillcolor="#ec7c30" stroked="false">
              <v:fill type="solid"/>
            </v:rect>
            <v:rect style="position:absolute;left:7851;top:3027;width:82;height:44" filled="true" fillcolor="#a4a4a4" stroked="false">
              <v:fill type="solid"/>
            </v:rect>
            <v:rect style="position:absolute;left:2373;top:3189;width:82;height:44" filled="true" fillcolor="#ffc000" stroked="false">
              <v:fill type="solid"/>
            </v:rect>
            <v:rect style="position:absolute;left:5113;top:3189;width:82;height:44" filled="true" fillcolor="#5b9bd4" stroked="false">
              <v:fill type="solid"/>
            </v:rect>
            <v:rect style="position:absolute;left:7851;top:3189;width:82;height:44" filled="true" fillcolor="#6fac46" stroked="false">
              <v:fill type="solid"/>
            </v:rect>
            <v:rect style="position:absolute;left:1408;top:596;width:9329;height:2766" filled="false" stroked="true" strokeweight=".454187pt" strokecolor="#888888">
              <v:stroke dashstyle="solid"/>
            </v:rect>
            <v:shape style="position:absolute;left:2596;top:695;width:6923;height:50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57" w:right="18" w:firstLine="0"/>
                      <w:jc w:val="center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4"/>
                        <w:w w:val="185"/>
                        <w:sz w:val="16"/>
                      </w:rPr>
                      <w:t>Pe</w:t>
                    </w:r>
                    <w:r>
                      <w:rPr>
                        <w:rFonts w:ascii="Arial" w:hAnsi="Arial"/>
                        <w:b/>
                        <w:spacing w:val="-58"/>
                        <w:w w:val="1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85"/>
                        <w:sz w:val="16"/>
                      </w:rPr>
                      <w:t>tén</w:t>
                    </w:r>
                  </w:p>
                  <w:p>
                    <w:pPr>
                      <w:spacing w:line="249" w:lineRule="auto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spacing w:val="-52"/>
                        <w:w w:val="188"/>
                        <w:sz w:val="14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6"/>
                        <w:w w:val="188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-10"/>
                        <w:w w:val="188"/>
                        <w:sz w:val="14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88"/>
                        <w:sz w:val="14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13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88"/>
                        <w:sz w:val="14"/>
                      </w:rPr>
                      <w:t>l</w:t>
                    </w:r>
                    <w:r>
                      <w:rPr>
                        <w:rFonts w:ascii="Arial" w:hAnsi="Arial"/>
                        <w:b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11"/>
                        <w:w w:val="188"/>
                        <w:sz w:val="14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88"/>
                        <w:sz w:val="14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16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11"/>
                        <w:w w:val="188"/>
                        <w:sz w:val="14"/>
                      </w:rPr>
                      <w:t>p</w:t>
                    </w:r>
                    <w:r>
                      <w:rPr>
                        <w:rFonts w:ascii="Arial" w:hAnsi="Arial"/>
                        <w:b/>
                        <w:spacing w:val="6"/>
                        <w:w w:val="188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11"/>
                        <w:w w:val="188"/>
                        <w:sz w:val="14"/>
                      </w:rPr>
                      <w:t>b</w:t>
                    </w:r>
                    <w:r>
                      <w:rPr>
                        <w:rFonts w:ascii="Arial" w:hAnsi="Arial"/>
                        <w:b/>
                        <w:spacing w:val="-11"/>
                        <w:w w:val="188"/>
                        <w:sz w:val="14"/>
                      </w:rPr>
                      <w:t>l</w:t>
                    </w:r>
                    <w:r>
                      <w:rPr>
                        <w:rFonts w:ascii="Arial" w:hAnsi="Arial"/>
                        <w:b/>
                        <w:w w:val="188"/>
                        <w:sz w:val="14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13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88"/>
                        <w:sz w:val="14"/>
                      </w:rPr>
                      <w:t>c</w:t>
                    </w:r>
                    <w:r>
                      <w:rPr>
                        <w:rFonts w:ascii="Arial" w:hAnsi="Arial"/>
                        <w:b/>
                        <w:spacing w:val="-18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"/>
                        <w:w w:val="188"/>
                        <w:sz w:val="14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6"/>
                        <w:w w:val="188"/>
                        <w:sz w:val="14"/>
                      </w:rPr>
                      <w:t>ó</w:t>
                    </w:r>
                    <w:r>
                      <w:rPr>
                        <w:rFonts w:ascii="Arial" w:hAnsi="Arial"/>
                        <w:b/>
                        <w:w w:val="188"/>
                        <w:sz w:val="14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9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88"/>
                        <w:sz w:val="14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18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2"/>
                        <w:w w:val="188"/>
                        <w:sz w:val="14"/>
                      </w:rPr>
                      <w:t>s</w:t>
                    </w:r>
                    <w:r>
                      <w:rPr>
                        <w:rFonts w:ascii="Arial" w:hAnsi="Arial"/>
                        <w:b/>
                        <w:spacing w:val="-10"/>
                        <w:w w:val="188"/>
                        <w:sz w:val="14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5"/>
                        <w:w w:val="188"/>
                        <w:sz w:val="14"/>
                      </w:rPr>
                      <w:t>u</w:t>
                    </w:r>
                    <w:r>
                      <w:rPr>
                        <w:rFonts w:ascii="Arial" w:hAnsi="Arial"/>
                        <w:b/>
                        <w:spacing w:val="11"/>
                        <w:w w:val="188"/>
                        <w:sz w:val="14"/>
                      </w:rPr>
                      <w:t>d</w:t>
                    </w:r>
                    <w:r>
                      <w:rPr>
                        <w:rFonts w:ascii="Arial" w:hAnsi="Arial"/>
                        <w:b/>
                        <w:spacing w:val="-11"/>
                        <w:w w:val="188"/>
                        <w:sz w:val="14"/>
                      </w:rPr>
                      <w:t>i</w:t>
                    </w:r>
                    <w:r>
                      <w:rPr>
                        <w:rFonts w:ascii="Arial" w:hAnsi="Arial"/>
                        <w:b/>
                        <w:w w:val="188"/>
                        <w:sz w:val="14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13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5"/>
                        <w:w w:val="188"/>
                        <w:sz w:val="14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10"/>
                        <w:w w:val="188"/>
                        <w:sz w:val="14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11"/>
                        <w:w w:val="188"/>
                        <w:sz w:val="14"/>
                      </w:rPr>
                      <w:t>i</w:t>
                    </w:r>
                    <w:r>
                      <w:rPr>
                        <w:rFonts w:ascii="Arial" w:hAnsi="Arial"/>
                        <w:b/>
                        <w:w w:val="188"/>
                        <w:sz w:val="14"/>
                      </w:rPr>
                      <w:t>l</w:t>
                    </w:r>
                    <w:r>
                      <w:rPr>
                        <w:rFonts w:ascii="Arial" w:hAnsi="Arial"/>
                        <w:b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11"/>
                        <w:w w:val="188"/>
                        <w:sz w:val="14"/>
                      </w:rPr>
                      <w:t>p</w:t>
                    </w:r>
                    <w:r>
                      <w:rPr>
                        <w:rFonts w:ascii="Arial" w:hAnsi="Arial"/>
                        <w:b/>
                        <w:spacing w:val="6"/>
                        <w:w w:val="188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88"/>
                        <w:sz w:val="14"/>
                      </w:rPr>
                      <w:t>r</w:t>
                    </w:r>
                    <w:r>
                      <w:rPr>
                        <w:rFonts w:ascii="Arial" w:hAnsi="Arial"/>
                        <w:b/>
                        <w:spacing w:val="1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3"/>
                        <w:w w:val="188"/>
                        <w:sz w:val="14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11"/>
                        <w:w w:val="188"/>
                        <w:sz w:val="14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1"/>
                        <w:w w:val="188"/>
                        <w:sz w:val="14"/>
                      </w:rPr>
                      <w:t>v</w:t>
                    </w:r>
                    <w:r>
                      <w:rPr>
                        <w:rFonts w:ascii="Arial" w:hAnsi="Arial"/>
                        <w:b/>
                        <w:w w:val="188"/>
                        <w:sz w:val="14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18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"/>
                        <w:w w:val="188"/>
                        <w:sz w:val="14"/>
                      </w:rPr>
                      <w:t>l</w:t>
                    </w:r>
                    <w:r>
                      <w:rPr>
                        <w:rFonts w:ascii="Arial" w:hAnsi="Arial"/>
                        <w:b/>
                        <w:w w:val="188"/>
                        <w:sz w:val="14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18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2"/>
                        <w:w w:val="188"/>
                        <w:sz w:val="14"/>
                      </w:rPr>
                      <w:t>s</w:t>
                    </w:r>
                    <w:r>
                      <w:rPr>
                        <w:rFonts w:ascii="Arial" w:hAnsi="Arial"/>
                        <w:b/>
                        <w:w w:val="188"/>
                        <w:sz w:val="14"/>
                      </w:rPr>
                      <w:t>,</w:t>
                    </w:r>
                    <w:r>
                      <w:rPr>
                        <w:rFonts w:ascii="Arial" w:hAnsi="Arial"/>
                        <w:b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20"/>
                        <w:w w:val="188"/>
                        <w:sz w:val="14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10"/>
                        <w:w w:val="188"/>
                        <w:sz w:val="14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5"/>
                        <w:w w:val="188"/>
                        <w:sz w:val="14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11"/>
                        <w:w w:val="188"/>
                        <w:sz w:val="14"/>
                      </w:rPr>
                      <w:t>i</w:t>
                    </w:r>
                    <w:r>
                      <w:rPr>
                        <w:rFonts w:ascii="Arial" w:hAnsi="Arial"/>
                        <w:b/>
                        <w:w w:val="188"/>
                        <w:sz w:val="14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z w:val="14"/>
                      </w:rPr>
                      <w:t>  </w:t>
                    </w:r>
                    <w:r>
                      <w:rPr>
                        <w:rFonts w:ascii="Arial" w:hAnsi="Arial"/>
                        <w:b/>
                        <w:spacing w:val="-18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88"/>
                        <w:sz w:val="14"/>
                      </w:rPr>
                      <w:t>y</w:t>
                    </w:r>
                    <w:r>
                      <w:rPr>
                        <w:rFonts w:ascii="Arial" w:hAnsi="Arial"/>
                        <w:b/>
                        <w:sz w:val="14"/>
                      </w:rPr>
                      <w:t>  </w:t>
                    </w:r>
                    <w:r>
                      <w:rPr>
                        <w:rFonts w:ascii="Arial" w:hAnsi="Arial"/>
                        <w:b/>
                        <w:spacing w:val="-32"/>
                        <w:w w:val="188"/>
                        <w:sz w:val="14"/>
                      </w:rPr>
                      <w:t>s</w:t>
                    </w:r>
                    <w:r>
                      <w:rPr>
                        <w:rFonts w:ascii="Arial" w:hAnsi="Arial"/>
                        <w:b/>
                        <w:w w:val="188"/>
                        <w:sz w:val="14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18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88"/>
                        <w:sz w:val="14"/>
                      </w:rPr>
                      <w:t>xo </w:t>
                    </w:r>
                    <w:r>
                      <w:rPr>
                        <w:rFonts w:ascii="Arial" w:hAnsi="Arial"/>
                        <w:b/>
                        <w:w w:val="190"/>
                        <w:sz w:val="14"/>
                      </w:rPr>
                      <w:t>2017-</w:t>
                    </w:r>
                    <w:r>
                      <w:rPr>
                        <w:rFonts w:ascii="Arial" w:hAnsi="Arial"/>
                        <w:b/>
                        <w:spacing w:val="-54"/>
                        <w:w w:val="19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90"/>
                        <w:sz w:val="14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1523;top:1281;width:294;height:1183" type="#_x0000_t202" filled="false" stroked="false">
              <v:textbox inset="0,0,0,0">
                <w:txbxContent>
                  <w:p>
                    <w:pPr>
                      <w:spacing w:before="7"/>
                      <w:ind w:left="0" w:right="21" w:firstLine="0"/>
                      <w:jc w:val="right"/>
                      <w:rPr>
                        <w:rFonts w:ascii="Verdana"/>
                        <w:sz w:val="8"/>
                      </w:rPr>
                    </w:pPr>
                    <w:r>
                      <w:rPr>
                        <w:rFonts w:ascii="Verdana"/>
                        <w:spacing w:val="-1"/>
                        <w:w w:val="180"/>
                        <w:sz w:val="8"/>
                      </w:rPr>
                      <w:t>450</w:t>
                    </w:r>
                  </w:p>
                  <w:p>
                    <w:pPr>
                      <w:spacing w:before="22"/>
                      <w:ind w:left="0" w:right="21" w:firstLine="0"/>
                      <w:jc w:val="right"/>
                      <w:rPr>
                        <w:rFonts w:ascii="Verdana"/>
                        <w:sz w:val="8"/>
                      </w:rPr>
                    </w:pPr>
                    <w:r>
                      <w:rPr>
                        <w:rFonts w:ascii="Verdana"/>
                        <w:spacing w:val="-1"/>
                        <w:w w:val="180"/>
                        <w:sz w:val="8"/>
                      </w:rPr>
                      <w:t>400</w:t>
                    </w:r>
                  </w:p>
                  <w:p>
                    <w:pPr>
                      <w:spacing w:before="23"/>
                      <w:ind w:left="0" w:right="21" w:firstLine="0"/>
                      <w:jc w:val="right"/>
                      <w:rPr>
                        <w:rFonts w:ascii="Verdana"/>
                        <w:sz w:val="8"/>
                      </w:rPr>
                    </w:pPr>
                    <w:r>
                      <w:rPr>
                        <w:rFonts w:ascii="Verdana"/>
                        <w:spacing w:val="-1"/>
                        <w:w w:val="180"/>
                        <w:sz w:val="8"/>
                      </w:rPr>
                      <w:t>350</w:t>
                    </w:r>
                  </w:p>
                  <w:p>
                    <w:pPr>
                      <w:spacing w:before="22"/>
                      <w:ind w:left="0" w:right="21" w:firstLine="0"/>
                      <w:jc w:val="right"/>
                      <w:rPr>
                        <w:rFonts w:ascii="Verdana"/>
                        <w:sz w:val="8"/>
                      </w:rPr>
                    </w:pPr>
                    <w:r>
                      <w:rPr>
                        <w:rFonts w:ascii="Verdana"/>
                        <w:spacing w:val="-1"/>
                        <w:w w:val="180"/>
                        <w:sz w:val="8"/>
                      </w:rPr>
                      <w:t>300</w:t>
                    </w:r>
                  </w:p>
                  <w:p>
                    <w:pPr>
                      <w:spacing w:before="23"/>
                      <w:ind w:left="0" w:right="21" w:firstLine="0"/>
                      <w:jc w:val="right"/>
                      <w:rPr>
                        <w:rFonts w:ascii="Verdana"/>
                        <w:sz w:val="8"/>
                      </w:rPr>
                    </w:pPr>
                    <w:r>
                      <w:rPr>
                        <w:rFonts w:ascii="Verdana"/>
                        <w:spacing w:val="-1"/>
                        <w:w w:val="180"/>
                        <w:sz w:val="8"/>
                      </w:rPr>
                      <w:t>250</w:t>
                    </w:r>
                  </w:p>
                  <w:p>
                    <w:pPr>
                      <w:spacing w:before="22"/>
                      <w:ind w:left="0" w:right="21" w:firstLine="0"/>
                      <w:jc w:val="right"/>
                      <w:rPr>
                        <w:rFonts w:ascii="Verdana"/>
                        <w:sz w:val="8"/>
                      </w:rPr>
                    </w:pPr>
                    <w:r>
                      <w:rPr>
                        <w:rFonts w:ascii="Verdana"/>
                        <w:spacing w:val="-1"/>
                        <w:w w:val="180"/>
                        <w:sz w:val="8"/>
                      </w:rPr>
                      <w:t>200</w:t>
                    </w:r>
                  </w:p>
                  <w:p>
                    <w:pPr>
                      <w:spacing w:before="22"/>
                      <w:ind w:left="0" w:right="21" w:firstLine="0"/>
                      <w:jc w:val="right"/>
                      <w:rPr>
                        <w:rFonts w:ascii="Verdana"/>
                        <w:sz w:val="8"/>
                      </w:rPr>
                    </w:pPr>
                    <w:r>
                      <w:rPr>
                        <w:rFonts w:ascii="Verdana"/>
                        <w:spacing w:val="-1"/>
                        <w:w w:val="180"/>
                        <w:sz w:val="8"/>
                      </w:rPr>
                      <w:t>150</w:t>
                    </w:r>
                  </w:p>
                  <w:p>
                    <w:pPr>
                      <w:spacing w:before="22"/>
                      <w:ind w:left="0" w:right="21" w:firstLine="0"/>
                      <w:jc w:val="right"/>
                      <w:rPr>
                        <w:rFonts w:ascii="Verdana"/>
                        <w:sz w:val="8"/>
                      </w:rPr>
                    </w:pPr>
                    <w:r>
                      <w:rPr>
                        <w:rFonts w:ascii="Verdana"/>
                        <w:spacing w:val="-1"/>
                        <w:w w:val="180"/>
                        <w:sz w:val="8"/>
                      </w:rPr>
                      <w:t>100</w:t>
                    </w:r>
                  </w:p>
                  <w:p>
                    <w:pPr>
                      <w:spacing w:before="23"/>
                      <w:ind w:left="0" w:right="19" w:firstLine="0"/>
                      <w:jc w:val="right"/>
                      <w:rPr>
                        <w:rFonts w:ascii="Verdana"/>
                        <w:sz w:val="8"/>
                      </w:rPr>
                    </w:pPr>
                    <w:r>
                      <w:rPr>
                        <w:rFonts w:ascii="Verdana"/>
                        <w:w w:val="180"/>
                        <w:sz w:val="8"/>
                      </w:rPr>
                      <w:t>50</w:t>
                    </w:r>
                  </w:p>
                  <w:p>
                    <w:pPr>
                      <w:spacing w:before="22"/>
                      <w:ind w:left="0" w:right="18" w:firstLine="0"/>
                      <w:jc w:val="right"/>
                      <w:rPr>
                        <w:rFonts w:ascii="Verdana"/>
                        <w:sz w:val="8"/>
                      </w:rPr>
                    </w:pPr>
                    <w:r>
                      <w:rPr>
                        <w:rFonts w:ascii="Verdana"/>
                        <w:w w:val="179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24;top:2468;width:382;height:10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Verdana"/>
                        <w:sz w:val="8"/>
                      </w:rPr>
                    </w:pPr>
                    <w:r>
                      <w:rPr>
                        <w:rFonts w:ascii="Verdana"/>
                        <w:w w:val="180"/>
                        <w:sz w:val="8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4344;top:2468;width:382;height:10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Verdana"/>
                        <w:sz w:val="8"/>
                      </w:rPr>
                    </w:pPr>
                    <w:r>
                      <w:rPr>
                        <w:rFonts w:ascii="Verdana"/>
                        <w:w w:val="180"/>
                        <w:sz w:val="8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6057;top:2468;width:382;height:10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Verdana"/>
                        <w:sz w:val="8"/>
                      </w:rPr>
                    </w:pPr>
                    <w:r>
                      <w:rPr>
                        <w:rFonts w:ascii="Verdana"/>
                        <w:w w:val="180"/>
                        <w:sz w:val="8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7772;top:2468;width:382;height:10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Verdana"/>
                        <w:sz w:val="8"/>
                      </w:rPr>
                    </w:pPr>
                    <w:r>
                      <w:rPr>
                        <w:rFonts w:ascii="Verdana"/>
                        <w:w w:val="180"/>
                        <w:sz w:val="8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9485;top:2468;width:382;height:10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Verdana"/>
                        <w:sz w:val="8"/>
                      </w:rPr>
                    </w:pPr>
                    <w:r>
                      <w:rPr>
                        <w:rFonts w:ascii="Verdana"/>
                        <w:w w:val="180"/>
                        <w:sz w:val="8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2489;top:2676;width:7418;height:583" type="#_x0000_t202" filled="false" stroked="false">
              <v:textbox inset="0,0,0,0">
                <w:txbxContent>
                  <w:p>
                    <w:pPr>
                      <w:tabs>
                        <w:tab w:pos="2738" w:val="left" w:leader="none"/>
                        <w:tab w:pos="5477" w:val="left" w:leader="none"/>
                      </w:tabs>
                      <w:spacing w:line="398" w:lineRule="auto" w:before="0"/>
                      <w:ind w:left="0" w:right="360" w:firstLine="0"/>
                      <w:jc w:val="left"/>
                      <w:rPr>
                        <w:rFonts w:ascii="Verdana"/>
                        <w:sz w:val="8"/>
                      </w:rPr>
                    </w:pPr>
                    <w:r>
                      <w:rPr>
                        <w:rFonts w:ascii="Verdana"/>
                        <w:spacing w:val="-1"/>
                        <w:w w:val="157"/>
                        <w:sz w:val="8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w w:val="164"/>
                        <w:sz w:val="8"/>
                      </w:rPr>
                      <w:t>X</w:t>
                    </w:r>
                    <w:r>
                      <w:rPr>
                        <w:rFonts w:ascii="Verdana"/>
                        <w:spacing w:val="-1"/>
                        <w:w w:val="128"/>
                        <w:sz w:val="8"/>
                      </w:rPr>
                      <w:t>T</w:t>
                    </w:r>
                    <w:r>
                      <w:rPr>
                        <w:rFonts w:ascii="Verdana"/>
                        <w:w w:val="161"/>
                        <w:sz w:val="8"/>
                      </w:rPr>
                      <w:t>R</w:t>
                    </w:r>
                    <w:r>
                      <w:rPr>
                        <w:rFonts w:ascii="Verdana"/>
                        <w:w w:val="200"/>
                        <w:sz w:val="8"/>
                      </w:rPr>
                      <w:t>A</w:t>
                    </w:r>
                    <w:r>
                      <w:rPr>
                        <w:rFonts w:ascii="Verdana"/>
                        <w:w w:val="183"/>
                        <w:sz w:val="8"/>
                      </w:rPr>
                      <w:t>N</w:t>
                    </w:r>
                    <w:r>
                      <w:rPr>
                        <w:rFonts w:ascii="Verdana"/>
                        <w:w w:val="196"/>
                        <w:sz w:val="8"/>
                      </w:rPr>
                      <w:t>J</w:t>
                    </w:r>
                    <w:r>
                      <w:rPr>
                        <w:rFonts w:ascii="Verdana"/>
                        <w:spacing w:val="-1"/>
                        <w:w w:val="157"/>
                        <w:sz w:val="8"/>
                      </w:rPr>
                      <w:t>E</w:t>
                    </w:r>
                    <w:r>
                      <w:rPr>
                        <w:rFonts w:ascii="Verdana"/>
                        <w:w w:val="161"/>
                        <w:sz w:val="8"/>
                      </w:rPr>
                      <w:t>R</w:t>
                    </w:r>
                    <w:r>
                      <w:rPr>
                        <w:rFonts w:ascii="Verdana"/>
                        <w:w w:val="204"/>
                        <w:sz w:val="8"/>
                      </w:rPr>
                      <w:t>O</w:t>
                    </w:r>
                    <w:r>
                      <w:rPr>
                        <w:rFonts w:ascii="Verdana"/>
                        <w:spacing w:val="12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35"/>
                        <w:sz w:val="8"/>
                      </w:rPr>
                      <w:t>-</w:t>
                    </w:r>
                    <w:r>
                      <w:rPr>
                        <w:rFonts w:ascii="Verdana"/>
                        <w:spacing w:val="12"/>
                        <w:sz w:val="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68"/>
                        <w:sz w:val="8"/>
                      </w:rPr>
                      <w:t>H</w:t>
                    </w:r>
                    <w:r>
                      <w:rPr>
                        <w:rFonts w:ascii="Verdana"/>
                        <w:spacing w:val="1"/>
                        <w:w w:val="204"/>
                        <w:sz w:val="8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w w:val="202"/>
                        <w:sz w:val="8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155"/>
                        <w:sz w:val="8"/>
                      </w:rPr>
                      <w:t>B</w:t>
                    </w:r>
                    <w:r>
                      <w:rPr>
                        <w:rFonts w:ascii="Verdana"/>
                        <w:w w:val="161"/>
                        <w:sz w:val="8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57"/>
                        <w:sz w:val="8"/>
                      </w:rPr>
                      <w:t>E</w:t>
                    </w:r>
                    <w:r>
                      <w:rPr>
                        <w:rFonts w:ascii="Verdana"/>
                        <w:w w:val="135"/>
                        <w:sz w:val="8"/>
                      </w:rPr>
                      <w:t>S</w:t>
                    </w:r>
                    <w:r>
                      <w:rPr>
                        <w:rFonts w:ascii="Verdana"/>
                        <w:sz w:val="8"/>
                      </w:rPr>
                      <w:tab/>
                    </w:r>
                    <w:r>
                      <w:rPr>
                        <w:rFonts w:ascii="Verdana"/>
                        <w:spacing w:val="-1"/>
                        <w:w w:val="157"/>
                        <w:sz w:val="8"/>
                      </w:rPr>
                      <w:t>E</w:t>
                    </w:r>
                    <w:r>
                      <w:rPr>
                        <w:rFonts w:ascii="Verdana"/>
                        <w:w w:val="164"/>
                        <w:sz w:val="8"/>
                      </w:rPr>
                      <w:t>X</w:t>
                    </w:r>
                    <w:r>
                      <w:rPr>
                        <w:rFonts w:ascii="Verdana"/>
                        <w:spacing w:val="-1"/>
                        <w:w w:val="128"/>
                        <w:sz w:val="8"/>
                      </w:rPr>
                      <w:t>T</w:t>
                    </w:r>
                    <w:r>
                      <w:rPr>
                        <w:rFonts w:ascii="Verdana"/>
                        <w:w w:val="161"/>
                        <w:sz w:val="8"/>
                      </w:rPr>
                      <w:t>R</w:t>
                    </w:r>
                    <w:r>
                      <w:rPr>
                        <w:rFonts w:ascii="Verdana"/>
                        <w:w w:val="200"/>
                        <w:sz w:val="8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183"/>
                        <w:sz w:val="8"/>
                      </w:rPr>
                      <w:t>N</w:t>
                    </w:r>
                    <w:r>
                      <w:rPr>
                        <w:rFonts w:ascii="Verdana"/>
                        <w:w w:val="196"/>
                        <w:sz w:val="8"/>
                      </w:rPr>
                      <w:t>J</w:t>
                    </w:r>
                    <w:r>
                      <w:rPr>
                        <w:rFonts w:ascii="Verdana"/>
                        <w:w w:val="157"/>
                        <w:sz w:val="8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w w:val="161"/>
                        <w:sz w:val="8"/>
                      </w:rPr>
                      <w:t>R</w:t>
                    </w:r>
                    <w:r>
                      <w:rPr>
                        <w:rFonts w:ascii="Verdana"/>
                        <w:w w:val="204"/>
                        <w:sz w:val="8"/>
                      </w:rPr>
                      <w:t>O</w:t>
                    </w:r>
                    <w:r>
                      <w:rPr>
                        <w:rFonts w:ascii="Verdana"/>
                        <w:spacing w:val="13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35"/>
                        <w:sz w:val="8"/>
                      </w:rPr>
                      <w:t>-</w:t>
                    </w:r>
                    <w:r>
                      <w:rPr>
                        <w:rFonts w:ascii="Verdana"/>
                        <w:spacing w:val="12"/>
                        <w:sz w:val="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202"/>
                        <w:sz w:val="8"/>
                      </w:rPr>
                      <w:t>M</w:t>
                    </w:r>
                    <w:r>
                      <w:rPr>
                        <w:rFonts w:ascii="Verdana"/>
                        <w:w w:val="165"/>
                        <w:sz w:val="8"/>
                      </w:rPr>
                      <w:t>U</w:t>
                    </w:r>
                    <w:r>
                      <w:rPr>
                        <w:rFonts w:ascii="Verdana"/>
                        <w:w w:val="196"/>
                        <w:sz w:val="8"/>
                      </w:rPr>
                      <w:t>J</w:t>
                    </w:r>
                    <w:r>
                      <w:rPr>
                        <w:rFonts w:ascii="Verdana"/>
                        <w:spacing w:val="-1"/>
                        <w:w w:val="157"/>
                        <w:sz w:val="8"/>
                      </w:rPr>
                      <w:t>E</w:t>
                    </w:r>
                    <w:r>
                      <w:rPr>
                        <w:rFonts w:ascii="Verdana"/>
                        <w:w w:val="161"/>
                        <w:sz w:val="8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57"/>
                        <w:sz w:val="8"/>
                      </w:rPr>
                      <w:t>E</w:t>
                    </w:r>
                    <w:r>
                      <w:rPr>
                        <w:rFonts w:ascii="Verdana"/>
                        <w:w w:val="135"/>
                        <w:sz w:val="8"/>
                      </w:rPr>
                      <w:t>S</w:t>
                    </w:r>
                    <w:r>
                      <w:rPr>
                        <w:rFonts w:ascii="Verdana"/>
                        <w:sz w:val="8"/>
                      </w:rPr>
                      <w:tab/>
                    </w:r>
                    <w:r>
                      <w:rPr>
                        <w:rFonts w:ascii="Verdana"/>
                        <w:w w:val="208"/>
                        <w:sz w:val="8"/>
                      </w:rPr>
                      <w:t>G</w:t>
                    </w:r>
                    <w:r>
                      <w:rPr>
                        <w:rFonts w:ascii="Verdana"/>
                        <w:w w:val="200"/>
                        <w:sz w:val="8"/>
                      </w:rPr>
                      <w:t>A</w:t>
                    </w:r>
                    <w:r>
                      <w:rPr>
                        <w:rFonts w:ascii="Verdana"/>
                        <w:w w:val="161"/>
                        <w:sz w:val="8"/>
                      </w:rPr>
                      <w:t>R</w:t>
                    </w:r>
                    <w:r>
                      <w:rPr>
                        <w:rFonts w:ascii="Verdana"/>
                        <w:w w:val="99"/>
                        <w:sz w:val="8"/>
                      </w:rPr>
                      <w:t>I</w:t>
                    </w:r>
                    <w:r>
                      <w:rPr>
                        <w:rFonts w:ascii="Verdana"/>
                        <w:w w:val="156"/>
                        <w:sz w:val="8"/>
                      </w:rPr>
                      <w:t>F</w:t>
                    </w:r>
                    <w:r>
                      <w:rPr>
                        <w:rFonts w:ascii="Verdana"/>
                        <w:spacing w:val="-1"/>
                        <w:w w:val="165"/>
                        <w:sz w:val="8"/>
                      </w:rPr>
                      <w:t>U</w:t>
                    </w:r>
                    <w:r>
                      <w:rPr>
                        <w:rFonts w:ascii="Verdana"/>
                        <w:w w:val="183"/>
                        <w:sz w:val="8"/>
                      </w:rPr>
                      <w:t>N</w:t>
                    </w:r>
                    <w:r>
                      <w:rPr>
                        <w:rFonts w:ascii="Verdana"/>
                        <w:w w:val="200"/>
                        <w:sz w:val="8"/>
                      </w:rPr>
                      <w:t>A</w:t>
                    </w:r>
                    <w:r>
                      <w:rPr>
                        <w:rFonts w:ascii="Verdana"/>
                        <w:spacing w:val="12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35"/>
                        <w:sz w:val="8"/>
                      </w:rPr>
                      <w:t>-</w:t>
                    </w:r>
                    <w:r>
                      <w:rPr>
                        <w:rFonts w:ascii="Verdana"/>
                        <w:spacing w:val="12"/>
                        <w:sz w:val="8"/>
                      </w:rPr>
                      <w:t> </w:t>
                    </w:r>
                    <w:r>
                      <w:rPr>
                        <w:rFonts w:ascii="Verdana"/>
                        <w:spacing w:val="-3"/>
                        <w:w w:val="168"/>
                        <w:sz w:val="8"/>
                      </w:rPr>
                      <w:t>H</w:t>
                    </w:r>
                    <w:r>
                      <w:rPr>
                        <w:rFonts w:ascii="Verdana"/>
                        <w:spacing w:val="-3"/>
                        <w:w w:val="204"/>
                        <w:sz w:val="8"/>
                      </w:rPr>
                      <w:t>O</w:t>
                    </w:r>
                    <w:r>
                      <w:rPr>
                        <w:rFonts w:ascii="Verdana"/>
                        <w:spacing w:val="-2"/>
                        <w:w w:val="202"/>
                        <w:sz w:val="8"/>
                      </w:rPr>
                      <w:t>M</w:t>
                    </w:r>
                    <w:r>
                      <w:rPr>
                        <w:rFonts w:ascii="Verdana"/>
                        <w:spacing w:val="-2"/>
                        <w:w w:val="155"/>
                        <w:sz w:val="8"/>
                      </w:rPr>
                      <w:t>B</w:t>
                    </w:r>
                    <w:r>
                      <w:rPr>
                        <w:rFonts w:ascii="Verdana"/>
                        <w:spacing w:val="-3"/>
                        <w:w w:val="161"/>
                        <w:sz w:val="8"/>
                      </w:rPr>
                      <w:t>R</w:t>
                    </w:r>
                    <w:r>
                      <w:rPr>
                        <w:rFonts w:ascii="Verdana"/>
                        <w:spacing w:val="-2"/>
                        <w:w w:val="157"/>
                        <w:sz w:val="8"/>
                      </w:rPr>
                      <w:t>E</w:t>
                    </w:r>
                    <w:r>
                      <w:rPr>
                        <w:rFonts w:ascii="Verdana"/>
                        <w:spacing w:val="-2"/>
                        <w:w w:val="135"/>
                        <w:sz w:val="8"/>
                      </w:rPr>
                      <w:t>S</w:t>
                    </w:r>
                    <w:r>
                      <w:rPr>
                        <w:rFonts w:ascii="Verdana"/>
                        <w:w w:val="135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208"/>
                        <w:sz w:val="8"/>
                      </w:rPr>
                      <w:t>G</w:t>
                    </w:r>
                    <w:r>
                      <w:rPr>
                        <w:rFonts w:ascii="Verdana"/>
                        <w:spacing w:val="-1"/>
                        <w:w w:val="200"/>
                        <w:sz w:val="8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161"/>
                        <w:sz w:val="8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99"/>
                        <w:sz w:val="8"/>
                      </w:rPr>
                      <w:t>I</w:t>
                    </w:r>
                    <w:r>
                      <w:rPr>
                        <w:rFonts w:ascii="Verdana"/>
                        <w:spacing w:val="1"/>
                        <w:w w:val="156"/>
                        <w:sz w:val="8"/>
                      </w:rPr>
                      <w:t>F</w:t>
                    </w:r>
                    <w:r>
                      <w:rPr>
                        <w:rFonts w:ascii="Verdana"/>
                        <w:spacing w:val="-1"/>
                        <w:w w:val="165"/>
                        <w:sz w:val="8"/>
                      </w:rPr>
                      <w:t>U</w:t>
                    </w:r>
                    <w:r>
                      <w:rPr>
                        <w:rFonts w:ascii="Verdana"/>
                        <w:w w:val="183"/>
                        <w:sz w:val="8"/>
                      </w:rPr>
                      <w:t>N</w:t>
                    </w:r>
                    <w:r>
                      <w:rPr>
                        <w:rFonts w:ascii="Verdana"/>
                        <w:w w:val="200"/>
                        <w:sz w:val="8"/>
                      </w:rPr>
                      <w:t>A</w:t>
                    </w:r>
                    <w:r>
                      <w:rPr>
                        <w:rFonts w:ascii="Verdana"/>
                        <w:spacing w:val="12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35"/>
                        <w:sz w:val="8"/>
                      </w:rPr>
                      <w:t>-</w:t>
                    </w:r>
                    <w:r>
                      <w:rPr>
                        <w:rFonts w:ascii="Verdana"/>
                        <w:spacing w:val="12"/>
                        <w:sz w:val="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202"/>
                        <w:sz w:val="8"/>
                      </w:rPr>
                      <w:t>M</w:t>
                    </w:r>
                    <w:r>
                      <w:rPr>
                        <w:rFonts w:ascii="Verdana"/>
                        <w:w w:val="165"/>
                        <w:sz w:val="8"/>
                      </w:rPr>
                      <w:t>U</w:t>
                    </w:r>
                    <w:r>
                      <w:rPr>
                        <w:rFonts w:ascii="Verdana"/>
                        <w:spacing w:val="-1"/>
                        <w:w w:val="196"/>
                        <w:sz w:val="8"/>
                      </w:rPr>
                      <w:t>J</w:t>
                    </w:r>
                    <w:r>
                      <w:rPr>
                        <w:rFonts w:ascii="Verdana"/>
                        <w:spacing w:val="-1"/>
                        <w:w w:val="157"/>
                        <w:sz w:val="8"/>
                      </w:rPr>
                      <w:t>E</w:t>
                    </w:r>
                    <w:r>
                      <w:rPr>
                        <w:rFonts w:ascii="Verdana"/>
                        <w:w w:val="161"/>
                        <w:sz w:val="8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57"/>
                        <w:sz w:val="8"/>
                      </w:rPr>
                      <w:t>E</w:t>
                    </w:r>
                    <w:r>
                      <w:rPr>
                        <w:rFonts w:ascii="Verdana"/>
                        <w:w w:val="135"/>
                        <w:sz w:val="8"/>
                      </w:rPr>
                      <w:t>S</w:t>
                    </w:r>
                    <w:r>
                      <w:rPr>
                        <w:rFonts w:ascii="Verdana"/>
                        <w:sz w:val="8"/>
                      </w:rPr>
                      <w:tab/>
                    </w:r>
                    <w:r>
                      <w:rPr>
                        <w:rFonts w:ascii="Verdana"/>
                        <w:spacing w:val="-1"/>
                        <w:w w:val="153"/>
                        <w:sz w:val="8"/>
                      </w:rPr>
                      <w:t>L</w:t>
                    </w:r>
                    <w:r>
                      <w:rPr>
                        <w:rFonts w:ascii="Verdana"/>
                        <w:w w:val="200"/>
                        <w:sz w:val="8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179"/>
                        <w:sz w:val="8"/>
                      </w:rPr>
                      <w:t>D</w:t>
                    </w:r>
                    <w:r>
                      <w:rPr>
                        <w:rFonts w:ascii="Verdana"/>
                        <w:w w:val="99"/>
                        <w:sz w:val="8"/>
                      </w:rPr>
                      <w:t>I</w:t>
                    </w:r>
                    <w:r>
                      <w:rPr>
                        <w:rFonts w:ascii="Verdana"/>
                        <w:w w:val="183"/>
                        <w:sz w:val="8"/>
                      </w:rPr>
                      <w:t>N</w:t>
                    </w:r>
                    <w:r>
                      <w:rPr>
                        <w:rFonts w:ascii="Verdana"/>
                        <w:w w:val="204"/>
                        <w:sz w:val="8"/>
                      </w:rPr>
                      <w:t>O</w:t>
                    </w:r>
                    <w:r>
                      <w:rPr>
                        <w:rFonts w:ascii="Verdana"/>
                        <w:spacing w:val="13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35"/>
                        <w:sz w:val="8"/>
                      </w:rPr>
                      <w:t>-</w:t>
                    </w:r>
                    <w:r>
                      <w:rPr>
                        <w:rFonts w:ascii="Verdana"/>
                        <w:spacing w:val="12"/>
                        <w:sz w:val="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68"/>
                        <w:sz w:val="8"/>
                      </w:rPr>
                      <w:t>H</w:t>
                    </w:r>
                    <w:r>
                      <w:rPr>
                        <w:rFonts w:ascii="Verdana"/>
                        <w:spacing w:val="-1"/>
                        <w:w w:val="204"/>
                        <w:sz w:val="8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w w:val="202"/>
                        <w:sz w:val="8"/>
                      </w:rPr>
                      <w:t>M</w:t>
                    </w:r>
                    <w:r>
                      <w:rPr>
                        <w:rFonts w:ascii="Verdana"/>
                        <w:w w:val="155"/>
                        <w:sz w:val="8"/>
                      </w:rPr>
                      <w:t>B</w:t>
                    </w:r>
                    <w:r>
                      <w:rPr>
                        <w:rFonts w:ascii="Verdana"/>
                        <w:w w:val="161"/>
                        <w:sz w:val="8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57"/>
                        <w:sz w:val="8"/>
                      </w:rPr>
                      <w:t>E</w:t>
                    </w:r>
                    <w:r>
                      <w:rPr>
                        <w:rFonts w:ascii="Verdana"/>
                        <w:w w:val="135"/>
                        <w:sz w:val="8"/>
                      </w:rPr>
                      <w:t>S</w:t>
                    </w:r>
                    <w:r>
                      <w:rPr>
                        <w:rFonts w:ascii="Verdana"/>
                        <w:sz w:val="8"/>
                      </w:rPr>
                      <w:tab/>
                    </w:r>
                    <w:r>
                      <w:rPr>
                        <w:rFonts w:ascii="Verdana"/>
                        <w:w w:val="153"/>
                        <w:sz w:val="8"/>
                      </w:rPr>
                      <w:t>L</w:t>
                    </w:r>
                    <w:r>
                      <w:rPr>
                        <w:rFonts w:ascii="Verdana"/>
                        <w:spacing w:val="-1"/>
                        <w:w w:val="200"/>
                        <w:sz w:val="8"/>
                      </w:rPr>
                      <w:t>A</w:t>
                    </w:r>
                    <w:r>
                      <w:rPr>
                        <w:rFonts w:ascii="Verdana"/>
                        <w:spacing w:val="1"/>
                        <w:w w:val="179"/>
                        <w:sz w:val="8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w w:val="99"/>
                        <w:sz w:val="8"/>
                      </w:rPr>
                      <w:t>I</w:t>
                    </w:r>
                    <w:r>
                      <w:rPr>
                        <w:rFonts w:ascii="Verdana"/>
                        <w:w w:val="183"/>
                        <w:sz w:val="8"/>
                      </w:rPr>
                      <w:t>N</w:t>
                    </w:r>
                    <w:r>
                      <w:rPr>
                        <w:rFonts w:ascii="Verdana"/>
                        <w:w w:val="204"/>
                        <w:sz w:val="8"/>
                      </w:rPr>
                      <w:t>O</w:t>
                    </w:r>
                    <w:r>
                      <w:rPr>
                        <w:rFonts w:ascii="Verdana"/>
                        <w:spacing w:val="12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35"/>
                        <w:sz w:val="8"/>
                      </w:rPr>
                      <w:t>-</w:t>
                    </w:r>
                    <w:r>
                      <w:rPr>
                        <w:rFonts w:ascii="Verdana"/>
                        <w:spacing w:val="12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202"/>
                        <w:sz w:val="8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165"/>
                        <w:sz w:val="8"/>
                      </w:rPr>
                      <w:t>U</w:t>
                    </w:r>
                    <w:r>
                      <w:rPr>
                        <w:rFonts w:ascii="Verdana"/>
                        <w:spacing w:val="-1"/>
                        <w:w w:val="196"/>
                        <w:sz w:val="8"/>
                      </w:rPr>
                      <w:t>J</w:t>
                    </w:r>
                    <w:r>
                      <w:rPr>
                        <w:rFonts w:ascii="Verdana"/>
                        <w:spacing w:val="-1"/>
                        <w:w w:val="157"/>
                        <w:sz w:val="8"/>
                      </w:rPr>
                      <w:t>E</w:t>
                    </w:r>
                    <w:r>
                      <w:rPr>
                        <w:rFonts w:ascii="Verdana"/>
                        <w:w w:val="161"/>
                        <w:sz w:val="8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57"/>
                        <w:sz w:val="8"/>
                      </w:rPr>
                      <w:t>E</w:t>
                    </w:r>
                    <w:r>
                      <w:rPr>
                        <w:rFonts w:ascii="Verdana"/>
                        <w:w w:val="135"/>
                        <w:sz w:val="8"/>
                      </w:rPr>
                      <w:t>S </w:t>
                    </w:r>
                    <w:r>
                      <w:rPr>
                        <w:rFonts w:ascii="Verdana"/>
                        <w:spacing w:val="-1"/>
                        <w:w w:val="202"/>
                        <w:sz w:val="8"/>
                      </w:rPr>
                      <w:t>M</w:t>
                    </w:r>
                    <w:r>
                      <w:rPr>
                        <w:rFonts w:ascii="Verdana"/>
                        <w:spacing w:val="-19"/>
                        <w:w w:val="200"/>
                        <w:sz w:val="8"/>
                      </w:rPr>
                      <w:t>A</w:t>
                    </w:r>
                    <w:r>
                      <w:rPr>
                        <w:rFonts w:ascii="Verdana"/>
                        <w:spacing w:val="-18"/>
                        <w:w w:val="178"/>
                        <w:sz w:val="8"/>
                      </w:rPr>
                      <w:t>Y</w:t>
                    </w:r>
                    <w:r>
                      <w:rPr>
                        <w:rFonts w:ascii="Verdana"/>
                        <w:w w:val="200"/>
                        <w:sz w:val="8"/>
                      </w:rPr>
                      <w:t>A</w:t>
                    </w:r>
                    <w:r>
                      <w:rPr>
                        <w:rFonts w:ascii="Verdana"/>
                        <w:spacing w:val="12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35"/>
                        <w:sz w:val="8"/>
                      </w:rPr>
                      <w:t>-</w:t>
                    </w:r>
                    <w:r>
                      <w:rPr>
                        <w:rFonts w:ascii="Verdana"/>
                        <w:spacing w:val="12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68"/>
                        <w:sz w:val="8"/>
                      </w:rPr>
                      <w:t>H</w:t>
                    </w:r>
                    <w:r>
                      <w:rPr>
                        <w:rFonts w:ascii="Verdana"/>
                        <w:spacing w:val="-1"/>
                        <w:w w:val="204"/>
                        <w:sz w:val="8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w w:val="202"/>
                        <w:sz w:val="8"/>
                      </w:rPr>
                      <w:t>M</w:t>
                    </w:r>
                    <w:r>
                      <w:rPr>
                        <w:rFonts w:ascii="Verdana"/>
                        <w:w w:val="155"/>
                        <w:sz w:val="8"/>
                      </w:rPr>
                      <w:t>B</w:t>
                    </w:r>
                    <w:r>
                      <w:rPr>
                        <w:rFonts w:ascii="Verdana"/>
                        <w:w w:val="161"/>
                        <w:sz w:val="8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57"/>
                        <w:sz w:val="8"/>
                      </w:rPr>
                      <w:t>E</w:t>
                    </w:r>
                    <w:r>
                      <w:rPr>
                        <w:rFonts w:ascii="Verdana"/>
                        <w:w w:val="135"/>
                        <w:sz w:val="8"/>
                      </w:rPr>
                      <w:t>S</w:t>
                    </w:r>
                    <w:r>
                      <w:rPr>
                        <w:rFonts w:ascii="Verdana"/>
                        <w:sz w:val="8"/>
                      </w:rPr>
                      <w:tab/>
                    </w:r>
                    <w:r>
                      <w:rPr>
                        <w:rFonts w:ascii="Verdana"/>
                        <w:spacing w:val="-1"/>
                        <w:w w:val="202"/>
                        <w:sz w:val="8"/>
                      </w:rPr>
                      <w:t>M</w:t>
                    </w:r>
                    <w:r>
                      <w:rPr>
                        <w:rFonts w:ascii="Verdana"/>
                        <w:spacing w:val="-19"/>
                        <w:w w:val="200"/>
                        <w:sz w:val="8"/>
                      </w:rPr>
                      <w:t>A</w:t>
                    </w:r>
                    <w:r>
                      <w:rPr>
                        <w:rFonts w:ascii="Verdana"/>
                        <w:spacing w:val="-19"/>
                        <w:w w:val="178"/>
                        <w:sz w:val="8"/>
                      </w:rPr>
                      <w:t>Y</w:t>
                    </w:r>
                    <w:r>
                      <w:rPr>
                        <w:rFonts w:ascii="Verdana"/>
                        <w:w w:val="200"/>
                        <w:sz w:val="8"/>
                      </w:rPr>
                      <w:t>A</w:t>
                    </w:r>
                    <w:r>
                      <w:rPr>
                        <w:rFonts w:ascii="Verdana"/>
                        <w:spacing w:val="12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35"/>
                        <w:sz w:val="8"/>
                      </w:rPr>
                      <w:t>-</w:t>
                    </w:r>
                    <w:r>
                      <w:rPr>
                        <w:rFonts w:ascii="Verdana"/>
                        <w:spacing w:val="12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202"/>
                        <w:sz w:val="8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165"/>
                        <w:sz w:val="8"/>
                      </w:rPr>
                      <w:t>U</w:t>
                    </w:r>
                    <w:r>
                      <w:rPr>
                        <w:rFonts w:ascii="Verdana"/>
                        <w:w w:val="196"/>
                        <w:sz w:val="8"/>
                      </w:rPr>
                      <w:t>J</w:t>
                    </w:r>
                    <w:r>
                      <w:rPr>
                        <w:rFonts w:ascii="Verdana"/>
                        <w:spacing w:val="-1"/>
                        <w:w w:val="157"/>
                        <w:sz w:val="8"/>
                      </w:rPr>
                      <w:t>E</w:t>
                    </w:r>
                    <w:r>
                      <w:rPr>
                        <w:rFonts w:ascii="Verdana"/>
                        <w:w w:val="161"/>
                        <w:sz w:val="8"/>
                      </w:rPr>
                      <w:t>R</w:t>
                    </w:r>
                    <w:r>
                      <w:rPr>
                        <w:rFonts w:ascii="Verdana"/>
                        <w:w w:val="157"/>
                        <w:sz w:val="8"/>
                      </w:rPr>
                      <w:t>E</w:t>
                    </w:r>
                    <w:r>
                      <w:rPr>
                        <w:rFonts w:ascii="Verdana"/>
                        <w:w w:val="135"/>
                        <w:sz w:val="8"/>
                      </w:rPr>
                      <w:t>S</w:t>
                    </w:r>
                    <w:r>
                      <w:rPr>
                        <w:rFonts w:ascii="Verdana"/>
                        <w:sz w:val="8"/>
                      </w:rPr>
                      <w:tab/>
                    </w:r>
                    <w:r>
                      <w:rPr>
                        <w:rFonts w:ascii="Verdana"/>
                        <w:spacing w:val="-1"/>
                        <w:w w:val="164"/>
                        <w:sz w:val="8"/>
                      </w:rPr>
                      <w:t>X</w:t>
                    </w:r>
                    <w:r>
                      <w:rPr>
                        <w:rFonts w:ascii="Verdana"/>
                        <w:spacing w:val="-1"/>
                        <w:w w:val="99"/>
                        <w:sz w:val="8"/>
                      </w:rPr>
                      <w:t>I</w:t>
                    </w:r>
                    <w:r>
                      <w:rPr>
                        <w:rFonts w:ascii="Verdana"/>
                        <w:w w:val="183"/>
                        <w:sz w:val="8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w w:val="208"/>
                        <w:sz w:val="8"/>
                      </w:rPr>
                      <w:t>C</w:t>
                    </w:r>
                    <w:r>
                      <w:rPr>
                        <w:rFonts w:ascii="Verdana"/>
                        <w:w w:val="208"/>
                        <w:sz w:val="8"/>
                      </w:rPr>
                      <w:t>A</w:t>
                    </w:r>
                    <w:r>
                      <w:rPr>
                        <w:rFonts w:ascii="Verdana"/>
                        <w:sz w:val="8"/>
                      </w:rPr>
                      <w:t> </w:t>
                    </w:r>
                    <w:r>
                      <w:rPr>
                        <w:rFonts w:ascii="Verdana"/>
                        <w:spacing w:val="-15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35"/>
                        <w:sz w:val="8"/>
                      </w:rPr>
                      <w:t>-</w:t>
                    </w:r>
                    <w:r>
                      <w:rPr>
                        <w:rFonts w:ascii="Verdana"/>
                        <w:spacing w:val="12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68"/>
                        <w:sz w:val="8"/>
                      </w:rPr>
                      <w:t>H</w:t>
                    </w:r>
                    <w:r>
                      <w:rPr>
                        <w:rFonts w:ascii="Verdana"/>
                        <w:spacing w:val="-1"/>
                        <w:w w:val="204"/>
                        <w:sz w:val="8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w w:val="202"/>
                        <w:sz w:val="8"/>
                      </w:rPr>
                      <w:t>M</w:t>
                    </w:r>
                    <w:r>
                      <w:rPr>
                        <w:rFonts w:ascii="Verdana"/>
                        <w:w w:val="155"/>
                        <w:sz w:val="8"/>
                      </w:rPr>
                      <w:t>B</w:t>
                    </w:r>
                    <w:r>
                      <w:rPr>
                        <w:rFonts w:ascii="Verdana"/>
                        <w:w w:val="161"/>
                        <w:sz w:val="8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57"/>
                        <w:sz w:val="8"/>
                      </w:rPr>
                      <w:t>E</w:t>
                    </w:r>
                    <w:r>
                      <w:rPr>
                        <w:rFonts w:ascii="Verdana"/>
                        <w:w w:val="135"/>
                        <w:sz w:val="8"/>
                      </w:rPr>
                      <w:t>S</w:t>
                    </w:r>
                  </w:p>
                  <w:p>
                    <w:pPr>
                      <w:tabs>
                        <w:tab w:pos="2738" w:val="left" w:leader="none"/>
                        <w:tab w:pos="5477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Verdana" w:hAnsi="Verdana"/>
                        <w:sz w:val="8"/>
                      </w:rPr>
                    </w:pPr>
                    <w:r>
                      <w:rPr>
                        <w:rFonts w:ascii="Verdana" w:hAnsi="Verdana"/>
                        <w:spacing w:val="-1"/>
                        <w:w w:val="164"/>
                        <w:sz w:val="8"/>
                      </w:rPr>
                      <w:t>X</w:t>
                    </w:r>
                    <w:r>
                      <w:rPr>
                        <w:rFonts w:ascii="Verdana" w:hAnsi="Verdana"/>
                        <w:spacing w:val="-1"/>
                        <w:w w:val="99"/>
                        <w:sz w:val="8"/>
                      </w:rPr>
                      <w:t>I</w:t>
                    </w:r>
                    <w:r>
                      <w:rPr>
                        <w:rFonts w:ascii="Verdana" w:hAnsi="Verdana"/>
                        <w:w w:val="183"/>
                        <w:sz w:val="8"/>
                      </w:rPr>
                      <w:t>N</w:t>
                    </w:r>
                    <w:r>
                      <w:rPr>
                        <w:rFonts w:ascii="Verdana" w:hAnsi="Verdana"/>
                        <w:spacing w:val="-1"/>
                        <w:w w:val="208"/>
                        <w:sz w:val="8"/>
                      </w:rPr>
                      <w:t>C</w:t>
                    </w:r>
                    <w:r>
                      <w:rPr>
                        <w:rFonts w:ascii="Verdana" w:hAnsi="Verdana"/>
                        <w:w w:val="208"/>
                        <w:sz w:val="8"/>
                      </w:rPr>
                      <w:t>A</w:t>
                    </w:r>
                    <w:r>
                      <w:rPr>
                        <w:rFonts w:ascii="Verdana" w:hAnsi="Verdana"/>
                        <w:spacing w:val="12"/>
                        <w:sz w:val="8"/>
                      </w:rPr>
                      <w:t> </w:t>
                    </w:r>
                    <w:r>
                      <w:rPr>
                        <w:rFonts w:ascii="Verdana" w:hAnsi="Verdana"/>
                        <w:w w:val="135"/>
                        <w:sz w:val="8"/>
                      </w:rPr>
                      <w:t>-</w:t>
                    </w:r>
                    <w:r>
                      <w:rPr>
                        <w:rFonts w:ascii="Verdana" w:hAnsi="Verdana"/>
                        <w:sz w:val="8"/>
                      </w:rPr>
                      <w:t> </w:t>
                    </w:r>
                    <w:r>
                      <w:rPr>
                        <w:rFonts w:ascii="Verdana" w:hAnsi="Verdana"/>
                        <w:spacing w:val="-15"/>
                        <w:sz w:val="8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202"/>
                        <w:sz w:val="8"/>
                      </w:rPr>
                      <w:t>M</w:t>
                    </w:r>
                    <w:r>
                      <w:rPr>
                        <w:rFonts w:ascii="Verdana" w:hAnsi="Verdana"/>
                        <w:spacing w:val="-1"/>
                        <w:w w:val="165"/>
                        <w:sz w:val="8"/>
                      </w:rPr>
                      <w:t>U</w:t>
                    </w:r>
                    <w:r>
                      <w:rPr>
                        <w:rFonts w:ascii="Verdana" w:hAnsi="Verdana"/>
                        <w:spacing w:val="-1"/>
                        <w:w w:val="196"/>
                        <w:sz w:val="8"/>
                      </w:rPr>
                      <w:t>J</w:t>
                    </w:r>
                    <w:r>
                      <w:rPr>
                        <w:rFonts w:ascii="Verdana" w:hAnsi="Verdana"/>
                        <w:w w:val="157"/>
                        <w:sz w:val="8"/>
                      </w:rPr>
                      <w:t>E</w:t>
                    </w:r>
                    <w:r>
                      <w:rPr>
                        <w:rFonts w:ascii="Verdana" w:hAnsi="Verdana"/>
                        <w:spacing w:val="-1"/>
                        <w:w w:val="161"/>
                        <w:sz w:val="8"/>
                      </w:rPr>
                      <w:t>R</w:t>
                    </w:r>
                    <w:r>
                      <w:rPr>
                        <w:rFonts w:ascii="Verdana" w:hAnsi="Verdana"/>
                        <w:w w:val="157"/>
                        <w:sz w:val="8"/>
                      </w:rPr>
                      <w:t>E</w:t>
                    </w:r>
                    <w:r>
                      <w:rPr>
                        <w:rFonts w:ascii="Verdana" w:hAnsi="Verdana"/>
                        <w:w w:val="135"/>
                        <w:sz w:val="8"/>
                      </w:rPr>
                      <w:t>S</w:t>
                    </w:r>
                    <w:r>
                      <w:rPr>
                        <w:rFonts w:ascii="Verdana" w:hAnsi="Verdana"/>
                        <w:sz w:val="8"/>
                      </w:rPr>
                      <w:tab/>
                    </w:r>
                    <w:r>
                      <w:rPr>
                        <w:rFonts w:ascii="Verdana" w:hAnsi="Verdana"/>
                        <w:spacing w:val="-1"/>
                        <w:w w:val="135"/>
                        <w:sz w:val="8"/>
                      </w:rPr>
                      <w:t>Si</w:t>
                    </w:r>
                    <w:r>
                      <w:rPr>
                        <w:rFonts w:ascii="Verdana" w:hAnsi="Verdana"/>
                        <w:w w:val="178"/>
                        <w:sz w:val="8"/>
                      </w:rPr>
                      <w:t>n</w:t>
                    </w:r>
                    <w:r>
                      <w:rPr>
                        <w:rFonts w:ascii="Verdana" w:hAnsi="Verdana"/>
                        <w:spacing w:val="13"/>
                        <w:sz w:val="8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193"/>
                        <w:sz w:val="8"/>
                      </w:rPr>
                      <w:t>Cl</w:t>
                    </w:r>
                    <w:r>
                      <w:rPr>
                        <w:rFonts w:ascii="Verdana" w:hAnsi="Verdana"/>
                        <w:w w:val="210"/>
                        <w:sz w:val="8"/>
                      </w:rPr>
                      <w:t>a</w:t>
                    </w:r>
                    <w:r>
                      <w:rPr>
                        <w:rFonts w:ascii="Verdana" w:hAnsi="Verdana"/>
                        <w:w w:val="138"/>
                        <w:sz w:val="8"/>
                      </w:rPr>
                      <w:t>s</w:t>
                    </w:r>
                    <w:r>
                      <w:rPr>
                        <w:rFonts w:ascii="Verdana" w:hAnsi="Verdana"/>
                        <w:w w:val="135"/>
                        <w:sz w:val="8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152"/>
                        <w:sz w:val="8"/>
                      </w:rPr>
                      <w:t>f</w:t>
                    </w:r>
                    <w:r>
                      <w:rPr>
                        <w:rFonts w:ascii="Verdana" w:hAnsi="Verdana"/>
                        <w:w w:val="152"/>
                        <w:sz w:val="8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219"/>
                        <w:sz w:val="8"/>
                      </w:rPr>
                      <w:t>c</w:t>
                    </w:r>
                    <w:r>
                      <w:rPr>
                        <w:rFonts w:ascii="Verdana" w:hAnsi="Verdana"/>
                        <w:w w:val="219"/>
                        <w:sz w:val="8"/>
                      </w:rPr>
                      <w:t>a</w:t>
                    </w:r>
                    <w:r>
                      <w:rPr>
                        <w:rFonts w:ascii="Verdana" w:hAnsi="Verdana"/>
                        <w:spacing w:val="-1"/>
                        <w:w w:val="197"/>
                        <w:sz w:val="8"/>
                      </w:rPr>
                      <w:t>c</w:t>
                    </w:r>
                    <w:r>
                      <w:rPr>
                        <w:rFonts w:ascii="Verdana" w:hAnsi="Verdana"/>
                        <w:spacing w:val="1"/>
                        <w:w w:val="197"/>
                        <w:sz w:val="8"/>
                      </w:rPr>
                      <w:t>i</w:t>
                    </w:r>
                    <w:r>
                      <w:rPr>
                        <w:rFonts w:ascii="Verdana" w:hAnsi="Verdana"/>
                        <w:w w:val="199"/>
                        <w:sz w:val="8"/>
                      </w:rPr>
                      <w:t>ó</w:t>
                    </w:r>
                    <w:r>
                      <w:rPr>
                        <w:rFonts w:ascii="Verdana" w:hAnsi="Verdana"/>
                        <w:w w:val="178"/>
                        <w:sz w:val="8"/>
                      </w:rPr>
                      <w:t>n</w:t>
                    </w:r>
                    <w:r>
                      <w:rPr>
                        <w:rFonts w:ascii="Verdana" w:hAnsi="Verdana"/>
                        <w:spacing w:val="12"/>
                        <w:sz w:val="8"/>
                      </w:rPr>
                      <w:t> </w:t>
                    </w:r>
                    <w:r>
                      <w:rPr>
                        <w:rFonts w:ascii="Verdana" w:hAnsi="Verdana"/>
                        <w:w w:val="135"/>
                        <w:sz w:val="8"/>
                      </w:rPr>
                      <w:t>-</w:t>
                    </w:r>
                    <w:r>
                      <w:rPr>
                        <w:rFonts w:ascii="Verdana" w:hAnsi="Verdana"/>
                        <w:spacing w:val="12"/>
                        <w:sz w:val="8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168"/>
                        <w:sz w:val="8"/>
                      </w:rPr>
                      <w:t>H</w:t>
                    </w:r>
                    <w:r>
                      <w:rPr>
                        <w:rFonts w:ascii="Verdana" w:hAnsi="Verdana"/>
                        <w:spacing w:val="-1"/>
                        <w:w w:val="204"/>
                        <w:sz w:val="8"/>
                      </w:rPr>
                      <w:t>O</w:t>
                    </w:r>
                    <w:r>
                      <w:rPr>
                        <w:rFonts w:ascii="Verdana" w:hAnsi="Verdana"/>
                        <w:w w:val="202"/>
                        <w:sz w:val="8"/>
                      </w:rPr>
                      <w:t>M</w:t>
                    </w:r>
                    <w:r>
                      <w:rPr>
                        <w:rFonts w:ascii="Verdana" w:hAnsi="Verdana"/>
                        <w:spacing w:val="-2"/>
                        <w:w w:val="155"/>
                        <w:sz w:val="8"/>
                      </w:rPr>
                      <w:t>B</w:t>
                    </w:r>
                    <w:r>
                      <w:rPr>
                        <w:rFonts w:ascii="Verdana" w:hAnsi="Verdana"/>
                        <w:w w:val="161"/>
                        <w:sz w:val="8"/>
                      </w:rPr>
                      <w:t>R</w:t>
                    </w:r>
                    <w:r>
                      <w:rPr>
                        <w:rFonts w:ascii="Verdana" w:hAnsi="Verdana"/>
                        <w:w w:val="157"/>
                        <w:sz w:val="8"/>
                      </w:rPr>
                      <w:t>E</w:t>
                    </w:r>
                    <w:r>
                      <w:rPr>
                        <w:rFonts w:ascii="Verdana" w:hAnsi="Verdana"/>
                        <w:w w:val="135"/>
                        <w:sz w:val="8"/>
                      </w:rPr>
                      <w:t>S</w:t>
                    </w:r>
                    <w:r>
                      <w:rPr>
                        <w:rFonts w:ascii="Verdana" w:hAnsi="Verdana"/>
                        <w:sz w:val="8"/>
                      </w:rPr>
                      <w:tab/>
                    </w:r>
                    <w:r>
                      <w:rPr>
                        <w:rFonts w:ascii="Verdana" w:hAnsi="Verdana"/>
                        <w:spacing w:val="-1"/>
                        <w:w w:val="135"/>
                        <w:sz w:val="8"/>
                      </w:rPr>
                      <w:t>S</w:t>
                    </w:r>
                    <w:r>
                      <w:rPr>
                        <w:rFonts w:ascii="Verdana" w:hAnsi="Verdana"/>
                        <w:w w:val="135"/>
                        <w:sz w:val="8"/>
                      </w:rPr>
                      <w:t>i</w:t>
                    </w:r>
                    <w:r>
                      <w:rPr>
                        <w:rFonts w:ascii="Verdana" w:hAnsi="Verdana"/>
                        <w:w w:val="178"/>
                        <w:sz w:val="8"/>
                      </w:rPr>
                      <w:t>n</w:t>
                    </w:r>
                    <w:r>
                      <w:rPr>
                        <w:rFonts w:ascii="Verdana" w:hAnsi="Verdana"/>
                        <w:spacing w:val="12"/>
                        <w:sz w:val="8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193"/>
                        <w:sz w:val="8"/>
                      </w:rPr>
                      <w:t>C</w:t>
                    </w:r>
                    <w:r>
                      <w:rPr>
                        <w:rFonts w:ascii="Verdana" w:hAnsi="Verdana"/>
                        <w:spacing w:val="1"/>
                        <w:w w:val="193"/>
                        <w:sz w:val="8"/>
                      </w:rPr>
                      <w:t>l</w:t>
                    </w:r>
                    <w:r>
                      <w:rPr>
                        <w:rFonts w:ascii="Verdana" w:hAnsi="Verdana"/>
                        <w:w w:val="210"/>
                        <w:sz w:val="8"/>
                      </w:rPr>
                      <w:t>a</w:t>
                    </w:r>
                    <w:r>
                      <w:rPr>
                        <w:rFonts w:ascii="Verdana" w:hAnsi="Verdana"/>
                        <w:w w:val="138"/>
                        <w:sz w:val="8"/>
                      </w:rPr>
                      <w:t>s</w:t>
                    </w:r>
                    <w:r>
                      <w:rPr>
                        <w:rFonts w:ascii="Verdana" w:hAnsi="Verdana"/>
                        <w:spacing w:val="-1"/>
                        <w:w w:val="135"/>
                        <w:sz w:val="8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152"/>
                        <w:sz w:val="8"/>
                      </w:rPr>
                      <w:t>f</w:t>
                    </w:r>
                    <w:r>
                      <w:rPr>
                        <w:rFonts w:ascii="Verdana" w:hAnsi="Verdana"/>
                        <w:w w:val="152"/>
                        <w:sz w:val="8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219"/>
                        <w:sz w:val="8"/>
                      </w:rPr>
                      <w:t>c</w:t>
                    </w:r>
                    <w:r>
                      <w:rPr>
                        <w:rFonts w:ascii="Verdana" w:hAnsi="Verdana"/>
                        <w:spacing w:val="1"/>
                        <w:w w:val="219"/>
                        <w:sz w:val="8"/>
                      </w:rPr>
                      <w:t>a</w:t>
                    </w:r>
                    <w:r>
                      <w:rPr>
                        <w:rFonts w:ascii="Verdana" w:hAnsi="Verdana"/>
                        <w:spacing w:val="-1"/>
                        <w:w w:val="197"/>
                        <w:sz w:val="8"/>
                      </w:rPr>
                      <w:t>c</w:t>
                    </w:r>
                    <w:r>
                      <w:rPr>
                        <w:rFonts w:ascii="Verdana" w:hAnsi="Verdana"/>
                        <w:spacing w:val="1"/>
                        <w:w w:val="197"/>
                        <w:sz w:val="8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199"/>
                        <w:sz w:val="8"/>
                      </w:rPr>
                      <w:t>ó</w:t>
                    </w:r>
                    <w:r>
                      <w:rPr>
                        <w:rFonts w:ascii="Verdana" w:hAnsi="Verdana"/>
                        <w:w w:val="178"/>
                        <w:sz w:val="8"/>
                      </w:rPr>
                      <w:t>n</w:t>
                    </w:r>
                    <w:r>
                      <w:rPr>
                        <w:rFonts w:ascii="Verdana" w:hAnsi="Verdana"/>
                        <w:spacing w:val="13"/>
                        <w:sz w:val="8"/>
                      </w:rPr>
                      <w:t> </w:t>
                    </w:r>
                    <w:r>
                      <w:rPr>
                        <w:rFonts w:ascii="Verdana" w:hAnsi="Verdana"/>
                        <w:w w:val="135"/>
                        <w:sz w:val="8"/>
                      </w:rPr>
                      <w:t>-</w:t>
                    </w:r>
                    <w:r>
                      <w:rPr>
                        <w:rFonts w:ascii="Verdana" w:hAnsi="Verdana"/>
                        <w:spacing w:val="12"/>
                        <w:sz w:val="8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202"/>
                        <w:sz w:val="8"/>
                      </w:rPr>
                      <w:t>M</w:t>
                    </w:r>
                    <w:r>
                      <w:rPr>
                        <w:rFonts w:ascii="Verdana" w:hAnsi="Verdana"/>
                        <w:w w:val="165"/>
                        <w:sz w:val="8"/>
                      </w:rPr>
                      <w:t>U</w:t>
                    </w:r>
                    <w:r>
                      <w:rPr>
                        <w:rFonts w:ascii="Verdana" w:hAnsi="Verdana"/>
                        <w:spacing w:val="-2"/>
                        <w:w w:val="196"/>
                        <w:sz w:val="8"/>
                      </w:rPr>
                      <w:t>J</w:t>
                    </w:r>
                    <w:r>
                      <w:rPr>
                        <w:rFonts w:ascii="Verdana" w:hAnsi="Verdana"/>
                        <w:w w:val="157"/>
                        <w:sz w:val="8"/>
                      </w:rPr>
                      <w:t>E</w:t>
                    </w:r>
                    <w:r>
                      <w:rPr>
                        <w:rFonts w:ascii="Verdana" w:hAnsi="Verdana"/>
                        <w:w w:val="161"/>
                        <w:sz w:val="8"/>
                      </w:rPr>
                      <w:t>R</w:t>
                    </w:r>
                    <w:r>
                      <w:rPr>
                        <w:rFonts w:ascii="Verdana" w:hAnsi="Verdana"/>
                        <w:spacing w:val="-1"/>
                        <w:w w:val="157"/>
                        <w:sz w:val="8"/>
                      </w:rPr>
                      <w:t>E</w:t>
                    </w:r>
                    <w:r>
                      <w:rPr>
                        <w:rFonts w:ascii="Verdana" w:hAnsi="Verdana"/>
                        <w:w w:val="135"/>
                        <w:sz w:val="8"/>
                      </w:rPr>
                      <w:t>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Gráfico Nº. Total de población estudiantil por niveles educativos, etnia y sexo para el Departamento de</w:t>
      </w:r>
      <w:r>
        <w:rPr>
          <w:spacing w:val="1"/>
        </w:rPr>
        <w:t> </w:t>
      </w:r>
      <w:r>
        <w:rPr/>
        <w:t>Petén</w:t>
      </w:r>
      <w:r>
        <w:rPr>
          <w:spacing w:val="-1"/>
        </w:rPr>
        <w:t> </w:t>
      </w:r>
      <w:r>
        <w:rPr/>
        <w:t>(2017-2021)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278" w:right="1073"/>
        <w:jc w:val="both"/>
      </w:pPr>
      <w:r>
        <w:rPr/>
        <w:t>Este gráfico muestra el total de la población estudiantil por niveles educativos, etnia y sexo durante el</w:t>
      </w:r>
      <w:r>
        <w:rPr>
          <w:spacing w:val="1"/>
        </w:rPr>
        <w:t> </w:t>
      </w:r>
      <w:r>
        <w:rPr/>
        <w:t>período 2017-2021, para el Departamento de Petén. Según DIPLAN, (2021), de las cifras anteriores, la</w:t>
      </w:r>
      <w:r>
        <w:rPr>
          <w:spacing w:val="1"/>
        </w:rPr>
        <w:t> </w:t>
      </w:r>
      <w:r>
        <w:rPr/>
        <w:t>proporción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a la</w:t>
      </w:r>
      <w:r>
        <w:rPr>
          <w:spacing w:val="-3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estudiantil</w:t>
      </w:r>
      <w:r>
        <w:rPr>
          <w:spacing w:val="-3"/>
        </w:rPr>
        <w:t> </w:t>
      </w:r>
      <w:r>
        <w:rPr/>
        <w:t>fue</w:t>
      </w:r>
      <w:r>
        <w:rPr>
          <w:spacing w:val="1"/>
        </w:rPr>
        <w:t> </w:t>
      </w:r>
      <w:r>
        <w:rPr/>
        <w:t>como</w:t>
      </w:r>
      <w:r>
        <w:rPr>
          <w:spacing w:val="-2"/>
        </w:rPr>
        <w:t> </w:t>
      </w:r>
      <w:r>
        <w:rPr/>
        <w:t>sigue: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278" w:right="6486"/>
      </w:pPr>
      <w:r>
        <w:rPr/>
        <w:t>Ladinos: 38% de hombres y 37% de mujeres.</w:t>
      </w:r>
      <w:r>
        <w:rPr>
          <w:spacing w:val="-47"/>
        </w:rPr>
        <w:t> </w:t>
      </w:r>
      <w:r>
        <w:rPr/>
        <w:t>Mayas:</w:t>
      </w:r>
      <w:r>
        <w:rPr>
          <w:spacing w:val="-3"/>
        </w:rPr>
        <w:t> </w:t>
      </w:r>
      <w:r>
        <w:rPr/>
        <w:t>13%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hombres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12%</w:t>
      </w:r>
      <w:r>
        <w:rPr>
          <w:spacing w:val="-2"/>
        </w:rPr>
        <w:t> </w:t>
      </w:r>
      <w:r>
        <w:rPr/>
        <w:t>mujeres.</w:t>
      </w:r>
    </w:p>
    <w:p>
      <w:pPr>
        <w:pStyle w:val="BodyText"/>
        <w:spacing w:before="1"/>
      </w:pPr>
    </w:p>
    <w:p>
      <w:pPr>
        <w:pStyle w:val="BodyText"/>
        <w:ind w:left="278" w:right="1071"/>
        <w:jc w:val="both"/>
      </w:pPr>
      <w:r>
        <w:rPr/>
        <w:t>Al</w:t>
      </w:r>
      <w:r>
        <w:rPr>
          <w:spacing w:val="-9"/>
        </w:rPr>
        <w:t> </w:t>
      </w:r>
      <w:r>
        <w:rPr/>
        <w:t>comparar</w:t>
      </w:r>
      <w:r>
        <w:rPr>
          <w:spacing w:val="-11"/>
        </w:rPr>
        <w:t> </w:t>
      </w:r>
      <w:r>
        <w:rPr/>
        <w:t>estos</w:t>
      </w:r>
      <w:r>
        <w:rPr>
          <w:spacing w:val="-8"/>
        </w:rPr>
        <w:t> </w:t>
      </w:r>
      <w:r>
        <w:rPr/>
        <w:t>resultados</w:t>
      </w:r>
      <w:r>
        <w:rPr>
          <w:spacing w:val="-7"/>
        </w:rPr>
        <w:t> </w:t>
      </w:r>
      <w:r>
        <w:rPr/>
        <w:t>con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información</w:t>
      </w:r>
      <w:r>
        <w:rPr>
          <w:spacing w:val="-8"/>
        </w:rPr>
        <w:t> </w:t>
      </w:r>
      <w:r>
        <w:rPr/>
        <w:t>del</w:t>
      </w:r>
      <w:r>
        <w:rPr>
          <w:spacing w:val="-10"/>
        </w:rPr>
        <w:t> </w:t>
      </w:r>
      <w:r>
        <w:rPr/>
        <w:t>INE,</w:t>
      </w:r>
      <w:r>
        <w:rPr>
          <w:spacing w:val="-8"/>
        </w:rPr>
        <w:t> </w:t>
      </w:r>
      <w:r>
        <w:rPr/>
        <w:t>(2018),</w:t>
      </w:r>
      <w:r>
        <w:rPr>
          <w:spacing w:val="-9"/>
        </w:rPr>
        <w:t> </w:t>
      </w:r>
      <w:r>
        <w:rPr/>
        <w:t>es</w:t>
      </w:r>
      <w:r>
        <w:rPr>
          <w:spacing w:val="-10"/>
        </w:rPr>
        <w:t> </w:t>
      </w:r>
      <w:r>
        <w:rPr/>
        <w:t>posible</w:t>
      </w:r>
      <w:r>
        <w:rPr>
          <w:spacing w:val="-10"/>
        </w:rPr>
        <w:t> </w:t>
      </w:r>
      <w:r>
        <w:rPr/>
        <w:t>evidenciar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si</w:t>
      </w:r>
      <w:r>
        <w:rPr>
          <w:spacing w:val="-11"/>
        </w:rPr>
        <w:t> </w:t>
      </w:r>
      <w:r>
        <w:rPr/>
        <w:t>bien</w:t>
      </w:r>
      <w:r>
        <w:rPr>
          <w:spacing w:val="-8"/>
        </w:rPr>
        <w:t> </w:t>
      </w:r>
      <w:r>
        <w:rPr/>
        <w:t>es</w:t>
      </w:r>
      <w:r>
        <w:rPr>
          <w:spacing w:val="-9"/>
        </w:rPr>
        <w:t> </w:t>
      </w:r>
      <w:r>
        <w:rPr/>
        <w:t>cierto,</w:t>
      </w:r>
      <w:r>
        <w:rPr>
          <w:spacing w:val="-48"/>
        </w:rPr>
        <w:t> </w:t>
      </w:r>
      <w:r>
        <w:rPr/>
        <w:t>si hay representatividad de las etnias mayoritarias por Departamento (30% Maya y 69% Ladina), ésta no</w:t>
      </w:r>
      <w:r>
        <w:rPr>
          <w:spacing w:val="1"/>
        </w:rPr>
        <w:t> </w:t>
      </w:r>
      <w:r>
        <w:rPr/>
        <w:t>se presenta en la misma proporción. Es decir, un niño o adolescente maya en Petén posee menor</w:t>
      </w:r>
      <w:r>
        <w:rPr>
          <w:spacing w:val="1"/>
        </w:rPr>
        <w:t> </w:t>
      </w:r>
      <w:r>
        <w:rPr/>
        <w:t>probabilidad de entrar y permanecer en el sistema. Se sigue privilegiando el acceso a la educación de la</w:t>
      </w:r>
      <w:r>
        <w:rPr>
          <w:spacing w:val="1"/>
        </w:rPr>
        <w:t> </w:t>
      </w:r>
      <w:r>
        <w:rPr/>
        <w:t>etnia Ladina.</w:t>
      </w:r>
    </w:p>
    <w:p>
      <w:pPr>
        <w:pStyle w:val="BodyText"/>
        <w:spacing w:before="12"/>
        <w:rPr>
          <w:sz w:val="21"/>
        </w:rPr>
      </w:pPr>
    </w:p>
    <w:p>
      <w:pPr>
        <w:pStyle w:val="BodyText"/>
        <w:ind w:left="278" w:right="1072"/>
        <w:jc w:val="both"/>
      </w:pPr>
      <w:r>
        <w:rPr/>
        <w:t>Por otra parte, respecto del sexo se sigue presentando una brecha de atención en dónde la participación</w:t>
      </w:r>
      <w:r>
        <w:rPr>
          <w:spacing w:val="1"/>
        </w:rPr>
        <w:t> </w:t>
      </w:r>
      <w:r>
        <w:rPr/>
        <w:t>del</w:t>
      </w:r>
      <w:r>
        <w:rPr>
          <w:spacing w:val="-5"/>
        </w:rPr>
        <w:t> </w:t>
      </w:r>
      <w:r>
        <w:rPr/>
        <w:t>hombre</w:t>
      </w:r>
      <w:r>
        <w:rPr>
          <w:spacing w:val="-10"/>
        </w:rPr>
        <w:t> </w:t>
      </w:r>
      <w:r>
        <w:rPr/>
        <w:t>Maya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Ladino,</w:t>
      </w:r>
      <w:r>
        <w:rPr>
          <w:spacing w:val="-7"/>
        </w:rPr>
        <w:t> </w:t>
      </w:r>
      <w:r>
        <w:rPr/>
        <w:t>es</w:t>
      </w:r>
      <w:r>
        <w:rPr>
          <w:spacing w:val="-7"/>
        </w:rPr>
        <w:t> </w:t>
      </w:r>
      <w:r>
        <w:rPr/>
        <w:t>mayor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mujer</w:t>
      </w:r>
      <w:r>
        <w:rPr>
          <w:spacing w:val="-8"/>
        </w:rPr>
        <w:t> </w:t>
      </w:r>
      <w:r>
        <w:rPr/>
        <w:t>-para</w:t>
      </w:r>
      <w:r>
        <w:rPr>
          <w:spacing w:val="-9"/>
        </w:rPr>
        <w:t> </w:t>
      </w:r>
      <w:r>
        <w:rPr/>
        <w:t>ambas</w:t>
      </w:r>
      <w:r>
        <w:rPr>
          <w:spacing w:val="-9"/>
        </w:rPr>
        <w:t> </w:t>
      </w:r>
      <w:r>
        <w:rPr/>
        <w:t>etnias-;</w:t>
      </w:r>
      <w:r>
        <w:rPr>
          <w:spacing w:val="-7"/>
        </w:rPr>
        <w:t> </w:t>
      </w:r>
      <w:r>
        <w:rPr/>
        <w:t>sobre</w:t>
      </w:r>
      <w:r>
        <w:rPr>
          <w:spacing w:val="-10"/>
        </w:rPr>
        <w:t> </w:t>
      </w:r>
      <w:r>
        <w:rPr/>
        <w:t>todo</w:t>
      </w:r>
      <w:r>
        <w:rPr>
          <w:spacing w:val="-7"/>
        </w:rPr>
        <w:t> </w:t>
      </w:r>
      <w:r>
        <w:rPr/>
        <w:t>considerando</w:t>
      </w:r>
      <w:r>
        <w:rPr>
          <w:spacing w:val="-4"/>
        </w:rPr>
        <w:t> </w:t>
      </w:r>
      <w:r>
        <w:rPr/>
        <w:t>que</w:t>
      </w:r>
      <w:r>
        <w:rPr>
          <w:spacing w:val="-47"/>
        </w:rPr>
        <w:t> </w:t>
      </w:r>
      <w:r>
        <w:rPr/>
        <w:t>en</w:t>
      </w:r>
      <w:r>
        <w:rPr>
          <w:spacing w:val="-4"/>
        </w:rPr>
        <w:t> </w:t>
      </w:r>
      <w:r>
        <w:rPr/>
        <w:t>este</w:t>
      </w:r>
      <w:r>
        <w:rPr>
          <w:spacing w:val="-5"/>
        </w:rPr>
        <w:t> </w:t>
      </w:r>
      <w:r>
        <w:rPr/>
        <w:t>departamento</w:t>
      </w:r>
      <w:r>
        <w:rPr>
          <w:spacing w:val="-4"/>
        </w:rPr>
        <w:t> </w:t>
      </w:r>
      <w:r>
        <w:rPr/>
        <w:t>hay</w:t>
      </w:r>
      <w:r>
        <w:rPr>
          <w:spacing w:val="-7"/>
        </w:rPr>
        <w:t> </w:t>
      </w:r>
      <w:r>
        <w:rPr/>
        <w:t>paridad</w:t>
      </w:r>
      <w:r>
        <w:rPr>
          <w:spacing w:val="-4"/>
        </w:rPr>
        <w:t> </w:t>
      </w:r>
      <w:r>
        <w:rPr/>
        <w:t>entre</w:t>
      </w:r>
      <w:r>
        <w:rPr>
          <w:spacing w:val="-5"/>
        </w:rPr>
        <w:t> </w:t>
      </w:r>
      <w:r>
        <w:rPr/>
        <w:t>hombres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mujeres</w:t>
      </w:r>
      <w:r>
        <w:rPr>
          <w:spacing w:val="-5"/>
        </w:rPr>
        <w:t> </w:t>
      </w:r>
      <w:r>
        <w:rPr/>
        <w:t>(50%).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ejemplo:</w:t>
      </w:r>
      <w:r>
        <w:rPr>
          <w:spacing w:val="-5"/>
        </w:rPr>
        <w:t> </w:t>
      </w:r>
      <w:r>
        <w:rPr/>
        <w:t>si</w:t>
      </w:r>
      <w:r>
        <w:rPr>
          <w:spacing w:val="-4"/>
        </w:rPr>
        <w:t> </w:t>
      </w:r>
      <w:r>
        <w:rPr/>
        <w:t>es</w:t>
      </w:r>
      <w:r>
        <w:rPr>
          <w:spacing w:val="-7"/>
        </w:rPr>
        <w:t> </w:t>
      </w:r>
      <w:r>
        <w:rPr/>
        <w:t>mujer</w:t>
      </w:r>
      <w:r>
        <w:rPr>
          <w:spacing w:val="-6"/>
        </w:rPr>
        <w:t> </w:t>
      </w:r>
      <w:r>
        <w:rPr/>
        <w:t>posee</w:t>
      </w:r>
      <w:r>
        <w:rPr>
          <w:spacing w:val="-7"/>
        </w:rPr>
        <w:t> </w:t>
      </w:r>
      <w:r>
        <w:rPr/>
        <w:t>menor</w:t>
      </w:r>
      <w:r>
        <w:rPr>
          <w:spacing w:val="-47"/>
        </w:rPr>
        <w:t> </w:t>
      </w:r>
      <w:r>
        <w:rPr/>
        <w:t>posibilidad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entrar</w:t>
      </w:r>
      <w:r>
        <w:rPr>
          <w:spacing w:val="-8"/>
        </w:rPr>
        <w:t> </w:t>
      </w:r>
      <w:r>
        <w:rPr/>
        <w:t>al</w:t>
      </w:r>
      <w:r>
        <w:rPr>
          <w:spacing w:val="-10"/>
        </w:rPr>
        <w:t> </w:t>
      </w:r>
      <w:r>
        <w:rPr/>
        <w:t>sistema.</w:t>
      </w:r>
      <w:r>
        <w:rPr>
          <w:spacing w:val="-11"/>
        </w:rPr>
        <w:t> </w:t>
      </w:r>
      <w:r>
        <w:rPr/>
        <w:t>Y</w:t>
      </w:r>
      <w:r>
        <w:rPr>
          <w:spacing w:val="-8"/>
        </w:rPr>
        <w:t> </w:t>
      </w:r>
      <w:r>
        <w:rPr/>
        <w:t>si</w:t>
      </w:r>
      <w:r>
        <w:rPr>
          <w:spacing w:val="-8"/>
        </w:rPr>
        <w:t> </w:t>
      </w:r>
      <w:r>
        <w:rPr/>
        <w:t>es</w:t>
      </w:r>
      <w:r>
        <w:rPr>
          <w:spacing w:val="-9"/>
        </w:rPr>
        <w:t> </w:t>
      </w:r>
      <w:r>
        <w:rPr/>
        <w:t>mujer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etnia</w:t>
      </w:r>
      <w:r>
        <w:rPr>
          <w:spacing w:val="-11"/>
        </w:rPr>
        <w:t> </w:t>
      </w:r>
      <w:r>
        <w:rPr/>
        <w:t>Maya</w:t>
      </w:r>
      <w:r>
        <w:rPr>
          <w:spacing w:val="-9"/>
        </w:rPr>
        <w:t> </w:t>
      </w:r>
      <w:r>
        <w:rPr/>
        <w:t>esta</w:t>
      </w:r>
      <w:r>
        <w:rPr>
          <w:spacing w:val="-8"/>
        </w:rPr>
        <w:t> </w:t>
      </w:r>
      <w:r>
        <w:rPr/>
        <w:t>posibilidad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/>
        <w:t>reduce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una</w:t>
      </w:r>
      <w:r>
        <w:rPr>
          <w:spacing w:val="-8"/>
        </w:rPr>
        <w:t> </w:t>
      </w:r>
      <w:r>
        <w:rPr/>
        <w:t>décima</w:t>
      </w:r>
      <w:r>
        <w:rPr>
          <w:spacing w:val="-8"/>
        </w:rPr>
        <w:t> </w:t>
      </w:r>
      <w:r>
        <w:rPr/>
        <w:t>parte.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rect style="position:absolute;margin-left:563.880005pt;margin-top:8.818776pt;width:25.44pt;height:1.4399pt;mso-position-horizontal-relative:page;mso-position-vertical-relative:paragraph;z-index:-1540556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164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37312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4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1"/>
          <w:numId w:val="36"/>
        </w:numPr>
        <w:tabs>
          <w:tab w:pos="855" w:val="left" w:leader="none"/>
        </w:tabs>
        <w:spacing w:line="240" w:lineRule="auto" w:before="52" w:after="0"/>
        <w:ind w:left="854" w:right="0" w:hanging="577"/>
        <w:jc w:val="left"/>
      </w:pPr>
      <w:bookmarkStart w:name="_bookmark199" w:id="331"/>
      <w:bookmarkEnd w:id="331"/>
      <w:r>
        <w:rPr>
          <w:b w:val="0"/>
        </w:rPr>
      </w:r>
      <w:bookmarkStart w:name="_bookmark199" w:id="332"/>
      <w:bookmarkEnd w:id="332"/>
      <w:r>
        <w:rPr>
          <w:color w:val="1F4E79"/>
        </w:rPr>
        <w:t>Qu</w:t>
      </w:r>
      <w:r>
        <w:rPr>
          <w:color w:val="1F4E79"/>
        </w:rPr>
        <w:t>etzaltenango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2"/>
          <w:numId w:val="36"/>
        </w:numPr>
        <w:tabs>
          <w:tab w:pos="999" w:val="left" w:leader="none"/>
        </w:tabs>
        <w:spacing w:line="240" w:lineRule="auto" w:before="187" w:after="0"/>
        <w:ind w:left="998" w:right="0" w:hanging="721"/>
        <w:jc w:val="left"/>
        <w:rPr>
          <w:b/>
          <w:sz w:val="24"/>
        </w:rPr>
      </w:pPr>
      <w:bookmarkStart w:name="_bookmark200" w:id="333"/>
      <w:bookmarkEnd w:id="333"/>
      <w:r>
        <w:rPr/>
      </w:r>
      <w:bookmarkStart w:name="_bookmark200" w:id="334"/>
      <w:bookmarkEnd w:id="334"/>
      <w:r>
        <w:rPr>
          <w:b/>
          <w:sz w:val="24"/>
        </w:rPr>
        <w:t>Inf</w:t>
      </w:r>
      <w:r>
        <w:rPr>
          <w:b/>
          <w:sz w:val="24"/>
        </w:rPr>
        <w:t>ormación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General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3"/>
        <w:jc w:val="both"/>
      </w:pPr>
      <w:r>
        <w:rPr/>
        <w:t>De acuerdo INE (2018), Quetzaltenango posee una población de 799,101 habitantes integrados por una</w:t>
      </w:r>
      <w:r>
        <w:rPr>
          <w:spacing w:val="1"/>
        </w:rPr>
        <w:t> </w:t>
      </w:r>
      <w:r>
        <w:rPr/>
        <w:t>proporción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53%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mujeres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47% de</w:t>
      </w:r>
      <w:r>
        <w:rPr>
          <w:spacing w:val="-3"/>
        </w:rPr>
        <w:t> </w:t>
      </w:r>
      <w:r>
        <w:rPr/>
        <w:t>hombres.</w:t>
      </w:r>
      <w:r>
        <w:rPr>
          <w:spacing w:val="-4"/>
        </w:rPr>
        <w:t> </w:t>
      </w:r>
      <w:r>
        <w:rPr/>
        <w:t>Cabe destacar</w:t>
      </w:r>
      <w:r>
        <w:rPr>
          <w:spacing w:val="-1"/>
        </w:rPr>
        <w:t> </w:t>
      </w:r>
      <w:r>
        <w:rPr/>
        <w:t>que el</w:t>
      </w:r>
      <w:r>
        <w:rPr>
          <w:spacing w:val="-4"/>
        </w:rPr>
        <w:t> </w:t>
      </w:r>
      <w:r>
        <w:rPr/>
        <w:t>42%</w:t>
      </w:r>
      <w:r>
        <w:rPr>
          <w:spacing w:val="-2"/>
        </w:rPr>
        <w:t> </w:t>
      </w:r>
      <w:r>
        <w:rPr/>
        <w:t>de la</w:t>
      </w:r>
      <w:r>
        <w:rPr>
          <w:spacing w:val="-1"/>
        </w:rPr>
        <w:t> </w:t>
      </w:r>
      <w:r>
        <w:rPr/>
        <w:t>población</w:t>
      </w:r>
      <w:r>
        <w:rPr>
          <w:spacing w:val="-2"/>
        </w:rPr>
        <w:t> </w:t>
      </w:r>
      <w:r>
        <w:rPr/>
        <w:t>son</w:t>
      </w:r>
      <w:r>
        <w:rPr>
          <w:spacing w:val="-2"/>
        </w:rPr>
        <w:t> </w:t>
      </w:r>
      <w:r>
        <w:rPr/>
        <w:t>niños</w:t>
      </w:r>
      <w:r>
        <w:rPr>
          <w:spacing w:val="-47"/>
        </w:rPr>
        <w:t> </w:t>
      </w:r>
      <w:r>
        <w:rPr/>
        <w:t>o adolescentes, ya que se encuentran entre el rango de 0 a 19 años.</w:t>
      </w:r>
      <w:r>
        <w:rPr>
          <w:spacing w:val="1"/>
        </w:rPr>
        <w:t> </w:t>
      </w:r>
      <w:r>
        <w:rPr/>
        <w:t>De este total, el 62% es del área</w:t>
      </w:r>
      <w:r>
        <w:rPr>
          <w:spacing w:val="1"/>
        </w:rPr>
        <w:t> </w:t>
      </w:r>
      <w:r>
        <w:rPr/>
        <w:t>urbana y el restante 38% es del área rural, de los cuales el 51% pertenece a la etnia Maya y el 49% se</w:t>
      </w:r>
      <w:r>
        <w:rPr>
          <w:spacing w:val="1"/>
        </w:rPr>
        <w:t> </w:t>
      </w:r>
      <w:r>
        <w:rPr/>
        <w:t>reconoce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Ladino.</w:t>
      </w:r>
    </w:p>
    <w:p>
      <w:pPr>
        <w:pStyle w:val="BodyText"/>
        <w:spacing w:before="1"/>
      </w:pPr>
    </w:p>
    <w:p>
      <w:pPr>
        <w:pStyle w:val="BodyText"/>
        <w:spacing w:before="1"/>
        <w:ind w:left="278"/>
        <w:jc w:val="both"/>
      </w:pPr>
      <w:r>
        <w:rPr/>
        <w:t>Por</w:t>
      </w:r>
      <w:r>
        <w:rPr>
          <w:spacing w:val="-4"/>
        </w:rPr>
        <w:t> </w:t>
      </w:r>
      <w:r>
        <w:rPr/>
        <w:t>otro</w:t>
      </w:r>
      <w:r>
        <w:rPr>
          <w:spacing w:val="-2"/>
        </w:rPr>
        <w:t> </w:t>
      </w:r>
      <w:r>
        <w:rPr/>
        <w:t>lado,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comunidad</w:t>
      </w:r>
      <w:r>
        <w:rPr>
          <w:spacing w:val="-1"/>
        </w:rPr>
        <w:t> </w:t>
      </w:r>
      <w:r>
        <w:rPr/>
        <w:t>maya lingüística</w:t>
      </w:r>
      <w:r>
        <w:rPr>
          <w:spacing w:val="-1"/>
        </w:rPr>
        <w:t> </w:t>
      </w:r>
      <w:r>
        <w:rPr/>
        <w:t>dominante</w:t>
      </w:r>
      <w:r>
        <w:rPr>
          <w:spacing w:val="-1"/>
        </w:rPr>
        <w:t> </w:t>
      </w:r>
      <w:r>
        <w:rPr/>
        <w:t>es</w:t>
      </w:r>
      <w:r>
        <w:rPr>
          <w:spacing w:val="-4"/>
        </w:rPr>
        <w:t> </w:t>
      </w:r>
      <w:r>
        <w:rPr/>
        <w:t>K’iché’</w:t>
      </w:r>
      <w:r>
        <w:rPr>
          <w:spacing w:val="1"/>
        </w:rPr>
        <w:t> </w:t>
      </w:r>
      <w:r>
        <w:rPr/>
        <w:t>(56%)</w:t>
      </w:r>
      <w:r>
        <w:rPr>
          <w:spacing w:val="47"/>
        </w:rPr>
        <w:t> </w:t>
      </w:r>
      <w:r>
        <w:rPr/>
        <w:t>y</w:t>
      </w:r>
      <w:r>
        <w:rPr>
          <w:spacing w:val="-2"/>
        </w:rPr>
        <w:t> </w:t>
      </w:r>
      <w:r>
        <w:rPr/>
        <w:t>Mam</w:t>
      </w:r>
      <w:r>
        <w:rPr>
          <w:spacing w:val="-2"/>
        </w:rPr>
        <w:t> </w:t>
      </w:r>
      <w:r>
        <w:rPr/>
        <w:t>(42%).</w:t>
      </w:r>
    </w:p>
    <w:p>
      <w:pPr>
        <w:pStyle w:val="BodyText"/>
        <w:spacing w:before="8"/>
        <w:rPr>
          <w:sz w:val="19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201" w:id="335"/>
      <w:bookmarkEnd w:id="335"/>
      <w:r>
        <w:rPr>
          <w:b w:val="0"/>
        </w:rPr>
      </w:r>
      <w:bookmarkStart w:name="_bookmark201" w:id="336"/>
      <w:bookmarkEnd w:id="336"/>
      <w:r>
        <w:rPr/>
        <w:t>Situ</w:t>
      </w:r>
      <w:r>
        <w:rPr/>
        <w:t>ación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Sistema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Nacional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ind w:left="278"/>
        <w:jc w:val="both"/>
      </w:pPr>
      <w:r>
        <w:rPr>
          <w:spacing w:val="-1"/>
        </w:rPr>
        <w:t>Tabla</w:t>
      </w:r>
      <w:r>
        <w:rPr>
          <w:spacing w:val="-11"/>
        </w:rPr>
        <w:t> </w:t>
      </w:r>
      <w:r>
        <w:rPr>
          <w:spacing w:val="-1"/>
        </w:rPr>
        <w:t>Nº.</w:t>
      </w:r>
      <w:r>
        <w:rPr>
          <w:spacing w:val="-10"/>
        </w:rPr>
        <w:t> </w:t>
      </w:r>
      <w:r>
        <w:rPr>
          <w:spacing w:val="-1"/>
        </w:rPr>
        <w:t>Total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estudiantes</w:t>
      </w:r>
      <w:r>
        <w:rPr>
          <w:spacing w:val="-10"/>
        </w:rPr>
        <w:t> </w:t>
      </w:r>
      <w:r>
        <w:rPr/>
        <w:t>por</w:t>
      </w:r>
      <w:r>
        <w:rPr>
          <w:spacing w:val="-9"/>
        </w:rPr>
        <w:t> </w:t>
      </w:r>
      <w:r>
        <w:rPr/>
        <w:t>Nivel</w:t>
      </w:r>
      <w:r>
        <w:rPr>
          <w:spacing w:val="-9"/>
        </w:rPr>
        <w:t> </w:t>
      </w:r>
      <w:r>
        <w:rPr/>
        <w:t>Educativo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el</w:t>
      </w:r>
      <w:r>
        <w:rPr>
          <w:spacing w:val="-9"/>
        </w:rPr>
        <w:t> </w:t>
      </w:r>
      <w:r>
        <w:rPr/>
        <w:t>Departamento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Quetzaltenango(2017</w:t>
      </w:r>
      <w:r>
        <w:rPr>
          <w:spacing w:val="-10"/>
        </w:rPr>
        <w:t> </w:t>
      </w:r>
      <w:r>
        <w:rPr/>
        <w:t>al</w:t>
      </w:r>
      <w:r>
        <w:rPr>
          <w:spacing w:val="-12"/>
        </w:rPr>
        <w:t> </w:t>
      </w:r>
      <w:r>
        <w:rPr/>
        <w:t>2021)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237" w:lineRule="auto"/>
        <w:ind w:left="278" w:right="1073"/>
        <w:jc w:val="both"/>
      </w:pPr>
      <w:r>
        <w:rPr/>
        <w:t>El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Quetzaltenango,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ocupa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puesto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-47"/>
        </w:rPr>
        <w:t> </w:t>
      </w:r>
      <w:r>
        <w:rPr/>
        <w:t>estudiantil</w:t>
      </w:r>
      <w:r>
        <w:rPr>
          <w:spacing w:val="-1"/>
        </w:rPr>
        <w:t> </w:t>
      </w:r>
      <w:r>
        <w:rPr/>
        <w:t>a nivel nacional.</w:t>
      </w:r>
    </w:p>
    <w:p>
      <w:pPr>
        <w:pStyle w:val="BodyText"/>
        <w:spacing w:before="2"/>
      </w:pPr>
    </w:p>
    <w:p>
      <w:pPr>
        <w:pStyle w:val="BodyText"/>
        <w:ind w:left="278" w:right="1072"/>
        <w:jc w:val="both"/>
      </w:pPr>
      <w:r>
        <w:rPr/>
        <w:t>En esta tabla se muestran las cifras del Total de la población estudiantil por Nivel Educativo, durante el</w:t>
      </w:r>
      <w:r>
        <w:rPr>
          <w:spacing w:val="1"/>
        </w:rPr>
        <w:t> </w:t>
      </w:r>
      <w:r>
        <w:rPr/>
        <w:t>intervalo del 2017-2020. Durante el 2017 se tuvo una población estudiantil total de 235,155. El 2018,</w:t>
      </w:r>
      <w:r>
        <w:rPr>
          <w:spacing w:val="1"/>
        </w:rPr>
        <w:t> </w:t>
      </w:r>
      <w:r>
        <w:rPr/>
        <w:t>mostró</w:t>
      </w:r>
      <w:r>
        <w:rPr>
          <w:spacing w:val="-8"/>
        </w:rPr>
        <w:t> </w:t>
      </w:r>
      <w:r>
        <w:rPr/>
        <w:t>un</w:t>
      </w:r>
      <w:r>
        <w:rPr>
          <w:spacing w:val="-9"/>
        </w:rPr>
        <w:t> </w:t>
      </w:r>
      <w:r>
        <w:rPr/>
        <w:t>leve</w:t>
      </w:r>
      <w:r>
        <w:rPr>
          <w:spacing w:val="-7"/>
        </w:rPr>
        <w:t> </w:t>
      </w:r>
      <w:r>
        <w:rPr/>
        <w:t>aumento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237,928</w:t>
      </w:r>
      <w:r>
        <w:rPr>
          <w:spacing w:val="-7"/>
        </w:rPr>
        <w:t> </w:t>
      </w:r>
      <w:r>
        <w:rPr/>
        <w:t>alumnos</w:t>
      </w:r>
      <w:r>
        <w:rPr>
          <w:spacing w:val="-9"/>
        </w:rPr>
        <w:t> </w:t>
      </w:r>
      <w:r>
        <w:rPr/>
        <w:t>respecto</w:t>
      </w:r>
      <w:r>
        <w:rPr>
          <w:spacing w:val="-9"/>
        </w:rPr>
        <w:t> </w:t>
      </w:r>
      <w:r>
        <w:rPr/>
        <w:t>del</w:t>
      </w:r>
      <w:r>
        <w:rPr>
          <w:spacing w:val="-8"/>
        </w:rPr>
        <w:t> </w:t>
      </w:r>
      <w:r>
        <w:rPr/>
        <w:t>año</w:t>
      </w:r>
      <w:r>
        <w:rPr>
          <w:spacing w:val="-8"/>
        </w:rPr>
        <w:t> </w:t>
      </w:r>
      <w:r>
        <w:rPr/>
        <w:t>anterior.</w:t>
      </w:r>
      <w:r>
        <w:rPr>
          <w:spacing w:val="-11"/>
        </w:rPr>
        <w:t> </w:t>
      </w:r>
      <w:r>
        <w:rPr/>
        <w:t>Para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2019,</w:t>
      </w:r>
      <w:r>
        <w:rPr>
          <w:spacing w:val="-9"/>
        </w:rPr>
        <w:t> </w:t>
      </w:r>
      <w:r>
        <w:rPr/>
        <w:t>se</w:t>
      </w:r>
      <w:r>
        <w:rPr>
          <w:spacing w:val="-7"/>
        </w:rPr>
        <w:t> </w:t>
      </w:r>
      <w:r>
        <w:rPr/>
        <w:t>redujo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233,481.</w:t>
      </w:r>
      <w:r>
        <w:rPr>
          <w:spacing w:val="-47"/>
        </w:rPr>
        <w:t> </w:t>
      </w:r>
      <w:r>
        <w:rPr/>
        <w:t>La tendencia se continuó reduciendo, presentando para el 2020 la cifra de 232,081, registrándose el dato</w:t>
      </w:r>
      <w:r>
        <w:rPr>
          <w:spacing w:val="-47"/>
        </w:rPr>
        <w:t> </w:t>
      </w:r>
      <w:r>
        <w:rPr/>
        <w:t>más</w:t>
      </w:r>
      <w:r>
        <w:rPr>
          <w:spacing w:val="-1"/>
        </w:rPr>
        <w:t> </w:t>
      </w:r>
      <w:r>
        <w:rPr/>
        <w:t>bajo 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reducción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1,60% para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2021con</w:t>
      </w:r>
      <w:r>
        <w:rPr>
          <w:spacing w:val="-1"/>
        </w:rPr>
        <w:t> </w:t>
      </w:r>
      <w:r>
        <w:rPr/>
        <w:t>228,379</w:t>
      </w:r>
      <w:r>
        <w:rPr>
          <w:spacing w:val="-3"/>
        </w:rPr>
        <w:t> </w:t>
      </w:r>
      <w:r>
        <w:rPr/>
        <w:t>durante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período evaluado.</w:t>
      </w:r>
    </w:p>
    <w:p>
      <w:pPr>
        <w:pStyle w:val="BodyText"/>
        <w:spacing w:before="1"/>
      </w:pPr>
    </w:p>
    <w:p>
      <w:pPr>
        <w:pStyle w:val="BodyText"/>
        <w:ind w:left="278" w:right="1075"/>
        <w:jc w:val="both"/>
      </w:pPr>
      <w:r>
        <w:rPr/>
        <w:t>Como se muestra, el nivel que presentó más crecimiento fue la Primaria representando el 53% de la</w:t>
      </w:r>
      <w:r>
        <w:rPr>
          <w:spacing w:val="1"/>
        </w:rPr>
        <w:t> </w:t>
      </w:r>
      <w:r>
        <w:rPr/>
        <w:t>población para este período, seguido del básico con el 19% y finalmente el nivel Preprimaria con un 14%.</w:t>
      </w:r>
      <w:r>
        <w:rPr>
          <w:spacing w:val="-47"/>
        </w:rPr>
        <w:t> </w:t>
      </w:r>
      <w:r>
        <w:rPr/>
        <w:t>La participación de alumnos en el Nivel Diversificado se mantuvo constante durante el período analizado</w:t>
      </w:r>
      <w:r>
        <w:rPr>
          <w:spacing w:val="1"/>
        </w:rPr>
        <w:t> </w:t>
      </w:r>
      <w:r>
        <w:rPr/>
        <w:t>reportando un</w:t>
      </w:r>
      <w:r>
        <w:rPr>
          <w:spacing w:val="-1"/>
        </w:rPr>
        <w:t> </w:t>
      </w:r>
      <w:r>
        <w:rPr/>
        <w:t>13%.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  <w:r>
        <w:rPr/>
        <w:pict>
          <v:rect style="position:absolute;margin-left:563.880005pt;margin-top:15.474821pt;width:25.44pt;height:1.4399pt;mso-position-horizontal-relative:page;mso-position-vertical-relative:paragraph;z-index:-1540403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165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38848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4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52" w:after="0"/>
        <w:ind w:left="998" w:right="0" w:hanging="721"/>
        <w:jc w:val="left"/>
      </w:pPr>
      <w:bookmarkStart w:name="_bookmark202" w:id="337"/>
      <w:bookmarkEnd w:id="337"/>
      <w:r>
        <w:rPr>
          <w:b w:val="0"/>
        </w:rPr>
      </w:r>
      <w:bookmarkStart w:name="_bookmark202" w:id="338"/>
      <w:bookmarkEnd w:id="338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Cobertura:</w:t>
      </w:r>
      <w:r>
        <w:rPr>
          <w:spacing w:val="-4"/>
        </w:rPr>
        <w:t> </w:t>
      </w:r>
      <w:r>
        <w:rPr/>
        <w:t>Tasa</w:t>
      </w:r>
      <w:r>
        <w:rPr>
          <w:spacing w:val="-3"/>
        </w:rPr>
        <w:t> </w:t>
      </w:r>
      <w:r>
        <w:rPr/>
        <w:t>Neta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Cobertura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5"/>
        <w:jc w:val="both"/>
      </w:pPr>
      <w:r>
        <w:rPr/>
        <w:t>Tabla</w:t>
      </w:r>
      <w:r>
        <w:rPr>
          <w:spacing w:val="1"/>
        </w:rPr>
        <w:t> </w:t>
      </w:r>
      <w:r>
        <w:rPr/>
        <w:t>Nº.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Cobertura: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Bruta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Académico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47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de Quetzaltenango</w:t>
      </w:r>
    </w:p>
    <w:tbl>
      <w:tblPr>
        <w:tblW w:w="0" w:type="auto"/>
        <w:jc w:val="left"/>
        <w:tblInd w:w="2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1"/>
        <w:gridCol w:w="2700"/>
        <w:gridCol w:w="1260"/>
        <w:gridCol w:w="1170"/>
        <w:gridCol w:w="1169"/>
        <w:gridCol w:w="1358"/>
      </w:tblGrid>
      <w:tr>
        <w:trPr>
          <w:trHeight w:val="438" w:hRule="atLeast"/>
        </w:trPr>
        <w:tc>
          <w:tcPr>
            <w:tcW w:w="8828" w:type="dxa"/>
            <w:gridSpan w:val="6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before="91"/>
              <w:ind w:left="2335" w:right="233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10"/>
                <w:sz w:val="22"/>
              </w:rPr>
              <w:t>Departamento </w:t>
            </w:r>
            <w:r>
              <w:rPr>
                <w:rFonts w:ascii="Arial"/>
                <w:b/>
                <w:spacing w:val="16"/>
                <w:w w:val="110"/>
                <w:sz w:val="22"/>
              </w:rPr>
              <w:t> </w:t>
            </w:r>
            <w:r>
              <w:rPr>
                <w:rFonts w:ascii="Arial"/>
                <w:b/>
                <w:w w:val="110"/>
                <w:sz w:val="22"/>
              </w:rPr>
              <w:t>de </w:t>
            </w:r>
            <w:r>
              <w:rPr>
                <w:rFonts w:ascii="Arial"/>
                <w:b/>
                <w:spacing w:val="45"/>
                <w:w w:val="110"/>
                <w:sz w:val="22"/>
              </w:rPr>
              <w:t> </w:t>
            </w:r>
            <w:r>
              <w:rPr>
                <w:rFonts w:ascii="Arial"/>
                <w:b/>
                <w:w w:val="110"/>
                <w:sz w:val="22"/>
              </w:rPr>
              <w:t>Quetza</w:t>
            </w:r>
            <w:r>
              <w:rPr>
                <w:rFonts w:ascii="Arial"/>
                <w:b/>
                <w:spacing w:val="-14"/>
                <w:w w:val="110"/>
                <w:sz w:val="22"/>
              </w:rPr>
              <w:t> </w:t>
            </w:r>
            <w:r>
              <w:rPr>
                <w:rFonts w:ascii="Arial"/>
                <w:b/>
                <w:w w:val="110"/>
                <w:sz w:val="22"/>
              </w:rPr>
              <w:t>ltenango</w:t>
            </w:r>
          </w:p>
        </w:tc>
      </w:tr>
      <w:tr>
        <w:trPr>
          <w:trHeight w:val="438" w:hRule="atLeast"/>
        </w:trPr>
        <w:tc>
          <w:tcPr>
            <w:tcW w:w="1171" w:type="dxa"/>
            <w:shd w:val="clear" w:color="auto" w:fill="F1F1F1"/>
          </w:tcPr>
          <w:p>
            <w:pPr>
              <w:pStyle w:val="TableParagraph"/>
              <w:spacing w:before="100"/>
              <w:ind w:left="351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w w:val="105"/>
                <w:sz w:val="18"/>
              </w:rPr>
              <w:t>Años</w:t>
            </w:r>
          </w:p>
        </w:tc>
        <w:tc>
          <w:tcPr>
            <w:tcW w:w="2700" w:type="dxa"/>
            <w:shd w:val="clear" w:color="auto" w:fill="F1F1F1"/>
          </w:tcPr>
          <w:p>
            <w:pPr>
              <w:pStyle w:val="TableParagraph"/>
              <w:spacing w:before="112"/>
              <w:ind w:left="95" w:right="11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10"/>
                <w:sz w:val="18"/>
              </w:rPr>
              <w:t>Índicadores</w:t>
            </w:r>
            <w:r>
              <w:rPr>
                <w:rFonts w:ascii="Arial" w:hAnsi="Arial"/>
                <w:b/>
                <w:spacing w:val="-12"/>
                <w:w w:val="110"/>
                <w:sz w:val="18"/>
              </w:rPr>
              <w:t> </w:t>
            </w:r>
            <w:r>
              <w:rPr>
                <w:rFonts w:ascii="Arial" w:hAnsi="Arial"/>
                <w:b/>
                <w:w w:val="110"/>
                <w:sz w:val="18"/>
              </w:rPr>
              <w:t>de</w:t>
            </w:r>
            <w:r>
              <w:rPr>
                <w:rFonts w:ascii="Arial" w:hAnsi="Arial"/>
                <w:b/>
                <w:spacing w:val="46"/>
                <w:w w:val="110"/>
                <w:sz w:val="18"/>
              </w:rPr>
              <w:t> </w:t>
            </w:r>
            <w:r>
              <w:rPr>
                <w:rFonts w:ascii="Arial" w:hAnsi="Arial"/>
                <w:b/>
                <w:w w:val="110"/>
                <w:sz w:val="18"/>
              </w:rPr>
              <w:t>Cobertura</w:t>
            </w:r>
          </w:p>
        </w:tc>
        <w:tc>
          <w:tcPr>
            <w:tcW w:w="1260" w:type="dxa"/>
            <w:shd w:val="clear" w:color="auto" w:fill="F1F1F1"/>
          </w:tcPr>
          <w:p>
            <w:pPr>
              <w:pStyle w:val="TableParagraph"/>
              <w:spacing w:before="112"/>
              <w:ind w:left="81" w:right="4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w w:val="110"/>
                <w:sz w:val="18"/>
              </w:rPr>
              <w:t>Preprima</w:t>
            </w:r>
            <w:r>
              <w:rPr>
                <w:rFonts w:ascii="Arial"/>
                <w:b/>
                <w:spacing w:val="-35"/>
                <w:w w:val="110"/>
                <w:sz w:val="18"/>
              </w:rPr>
              <w:t> </w:t>
            </w:r>
            <w:r>
              <w:rPr>
                <w:rFonts w:ascii="Arial"/>
                <w:b/>
                <w:spacing w:val="-4"/>
                <w:w w:val="110"/>
                <w:sz w:val="18"/>
              </w:rPr>
              <w:t>ria</w:t>
            </w:r>
          </w:p>
        </w:tc>
        <w:tc>
          <w:tcPr>
            <w:tcW w:w="1170" w:type="dxa"/>
            <w:shd w:val="clear" w:color="auto" w:fill="F1F1F1"/>
          </w:tcPr>
          <w:p>
            <w:pPr>
              <w:pStyle w:val="TableParagraph"/>
              <w:spacing w:before="112"/>
              <w:ind w:right="20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7"/>
                <w:w w:val="110"/>
                <w:sz w:val="18"/>
              </w:rPr>
              <w:t>Prima</w:t>
            </w:r>
            <w:r>
              <w:rPr>
                <w:rFonts w:ascii="Arial"/>
                <w:b/>
                <w:spacing w:val="-35"/>
                <w:w w:val="110"/>
                <w:sz w:val="18"/>
              </w:rPr>
              <w:t> </w:t>
            </w:r>
            <w:r>
              <w:rPr>
                <w:rFonts w:ascii="Arial"/>
                <w:b/>
                <w:spacing w:val="-7"/>
                <w:w w:val="110"/>
                <w:sz w:val="18"/>
              </w:rPr>
              <w:t>ria</w:t>
            </w:r>
          </w:p>
        </w:tc>
        <w:tc>
          <w:tcPr>
            <w:tcW w:w="1169" w:type="dxa"/>
            <w:shd w:val="clear" w:color="auto" w:fill="F1F1F1"/>
          </w:tcPr>
          <w:p>
            <w:pPr>
              <w:pStyle w:val="TableParagraph"/>
              <w:spacing w:before="112"/>
              <w:ind w:left="26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8"/>
                <w:w w:val="110"/>
                <w:sz w:val="18"/>
              </w:rPr>
              <w:t>Bá</w:t>
            </w:r>
            <w:r>
              <w:rPr>
                <w:rFonts w:ascii="Arial" w:hAnsi="Arial"/>
                <w:b/>
                <w:spacing w:val="-35"/>
                <w:w w:val="110"/>
                <w:sz w:val="18"/>
              </w:rPr>
              <w:t> </w:t>
            </w:r>
            <w:r>
              <w:rPr>
                <w:rFonts w:ascii="Arial" w:hAnsi="Arial"/>
                <w:b/>
                <w:spacing w:val="-7"/>
                <w:w w:val="110"/>
                <w:sz w:val="18"/>
              </w:rPr>
              <w:t>sico</w:t>
            </w:r>
          </w:p>
        </w:tc>
        <w:tc>
          <w:tcPr>
            <w:tcW w:w="1358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before="112"/>
              <w:ind w:left="47" w:righ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3"/>
                <w:w w:val="110"/>
                <w:sz w:val="18"/>
              </w:rPr>
              <w:t>Diversifica</w:t>
            </w:r>
            <w:r>
              <w:rPr>
                <w:rFonts w:ascii="Arial"/>
                <w:b/>
                <w:spacing w:val="-34"/>
                <w:w w:val="110"/>
                <w:sz w:val="18"/>
              </w:rPr>
              <w:t> </w:t>
            </w:r>
            <w:r>
              <w:rPr>
                <w:rFonts w:ascii="Arial"/>
                <w:b/>
                <w:spacing w:val="-2"/>
                <w:w w:val="110"/>
                <w:sz w:val="18"/>
              </w:rPr>
              <w:t>do</w:t>
            </w:r>
          </w:p>
        </w:tc>
      </w:tr>
      <w:tr>
        <w:trPr>
          <w:trHeight w:val="439" w:hRule="atLeast"/>
        </w:trPr>
        <w:tc>
          <w:tcPr>
            <w:tcW w:w="1171" w:type="dxa"/>
            <w:vMerge w:val="restart"/>
            <w:shd w:val="clear" w:color="auto" w:fill="F1F1F1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368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2017</w:t>
            </w:r>
          </w:p>
        </w:tc>
        <w:tc>
          <w:tcPr>
            <w:tcW w:w="2700" w:type="dxa"/>
          </w:tcPr>
          <w:p>
            <w:pPr>
              <w:pStyle w:val="TableParagraph"/>
              <w:spacing w:before="125"/>
              <w:ind w:left="91" w:right="1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1D7CB3"/>
                <w:spacing w:val="-2"/>
                <w:w w:val="105"/>
                <w:sz w:val="15"/>
              </w:rPr>
              <w:t>Ta</w:t>
            </w:r>
            <w:r>
              <w:rPr>
                <w:rFonts w:ascii="Arial"/>
                <w:b/>
                <w:color w:val="1D7CB3"/>
                <w:spacing w:val="-27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w w:val="105"/>
                <w:sz w:val="15"/>
              </w:rPr>
              <w:t>sa</w:t>
            </w:r>
            <w:r>
              <w:rPr>
                <w:rFonts w:ascii="Arial"/>
                <w:b/>
                <w:color w:val="1D7CB3"/>
                <w:spacing w:val="18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w w:val="105"/>
                <w:sz w:val="15"/>
              </w:rPr>
              <w:t>Bruta</w:t>
            </w:r>
            <w:r>
              <w:rPr>
                <w:rFonts w:ascii="Arial"/>
                <w:b/>
                <w:color w:val="1D7CB3"/>
                <w:spacing w:val="18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05"/>
                <w:sz w:val="15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05"/>
                <w:sz w:val="15"/>
              </w:rPr>
              <w:t>Cobertura</w:t>
            </w:r>
          </w:p>
        </w:tc>
        <w:tc>
          <w:tcPr>
            <w:tcW w:w="1260" w:type="dxa"/>
          </w:tcPr>
          <w:p>
            <w:pPr>
              <w:pStyle w:val="TableParagraph"/>
              <w:spacing w:before="108"/>
              <w:ind w:left="53" w:right="4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w w:val="110"/>
                <w:sz w:val="15"/>
              </w:rPr>
              <w:t>82,50%</w:t>
            </w:r>
          </w:p>
        </w:tc>
        <w:tc>
          <w:tcPr>
            <w:tcW w:w="1170" w:type="dxa"/>
          </w:tcPr>
          <w:p>
            <w:pPr>
              <w:pStyle w:val="TableParagraph"/>
              <w:spacing w:before="108"/>
              <w:ind w:right="244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w w:val="110"/>
                <w:sz w:val="15"/>
              </w:rPr>
              <w:t>108,94%</w:t>
            </w:r>
          </w:p>
        </w:tc>
        <w:tc>
          <w:tcPr>
            <w:tcW w:w="1169" w:type="dxa"/>
          </w:tcPr>
          <w:p>
            <w:pPr>
              <w:pStyle w:val="TableParagraph"/>
              <w:spacing w:before="108"/>
              <w:ind w:left="314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w w:val="110"/>
                <w:sz w:val="15"/>
              </w:rPr>
              <w:t>81,06%</w:t>
            </w:r>
          </w:p>
        </w:tc>
        <w:tc>
          <w:tcPr>
            <w:tcW w:w="1358" w:type="dxa"/>
            <w:tcBorders>
              <w:right w:val="nil"/>
            </w:tcBorders>
          </w:tcPr>
          <w:p>
            <w:pPr>
              <w:pStyle w:val="TableParagraph"/>
              <w:spacing w:before="108"/>
              <w:ind w:left="46" w:righ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w w:val="110"/>
                <w:sz w:val="15"/>
              </w:rPr>
              <w:t>53,31%</w:t>
            </w:r>
          </w:p>
        </w:tc>
      </w:tr>
      <w:tr>
        <w:trPr>
          <w:trHeight w:val="438" w:hRule="atLeast"/>
        </w:trPr>
        <w:tc>
          <w:tcPr>
            <w:tcW w:w="117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shd w:val="clear" w:color="auto" w:fill="DAEDF3"/>
          </w:tcPr>
          <w:p>
            <w:pPr>
              <w:pStyle w:val="TableParagraph"/>
              <w:spacing w:before="125"/>
              <w:ind w:left="72" w:right="1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1D7CB3"/>
                <w:w w:val="105"/>
                <w:sz w:val="15"/>
              </w:rPr>
              <w:t>Ta</w:t>
            </w:r>
            <w:r>
              <w:rPr>
                <w:rFonts w:ascii="Arial"/>
                <w:b/>
                <w:color w:val="1D7CB3"/>
                <w:spacing w:val="-26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1D7CB3"/>
                <w:w w:val="105"/>
                <w:sz w:val="15"/>
              </w:rPr>
              <w:t>sa</w:t>
            </w:r>
            <w:r>
              <w:rPr>
                <w:rFonts w:ascii="Arial"/>
                <w:b/>
                <w:color w:val="1D7CB3"/>
                <w:spacing w:val="24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1D7CB3"/>
                <w:w w:val="105"/>
                <w:sz w:val="15"/>
              </w:rPr>
              <w:t>Neta</w:t>
            </w:r>
            <w:r>
              <w:rPr>
                <w:rFonts w:ascii="Arial"/>
                <w:b/>
                <w:color w:val="1D7CB3"/>
                <w:spacing w:val="24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1D7CB3"/>
                <w:w w:val="105"/>
                <w:sz w:val="15"/>
              </w:rPr>
              <w:t>de</w:t>
            </w:r>
            <w:r>
              <w:rPr>
                <w:rFonts w:ascii="Arial"/>
                <w:b/>
                <w:color w:val="1D7CB3"/>
                <w:spacing w:val="19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1D7CB3"/>
                <w:w w:val="105"/>
                <w:sz w:val="15"/>
              </w:rPr>
              <w:t>Cobertura</w:t>
            </w:r>
          </w:p>
        </w:tc>
        <w:tc>
          <w:tcPr>
            <w:tcW w:w="1260" w:type="dxa"/>
            <w:shd w:val="clear" w:color="auto" w:fill="DAEDF3"/>
          </w:tcPr>
          <w:p>
            <w:pPr>
              <w:pStyle w:val="TableParagraph"/>
              <w:spacing w:before="107"/>
              <w:ind w:left="53" w:right="4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w w:val="110"/>
                <w:sz w:val="15"/>
              </w:rPr>
              <w:t>63,18%</w:t>
            </w:r>
          </w:p>
        </w:tc>
        <w:tc>
          <w:tcPr>
            <w:tcW w:w="1170" w:type="dxa"/>
            <w:shd w:val="clear" w:color="auto" w:fill="DAEDF3"/>
          </w:tcPr>
          <w:p>
            <w:pPr>
              <w:pStyle w:val="TableParagraph"/>
              <w:spacing w:before="107"/>
              <w:ind w:right="28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w w:val="110"/>
                <w:sz w:val="15"/>
              </w:rPr>
              <w:t>92,96%</w:t>
            </w:r>
          </w:p>
        </w:tc>
        <w:tc>
          <w:tcPr>
            <w:tcW w:w="1169" w:type="dxa"/>
            <w:shd w:val="clear" w:color="auto" w:fill="DAEDF3"/>
          </w:tcPr>
          <w:p>
            <w:pPr>
              <w:pStyle w:val="TableParagraph"/>
              <w:spacing w:before="107"/>
              <w:ind w:left="314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w w:val="110"/>
                <w:sz w:val="15"/>
              </w:rPr>
              <w:t>53,66%</w:t>
            </w:r>
          </w:p>
        </w:tc>
        <w:tc>
          <w:tcPr>
            <w:tcW w:w="1358" w:type="dxa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spacing w:before="115"/>
              <w:ind w:left="47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333333"/>
                <w:w w:val="115"/>
                <w:sz w:val="16"/>
              </w:rPr>
              <w:t>35,50%</w:t>
            </w:r>
          </w:p>
        </w:tc>
      </w:tr>
      <w:tr>
        <w:trPr>
          <w:trHeight w:val="438" w:hRule="atLeast"/>
        </w:trPr>
        <w:tc>
          <w:tcPr>
            <w:tcW w:w="1171" w:type="dxa"/>
            <w:vMerge w:val="restart"/>
            <w:shd w:val="clear" w:color="auto" w:fill="F1F1F1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spacing w:before="1"/>
              <w:ind w:left="368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2018</w:t>
            </w:r>
          </w:p>
        </w:tc>
        <w:tc>
          <w:tcPr>
            <w:tcW w:w="2700" w:type="dxa"/>
          </w:tcPr>
          <w:p>
            <w:pPr>
              <w:pStyle w:val="TableParagraph"/>
              <w:spacing w:before="125"/>
              <w:ind w:left="91" w:right="1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1D7CB3"/>
                <w:spacing w:val="-2"/>
                <w:w w:val="105"/>
                <w:sz w:val="15"/>
              </w:rPr>
              <w:t>Ta</w:t>
            </w:r>
            <w:r>
              <w:rPr>
                <w:rFonts w:ascii="Arial"/>
                <w:b/>
                <w:color w:val="1D7CB3"/>
                <w:spacing w:val="-27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w w:val="105"/>
                <w:sz w:val="15"/>
              </w:rPr>
              <w:t>sa</w:t>
            </w:r>
            <w:r>
              <w:rPr>
                <w:rFonts w:ascii="Arial"/>
                <w:b/>
                <w:color w:val="1D7CB3"/>
                <w:spacing w:val="18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w w:val="105"/>
                <w:sz w:val="15"/>
              </w:rPr>
              <w:t>Bruta</w:t>
            </w:r>
            <w:r>
              <w:rPr>
                <w:rFonts w:ascii="Arial"/>
                <w:b/>
                <w:color w:val="1D7CB3"/>
                <w:spacing w:val="18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05"/>
                <w:sz w:val="15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05"/>
                <w:sz w:val="15"/>
              </w:rPr>
              <w:t>Cobertura</w:t>
            </w:r>
          </w:p>
        </w:tc>
        <w:tc>
          <w:tcPr>
            <w:tcW w:w="1260" w:type="dxa"/>
          </w:tcPr>
          <w:p>
            <w:pPr>
              <w:pStyle w:val="TableParagraph"/>
              <w:spacing w:before="109"/>
              <w:ind w:left="53" w:right="4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w w:val="110"/>
                <w:sz w:val="15"/>
              </w:rPr>
              <w:t>85,32%</w:t>
            </w:r>
          </w:p>
        </w:tc>
        <w:tc>
          <w:tcPr>
            <w:tcW w:w="1170" w:type="dxa"/>
          </w:tcPr>
          <w:p>
            <w:pPr>
              <w:pStyle w:val="TableParagraph"/>
              <w:spacing w:before="109"/>
              <w:ind w:right="252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w w:val="110"/>
                <w:sz w:val="15"/>
              </w:rPr>
              <w:t>110,94%</w:t>
            </w:r>
          </w:p>
        </w:tc>
        <w:tc>
          <w:tcPr>
            <w:tcW w:w="1169" w:type="dxa"/>
          </w:tcPr>
          <w:p>
            <w:pPr>
              <w:pStyle w:val="TableParagraph"/>
              <w:spacing w:before="109"/>
              <w:ind w:left="314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w w:val="110"/>
                <w:sz w:val="15"/>
              </w:rPr>
              <w:t>81,33%</w:t>
            </w:r>
          </w:p>
        </w:tc>
        <w:tc>
          <w:tcPr>
            <w:tcW w:w="1358" w:type="dxa"/>
            <w:tcBorders>
              <w:right w:val="nil"/>
            </w:tcBorders>
          </w:tcPr>
          <w:p>
            <w:pPr>
              <w:pStyle w:val="TableParagraph"/>
              <w:spacing w:before="109"/>
              <w:ind w:left="46" w:righ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w w:val="110"/>
                <w:sz w:val="15"/>
              </w:rPr>
              <w:t>52,06%</w:t>
            </w:r>
          </w:p>
        </w:tc>
      </w:tr>
      <w:tr>
        <w:trPr>
          <w:trHeight w:val="439" w:hRule="atLeast"/>
        </w:trPr>
        <w:tc>
          <w:tcPr>
            <w:tcW w:w="117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shd w:val="clear" w:color="auto" w:fill="DAEDF3"/>
          </w:tcPr>
          <w:p>
            <w:pPr>
              <w:pStyle w:val="TableParagraph"/>
              <w:spacing w:before="125"/>
              <w:ind w:left="72" w:right="1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1D7CB3"/>
                <w:w w:val="105"/>
                <w:sz w:val="15"/>
              </w:rPr>
              <w:t>Ta</w:t>
            </w:r>
            <w:r>
              <w:rPr>
                <w:rFonts w:ascii="Arial"/>
                <w:b/>
                <w:color w:val="1D7CB3"/>
                <w:spacing w:val="-26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1D7CB3"/>
                <w:w w:val="105"/>
                <w:sz w:val="15"/>
              </w:rPr>
              <w:t>sa</w:t>
            </w:r>
            <w:r>
              <w:rPr>
                <w:rFonts w:ascii="Arial"/>
                <w:b/>
                <w:color w:val="1D7CB3"/>
                <w:spacing w:val="24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1D7CB3"/>
                <w:w w:val="105"/>
                <w:sz w:val="15"/>
              </w:rPr>
              <w:t>Neta</w:t>
            </w:r>
            <w:r>
              <w:rPr>
                <w:rFonts w:ascii="Arial"/>
                <w:b/>
                <w:color w:val="1D7CB3"/>
                <w:spacing w:val="24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1D7CB3"/>
                <w:w w:val="105"/>
                <w:sz w:val="15"/>
              </w:rPr>
              <w:t>de</w:t>
            </w:r>
            <w:r>
              <w:rPr>
                <w:rFonts w:ascii="Arial"/>
                <w:b/>
                <w:color w:val="1D7CB3"/>
                <w:spacing w:val="19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1D7CB3"/>
                <w:w w:val="105"/>
                <w:sz w:val="15"/>
              </w:rPr>
              <w:t>Cobertura</w:t>
            </w:r>
          </w:p>
        </w:tc>
        <w:tc>
          <w:tcPr>
            <w:tcW w:w="1260" w:type="dxa"/>
            <w:shd w:val="clear" w:color="auto" w:fill="DAEDF3"/>
          </w:tcPr>
          <w:p>
            <w:pPr>
              <w:pStyle w:val="TableParagraph"/>
              <w:spacing w:before="115"/>
              <w:ind w:left="76" w:righ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333333"/>
                <w:w w:val="115"/>
                <w:sz w:val="16"/>
              </w:rPr>
              <w:t>66,33%</w:t>
            </w:r>
          </w:p>
        </w:tc>
        <w:tc>
          <w:tcPr>
            <w:tcW w:w="1170" w:type="dxa"/>
            <w:shd w:val="clear" w:color="auto" w:fill="DAEDF3"/>
          </w:tcPr>
          <w:p>
            <w:pPr>
              <w:pStyle w:val="TableParagraph"/>
              <w:spacing w:before="109"/>
              <w:ind w:right="28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w w:val="110"/>
                <w:sz w:val="15"/>
              </w:rPr>
              <w:t>95,00%</w:t>
            </w:r>
          </w:p>
        </w:tc>
        <w:tc>
          <w:tcPr>
            <w:tcW w:w="1169" w:type="dxa"/>
            <w:shd w:val="clear" w:color="auto" w:fill="DAEDF3"/>
          </w:tcPr>
          <w:p>
            <w:pPr>
              <w:pStyle w:val="TableParagraph"/>
              <w:spacing w:before="109"/>
              <w:ind w:left="314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w w:val="110"/>
                <w:sz w:val="15"/>
              </w:rPr>
              <w:t>53,96%</w:t>
            </w:r>
          </w:p>
        </w:tc>
        <w:tc>
          <w:tcPr>
            <w:tcW w:w="1358" w:type="dxa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spacing w:before="109"/>
              <w:ind w:left="46" w:righ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w w:val="110"/>
                <w:sz w:val="15"/>
              </w:rPr>
              <w:t>34,62%</w:t>
            </w:r>
          </w:p>
        </w:tc>
      </w:tr>
      <w:tr>
        <w:trPr>
          <w:trHeight w:val="438" w:hRule="atLeast"/>
        </w:trPr>
        <w:tc>
          <w:tcPr>
            <w:tcW w:w="1171" w:type="dxa"/>
            <w:vMerge w:val="restart"/>
            <w:shd w:val="clear" w:color="auto" w:fill="F1F1F1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spacing w:before="1"/>
              <w:ind w:left="368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2019</w:t>
            </w:r>
          </w:p>
        </w:tc>
        <w:tc>
          <w:tcPr>
            <w:tcW w:w="2700" w:type="dxa"/>
          </w:tcPr>
          <w:p>
            <w:pPr>
              <w:pStyle w:val="TableParagraph"/>
              <w:spacing w:before="125"/>
              <w:ind w:left="91" w:right="1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1D7CB3"/>
                <w:spacing w:val="-2"/>
                <w:w w:val="105"/>
                <w:sz w:val="15"/>
              </w:rPr>
              <w:t>Ta</w:t>
            </w:r>
            <w:r>
              <w:rPr>
                <w:rFonts w:ascii="Arial"/>
                <w:b/>
                <w:color w:val="1D7CB3"/>
                <w:spacing w:val="-27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w w:val="105"/>
                <w:sz w:val="15"/>
              </w:rPr>
              <w:t>sa</w:t>
            </w:r>
            <w:r>
              <w:rPr>
                <w:rFonts w:ascii="Arial"/>
                <w:b/>
                <w:color w:val="1D7CB3"/>
                <w:spacing w:val="18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w w:val="105"/>
                <w:sz w:val="15"/>
              </w:rPr>
              <w:t>Bruta</w:t>
            </w:r>
            <w:r>
              <w:rPr>
                <w:rFonts w:ascii="Arial"/>
                <w:b/>
                <w:color w:val="1D7CB3"/>
                <w:spacing w:val="18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05"/>
                <w:sz w:val="15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05"/>
                <w:sz w:val="15"/>
              </w:rPr>
              <w:t>Cobertura</w:t>
            </w:r>
          </w:p>
        </w:tc>
        <w:tc>
          <w:tcPr>
            <w:tcW w:w="1260" w:type="dxa"/>
          </w:tcPr>
          <w:p>
            <w:pPr>
              <w:pStyle w:val="TableParagraph"/>
              <w:spacing w:before="107"/>
              <w:ind w:left="53" w:right="4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w w:val="110"/>
                <w:sz w:val="15"/>
              </w:rPr>
              <w:t>82,34%</w:t>
            </w:r>
          </w:p>
        </w:tc>
        <w:tc>
          <w:tcPr>
            <w:tcW w:w="1170" w:type="dxa"/>
          </w:tcPr>
          <w:p>
            <w:pPr>
              <w:pStyle w:val="TableParagraph"/>
              <w:spacing w:before="107"/>
              <w:ind w:right="252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w w:val="110"/>
                <w:sz w:val="15"/>
              </w:rPr>
              <w:t>110,16%</w:t>
            </w:r>
          </w:p>
        </w:tc>
        <w:tc>
          <w:tcPr>
            <w:tcW w:w="1169" w:type="dxa"/>
          </w:tcPr>
          <w:p>
            <w:pPr>
              <w:pStyle w:val="TableParagraph"/>
              <w:spacing w:before="107"/>
              <w:ind w:left="314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w w:val="110"/>
                <w:sz w:val="15"/>
              </w:rPr>
              <w:t>77,76%</w:t>
            </w:r>
          </w:p>
        </w:tc>
        <w:tc>
          <w:tcPr>
            <w:tcW w:w="1358" w:type="dxa"/>
            <w:tcBorders>
              <w:right w:val="nil"/>
            </w:tcBorders>
          </w:tcPr>
          <w:p>
            <w:pPr>
              <w:pStyle w:val="TableParagraph"/>
              <w:spacing w:before="107"/>
              <w:ind w:left="46" w:righ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w w:val="110"/>
                <w:sz w:val="15"/>
              </w:rPr>
              <w:t>49,35%</w:t>
            </w:r>
          </w:p>
        </w:tc>
      </w:tr>
      <w:tr>
        <w:trPr>
          <w:trHeight w:val="438" w:hRule="atLeast"/>
        </w:trPr>
        <w:tc>
          <w:tcPr>
            <w:tcW w:w="117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shd w:val="clear" w:color="auto" w:fill="DAEDF3"/>
          </w:tcPr>
          <w:p>
            <w:pPr>
              <w:pStyle w:val="TableParagraph"/>
              <w:spacing w:before="125"/>
              <w:ind w:left="72" w:right="1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1D7CB3"/>
                <w:w w:val="105"/>
                <w:sz w:val="15"/>
              </w:rPr>
              <w:t>Ta</w:t>
            </w:r>
            <w:r>
              <w:rPr>
                <w:rFonts w:ascii="Arial"/>
                <w:b/>
                <w:color w:val="1D7CB3"/>
                <w:spacing w:val="-26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1D7CB3"/>
                <w:w w:val="105"/>
                <w:sz w:val="15"/>
              </w:rPr>
              <w:t>sa</w:t>
            </w:r>
            <w:r>
              <w:rPr>
                <w:rFonts w:ascii="Arial"/>
                <w:b/>
                <w:color w:val="1D7CB3"/>
                <w:spacing w:val="24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1D7CB3"/>
                <w:w w:val="105"/>
                <w:sz w:val="15"/>
              </w:rPr>
              <w:t>Neta</w:t>
            </w:r>
            <w:r>
              <w:rPr>
                <w:rFonts w:ascii="Arial"/>
                <w:b/>
                <w:color w:val="1D7CB3"/>
                <w:spacing w:val="24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1D7CB3"/>
                <w:w w:val="105"/>
                <w:sz w:val="15"/>
              </w:rPr>
              <w:t>de</w:t>
            </w:r>
            <w:r>
              <w:rPr>
                <w:rFonts w:ascii="Arial"/>
                <w:b/>
                <w:color w:val="1D7CB3"/>
                <w:spacing w:val="19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1D7CB3"/>
                <w:w w:val="105"/>
                <w:sz w:val="15"/>
              </w:rPr>
              <w:t>Cobertura</w:t>
            </w:r>
          </w:p>
        </w:tc>
        <w:tc>
          <w:tcPr>
            <w:tcW w:w="1260" w:type="dxa"/>
            <w:shd w:val="clear" w:color="auto" w:fill="DAEDF3"/>
          </w:tcPr>
          <w:p>
            <w:pPr>
              <w:pStyle w:val="TableParagraph"/>
              <w:spacing w:before="109"/>
              <w:ind w:left="53" w:right="4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w w:val="110"/>
                <w:sz w:val="15"/>
              </w:rPr>
              <w:t>63,89%</w:t>
            </w:r>
          </w:p>
        </w:tc>
        <w:tc>
          <w:tcPr>
            <w:tcW w:w="1170" w:type="dxa"/>
            <w:shd w:val="clear" w:color="auto" w:fill="DAEDF3"/>
          </w:tcPr>
          <w:p>
            <w:pPr>
              <w:pStyle w:val="TableParagraph"/>
              <w:spacing w:before="109"/>
              <w:ind w:right="28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w w:val="110"/>
                <w:sz w:val="15"/>
              </w:rPr>
              <w:t>95,49%</w:t>
            </w:r>
          </w:p>
        </w:tc>
        <w:tc>
          <w:tcPr>
            <w:tcW w:w="1169" w:type="dxa"/>
            <w:shd w:val="clear" w:color="auto" w:fill="DAEDF3"/>
          </w:tcPr>
          <w:p>
            <w:pPr>
              <w:pStyle w:val="TableParagraph"/>
              <w:spacing w:before="109"/>
              <w:ind w:left="314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w w:val="110"/>
                <w:sz w:val="15"/>
              </w:rPr>
              <w:t>53,00%</w:t>
            </w:r>
          </w:p>
        </w:tc>
        <w:tc>
          <w:tcPr>
            <w:tcW w:w="1358" w:type="dxa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spacing w:before="109"/>
              <w:ind w:left="46" w:righ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w w:val="110"/>
                <w:sz w:val="15"/>
              </w:rPr>
              <w:t>32,49%</w:t>
            </w:r>
          </w:p>
        </w:tc>
      </w:tr>
      <w:tr>
        <w:trPr>
          <w:trHeight w:val="439" w:hRule="atLeast"/>
        </w:trPr>
        <w:tc>
          <w:tcPr>
            <w:tcW w:w="1171" w:type="dxa"/>
            <w:vMerge w:val="restart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spacing w:before="1"/>
              <w:ind w:left="368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2020</w:t>
            </w:r>
          </w:p>
        </w:tc>
        <w:tc>
          <w:tcPr>
            <w:tcW w:w="2700" w:type="dxa"/>
          </w:tcPr>
          <w:p>
            <w:pPr>
              <w:pStyle w:val="TableParagraph"/>
              <w:spacing w:before="125"/>
              <w:ind w:left="91" w:right="1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1D7CB3"/>
                <w:spacing w:val="-2"/>
                <w:w w:val="105"/>
                <w:sz w:val="15"/>
              </w:rPr>
              <w:t>Ta</w:t>
            </w:r>
            <w:r>
              <w:rPr>
                <w:rFonts w:ascii="Arial"/>
                <w:b/>
                <w:color w:val="1D7CB3"/>
                <w:spacing w:val="-27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w w:val="105"/>
                <w:sz w:val="15"/>
              </w:rPr>
              <w:t>sa</w:t>
            </w:r>
            <w:r>
              <w:rPr>
                <w:rFonts w:ascii="Arial"/>
                <w:b/>
                <w:color w:val="1D7CB3"/>
                <w:spacing w:val="18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w w:val="105"/>
                <w:sz w:val="15"/>
              </w:rPr>
              <w:t>Bruta</w:t>
            </w:r>
            <w:r>
              <w:rPr>
                <w:rFonts w:ascii="Arial"/>
                <w:b/>
                <w:color w:val="1D7CB3"/>
                <w:spacing w:val="18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05"/>
                <w:sz w:val="15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05"/>
                <w:sz w:val="15"/>
              </w:rPr>
              <w:t>Cobertura</w:t>
            </w:r>
          </w:p>
        </w:tc>
        <w:tc>
          <w:tcPr>
            <w:tcW w:w="1260" w:type="dxa"/>
          </w:tcPr>
          <w:p>
            <w:pPr>
              <w:pStyle w:val="TableParagraph"/>
              <w:spacing w:before="109"/>
              <w:ind w:left="53" w:right="4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w w:val="110"/>
                <w:sz w:val="15"/>
              </w:rPr>
              <w:t>79,00%</w:t>
            </w:r>
          </w:p>
        </w:tc>
        <w:tc>
          <w:tcPr>
            <w:tcW w:w="1170" w:type="dxa"/>
          </w:tcPr>
          <w:p>
            <w:pPr>
              <w:pStyle w:val="TableParagraph"/>
              <w:spacing w:before="109"/>
              <w:ind w:right="244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w w:val="110"/>
                <w:sz w:val="15"/>
              </w:rPr>
              <w:t>109,71%</w:t>
            </w:r>
          </w:p>
        </w:tc>
        <w:tc>
          <w:tcPr>
            <w:tcW w:w="1169" w:type="dxa"/>
          </w:tcPr>
          <w:p>
            <w:pPr>
              <w:pStyle w:val="TableParagraph"/>
              <w:spacing w:before="109"/>
              <w:ind w:left="314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w w:val="110"/>
                <w:sz w:val="15"/>
              </w:rPr>
              <w:t>79,74%</w:t>
            </w:r>
          </w:p>
        </w:tc>
        <w:tc>
          <w:tcPr>
            <w:tcW w:w="1358" w:type="dxa"/>
            <w:tcBorders>
              <w:right w:val="nil"/>
            </w:tcBorders>
          </w:tcPr>
          <w:p>
            <w:pPr>
              <w:pStyle w:val="TableParagraph"/>
              <w:spacing w:before="109"/>
              <w:ind w:left="46" w:righ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w w:val="110"/>
                <w:sz w:val="15"/>
              </w:rPr>
              <w:t>50,34%</w:t>
            </w:r>
          </w:p>
        </w:tc>
      </w:tr>
      <w:tr>
        <w:trPr>
          <w:trHeight w:val="444" w:hRule="atLeast"/>
        </w:trPr>
        <w:tc>
          <w:tcPr>
            <w:tcW w:w="1171" w:type="dxa"/>
            <w:vMerge/>
            <w:tcBorders>
              <w:top w:val="nil"/>
              <w:bottom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bottom w:val="nil"/>
            </w:tcBorders>
            <w:shd w:val="clear" w:color="auto" w:fill="DAEDF3"/>
          </w:tcPr>
          <w:p>
            <w:pPr>
              <w:pStyle w:val="TableParagraph"/>
              <w:spacing w:before="125"/>
              <w:ind w:left="72" w:right="1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1D7CB3"/>
                <w:w w:val="105"/>
                <w:sz w:val="15"/>
              </w:rPr>
              <w:t>Ta</w:t>
            </w:r>
            <w:r>
              <w:rPr>
                <w:rFonts w:ascii="Arial"/>
                <w:b/>
                <w:color w:val="1D7CB3"/>
                <w:spacing w:val="-26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1D7CB3"/>
                <w:w w:val="105"/>
                <w:sz w:val="15"/>
              </w:rPr>
              <w:t>sa</w:t>
            </w:r>
            <w:r>
              <w:rPr>
                <w:rFonts w:ascii="Arial"/>
                <w:b/>
                <w:color w:val="1D7CB3"/>
                <w:spacing w:val="24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1D7CB3"/>
                <w:w w:val="105"/>
                <w:sz w:val="15"/>
              </w:rPr>
              <w:t>Neta</w:t>
            </w:r>
            <w:r>
              <w:rPr>
                <w:rFonts w:ascii="Arial"/>
                <w:b/>
                <w:color w:val="1D7CB3"/>
                <w:spacing w:val="24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1D7CB3"/>
                <w:w w:val="105"/>
                <w:sz w:val="15"/>
              </w:rPr>
              <w:t>de</w:t>
            </w:r>
            <w:r>
              <w:rPr>
                <w:rFonts w:ascii="Arial"/>
                <w:b/>
                <w:color w:val="1D7CB3"/>
                <w:spacing w:val="19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1D7CB3"/>
                <w:w w:val="105"/>
                <w:sz w:val="15"/>
              </w:rPr>
              <w:t>Cobertura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DAEDF3"/>
          </w:tcPr>
          <w:p>
            <w:pPr>
              <w:pStyle w:val="TableParagraph"/>
              <w:spacing w:before="107"/>
              <w:ind w:left="53" w:right="4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w w:val="110"/>
                <w:sz w:val="15"/>
              </w:rPr>
              <w:t>61,69%</w:t>
            </w:r>
          </w:p>
        </w:tc>
        <w:tc>
          <w:tcPr>
            <w:tcW w:w="1170" w:type="dxa"/>
            <w:tcBorders>
              <w:bottom w:val="nil"/>
            </w:tcBorders>
            <w:shd w:val="clear" w:color="auto" w:fill="DAEDF3"/>
          </w:tcPr>
          <w:p>
            <w:pPr>
              <w:pStyle w:val="TableParagraph"/>
              <w:spacing w:before="107"/>
              <w:ind w:right="281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333333"/>
                <w:w w:val="110"/>
                <w:sz w:val="15"/>
              </w:rPr>
              <w:t>96,21%</w:t>
            </w:r>
          </w:p>
        </w:tc>
        <w:tc>
          <w:tcPr>
            <w:tcW w:w="1169" w:type="dxa"/>
            <w:tcBorders>
              <w:bottom w:val="nil"/>
            </w:tcBorders>
            <w:shd w:val="clear" w:color="auto" w:fill="DAEDF3"/>
          </w:tcPr>
          <w:p>
            <w:pPr>
              <w:pStyle w:val="TableParagraph"/>
              <w:spacing w:before="115"/>
              <w:ind w:left="2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333333"/>
                <w:w w:val="115"/>
                <w:sz w:val="16"/>
              </w:rPr>
              <w:t>55,21%</w:t>
            </w:r>
          </w:p>
        </w:tc>
        <w:tc>
          <w:tcPr>
            <w:tcW w:w="1358" w:type="dxa"/>
            <w:tcBorders>
              <w:bottom w:val="nil"/>
              <w:right w:val="nil"/>
            </w:tcBorders>
            <w:shd w:val="clear" w:color="auto" w:fill="DAEDF3"/>
          </w:tcPr>
          <w:p>
            <w:pPr>
              <w:pStyle w:val="TableParagraph"/>
              <w:spacing w:before="107"/>
              <w:ind w:left="46" w:righ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w w:val="110"/>
                <w:sz w:val="15"/>
              </w:rPr>
              <w:t>32,48%</w:t>
            </w:r>
          </w:p>
        </w:tc>
      </w:tr>
    </w:tbl>
    <w:p>
      <w:pPr>
        <w:spacing w:before="0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2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2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3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4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Educación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2021.</w:t>
      </w:r>
    </w:p>
    <w:p>
      <w:pPr>
        <w:pStyle w:val="BodyText"/>
        <w:spacing w:before="10"/>
        <w:rPr>
          <w:sz w:val="13"/>
        </w:rPr>
      </w:pPr>
    </w:p>
    <w:p>
      <w:pPr>
        <w:pStyle w:val="BodyText"/>
        <w:ind w:left="278" w:right="1073"/>
        <w:jc w:val="both"/>
      </w:pPr>
      <w:r>
        <w:rPr/>
        <w:t>Con el propósito de conocer las particularidades educativas del Departamento en la tabla anterior se</w:t>
      </w:r>
      <w:r>
        <w:rPr>
          <w:spacing w:val="1"/>
        </w:rPr>
        <w:t> </w:t>
      </w:r>
      <w:r>
        <w:rPr/>
        <w:t>observan</w:t>
      </w:r>
      <w:r>
        <w:rPr>
          <w:spacing w:val="-2"/>
        </w:rPr>
        <w:t> </w:t>
      </w:r>
      <w:r>
        <w:rPr/>
        <w:t>las</w:t>
      </w:r>
      <w:r>
        <w:rPr>
          <w:spacing w:val="-4"/>
        </w:rPr>
        <w:t> </w:t>
      </w:r>
      <w:r>
        <w:rPr/>
        <w:t>ratios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indicadores</w:t>
      </w:r>
      <w:r>
        <w:rPr>
          <w:spacing w:val="-2"/>
        </w:rPr>
        <w:t> </w:t>
      </w:r>
      <w:r>
        <w:rPr/>
        <w:t>de cobertura</w:t>
      </w:r>
      <w:r>
        <w:rPr>
          <w:spacing w:val="-3"/>
        </w:rPr>
        <w:t> </w:t>
      </w:r>
      <w:r>
        <w:rPr/>
        <w:t>neta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Bruta,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niveles</w:t>
      </w:r>
      <w:r>
        <w:rPr>
          <w:spacing w:val="-2"/>
        </w:rPr>
        <w:t> </w:t>
      </w:r>
      <w:r>
        <w:rPr/>
        <w:t>educativos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un</w:t>
      </w:r>
      <w:r>
        <w:rPr>
          <w:spacing w:val="-2"/>
        </w:rPr>
        <w:t> </w:t>
      </w:r>
      <w:r>
        <w:rPr/>
        <w:t>plazo</w:t>
      </w:r>
      <w:r>
        <w:rPr>
          <w:spacing w:val="-3"/>
        </w:rPr>
        <w:t> </w:t>
      </w:r>
      <w:r>
        <w:rPr/>
        <w:t>de</w:t>
      </w:r>
      <w:r>
        <w:rPr>
          <w:spacing w:val="-48"/>
        </w:rPr>
        <w:t> </w:t>
      </w:r>
      <w:r>
        <w:rPr/>
        <w:t>4 años. Es evidente que la educación preprimaria reporta una alta cobertura durante el periodo 2017‐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TNE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(63.18%),</w:t>
      </w:r>
      <w:r>
        <w:rPr>
          <w:spacing w:val="1"/>
        </w:rPr>
        <w:t> </w:t>
      </w:r>
      <w:r>
        <w:rPr/>
        <w:t>(66.33%),</w:t>
      </w:r>
      <w:r>
        <w:rPr>
          <w:spacing w:val="1"/>
        </w:rPr>
        <w:t> </w:t>
      </w:r>
      <w:r>
        <w:rPr/>
        <w:t>(63.89%)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(61.69%)</w:t>
      </w:r>
      <w:r>
        <w:rPr>
          <w:spacing w:val="1"/>
        </w:rPr>
        <w:t> </w:t>
      </w:r>
      <w:r>
        <w:rPr/>
        <w:t>respectivamente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indicados.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esta</w:t>
      </w:r>
      <w:r>
        <w:rPr>
          <w:spacing w:val="-2"/>
        </w:rPr>
        <w:t> </w:t>
      </w:r>
      <w:r>
        <w:rPr/>
        <w:t>razón, seis (6)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cada</w:t>
      </w:r>
      <w:r>
        <w:rPr>
          <w:spacing w:val="-2"/>
        </w:rPr>
        <w:t> </w:t>
      </w:r>
      <w:r>
        <w:rPr/>
        <w:t>10 niños,</w:t>
      </w:r>
      <w:r>
        <w:rPr>
          <w:spacing w:val="-2"/>
        </w:rPr>
        <w:t> </w:t>
      </w:r>
      <w:r>
        <w:rPr/>
        <w:t>están</w:t>
      </w:r>
      <w:r>
        <w:rPr>
          <w:spacing w:val="-1"/>
        </w:rPr>
        <w:t> </w:t>
      </w:r>
      <w:r>
        <w:rPr/>
        <w:t>accediendo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este</w:t>
      </w:r>
      <w:r>
        <w:rPr>
          <w:spacing w:val="1"/>
        </w:rPr>
        <w:t> </w:t>
      </w:r>
      <w:r>
        <w:rPr/>
        <w:t>nivel.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1"/>
        <w:ind w:left="278" w:right="1072"/>
        <w:jc w:val="both"/>
      </w:pPr>
      <w:r>
        <w:rPr/>
        <w:t>Las cifras aquí presentadas parecen confirmar que en el nivel primaria se registran mayores valores de</w:t>
      </w:r>
      <w:r>
        <w:rPr>
          <w:spacing w:val="1"/>
        </w:rPr>
        <w:t> </w:t>
      </w:r>
      <w:r>
        <w:rPr/>
        <w:t>cobertura, que van de (92.96%), (95%), (95.49%) y (96.21%) para cada año respectivamente. El valor</w:t>
      </w:r>
      <w:r>
        <w:rPr>
          <w:spacing w:val="1"/>
        </w:rPr>
        <w:t> </w:t>
      </w:r>
      <w:r>
        <w:rPr/>
        <w:t>promedio de la TNE de Guatemala es de un (95%) durante el periodo fue mayor al TNE Nacional (77.5%)</w:t>
      </w:r>
      <w:r>
        <w:rPr>
          <w:spacing w:val="1"/>
        </w:rPr>
        <w:t> </w:t>
      </w:r>
      <w:r>
        <w:rPr/>
        <w:t>al último valor registrado en el 2019. En otras palabras, 7 de cada 10 estudiantes están siendo atendidos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el nivel primario.</w:t>
      </w:r>
    </w:p>
    <w:p>
      <w:pPr>
        <w:pStyle w:val="BodyText"/>
        <w:rPr>
          <w:sz w:val="20"/>
        </w:rPr>
      </w:pPr>
    </w:p>
    <w:p>
      <w:pPr>
        <w:pStyle w:val="BodyText"/>
        <w:ind w:left="278" w:right="1073"/>
        <w:jc w:val="both"/>
      </w:pPr>
      <w:r>
        <w:rPr/>
        <w:t>Por lo que se refiere a educación básica, los valores promedio para el período presentan un aumento</w:t>
      </w:r>
      <w:r>
        <w:rPr>
          <w:spacing w:val="1"/>
        </w:rPr>
        <w:t> </w:t>
      </w:r>
      <w:r>
        <w:rPr/>
        <w:t>considerable respecto con los datos nacionales (TNE:45.49%), debido a que reportan valores que van</w:t>
      </w:r>
      <w:r>
        <w:rPr>
          <w:spacing w:val="1"/>
        </w:rPr>
        <w:t> </w:t>
      </w:r>
      <w:r>
        <w:rPr/>
        <w:t>desde</w:t>
      </w:r>
      <w:r>
        <w:rPr>
          <w:spacing w:val="-7"/>
        </w:rPr>
        <w:t> </w:t>
      </w:r>
      <w:r>
        <w:rPr/>
        <w:t>(53.66%),</w:t>
      </w:r>
      <w:r>
        <w:rPr>
          <w:spacing w:val="-7"/>
        </w:rPr>
        <w:t> </w:t>
      </w:r>
      <w:r>
        <w:rPr/>
        <w:t>(53.96%),</w:t>
      </w:r>
      <w:r>
        <w:rPr>
          <w:spacing w:val="-6"/>
        </w:rPr>
        <w:t> </w:t>
      </w:r>
      <w:r>
        <w:rPr/>
        <w:t>(53%)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(55.21%),</w:t>
      </w:r>
      <w:r>
        <w:rPr>
          <w:spacing w:val="-7"/>
        </w:rPr>
        <w:t> </w:t>
      </w:r>
      <w:r>
        <w:rPr/>
        <w:t>respectivamente</w:t>
      </w:r>
      <w:r>
        <w:rPr>
          <w:spacing w:val="-6"/>
        </w:rPr>
        <w:t> </w:t>
      </w:r>
      <w:r>
        <w:rPr/>
        <w:t>para</w:t>
      </w:r>
      <w:r>
        <w:rPr>
          <w:spacing w:val="-8"/>
        </w:rPr>
        <w:t> </w:t>
      </w:r>
      <w:r>
        <w:rPr/>
        <w:t>el</w:t>
      </w:r>
      <w:r>
        <w:rPr>
          <w:spacing w:val="-6"/>
        </w:rPr>
        <w:t> </w:t>
      </w:r>
      <w:r>
        <w:rPr/>
        <w:t>período</w:t>
      </w:r>
      <w:r>
        <w:rPr>
          <w:spacing w:val="-6"/>
        </w:rPr>
        <w:t> </w:t>
      </w:r>
      <w:r>
        <w:rPr/>
        <w:t>analizado.</w:t>
      </w:r>
      <w:r>
        <w:rPr>
          <w:spacing w:val="-7"/>
        </w:rPr>
        <w:t> </w:t>
      </w:r>
      <w:r>
        <w:rPr/>
        <w:t>Todo</w:t>
      </w:r>
      <w:r>
        <w:rPr>
          <w:spacing w:val="-6"/>
        </w:rPr>
        <w:t> </w:t>
      </w:r>
      <w:r>
        <w:rPr/>
        <w:t>esto</w:t>
      </w:r>
      <w:r>
        <w:rPr>
          <w:spacing w:val="-5"/>
        </w:rPr>
        <w:t> </w:t>
      </w:r>
      <w:r>
        <w:rPr/>
        <w:t>parece</w:t>
      </w:r>
      <w:r>
        <w:rPr>
          <w:spacing w:val="-48"/>
        </w:rPr>
        <w:t> </w:t>
      </w:r>
      <w:r>
        <w:rPr/>
        <w:t>confirmar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cada</w:t>
      </w:r>
      <w:r>
        <w:rPr>
          <w:spacing w:val="-3"/>
        </w:rPr>
        <w:t> </w:t>
      </w:r>
      <w:r>
        <w:rPr/>
        <w:t>dos</w:t>
      </w:r>
      <w:r>
        <w:rPr>
          <w:spacing w:val="-2"/>
        </w:rPr>
        <w:t> </w:t>
      </w:r>
      <w:r>
        <w:rPr/>
        <w:t>estudiantes</w:t>
      </w:r>
      <w:r>
        <w:rPr>
          <w:spacing w:val="-4"/>
        </w:rPr>
        <w:t> </w:t>
      </w:r>
      <w:r>
        <w:rPr/>
        <w:t>de Quetzaltenango</w:t>
      </w:r>
      <w:r>
        <w:rPr>
          <w:spacing w:val="-1"/>
        </w:rPr>
        <w:t> </w:t>
      </w:r>
      <w:r>
        <w:rPr/>
        <w:t>está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ciclo</w:t>
      </w:r>
      <w:r>
        <w:rPr>
          <w:spacing w:val="1"/>
        </w:rPr>
        <w:t> </w:t>
      </w:r>
      <w:r>
        <w:rPr/>
        <w:t>básico.</w:t>
      </w:r>
    </w:p>
    <w:p>
      <w:pPr>
        <w:pStyle w:val="BodyText"/>
        <w:spacing w:before="1"/>
      </w:pPr>
    </w:p>
    <w:p>
      <w:pPr>
        <w:pStyle w:val="BodyText"/>
        <w:ind w:left="278" w:right="1073"/>
        <w:jc w:val="both"/>
      </w:pPr>
      <w:r>
        <w:rPr/>
        <w:t>A diferencia de los niveles anteriores, diversificado muestra una menor proporción, pero, aun así, se</w:t>
      </w:r>
      <w:r>
        <w:rPr>
          <w:spacing w:val="1"/>
        </w:rPr>
        <w:t> </w:t>
      </w:r>
      <w:r>
        <w:rPr/>
        <w:t>encuentra duplicando la cobertura promedio nacional (24%), debido a que presenta una tasa promedio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35%. Es decir,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3 de</w:t>
      </w:r>
      <w:r>
        <w:rPr>
          <w:spacing w:val="-3"/>
        </w:rPr>
        <w:t> </w:t>
      </w:r>
      <w:r>
        <w:rPr/>
        <w:t>cada diez adolescentes</w:t>
      </w:r>
      <w:r>
        <w:rPr>
          <w:spacing w:val="-2"/>
        </w:rPr>
        <w:t> </w:t>
      </w:r>
      <w:r>
        <w:rPr/>
        <w:t>está en</w:t>
      </w:r>
      <w:r>
        <w:rPr>
          <w:spacing w:val="-1"/>
        </w:rPr>
        <w:t> </w:t>
      </w:r>
      <w:r>
        <w:rPr/>
        <w:t>el nivel diversificado.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pict>
          <v:rect style="position:absolute;margin-left:563.880005pt;margin-top:11.37053pt;width:25.44pt;height:1.4399pt;mso-position-horizontal-relative:page;mso-position-vertical-relative:paragraph;z-index:-1540249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166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4089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4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52" w:after="0"/>
        <w:ind w:left="998" w:right="0" w:hanging="721"/>
        <w:jc w:val="left"/>
      </w:pPr>
      <w:bookmarkStart w:name="_bookmark203" w:id="339"/>
      <w:bookmarkEnd w:id="339"/>
      <w:r>
        <w:rPr>
          <w:b w:val="0"/>
        </w:rPr>
      </w:r>
      <w:bookmarkStart w:name="_bookmark203" w:id="340"/>
      <w:bookmarkEnd w:id="340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Cobertura:</w:t>
      </w:r>
      <w:r>
        <w:rPr>
          <w:spacing w:val="-3"/>
        </w:rPr>
        <w:t> </w:t>
      </w:r>
      <w:r>
        <w:rPr/>
        <w:t>Tasa</w:t>
      </w:r>
      <w:r>
        <w:rPr>
          <w:spacing w:val="-3"/>
        </w:rPr>
        <w:t> </w:t>
      </w:r>
      <w:r>
        <w:rPr/>
        <w:t>Bruta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Déficit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departamento,</w:t>
      </w:r>
      <w:r>
        <w:rPr>
          <w:spacing w:val="-1"/>
        </w:rPr>
        <w:t> </w:t>
      </w:r>
      <w:r>
        <w:rPr/>
        <w:t>sexo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etnia.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8"/>
        <w:jc w:val="both"/>
      </w:pPr>
      <w:r>
        <w:rPr/>
        <w:t>Gráfico Nº. Total de población estudiantil por niveles educativos, etnia y sexo para el Departamento de</w:t>
      </w:r>
      <w:r>
        <w:rPr>
          <w:spacing w:val="1"/>
        </w:rPr>
        <w:t> </w:t>
      </w:r>
      <w:r>
        <w:rPr/>
        <w:t>Quetzaltenango (2017-2021)</w:t>
      </w:r>
    </w:p>
    <w:p>
      <w:pPr>
        <w:pStyle w:val="BodyText"/>
        <w:spacing w:before="3"/>
        <w:rPr>
          <w:sz w:val="9"/>
        </w:rPr>
      </w:pPr>
      <w:r>
        <w:rPr/>
        <w:pict>
          <v:group style="position:absolute;margin-left:68.945511pt;margin-top:7.608744pt;width:472.1pt;height:173.4pt;mso-position-horizontal-relative:page;mso-position-vertical-relative:paragraph;z-index:-15400960;mso-wrap-distance-left:0;mso-wrap-distance-right:0" coordorigin="1379,152" coordsize="9442,3468">
            <v:line style="position:absolute" from="1896,2463" to="2500,2463" stroked="true" strokeweight=".530045pt" strokecolor="#888888">
              <v:stroke dashstyle="solid"/>
            </v:line>
            <v:line style="position:absolute" from="2608,2463" to="2779,2463" stroked="true" strokeweight=".530045pt" strokecolor="#888888">
              <v:stroke dashstyle="solid"/>
            </v:line>
            <v:rect style="position:absolute;left:2499;top:2418;width:109;height:210" filled="true" fillcolor="#497eaf" stroked="false">
              <v:fill type="solid"/>
            </v:rect>
            <v:rect style="position:absolute;left:2639;top:2539;width:109;height:89" filled="true" fillcolor="#5b8e39" stroked="false">
              <v:fill type="solid"/>
            </v:rect>
            <v:line style="position:absolute" from="2902,2463" to="2918,2463" stroked="true" strokeweight=".530045pt" strokecolor="#888888">
              <v:stroke dashstyle="solid"/>
            </v:line>
            <v:line style="position:absolute" from="1896,2287" to="2779,2287" stroked="true" strokeweight=".530045pt" strokecolor="#888888">
              <v:stroke dashstyle="solid"/>
            </v:line>
            <v:line style="position:absolute" from="2902,2287" to="2918,2287" stroked="true" strokeweight=".530045pt" strokecolor="#888888">
              <v:stroke dashstyle="solid"/>
            </v:line>
            <v:line style="position:absolute" from="1896,2111" to="2779,2111" stroked="true" strokeweight=".530045pt" strokecolor="#888888">
              <v:stroke dashstyle="solid"/>
            </v:line>
            <v:line style="position:absolute" from="2902,2111" to="2918,2111" stroked="true" strokeweight=".530045pt" strokecolor="#888888">
              <v:stroke dashstyle="solid"/>
            </v:line>
            <v:line style="position:absolute" from="1896,1947" to="2779,1947" stroked="true" strokeweight=".530045pt" strokecolor="#888888">
              <v:stroke dashstyle="solid"/>
            </v:line>
            <v:shape style="position:absolute;left:1895;top:1595;width:2633;height:352" coordorigin="1896,1595" coordsize="2633,352" path="m2902,1947l2918,1947m1896,1771l2779,1771m2902,1771l4528,1771m1896,1595l2779,1595e" filled="false" stroked="true" strokeweight=".530045pt" strokecolor="#888888">
              <v:path arrowok="t"/>
              <v:stroke dashstyle="solid"/>
            </v:shape>
            <v:shape style="position:absolute;left:2901;top:1592;width:3363;height:6" coordorigin="2902,1593" coordsize="3363,6" path="m2902,1598l6264,1598m2902,1593l6264,1593e" filled="false" stroked="true" strokeweight=".265031pt" strokecolor="#888888">
              <v:path arrowok="t"/>
              <v:stroke dashstyle="solid"/>
            </v:shape>
            <v:shape style="position:absolute;left:1895;top:1419;width:8718;height:2" coordorigin="1896,1420" coordsize="8718,0" path="m1896,1420l2779,1420m2902,1420l10614,1420e" filled="false" stroked="true" strokeweight=".530045pt" strokecolor="#888888">
              <v:path arrowok="t"/>
              <v:stroke dashstyle="solid"/>
            </v:shape>
            <v:shape style="position:absolute;left:1895;top:1255;width:8718;height:2" coordorigin="1896,1255" coordsize="8718,0" path="m1896,1255l1896,1255,10614,1255e" filled="false" stroked="true" strokeweight=".529995pt" strokecolor="#888888">
              <v:path arrowok="t"/>
              <v:stroke dashstyle="solid"/>
            </v:shape>
            <v:rect style="position:absolute;left:2778;top:1288;width:124;height:1340" filled="true" fillcolor="#4471c4" stroked="false">
              <v:fill type="solid"/>
            </v:rect>
            <v:line style="position:absolute" from="3041,2463" to="4250,2463" stroked="true" strokeweight=".530045pt" strokecolor="#888888">
              <v:stroke dashstyle="solid"/>
            </v:line>
            <v:shape style="position:absolute;left:4358;top:2460;width:170;height:6" coordorigin="4359,2460" coordsize="170,6" path="m4359,2465l4528,2465m4359,2460l4528,2460e" filled="false" stroked="true" strokeweight=".265013pt" strokecolor="#888888">
              <v:path arrowok="t"/>
              <v:stroke dashstyle="solid"/>
            </v:shape>
            <v:rect style="position:absolute;left:4110;top:2615;width:110;height:12" filled="true" fillcolor="#d29e00" stroked="false">
              <v:fill type="solid"/>
            </v:rect>
            <v:rect style="position:absolute;left:4249;top:2451;width:110;height:177" filled="true" fillcolor="#497eaf" stroked="false">
              <v:fill type="solid"/>
            </v:rect>
            <v:rect style="position:absolute;left:4388;top:2506;width:110;height:121" filled="true" fillcolor="#5b8e39" stroked="false">
              <v:fill type="solid"/>
            </v:rect>
            <v:shape style="position:absolute;left:4637;top:2460;width:30;height:6" coordorigin="4638,2460" coordsize="30,6" path="m4638,2465l4668,2465m4638,2460l4668,2460e" filled="false" stroked="true" strokeweight=".265013pt" strokecolor="#888888">
              <v:path arrowok="t"/>
              <v:stroke dashstyle="solid"/>
            </v:shape>
            <v:shape style="position:absolute;left:3041;top:1771;width:3223;height:516" coordorigin="3041,1771" coordsize="3223,516" path="m3041,2287l4528,2287m4638,2287l4668,2287m3041,2111l4528,2111m4638,2111l4668,2111m3041,1947l4528,1947m4638,1947l4668,1947m4638,1771l6264,1771e" filled="false" stroked="true" strokeweight=".530045pt" strokecolor="#888888">
              <v:path arrowok="t"/>
              <v:stroke dashstyle="solid"/>
            </v:shape>
            <v:rect style="position:absolute;left:4528;top:1595;width:110;height:1033" filled="true" fillcolor="#4471c4" stroked="false">
              <v:fill type="solid"/>
            </v:rect>
            <v:shape style="position:absolute;left:4777;top:2460;width:1487;height:6" coordorigin="4777,2460" coordsize="1487,6" path="m4777,2465l6264,2465m4777,2460l6264,2460e" filled="false" stroked="true" strokeweight=".265013pt" strokecolor="#888888">
              <v:path arrowok="t"/>
              <v:stroke dashstyle="solid"/>
            </v:shape>
            <v:rect style="position:absolute;left:5846;top:2615;width:108;height:12" filled="true" fillcolor="#d29e00" stroked="false">
              <v:fill type="solid"/>
            </v:rect>
            <v:rect style="position:absolute;left:5985;top:2473;width:108;height:154" filled="true" fillcolor="#497eaf" stroked="false">
              <v:fill type="solid"/>
            </v:rect>
            <v:rect style="position:absolute;left:6124;top:2549;width:123;height:78" filled="true" fillcolor="#5b8e39" stroked="false">
              <v:fill type="solid"/>
            </v:rect>
            <v:shape style="position:absolute;left:6386;top:2460;width:17;height:6" coordorigin="6387,2460" coordsize="17,6" path="m6387,2465l6404,2465m6387,2460l6404,2460e" filled="false" stroked="true" strokeweight=".265013pt" strokecolor="#888888">
              <v:path arrowok="t"/>
              <v:stroke dashstyle="solid"/>
            </v:shape>
            <v:shape style="position:absolute;left:4777;top:1771;width:1627;height:516" coordorigin="4777,1771" coordsize="1627,516" path="m4777,2287l6264,2287m6387,2287l6404,2287m4777,2111l6264,2111m6387,2111l6404,2111m4777,1947l6264,1947m6387,1947l6404,1947m6387,1771l6404,1771e" filled="false" stroked="true" strokeweight=".530045pt" strokecolor="#888888">
              <v:path arrowok="t"/>
              <v:stroke dashstyle="solid"/>
            </v:shape>
            <v:shape style="position:absolute;left:6386;top:1592;width:4227;height:6" coordorigin="6387,1593" coordsize="4227,6" path="m6387,1598l10614,1598m6387,1593l10614,1593e" filled="false" stroked="true" strokeweight=".265031pt" strokecolor="#888888">
              <v:path arrowok="t"/>
              <v:stroke dashstyle="solid"/>
            </v:shape>
            <v:rect style="position:absolute;left:6264;top:1562;width:123;height:1066" filled="true" fillcolor="#4471c4" stroked="false">
              <v:fill type="solid"/>
            </v:rect>
            <v:shape style="position:absolute;left:6526;top:2460;width:1487;height:6" coordorigin="6526,2460" coordsize="1487,6" path="m6526,2465l8013,2465m6526,2460l8013,2460e" filled="false" stroked="true" strokeweight=".265013pt" strokecolor="#888888">
              <v:path arrowok="t"/>
              <v:stroke dashstyle="solid"/>
            </v:shape>
            <v:rect style="position:absolute;left:7734;top:2462;width:110;height:165" filled="true" fillcolor="#497eaf" stroked="false">
              <v:fill type="solid"/>
            </v:rect>
            <v:rect style="position:absolute;left:7873;top:2473;width:110;height:154" filled="true" fillcolor="#5b8e39" stroked="false">
              <v:fill type="solid"/>
            </v:rect>
            <v:shape style="position:absolute;left:8122;top:2460;width:31;height:6" coordorigin="8123,2460" coordsize="31,6" path="m8123,2465l8153,2465m8123,2460l8153,2460e" filled="false" stroked="true" strokeweight=".265013pt" strokecolor="#888888">
              <v:path arrowok="t"/>
              <v:stroke dashstyle="solid"/>
            </v:shape>
            <v:shape style="position:absolute;left:6526;top:1946;width:4088;height:340" coordorigin="6526,1947" coordsize="4088,340" path="m6526,2287l8013,2287m8123,2287l8153,2287m6526,2111l8013,2111m8123,2111l10614,2111m6526,1947l8013,1947m8123,1947l10614,1947e" filled="false" stroked="true" strokeweight=".530045pt" strokecolor="#888888">
              <v:path arrowok="t"/>
              <v:stroke dashstyle="solid"/>
            </v:shape>
            <v:rect style="position:absolute;left:8013;top:1903;width:110;height:725" filled="true" fillcolor="#4471c4" stroked="false">
              <v:fill type="solid"/>
            </v:rect>
            <v:shape style="position:absolute;left:8262;top:2460;width:1487;height:6" coordorigin="8262,2460" coordsize="1487,6" path="m8262,2465l9749,2465m8262,2460l9749,2460e" filled="false" stroked="true" strokeweight=".265013pt" strokecolor="#888888">
              <v:path arrowok="t"/>
              <v:stroke dashstyle="solid"/>
            </v:shape>
            <v:rect style="position:absolute;left:9470;top:2506;width:124;height:121" filled="true" fillcolor="#497eaf" stroked="false">
              <v:fill type="solid"/>
            </v:rect>
            <v:rect style="position:absolute;left:9609;top:2517;width:124;height:111" filled="true" fillcolor="#5b8e39" stroked="false">
              <v:fill type="solid"/>
            </v:rect>
            <v:shape style="position:absolute;left:9872;top:2460;width:32;height:6" coordorigin="9872,2460" coordsize="32,6" path="m9872,2465l9904,2465m9872,2460l9904,2460e" filled="false" stroked="true" strokeweight=".265013pt" strokecolor="#888888">
              <v:path arrowok="t"/>
              <v:stroke dashstyle="solid"/>
            </v:shape>
            <v:shape style="position:absolute;left:8262;top:2286;width:2352;height:2" coordorigin="8262,2287" coordsize="2352,0" path="m8262,2287l9749,2287m9872,2287l10614,2287e" filled="false" stroked="true" strokeweight=".530045pt" strokecolor="#888888">
              <v:path arrowok="t"/>
              <v:stroke dashstyle="solid"/>
            </v:shape>
            <v:rect style="position:absolute;left:9749;top:2220;width:124;height:407" filled="true" fillcolor="#4471c4" stroked="false">
              <v:fill type="solid"/>
            </v:rect>
            <v:shape style="position:absolute;left:2918;top:1792;width:1860;height:835" coordorigin="2918,1793" coordsize="1860,835" path="m3041,1793l2918,1793,2918,2627,3041,2627,3041,1793xm4777,1925l4668,1925,4668,2627,4777,2627,4777,1925xe" filled="true" fillcolor="#ec7c30" stroked="false">
              <v:path arrowok="t"/>
              <v:fill type="solid"/>
            </v:shape>
            <v:line style="position:absolute" from="6526,1771" to="10614,1771" stroked="true" strokeweight=".530045pt" strokecolor="#888888">
              <v:stroke dashstyle="solid"/>
            </v:line>
            <v:shape style="position:absolute;left:6403;top:1726;width:1859;height:901" coordorigin="6404,1727" coordsize="1859,901" path="m6526,1727l6404,1727,6404,2627,6526,2627,6526,1727xm8262,2210l8153,2210,8153,2627,8262,2627,8262,2210xe" filled="true" fillcolor="#ec7c30" stroked="false">
              <v:path arrowok="t"/>
              <v:fill type="solid"/>
            </v:shape>
            <v:shape style="position:absolute;left:10011;top:2460;width:602;height:6" coordorigin="10012,2460" coordsize="602,6" path="m10012,2465l10614,2465m10012,2460l10614,2460e" filled="false" stroked="true" strokeweight=".265013pt" strokecolor="#888888">
              <v:path arrowok="t"/>
              <v:stroke dashstyle="solid"/>
            </v:shape>
            <v:rect style="position:absolute;left:9903;top:2352;width:109;height:276" filled="true" fillcolor="#ec7c30" stroked="false">
              <v:fill type="solid"/>
            </v:rect>
            <v:shape style="position:absolute;left:3057;top:2615;width:5345;height:12" coordorigin="3057,2616" coordsize="5345,12" path="m3181,2616l3057,2616,3057,2627,3181,2627,3181,2616xm4917,2616l4807,2616,4807,2627,4917,2627,4917,2616xm6666,2616l6558,2616,6558,2627,6666,2627,6666,2616xm8402,2616l8292,2616,8292,2627,8402,2627,8402,2616xe" filled="true" fillcolor="#a4a4a4" stroked="false">
              <v:path arrowok="t"/>
              <v:fill type="solid"/>
            </v:shape>
            <v:rect style="position:absolute;left:6836;top:2615;width:108;height:12" filled="true" fillcolor="#5b9bd4" stroked="false">
              <v:fill type="solid"/>
            </v:rect>
            <v:shape style="position:absolute;left:5567;top:2615;width:1859;height:12" coordorigin="5567,2616" coordsize="1859,12" path="m5675,2616l5567,2616,5567,2627,5675,2627,5675,2616xm7426,2616l7316,2616,7316,2627,7426,2627,7426,2616xe" filled="true" fillcolor="#c46627" stroked="false">
              <v:path arrowok="t"/>
              <v:fill type="solid"/>
            </v:shape>
            <v:shape style="position:absolute;left:1895;top:1079;width:8718;height:1552" coordorigin="1896,1080" coordsize="8718,1552" path="m1897,2632l1897,2632,10614,2632m1896,1080l1896,1080,10614,1080e" filled="false" stroked="true" strokeweight=".639423pt" strokecolor="#888888">
              <v:path arrowok="t"/>
              <v:stroke dashstyle="solid"/>
            </v:shape>
            <v:rect style="position:absolute;left:2085;top:2825;width:77;height:55" filled="true" fillcolor="#375da0" stroked="false">
              <v:fill type="solid"/>
            </v:rect>
            <v:rect style="position:absolute;left:4161;top:2825;width:77;height:55" filled="true" fillcolor="#c46627" stroked="false">
              <v:fill type="solid"/>
            </v:rect>
            <v:rect style="position:absolute;left:6237;top:2825;width:78;height:55" filled="true" fillcolor="#878787" stroked="false">
              <v:fill type="solid"/>
            </v:rect>
            <v:rect style="position:absolute;left:8314;top:2825;width:77;height:55" filled="true" fillcolor="#d29e00" stroked="false">
              <v:fill type="solid"/>
            </v:rect>
            <v:rect style="position:absolute;left:2085;top:3094;width:77;height:56" filled="true" fillcolor="#497eaf" stroked="false">
              <v:fill type="solid"/>
            </v:rect>
            <v:rect style="position:absolute;left:4161;top:3094;width:77;height:56" filled="true" fillcolor="#5b8e39" stroked="false">
              <v:fill type="solid"/>
            </v:rect>
            <v:rect style="position:absolute;left:6237;top:3094;width:78;height:56" filled="true" fillcolor="#4471c4" stroked="false">
              <v:fill type="solid"/>
            </v:rect>
            <v:rect style="position:absolute;left:8314;top:3094;width:77;height:56" filled="true" fillcolor="#ec7c30" stroked="false">
              <v:fill type="solid"/>
            </v:rect>
            <v:rect style="position:absolute;left:2085;top:3364;width:77;height:55" filled="true" fillcolor="#a4a4a4" stroked="false">
              <v:fill type="solid"/>
            </v:rect>
            <v:rect style="position:absolute;left:4161;top:3364;width:77;height:55" filled="true" fillcolor="#ffc000" stroked="false">
              <v:fill type="solid"/>
            </v:rect>
            <v:rect style="position:absolute;left:6237;top:3364;width:78;height:55" filled="true" fillcolor="#5b9bd4" stroked="false">
              <v:fill type="solid"/>
            </v:rect>
            <v:rect style="position:absolute;left:8314;top:3364;width:77;height:55" filled="true" fillcolor="#6fac46" stroked="false">
              <v:fill type="solid"/>
            </v:rect>
            <v:rect style="position:absolute;left:1384;top:157;width:9430;height:3456" filled="false" stroked="true" strokeweight=".555905pt" strokecolor="#888888">
              <v:stroke dashstyle="solid"/>
            </v:rect>
            <v:shape style="position:absolute;left:2828;top:281;width:6509;height:634" type="#_x0000_t202" filled="false" stroked="false">
              <v:textbox inset="0,0,0,0">
                <w:txbxContent>
                  <w:p>
                    <w:pPr>
                      <w:spacing w:before="0"/>
                      <w:ind w:left="44" w:right="18" w:firstLine="0"/>
                      <w:jc w:val="center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w w:val="145"/>
                        <w:sz w:val="19"/>
                      </w:rPr>
                      <w:t>Quetza</w:t>
                    </w:r>
                    <w:r>
                      <w:rPr>
                        <w:rFonts w:ascii="Arial"/>
                        <w:b/>
                        <w:spacing w:val="-37"/>
                        <w:w w:val="145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45"/>
                        <w:sz w:val="19"/>
                      </w:rPr>
                      <w:t>ltena</w:t>
                    </w:r>
                    <w:r>
                      <w:rPr>
                        <w:rFonts w:ascii="Arial"/>
                        <w:b/>
                        <w:spacing w:val="-37"/>
                        <w:w w:val="145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45"/>
                        <w:sz w:val="19"/>
                      </w:rPr>
                      <w:t>ngo</w:t>
                    </w:r>
                  </w:p>
                  <w:p>
                    <w:pPr>
                      <w:spacing w:line="256" w:lineRule="auto" w:before="5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w w:val="145"/>
                        <w:sz w:val="17"/>
                      </w:rPr>
                      <w:t>Tota</w:t>
                    </w:r>
                    <w:r>
                      <w:rPr>
                        <w:rFonts w:ascii="Arial" w:hAnsi="Arial"/>
                        <w:b/>
                        <w:spacing w:val="-45"/>
                        <w:w w:val="14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45"/>
                        <w:sz w:val="17"/>
                      </w:rPr>
                      <w:t>l</w:t>
                    </w:r>
                    <w:r>
                      <w:rPr>
                        <w:rFonts w:ascii="Arial" w:hAnsi="Arial"/>
                        <w:b/>
                        <w:spacing w:val="-9"/>
                        <w:w w:val="14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45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20"/>
                        <w:w w:val="14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45"/>
                        <w:sz w:val="17"/>
                      </w:rPr>
                      <w:t>población</w:t>
                    </w:r>
                    <w:r>
                      <w:rPr>
                        <w:rFonts w:ascii="Arial" w:hAnsi="Arial"/>
                        <w:b/>
                        <w:spacing w:val="-4"/>
                        <w:w w:val="14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45"/>
                        <w:sz w:val="17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9"/>
                        <w:w w:val="14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45"/>
                        <w:sz w:val="17"/>
                      </w:rPr>
                      <w:t>studia</w:t>
                    </w:r>
                    <w:r>
                      <w:rPr>
                        <w:rFonts w:ascii="Arial" w:hAnsi="Arial"/>
                        <w:b/>
                        <w:spacing w:val="-45"/>
                        <w:w w:val="14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45"/>
                        <w:sz w:val="17"/>
                      </w:rPr>
                      <w:t>ntil</w:t>
                    </w:r>
                    <w:r>
                      <w:rPr>
                        <w:rFonts w:ascii="Arial" w:hAnsi="Arial"/>
                        <w:b/>
                        <w:spacing w:val="-9"/>
                        <w:w w:val="14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45"/>
                        <w:sz w:val="17"/>
                      </w:rPr>
                      <w:t>por</w:t>
                    </w:r>
                    <w:r>
                      <w:rPr>
                        <w:rFonts w:ascii="Arial" w:hAnsi="Arial"/>
                        <w:b/>
                        <w:spacing w:val="-17"/>
                        <w:w w:val="14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45"/>
                        <w:sz w:val="17"/>
                      </w:rPr>
                      <w:t>Nive</w:t>
                    </w:r>
                    <w:r>
                      <w:rPr>
                        <w:rFonts w:ascii="Arial" w:hAnsi="Arial"/>
                        <w:b/>
                        <w:spacing w:val="-48"/>
                        <w:w w:val="14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45"/>
                        <w:sz w:val="17"/>
                      </w:rPr>
                      <w:t>le</w:t>
                    </w:r>
                    <w:r>
                      <w:rPr>
                        <w:rFonts w:ascii="Arial" w:hAnsi="Arial"/>
                        <w:b/>
                        <w:spacing w:val="-49"/>
                        <w:w w:val="14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45"/>
                        <w:sz w:val="17"/>
                      </w:rPr>
                      <w:t>s,</w:t>
                    </w:r>
                    <w:r>
                      <w:rPr>
                        <w:rFonts w:ascii="Arial" w:hAnsi="Arial"/>
                        <w:b/>
                        <w:spacing w:val="-1"/>
                        <w:w w:val="14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45"/>
                        <w:sz w:val="17"/>
                      </w:rPr>
                      <w:t>etnia</w:t>
                    </w:r>
                    <w:r>
                      <w:rPr>
                        <w:rFonts w:ascii="Arial" w:hAnsi="Arial"/>
                        <w:b/>
                        <w:spacing w:val="25"/>
                        <w:w w:val="14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45"/>
                        <w:sz w:val="17"/>
                      </w:rPr>
                      <w:t>y</w:t>
                    </w:r>
                    <w:r>
                      <w:rPr>
                        <w:rFonts w:ascii="Arial" w:hAnsi="Arial"/>
                        <w:b/>
                        <w:spacing w:val="6"/>
                        <w:w w:val="14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45"/>
                        <w:sz w:val="17"/>
                      </w:rPr>
                      <w:t>se</w:t>
                    </w:r>
                    <w:r>
                      <w:rPr>
                        <w:rFonts w:ascii="Arial" w:hAnsi="Arial"/>
                        <w:b/>
                        <w:spacing w:val="-50"/>
                        <w:w w:val="14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45"/>
                        <w:sz w:val="17"/>
                      </w:rPr>
                      <w:t>xo</w:t>
                    </w:r>
                    <w:r>
                      <w:rPr>
                        <w:rFonts w:ascii="Arial" w:hAnsi="Arial"/>
                        <w:b/>
                        <w:spacing w:val="-65"/>
                        <w:w w:val="14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45"/>
                        <w:sz w:val="17"/>
                      </w:rPr>
                      <w:t>2017-</w:t>
                    </w:r>
                    <w:r>
                      <w:rPr>
                        <w:rFonts w:ascii="Arial" w:hAnsi="Arial"/>
                        <w:b/>
                        <w:spacing w:val="-49"/>
                        <w:w w:val="14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45"/>
                        <w:sz w:val="17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1492;top:1014;width:278;height:1686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20" w:firstLine="0"/>
                      <w:jc w:val="righ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20"/>
                        <w:sz w:val="11"/>
                      </w:rPr>
                      <w:t>450</w:t>
                    </w:r>
                  </w:p>
                  <w:p>
                    <w:pPr>
                      <w:spacing w:before="38"/>
                      <w:ind w:left="0" w:right="20" w:firstLine="0"/>
                      <w:jc w:val="righ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20"/>
                        <w:sz w:val="11"/>
                      </w:rPr>
                      <w:t>400</w:t>
                    </w:r>
                  </w:p>
                  <w:p>
                    <w:pPr>
                      <w:spacing w:before="39"/>
                      <w:ind w:left="0" w:right="20" w:firstLine="0"/>
                      <w:jc w:val="righ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20"/>
                        <w:sz w:val="11"/>
                      </w:rPr>
                      <w:t>350</w:t>
                    </w:r>
                  </w:p>
                  <w:p>
                    <w:pPr>
                      <w:spacing w:before="39"/>
                      <w:ind w:left="0" w:right="20" w:firstLine="0"/>
                      <w:jc w:val="righ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20"/>
                        <w:sz w:val="11"/>
                      </w:rPr>
                      <w:t>300</w:t>
                    </w:r>
                  </w:p>
                  <w:p>
                    <w:pPr>
                      <w:spacing w:before="39"/>
                      <w:ind w:left="0" w:right="20" w:firstLine="0"/>
                      <w:jc w:val="righ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20"/>
                        <w:sz w:val="11"/>
                      </w:rPr>
                      <w:t>250</w:t>
                    </w:r>
                  </w:p>
                  <w:p>
                    <w:pPr>
                      <w:spacing w:before="38"/>
                      <w:ind w:left="0" w:right="20" w:firstLine="0"/>
                      <w:jc w:val="righ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20"/>
                        <w:sz w:val="11"/>
                      </w:rPr>
                      <w:t>200</w:t>
                    </w:r>
                  </w:p>
                  <w:p>
                    <w:pPr>
                      <w:spacing w:before="39"/>
                      <w:ind w:left="0" w:right="20" w:firstLine="0"/>
                      <w:jc w:val="righ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20"/>
                        <w:sz w:val="11"/>
                      </w:rPr>
                      <w:t>150</w:t>
                    </w:r>
                  </w:p>
                  <w:p>
                    <w:pPr>
                      <w:spacing w:before="39"/>
                      <w:ind w:left="0" w:right="20" w:firstLine="0"/>
                      <w:jc w:val="righ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20"/>
                        <w:sz w:val="11"/>
                      </w:rPr>
                      <w:t>100</w:t>
                    </w:r>
                  </w:p>
                  <w:p>
                    <w:pPr>
                      <w:spacing w:before="39"/>
                      <w:ind w:left="0" w:right="20" w:firstLine="0"/>
                      <w:jc w:val="righ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25"/>
                        <w:sz w:val="11"/>
                      </w:rPr>
                      <w:t>50</w:t>
                    </w:r>
                  </w:p>
                  <w:p>
                    <w:pPr>
                      <w:spacing w:before="38"/>
                      <w:ind w:left="0" w:right="18" w:firstLine="0"/>
                      <w:jc w:val="righ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22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193;top:2705;width:764;height:207" type="#_x0000_t202" filled="false" stroked="false">
              <v:textbox inset="0,0,0,0">
                <w:txbxContent>
                  <w:p>
                    <w:pPr>
                      <w:spacing w:line="228" w:lineRule="auto" w:before="0"/>
                      <w:ind w:left="0" w:right="0" w:firstLine="0"/>
                      <w:jc w:val="lef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20"/>
                        <w:position w:val="-7"/>
                        <w:sz w:val="10"/>
                      </w:rPr>
                      <w:t>EXTR </w:t>
                    </w:r>
                    <w:r>
                      <w:rPr>
                        <w:rFonts w:ascii="Verdana"/>
                        <w:spacing w:val="7"/>
                        <w:w w:val="120"/>
                        <w:position w:val="-7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20"/>
                        <w:sz w:val="11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2497;top:2791;width:1351;height:12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Verdana"/>
                        <w:sz w:val="10"/>
                      </w:rPr>
                    </w:pPr>
                    <w:r>
                      <w:rPr>
                        <w:rFonts w:ascii="Verdana"/>
                        <w:w w:val="125"/>
                        <w:sz w:val="10"/>
                      </w:rPr>
                      <w:t>ANJERO</w:t>
                    </w:r>
                    <w:r>
                      <w:rPr>
                        <w:rFonts w:ascii="Verdana"/>
                        <w:spacing w:val="15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25"/>
                        <w:sz w:val="10"/>
                      </w:rPr>
                      <w:t>-</w:t>
                    </w:r>
                    <w:r>
                      <w:rPr>
                        <w:rFonts w:ascii="Verdana"/>
                        <w:spacing w:val="15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25"/>
                        <w:sz w:val="10"/>
                      </w:rPr>
                      <w:t>HOMBRES</w:t>
                    </w:r>
                  </w:p>
                </w:txbxContent>
              </v:textbox>
              <w10:wrap type="none"/>
            </v:shape>
            <v:shape style="position:absolute;left:4269;top:2791;width:530;height:12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Verdana"/>
                        <w:sz w:val="10"/>
                      </w:rPr>
                    </w:pPr>
                    <w:r>
                      <w:rPr>
                        <w:rFonts w:ascii="Verdana"/>
                        <w:w w:val="125"/>
                        <w:sz w:val="10"/>
                      </w:rPr>
                      <w:t>EXTRAN</w:t>
                    </w:r>
                  </w:p>
                </w:txbxContent>
              </v:textbox>
              <w10:wrap type="none"/>
            </v:shape>
            <v:shape style="position:absolute;left:4343;top:2705;width:1518;height:207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Verdana"/>
                        <w:sz w:val="10"/>
                      </w:rPr>
                    </w:pPr>
                    <w:r>
                      <w:rPr>
                        <w:rFonts w:ascii="Verdana"/>
                        <w:w w:val="125"/>
                        <w:position w:val="8"/>
                        <w:sz w:val="11"/>
                      </w:rPr>
                      <w:t>2018  </w:t>
                    </w:r>
                    <w:r>
                      <w:rPr>
                        <w:rFonts w:ascii="Verdana"/>
                        <w:w w:val="125"/>
                        <w:sz w:val="10"/>
                      </w:rPr>
                      <w:t>JERO</w:t>
                    </w:r>
                    <w:r>
                      <w:rPr>
                        <w:rFonts w:ascii="Verdana"/>
                        <w:spacing w:val="-4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25"/>
                        <w:sz w:val="10"/>
                      </w:rPr>
                      <w:t>-</w:t>
                    </w:r>
                    <w:r>
                      <w:rPr>
                        <w:rFonts w:ascii="Verdana"/>
                        <w:spacing w:val="-5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25"/>
                        <w:sz w:val="10"/>
                      </w:rPr>
                      <w:t>MUJERES</w:t>
                    </w:r>
                  </w:p>
                </w:txbxContent>
              </v:textbox>
              <w10:wrap type="none"/>
            </v:shape>
            <v:shape style="position:absolute;left:6087;top:2705;width:2102;height:207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spacing w:val="-1"/>
                        <w:w w:val="122"/>
                        <w:position w:val="8"/>
                        <w:sz w:val="11"/>
                      </w:rPr>
                      <w:t>201</w:t>
                    </w:r>
                    <w:r>
                      <w:rPr>
                        <w:rFonts w:ascii="Verdana"/>
                        <w:w w:val="122"/>
                        <w:position w:val="8"/>
                        <w:sz w:val="11"/>
                      </w:rPr>
                      <w:t>9</w:t>
                    </w:r>
                    <w:r>
                      <w:rPr>
                        <w:rFonts w:ascii="Verdana"/>
                        <w:position w:val="8"/>
                        <w:sz w:val="11"/>
                      </w:rPr>
                      <w:t> </w:t>
                    </w:r>
                    <w:r>
                      <w:rPr>
                        <w:rFonts w:ascii="Verdana"/>
                        <w:w w:val="150"/>
                        <w:sz w:val="10"/>
                      </w:rPr>
                      <w:t>A</w:t>
                    </w:r>
                    <w:r>
                      <w:rPr>
                        <w:rFonts w:ascii="Verdana"/>
                        <w:w w:val="121"/>
                        <w:sz w:val="1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74"/>
                        <w:sz w:val="10"/>
                      </w:rPr>
                      <w:t>I</w:t>
                    </w:r>
                    <w:r>
                      <w:rPr>
                        <w:rFonts w:ascii="Verdana"/>
                        <w:spacing w:val="-1"/>
                        <w:w w:val="117"/>
                        <w:sz w:val="10"/>
                      </w:rPr>
                      <w:t>F</w:t>
                    </w:r>
                    <w:r>
                      <w:rPr>
                        <w:rFonts w:ascii="Verdana"/>
                        <w:w w:val="124"/>
                        <w:sz w:val="10"/>
                      </w:rPr>
                      <w:t>U</w:t>
                    </w:r>
                    <w:r>
                      <w:rPr>
                        <w:rFonts w:ascii="Verdana"/>
                        <w:spacing w:val="-2"/>
                        <w:w w:val="137"/>
                        <w:sz w:val="10"/>
                      </w:rPr>
                      <w:t>N</w:t>
                    </w:r>
                    <w:r>
                      <w:rPr>
                        <w:rFonts w:ascii="Verdana"/>
                        <w:w w:val="150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3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01"/>
                        <w:sz w:val="10"/>
                      </w:rPr>
                      <w:t>-</w:t>
                    </w:r>
                    <w:r>
                      <w:rPr>
                        <w:rFonts w:ascii="Verdana"/>
                        <w:spacing w:val="4"/>
                        <w:sz w:val="10"/>
                      </w:rPr>
                      <w:t> </w:t>
                    </w:r>
                    <w:r>
                      <w:rPr>
                        <w:rFonts w:ascii="Verdana"/>
                        <w:spacing w:val="-2"/>
                        <w:w w:val="126"/>
                        <w:sz w:val="10"/>
                      </w:rPr>
                      <w:t>H</w:t>
                    </w:r>
                    <w:r>
                      <w:rPr>
                        <w:rFonts w:ascii="Verdana"/>
                        <w:spacing w:val="1"/>
                        <w:w w:val="153"/>
                        <w:sz w:val="10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w w:val="152"/>
                        <w:sz w:val="10"/>
                      </w:rPr>
                      <w:t>M</w:t>
                    </w:r>
                    <w:r>
                      <w:rPr>
                        <w:rFonts w:ascii="Verdana"/>
                        <w:w w:val="116"/>
                        <w:sz w:val="10"/>
                      </w:rPr>
                      <w:t>B</w:t>
                    </w:r>
                    <w:r>
                      <w:rPr>
                        <w:rFonts w:ascii="Verdana"/>
                        <w:spacing w:val="-1"/>
                        <w:w w:val="121"/>
                        <w:sz w:val="1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18"/>
                        <w:sz w:val="10"/>
                      </w:rPr>
                      <w:t>E</w:t>
                    </w:r>
                    <w:r>
                      <w:rPr>
                        <w:rFonts w:ascii="Verdana"/>
                        <w:spacing w:val="1"/>
                        <w:w w:val="101"/>
                        <w:sz w:val="10"/>
                      </w:rPr>
                      <w:t>S</w:t>
                    </w:r>
                    <w:r>
                      <w:rPr>
                        <w:rFonts w:ascii="Verdana"/>
                        <w:spacing w:val="-1"/>
                        <w:w w:val="122"/>
                        <w:position w:val="8"/>
                        <w:sz w:val="11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6346;top:2791;width:142;height:12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Verdana"/>
                        <w:sz w:val="10"/>
                      </w:rPr>
                    </w:pPr>
                    <w:r>
                      <w:rPr>
                        <w:rFonts w:ascii="Verdana"/>
                        <w:w w:val="156"/>
                        <w:sz w:val="10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8422;top:2705;width:1511;height:207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spacing w:val="-1"/>
                        <w:w w:val="156"/>
                        <w:sz w:val="10"/>
                      </w:rPr>
                      <w:t>G</w:t>
                    </w:r>
                    <w:r>
                      <w:rPr>
                        <w:rFonts w:ascii="Verdana"/>
                        <w:w w:val="150"/>
                        <w:sz w:val="10"/>
                      </w:rPr>
                      <w:t>A</w:t>
                    </w:r>
                    <w:r>
                      <w:rPr>
                        <w:rFonts w:ascii="Verdana"/>
                        <w:w w:val="121"/>
                        <w:sz w:val="1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74"/>
                        <w:sz w:val="10"/>
                      </w:rPr>
                      <w:t>I</w:t>
                    </w:r>
                    <w:r>
                      <w:rPr>
                        <w:rFonts w:ascii="Verdana"/>
                        <w:spacing w:val="-1"/>
                        <w:w w:val="117"/>
                        <w:sz w:val="10"/>
                      </w:rPr>
                      <w:t>F</w:t>
                    </w:r>
                    <w:r>
                      <w:rPr>
                        <w:rFonts w:ascii="Verdana"/>
                        <w:w w:val="124"/>
                        <w:sz w:val="10"/>
                      </w:rPr>
                      <w:t>U</w:t>
                    </w:r>
                    <w:r>
                      <w:rPr>
                        <w:rFonts w:ascii="Verdana"/>
                        <w:w w:val="137"/>
                        <w:sz w:val="10"/>
                      </w:rPr>
                      <w:t>N</w:t>
                    </w:r>
                    <w:r>
                      <w:rPr>
                        <w:rFonts w:ascii="Verdana"/>
                        <w:w w:val="150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3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01"/>
                        <w:sz w:val="10"/>
                      </w:rPr>
                      <w:t>-</w:t>
                    </w:r>
                    <w:r>
                      <w:rPr>
                        <w:rFonts w:ascii="Verdana"/>
                        <w:spacing w:val="3"/>
                        <w:sz w:val="10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52"/>
                        <w:sz w:val="10"/>
                      </w:rPr>
                      <w:t>M</w:t>
                    </w:r>
                    <w:r>
                      <w:rPr>
                        <w:rFonts w:ascii="Verdana"/>
                        <w:w w:val="124"/>
                        <w:sz w:val="10"/>
                      </w:rPr>
                      <w:t>U</w:t>
                    </w:r>
                    <w:r>
                      <w:rPr>
                        <w:rFonts w:ascii="Verdana"/>
                        <w:w w:val="147"/>
                        <w:sz w:val="10"/>
                      </w:rPr>
                      <w:t>J</w:t>
                    </w:r>
                    <w:r>
                      <w:rPr>
                        <w:rFonts w:ascii="Verdana"/>
                        <w:spacing w:val="-1"/>
                        <w:sz w:val="10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22"/>
                        <w:position w:val="8"/>
                        <w:sz w:val="11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9537;top:2791;width:325;height:12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Verdana"/>
                        <w:sz w:val="10"/>
                      </w:rPr>
                    </w:pPr>
                    <w:r>
                      <w:rPr>
                        <w:rFonts w:ascii="Verdana"/>
                        <w:w w:val="115"/>
                        <w:sz w:val="10"/>
                      </w:rPr>
                      <w:t>ERES</w:t>
                    </w:r>
                  </w:p>
                </w:txbxContent>
              </v:textbox>
              <w10:wrap type="none"/>
            </v:shape>
            <v:shape style="position:absolute;left:2193;top:3060;width:1325;height:12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Verdana"/>
                        <w:sz w:val="10"/>
                      </w:rPr>
                    </w:pPr>
                    <w:r>
                      <w:rPr>
                        <w:rFonts w:ascii="Verdana"/>
                        <w:w w:val="115"/>
                        <w:sz w:val="10"/>
                      </w:rPr>
                      <w:t>L</w:t>
                    </w:r>
                    <w:r>
                      <w:rPr>
                        <w:rFonts w:ascii="Verdana"/>
                        <w:spacing w:val="-1"/>
                        <w:w w:val="150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1"/>
                        <w:w w:val="134"/>
                        <w:sz w:val="10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w w:val="74"/>
                        <w:sz w:val="10"/>
                      </w:rPr>
                      <w:t>I</w:t>
                    </w:r>
                    <w:r>
                      <w:rPr>
                        <w:rFonts w:ascii="Verdana"/>
                        <w:w w:val="137"/>
                        <w:sz w:val="10"/>
                      </w:rPr>
                      <w:t>N</w:t>
                    </w:r>
                    <w:r>
                      <w:rPr>
                        <w:rFonts w:ascii="Verdana"/>
                        <w:w w:val="153"/>
                        <w:sz w:val="10"/>
                      </w:rPr>
                      <w:t>O</w:t>
                    </w:r>
                    <w:r>
                      <w:rPr>
                        <w:rFonts w:ascii="Verdana"/>
                        <w:spacing w:val="2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01"/>
                        <w:sz w:val="10"/>
                      </w:rPr>
                      <w:t>-</w:t>
                    </w:r>
                    <w:r>
                      <w:rPr>
                        <w:rFonts w:ascii="Verdana"/>
                        <w:spacing w:val="3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26"/>
                        <w:sz w:val="10"/>
                      </w:rPr>
                      <w:t>H</w:t>
                    </w:r>
                    <w:r>
                      <w:rPr>
                        <w:rFonts w:ascii="Verdana"/>
                        <w:spacing w:val="-1"/>
                        <w:w w:val="153"/>
                        <w:sz w:val="10"/>
                      </w:rPr>
                      <w:t>O</w:t>
                    </w:r>
                    <w:r>
                      <w:rPr>
                        <w:rFonts w:ascii="Verdana"/>
                        <w:w w:val="152"/>
                        <w:sz w:val="10"/>
                      </w:rPr>
                      <w:t>M</w:t>
                    </w:r>
                    <w:r>
                      <w:rPr>
                        <w:rFonts w:ascii="Verdana"/>
                        <w:w w:val="116"/>
                        <w:sz w:val="10"/>
                      </w:rPr>
                      <w:t>B</w:t>
                    </w:r>
                    <w:r>
                      <w:rPr>
                        <w:rFonts w:ascii="Verdana"/>
                        <w:spacing w:val="-1"/>
                        <w:w w:val="121"/>
                        <w:sz w:val="10"/>
                      </w:rPr>
                      <w:t>R</w:t>
                    </w:r>
                    <w:r>
                      <w:rPr>
                        <w:rFonts w:ascii="Verdana"/>
                        <w:w w:val="118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01"/>
                        <w:sz w:val="10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4269;top:3060;width:1262;height:12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Verdana"/>
                        <w:sz w:val="10"/>
                      </w:rPr>
                    </w:pPr>
                    <w:r>
                      <w:rPr>
                        <w:rFonts w:ascii="Verdana"/>
                        <w:w w:val="115"/>
                        <w:sz w:val="10"/>
                      </w:rPr>
                      <w:t>L</w:t>
                    </w:r>
                    <w:r>
                      <w:rPr>
                        <w:rFonts w:ascii="Verdana"/>
                        <w:w w:val="150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134"/>
                        <w:sz w:val="10"/>
                      </w:rPr>
                      <w:t>D</w:t>
                    </w:r>
                    <w:r>
                      <w:rPr>
                        <w:rFonts w:ascii="Verdana"/>
                        <w:w w:val="74"/>
                        <w:sz w:val="10"/>
                      </w:rPr>
                      <w:t>I</w:t>
                    </w:r>
                    <w:r>
                      <w:rPr>
                        <w:rFonts w:ascii="Verdana"/>
                        <w:w w:val="137"/>
                        <w:sz w:val="10"/>
                      </w:rPr>
                      <w:t>N</w:t>
                    </w:r>
                    <w:r>
                      <w:rPr>
                        <w:rFonts w:ascii="Verdana"/>
                        <w:w w:val="153"/>
                        <w:sz w:val="10"/>
                      </w:rPr>
                      <w:t>O</w:t>
                    </w:r>
                    <w:r>
                      <w:rPr>
                        <w:rFonts w:ascii="Verdana"/>
                        <w:spacing w:val="3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01"/>
                        <w:sz w:val="10"/>
                      </w:rPr>
                      <w:t>-</w:t>
                    </w:r>
                    <w:r>
                      <w:rPr>
                        <w:rFonts w:ascii="Verdana"/>
                        <w:spacing w:val="3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52"/>
                        <w:sz w:val="10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124"/>
                        <w:sz w:val="10"/>
                      </w:rPr>
                      <w:t>U</w:t>
                    </w:r>
                    <w:r>
                      <w:rPr>
                        <w:rFonts w:ascii="Verdana"/>
                        <w:w w:val="147"/>
                        <w:sz w:val="10"/>
                      </w:rPr>
                      <w:t>J</w:t>
                    </w:r>
                    <w:r>
                      <w:rPr>
                        <w:rFonts w:ascii="Verdana"/>
                        <w:spacing w:val="-1"/>
                        <w:w w:val="118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21"/>
                        <w:sz w:val="10"/>
                      </w:rPr>
                      <w:t>R</w:t>
                    </w:r>
                    <w:r>
                      <w:rPr>
                        <w:rFonts w:ascii="Verdana"/>
                        <w:spacing w:val="1"/>
                        <w:w w:val="118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01"/>
                        <w:sz w:val="10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6346;top:3060;width:1180;height:12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Verdana"/>
                        <w:sz w:val="10"/>
                      </w:rPr>
                    </w:pPr>
                    <w:r>
                      <w:rPr>
                        <w:rFonts w:ascii="Verdana"/>
                        <w:w w:val="125"/>
                        <w:sz w:val="10"/>
                      </w:rPr>
                      <w:t>MAYA</w:t>
                    </w:r>
                    <w:r>
                      <w:rPr>
                        <w:rFonts w:ascii="Verdana"/>
                        <w:spacing w:val="5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25"/>
                        <w:sz w:val="10"/>
                      </w:rPr>
                      <w:t>-</w:t>
                    </w:r>
                    <w:r>
                      <w:rPr>
                        <w:rFonts w:ascii="Verdana"/>
                        <w:spacing w:val="6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25"/>
                        <w:sz w:val="10"/>
                      </w:rPr>
                      <w:t>HOMBRES</w:t>
                    </w:r>
                  </w:p>
                </w:txbxContent>
              </v:textbox>
              <w10:wrap type="none"/>
            </v:shape>
            <v:shape style="position:absolute;left:8422;top:3060;width:1117;height:12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Verdana"/>
                        <w:sz w:val="10"/>
                      </w:rPr>
                    </w:pPr>
                    <w:r>
                      <w:rPr>
                        <w:rFonts w:ascii="Verdana"/>
                        <w:w w:val="125"/>
                        <w:sz w:val="10"/>
                      </w:rPr>
                      <w:t>MAYA</w:t>
                    </w:r>
                    <w:r>
                      <w:rPr>
                        <w:rFonts w:ascii="Verdana"/>
                        <w:spacing w:val="1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25"/>
                        <w:sz w:val="10"/>
                      </w:rPr>
                      <w:t>-</w:t>
                    </w:r>
                    <w:r>
                      <w:rPr>
                        <w:rFonts w:ascii="Verdana"/>
                        <w:spacing w:val="2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25"/>
                        <w:sz w:val="10"/>
                      </w:rPr>
                      <w:t>MUJERES</w:t>
                    </w:r>
                  </w:p>
                </w:txbxContent>
              </v:textbox>
              <w10:wrap type="none"/>
            </v:shape>
            <v:shape style="position:absolute;left:2193;top:3330;width:8053;height:121" type="#_x0000_t202" filled="false" stroked="false">
              <v:textbox inset="0,0,0,0">
                <w:txbxContent>
                  <w:p>
                    <w:pPr>
                      <w:tabs>
                        <w:tab w:pos="2075" w:val="left" w:leader="none"/>
                        <w:tab w:pos="4152" w:val="left" w:leader="none"/>
                        <w:tab w:pos="6228" w:val="left" w:leader="none"/>
                      </w:tabs>
                      <w:spacing w:line="120" w:lineRule="exact" w:before="0"/>
                      <w:ind w:left="0" w:right="0" w:firstLine="0"/>
                      <w:jc w:val="left"/>
                      <w:rPr>
                        <w:rFonts w:ascii="Verdana" w:hAnsi="Verdana"/>
                        <w:sz w:val="10"/>
                      </w:rPr>
                    </w:pPr>
                    <w:r>
                      <w:rPr>
                        <w:rFonts w:ascii="Verdana" w:hAnsi="Verdana"/>
                        <w:spacing w:val="-1"/>
                        <w:w w:val="123"/>
                        <w:sz w:val="10"/>
                      </w:rPr>
                      <w:t>X</w:t>
                    </w:r>
                    <w:r>
                      <w:rPr>
                        <w:rFonts w:ascii="Verdana" w:hAnsi="Verdana"/>
                        <w:spacing w:val="-1"/>
                        <w:w w:val="74"/>
                        <w:sz w:val="10"/>
                      </w:rPr>
                      <w:t>I</w:t>
                    </w:r>
                    <w:r>
                      <w:rPr>
                        <w:rFonts w:ascii="Verdana" w:hAnsi="Verdana"/>
                        <w:w w:val="137"/>
                        <w:sz w:val="10"/>
                      </w:rPr>
                      <w:t>N</w:t>
                    </w:r>
                    <w:r>
                      <w:rPr>
                        <w:rFonts w:ascii="Verdana" w:hAnsi="Verdana"/>
                        <w:spacing w:val="-1"/>
                        <w:w w:val="156"/>
                        <w:sz w:val="10"/>
                      </w:rPr>
                      <w:t>C</w:t>
                    </w:r>
                    <w:r>
                      <w:rPr>
                        <w:rFonts w:ascii="Verdana" w:hAnsi="Verdana"/>
                        <w:w w:val="156"/>
                        <w:sz w:val="10"/>
                      </w:rPr>
                      <w:t>A</w:t>
                    </w:r>
                    <w:r>
                      <w:rPr>
                        <w:rFonts w:ascii="Verdana" w:hAnsi="Verdana"/>
                        <w:spacing w:val="4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01"/>
                        <w:sz w:val="10"/>
                      </w:rPr>
                      <w:t>-</w:t>
                    </w:r>
                    <w:r>
                      <w:rPr>
                        <w:rFonts w:ascii="Verdana" w:hAnsi="Verdana"/>
                        <w:spacing w:val="3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26"/>
                        <w:sz w:val="10"/>
                      </w:rPr>
                      <w:t>H</w:t>
                    </w:r>
                    <w:r>
                      <w:rPr>
                        <w:rFonts w:ascii="Verdana" w:hAnsi="Verdana"/>
                        <w:spacing w:val="-1"/>
                        <w:w w:val="153"/>
                        <w:sz w:val="10"/>
                      </w:rPr>
                      <w:t>O</w:t>
                    </w:r>
                    <w:r>
                      <w:rPr>
                        <w:rFonts w:ascii="Verdana" w:hAnsi="Verdana"/>
                        <w:spacing w:val="-1"/>
                        <w:w w:val="152"/>
                        <w:sz w:val="10"/>
                      </w:rPr>
                      <w:t>M</w:t>
                    </w:r>
                    <w:r>
                      <w:rPr>
                        <w:rFonts w:ascii="Verdana" w:hAnsi="Verdana"/>
                        <w:w w:val="116"/>
                        <w:sz w:val="10"/>
                      </w:rPr>
                      <w:t>B</w:t>
                    </w:r>
                    <w:r>
                      <w:rPr>
                        <w:rFonts w:ascii="Verdana" w:hAnsi="Verdana"/>
                        <w:w w:val="121"/>
                        <w:sz w:val="10"/>
                      </w:rPr>
                      <w:t>R</w:t>
                    </w:r>
                    <w:r>
                      <w:rPr>
                        <w:rFonts w:ascii="Verdana" w:hAnsi="Verdana"/>
                        <w:spacing w:val="-1"/>
                        <w:w w:val="118"/>
                        <w:sz w:val="10"/>
                      </w:rPr>
                      <w:t>E</w:t>
                    </w:r>
                    <w:r>
                      <w:rPr>
                        <w:rFonts w:ascii="Verdana" w:hAnsi="Verdana"/>
                        <w:w w:val="101"/>
                        <w:sz w:val="10"/>
                      </w:rPr>
                      <w:t>S</w:t>
                    </w:r>
                    <w:r>
                      <w:rPr>
                        <w:rFonts w:ascii="Verdana" w:hAnsi="Verdana"/>
                        <w:sz w:val="10"/>
                      </w:rPr>
                      <w:tab/>
                    </w:r>
                    <w:r>
                      <w:rPr>
                        <w:rFonts w:ascii="Verdana" w:hAnsi="Verdana"/>
                        <w:spacing w:val="-1"/>
                        <w:w w:val="123"/>
                        <w:sz w:val="10"/>
                      </w:rPr>
                      <w:t>X</w:t>
                    </w:r>
                    <w:r>
                      <w:rPr>
                        <w:rFonts w:ascii="Verdana" w:hAnsi="Verdana"/>
                        <w:spacing w:val="1"/>
                        <w:w w:val="74"/>
                        <w:sz w:val="10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137"/>
                        <w:sz w:val="10"/>
                      </w:rPr>
                      <w:t>N</w:t>
                    </w:r>
                    <w:r>
                      <w:rPr>
                        <w:rFonts w:ascii="Verdana" w:hAnsi="Verdana"/>
                        <w:spacing w:val="-1"/>
                        <w:w w:val="156"/>
                        <w:sz w:val="10"/>
                      </w:rPr>
                      <w:t>C</w:t>
                    </w:r>
                    <w:r>
                      <w:rPr>
                        <w:rFonts w:ascii="Verdana" w:hAnsi="Verdana"/>
                        <w:w w:val="156"/>
                        <w:sz w:val="10"/>
                      </w:rPr>
                      <w:t>A</w:t>
                    </w:r>
                    <w:r>
                      <w:rPr>
                        <w:rFonts w:ascii="Verdana" w:hAnsi="Verdana"/>
                        <w:spacing w:val="4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01"/>
                        <w:sz w:val="10"/>
                      </w:rPr>
                      <w:t>-</w:t>
                    </w:r>
                    <w:r>
                      <w:rPr>
                        <w:rFonts w:ascii="Verdana" w:hAnsi="Verdana"/>
                        <w:spacing w:val="3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152"/>
                        <w:sz w:val="10"/>
                      </w:rPr>
                      <w:t>M</w:t>
                    </w:r>
                    <w:r>
                      <w:rPr>
                        <w:rFonts w:ascii="Verdana" w:hAnsi="Verdana"/>
                        <w:w w:val="124"/>
                        <w:sz w:val="10"/>
                      </w:rPr>
                      <w:t>U</w:t>
                    </w:r>
                    <w:r>
                      <w:rPr>
                        <w:rFonts w:ascii="Verdana" w:hAnsi="Verdana"/>
                        <w:w w:val="147"/>
                        <w:sz w:val="10"/>
                      </w:rPr>
                      <w:t>J</w:t>
                    </w:r>
                    <w:r>
                      <w:rPr>
                        <w:rFonts w:ascii="Verdana" w:hAnsi="Verdana"/>
                        <w:spacing w:val="-1"/>
                        <w:w w:val="118"/>
                        <w:sz w:val="10"/>
                      </w:rPr>
                      <w:t>E</w:t>
                    </w:r>
                    <w:r>
                      <w:rPr>
                        <w:rFonts w:ascii="Verdana" w:hAnsi="Verdana"/>
                        <w:w w:val="121"/>
                        <w:sz w:val="10"/>
                      </w:rPr>
                      <w:t>R</w:t>
                    </w:r>
                    <w:r>
                      <w:rPr>
                        <w:rFonts w:ascii="Verdana" w:hAnsi="Verdana"/>
                        <w:spacing w:val="-1"/>
                        <w:w w:val="118"/>
                        <w:sz w:val="10"/>
                      </w:rPr>
                      <w:t>E</w:t>
                    </w:r>
                    <w:r>
                      <w:rPr>
                        <w:rFonts w:ascii="Verdana" w:hAnsi="Verdana"/>
                        <w:w w:val="101"/>
                        <w:sz w:val="10"/>
                      </w:rPr>
                      <w:t>S</w:t>
                    </w:r>
                    <w:r>
                      <w:rPr>
                        <w:rFonts w:ascii="Verdana" w:hAnsi="Verdana"/>
                        <w:sz w:val="10"/>
                      </w:rPr>
                      <w:tab/>
                    </w:r>
                    <w:r>
                      <w:rPr>
                        <w:rFonts w:ascii="Verdana" w:hAnsi="Verdana"/>
                        <w:spacing w:val="-1"/>
                        <w:w w:val="101"/>
                        <w:sz w:val="10"/>
                      </w:rPr>
                      <w:t>S</w:t>
                    </w:r>
                    <w:r>
                      <w:rPr>
                        <w:rFonts w:ascii="Verdana" w:hAnsi="Verdana"/>
                        <w:w w:val="101"/>
                        <w:sz w:val="10"/>
                      </w:rPr>
                      <w:t>i</w:t>
                    </w:r>
                    <w:r>
                      <w:rPr>
                        <w:rFonts w:ascii="Verdana" w:hAnsi="Verdana"/>
                        <w:w w:val="134"/>
                        <w:sz w:val="10"/>
                      </w:rPr>
                      <w:t>n</w:t>
                    </w:r>
                    <w:r>
                      <w:rPr>
                        <w:rFonts w:ascii="Verdana" w:hAnsi="Verdana"/>
                        <w:spacing w:val="3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145"/>
                        <w:sz w:val="10"/>
                      </w:rPr>
                      <w:t>C</w:t>
                    </w:r>
                    <w:r>
                      <w:rPr>
                        <w:rFonts w:ascii="Verdana" w:hAnsi="Verdana"/>
                        <w:w w:val="145"/>
                        <w:sz w:val="10"/>
                      </w:rPr>
                      <w:t>l</w:t>
                    </w:r>
                    <w:r>
                      <w:rPr>
                        <w:rFonts w:ascii="Verdana" w:hAnsi="Verdana"/>
                        <w:w w:val="158"/>
                        <w:sz w:val="10"/>
                      </w:rPr>
                      <w:t>a</w:t>
                    </w:r>
                    <w:r>
                      <w:rPr>
                        <w:rFonts w:ascii="Verdana" w:hAnsi="Verdana"/>
                        <w:w w:val="103"/>
                        <w:sz w:val="10"/>
                      </w:rPr>
                      <w:t>s</w:t>
                    </w:r>
                    <w:r>
                      <w:rPr>
                        <w:rFonts w:ascii="Verdana" w:hAnsi="Verdana"/>
                        <w:w w:val="101"/>
                        <w:sz w:val="10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114"/>
                        <w:sz w:val="10"/>
                      </w:rPr>
                      <w:t>f</w:t>
                    </w:r>
                    <w:r>
                      <w:rPr>
                        <w:rFonts w:ascii="Verdana" w:hAnsi="Verdana"/>
                        <w:spacing w:val="1"/>
                        <w:w w:val="114"/>
                        <w:sz w:val="10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165"/>
                        <w:sz w:val="10"/>
                      </w:rPr>
                      <w:t>c</w:t>
                    </w:r>
                    <w:r>
                      <w:rPr>
                        <w:rFonts w:ascii="Verdana" w:hAnsi="Verdana"/>
                        <w:w w:val="165"/>
                        <w:sz w:val="10"/>
                      </w:rPr>
                      <w:t>a</w:t>
                    </w:r>
                    <w:r>
                      <w:rPr>
                        <w:rFonts w:ascii="Verdana" w:hAnsi="Verdana"/>
                        <w:spacing w:val="-1"/>
                        <w:w w:val="148"/>
                        <w:sz w:val="10"/>
                      </w:rPr>
                      <w:t>c</w:t>
                    </w:r>
                    <w:r>
                      <w:rPr>
                        <w:rFonts w:ascii="Verdana" w:hAnsi="Verdana"/>
                        <w:w w:val="148"/>
                        <w:sz w:val="10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150"/>
                        <w:sz w:val="10"/>
                      </w:rPr>
                      <w:t>ó</w:t>
                    </w:r>
                    <w:r>
                      <w:rPr>
                        <w:rFonts w:ascii="Verdana" w:hAnsi="Verdana"/>
                        <w:w w:val="134"/>
                        <w:sz w:val="10"/>
                      </w:rPr>
                      <w:t>n</w:t>
                    </w:r>
                    <w:r>
                      <w:rPr>
                        <w:rFonts w:ascii="Verdana" w:hAnsi="Verdana"/>
                        <w:spacing w:val="4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01"/>
                        <w:sz w:val="10"/>
                      </w:rPr>
                      <w:t>-</w:t>
                    </w:r>
                    <w:r>
                      <w:rPr>
                        <w:rFonts w:ascii="Verdana" w:hAnsi="Verdana"/>
                        <w:spacing w:val="3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126"/>
                        <w:sz w:val="10"/>
                      </w:rPr>
                      <w:t>H</w:t>
                    </w:r>
                    <w:r>
                      <w:rPr>
                        <w:rFonts w:ascii="Verdana" w:hAnsi="Verdana"/>
                        <w:spacing w:val="-1"/>
                        <w:w w:val="153"/>
                        <w:sz w:val="10"/>
                      </w:rPr>
                      <w:t>O</w:t>
                    </w:r>
                    <w:r>
                      <w:rPr>
                        <w:rFonts w:ascii="Verdana" w:hAnsi="Verdana"/>
                        <w:spacing w:val="-1"/>
                        <w:w w:val="152"/>
                        <w:sz w:val="10"/>
                      </w:rPr>
                      <w:t>M</w:t>
                    </w:r>
                    <w:r>
                      <w:rPr>
                        <w:rFonts w:ascii="Verdana" w:hAnsi="Verdana"/>
                        <w:w w:val="116"/>
                        <w:sz w:val="10"/>
                      </w:rPr>
                      <w:t>B</w:t>
                    </w:r>
                    <w:r>
                      <w:rPr>
                        <w:rFonts w:ascii="Verdana" w:hAnsi="Verdana"/>
                        <w:w w:val="121"/>
                        <w:sz w:val="10"/>
                      </w:rPr>
                      <w:t>R</w:t>
                    </w:r>
                    <w:r>
                      <w:rPr>
                        <w:rFonts w:ascii="Verdana" w:hAnsi="Verdana"/>
                        <w:w w:val="118"/>
                        <w:sz w:val="10"/>
                      </w:rPr>
                      <w:t>E</w:t>
                    </w:r>
                    <w:r>
                      <w:rPr>
                        <w:rFonts w:ascii="Verdana" w:hAnsi="Verdana"/>
                        <w:w w:val="101"/>
                        <w:sz w:val="10"/>
                      </w:rPr>
                      <w:t>S</w:t>
                    </w:r>
                    <w:r>
                      <w:rPr>
                        <w:rFonts w:ascii="Verdana" w:hAnsi="Verdana"/>
                        <w:sz w:val="10"/>
                      </w:rPr>
                      <w:tab/>
                    </w:r>
                    <w:r>
                      <w:rPr>
                        <w:rFonts w:ascii="Verdana" w:hAnsi="Verdana"/>
                        <w:spacing w:val="-1"/>
                        <w:w w:val="101"/>
                        <w:sz w:val="10"/>
                      </w:rPr>
                      <w:t>S</w:t>
                    </w:r>
                    <w:r>
                      <w:rPr>
                        <w:rFonts w:ascii="Verdana" w:hAnsi="Verdana"/>
                        <w:w w:val="101"/>
                        <w:sz w:val="10"/>
                      </w:rPr>
                      <w:t>i</w:t>
                    </w:r>
                    <w:r>
                      <w:rPr>
                        <w:rFonts w:ascii="Verdana" w:hAnsi="Verdana"/>
                        <w:w w:val="134"/>
                        <w:sz w:val="10"/>
                      </w:rPr>
                      <w:t>n</w:t>
                    </w:r>
                    <w:r>
                      <w:rPr>
                        <w:rFonts w:ascii="Verdana" w:hAnsi="Verdana"/>
                        <w:spacing w:val="3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145"/>
                        <w:sz w:val="10"/>
                      </w:rPr>
                      <w:t>C</w:t>
                    </w:r>
                    <w:r>
                      <w:rPr>
                        <w:rFonts w:ascii="Verdana" w:hAnsi="Verdana"/>
                        <w:spacing w:val="1"/>
                        <w:w w:val="145"/>
                        <w:sz w:val="10"/>
                      </w:rPr>
                      <w:t>l</w:t>
                    </w:r>
                    <w:r>
                      <w:rPr>
                        <w:rFonts w:ascii="Verdana" w:hAnsi="Verdana"/>
                        <w:spacing w:val="-2"/>
                        <w:w w:val="158"/>
                        <w:sz w:val="10"/>
                      </w:rPr>
                      <w:t>a</w:t>
                    </w:r>
                    <w:r>
                      <w:rPr>
                        <w:rFonts w:ascii="Verdana" w:hAnsi="Verdana"/>
                        <w:w w:val="103"/>
                        <w:sz w:val="10"/>
                      </w:rPr>
                      <w:t>s</w:t>
                    </w:r>
                    <w:r>
                      <w:rPr>
                        <w:rFonts w:ascii="Verdana" w:hAnsi="Verdana"/>
                        <w:w w:val="101"/>
                        <w:sz w:val="10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114"/>
                        <w:sz w:val="10"/>
                      </w:rPr>
                      <w:t>f</w:t>
                    </w:r>
                    <w:r>
                      <w:rPr>
                        <w:rFonts w:ascii="Verdana" w:hAnsi="Verdana"/>
                        <w:w w:val="114"/>
                        <w:sz w:val="10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165"/>
                        <w:sz w:val="10"/>
                      </w:rPr>
                      <w:t>c</w:t>
                    </w:r>
                    <w:r>
                      <w:rPr>
                        <w:rFonts w:ascii="Verdana" w:hAnsi="Verdana"/>
                        <w:w w:val="165"/>
                        <w:sz w:val="10"/>
                      </w:rPr>
                      <w:t>a</w:t>
                    </w:r>
                    <w:r>
                      <w:rPr>
                        <w:rFonts w:ascii="Verdana" w:hAnsi="Verdana"/>
                        <w:spacing w:val="-1"/>
                        <w:w w:val="148"/>
                        <w:sz w:val="10"/>
                      </w:rPr>
                      <w:t>c</w:t>
                    </w:r>
                    <w:r>
                      <w:rPr>
                        <w:rFonts w:ascii="Verdana" w:hAnsi="Verdana"/>
                        <w:spacing w:val="1"/>
                        <w:w w:val="148"/>
                        <w:sz w:val="10"/>
                      </w:rPr>
                      <w:t>i</w:t>
                    </w:r>
                    <w:r>
                      <w:rPr>
                        <w:rFonts w:ascii="Verdana" w:hAnsi="Verdana"/>
                        <w:w w:val="150"/>
                        <w:sz w:val="10"/>
                      </w:rPr>
                      <w:t>ó</w:t>
                    </w:r>
                    <w:r>
                      <w:rPr>
                        <w:rFonts w:ascii="Verdana" w:hAnsi="Verdana"/>
                        <w:w w:val="134"/>
                        <w:sz w:val="10"/>
                      </w:rPr>
                      <w:t>n</w:t>
                    </w:r>
                    <w:r>
                      <w:rPr>
                        <w:rFonts w:ascii="Verdana" w:hAnsi="Verdana"/>
                        <w:spacing w:val="3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01"/>
                        <w:sz w:val="10"/>
                      </w:rPr>
                      <w:t>-</w:t>
                    </w:r>
                    <w:r>
                      <w:rPr>
                        <w:rFonts w:ascii="Verdana" w:hAnsi="Verdana"/>
                        <w:spacing w:val="3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152"/>
                        <w:sz w:val="10"/>
                      </w:rPr>
                      <w:t>M</w:t>
                    </w:r>
                    <w:r>
                      <w:rPr>
                        <w:rFonts w:ascii="Verdana" w:hAnsi="Verdana"/>
                        <w:w w:val="124"/>
                        <w:sz w:val="10"/>
                      </w:rPr>
                      <w:t>U</w:t>
                    </w:r>
                    <w:r>
                      <w:rPr>
                        <w:rFonts w:ascii="Verdana" w:hAnsi="Verdana"/>
                        <w:w w:val="147"/>
                        <w:sz w:val="10"/>
                      </w:rPr>
                      <w:t>J</w:t>
                    </w:r>
                    <w:r>
                      <w:rPr>
                        <w:rFonts w:ascii="Verdana" w:hAnsi="Verdana"/>
                        <w:spacing w:val="-1"/>
                        <w:w w:val="118"/>
                        <w:sz w:val="10"/>
                      </w:rPr>
                      <w:t>E</w:t>
                    </w:r>
                    <w:r>
                      <w:rPr>
                        <w:rFonts w:ascii="Verdana" w:hAnsi="Verdana"/>
                        <w:w w:val="121"/>
                        <w:sz w:val="10"/>
                      </w:rPr>
                      <w:t>R</w:t>
                    </w:r>
                    <w:r>
                      <w:rPr>
                        <w:rFonts w:ascii="Verdana" w:hAnsi="Verdana"/>
                        <w:spacing w:val="-1"/>
                        <w:w w:val="118"/>
                        <w:sz w:val="10"/>
                      </w:rPr>
                      <w:t>E</w:t>
                    </w:r>
                    <w:r>
                      <w:rPr>
                        <w:rFonts w:ascii="Verdana" w:hAnsi="Verdana"/>
                        <w:w w:val="101"/>
                        <w:sz w:val="10"/>
                      </w:rPr>
                      <w:t>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ind w:left="278" w:right="1076"/>
        <w:jc w:val="both"/>
      </w:pPr>
      <w:r>
        <w:rPr/>
        <w:t>Este gráfico muestra el total de la población estudiantil por niveles educativos, etnia y sexo durante el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2017-2021,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Quetzaltenango.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DIPLAN,</w:t>
      </w:r>
      <w:r>
        <w:rPr>
          <w:spacing w:val="1"/>
        </w:rPr>
        <w:t> </w:t>
      </w:r>
      <w:r>
        <w:rPr/>
        <w:t>(2021),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cifras</w:t>
      </w:r>
      <w:r>
        <w:rPr>
          <w:spacing w:val="1"/>
        </w:rPr>
        <w:t> </w:t>
      </w:r>
      <w:r>
        <w:rPr/>
        <w:t>anteriores, la</w:t>
      </w:r>
      <w:r>
        <w:rPr>
          <w:spacing w:val="-3"/>
        </w:rPr>
        <w:t> </w:t>
      </w:r>
      <w:r>
        <w:rPr/>
        <w:t>proporción</w:t>
      </w:r>
      <w:r>
        <w:rPr>
          <w:spacing w:val="-4"/>
        </w:rPr>
        <w:t> </w:t>
      </w:r>
      <w:r>
        <w:rPr/>
        <w:t>de atención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 población</w:t>
      </w:r>
      <w:r>
        <w:rPr>
          <w:spacing w:val="-3"/>
        </w:rPr>
        <w:t> </w:t>
      </w:r>
      <w:r>
        <w:rPr/>
        <w:t>estudiantil fue como</w:t>
      </w:r>
      <w:r>
        <w:rPr>
          <w:spacing w:val="-2"/>
        </w:rPr>
        <w:t> </w:t>
      </w:r>
      <w:r>
        <w:rPr/>
        <w:t>sigue:</w:t>
      </w:r>
    </w:p>
    <w:p>
      <w:pPr>
        <w:pStyle w:val="BodyText"/>
        <w:ind w:left="278" w:right="6501"/>
        <w:jc w:val="both"/>
      </w:pPr>
      <w:r>
        <w:rPr/>
        <w:t>Ladinos: 33% de hombres y 32% de mujeres.</w:t>
      </w:r>
      <w:r>
        <w:rPr>
          <w:spacing w:val="-47"/>
        </w:rPr>
        <w:t> </w:t>
      </w:r>
      <w:r>
        <w:rPr/>
        <w:t>Mayas:</w:t>
      </w:r>
      <w:r>
        <w:rPr>
          <w:spacing w:val="-3"/>
        </w:rPr>
        <w:t> </w:t>
      </w:r>
      <w:r>
        <w:rPr/>
        <w:t>18%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hombres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17%</w:t>
      </w:r>
      <w:r>
        <w:rPr>
          <w:spacing w:val="-2"/>
        </w:rPr>
        <w:t> </w:t>
      </w:r>
      <w:r>
        <w:rPr/>
        <w:t>mujeres.</w:t>
      </w:r>
    </w:p>
    <w:p>
      <w:pPr>
        <w:pStyle w:val="BodyText"/>
      </w:pPr>
    </w:p>
    <w:p>
      <w:pPr>
        <w:pStyle w:val="BodyText"/>
        <w:ind w:left="278" w:right="1069"/>
        <w:jc w:val="both"/>
      </w:pPr>
      <w:r>
        <w:rPr>
          <w:spacing w:val="-1"/>
        </w:rPr>
        <w:t>Al</w:t>
      </w:r>
      <w:r>
        <w:rPr>
          <w:spacing w:val="-10"/>
        </w:rPr>
        <w:t> </w:t>
      </w:r>
      <w:r>
        <w:rPr>
          <w:spacing w:val="-1"/>
        </w:rPr>
        <w:t>comparar</w:t>
      </w:r>
      <w:r>
        <w:rPr>
          <w:spacing w:val="-13"/>
        </w:rPr>
        <w:t> </w:t>
      </w:r>
      <w:r>
        <w:rPr>
          <w:spacing w:val="-1"/>
        </w:rPr>
        <w:t>estos</w:t>
      </w:r>
      <w:r>
        <w:rPr>
          <w:spacing w:val="-9"/>
        </w:rPr>
        <w:t> </w:t>
      </w:r>
      <w:r>
        <w:rPr>
          <w:spacing w:val="-1"/>
        </w:rPr>
        <w:t>resultados</w:t>
      </w:r>
      <w:r>
        <w:rPr>
          <w:spacing w:val="-11"/>
        </w:rPr>
        <w:t> </w:t>
      </w:r>
      <w:r>
        <w:rPr/>
        <w:t>con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información</w:t>
      </w:r>
      <w:r>
        <w:rPr>
          <w:spacing w:val="-10"/>
        </w:rPr>
        <w:t> </w:t>
      </w:r>
      <w:r>
        <w:rPr/>
        <w:t>del</w:t>
      </w:r>
      <w:r>
        <w:rPr>
          <w:spacing w:val="-8"/>
        </w:rPr>
        <w:t> </w:t>
      </w:r>
      <w:r>
        <w:rPr/>
        <w:t>INE,</w:t>
      </w:r>
      <w:r>
        <w:rPr>
          <w:spacing w:val="-9"/>
        </w:rPr>
        <w:t> </w:t>
      </w:r>
      <w:r>
        <w:rPr/>
        <w:t>(2018),</w:t>
      </w:r>
      <w:r>
        <w:rPr>
          <w:spacing w:val="-12"/>
        </w:rPr>
        <w:t> </w:t>
      </w:r>
      <w:r>
        <w:rPr/>
        <w:t>es</w:t>
      </w:r>
      <w:r>
        <w:rPr>
          <w:spacing w:val="-11"/>
        </w:rPr>
        <w:t> </w:t>
      </w:r>
      <w:r>
        <w:rPr/>
        <w:t>posible</w:t>
      </w:r>
      <w:r>
        <w:rPr>
          <w:spacing w:val="-11"/>
        </w:rPr>
        <w:t> </w:t>
      </w:r>
      <w:r>
        <w:rPr/>
        <w:t>evidenciar</w:t>
      </w:r>
      <w:r>
        <w:rPr>
          <w:spacing w:val="-7"/>
        </w:rPr>
        <w:t> </w:t>
      </w:r>
      <w:r>
        <w:rPr/>
        <w:t>que,</w:t>
      </w:r>
      <w:r>
        <w:rPr>
          <w:spacing w:val="-11"/>
        </w:rPr>
        <w:t> </w:t>
      </w:r>
      <w:r>
        <w:rPr/>
        <w:t>si</w:t>
      </w:r>
      <w:r>
        <w:rPr>
          <w:spacing w:val="-11"/>
        </w:rPr>
        <w:t> </w:t>
      </w:r>
      <w:r>
        <w:rPr/>
        <w:t>bien</w:t>
      </w:r>
      <w:r>
        <w:rPr>
          <w:spacing w:val="-12"/>
        </w:rPr>
        <w:t> </w:t>
      </w:r>
      <w:r>
        <w:rPr/>
        <w:t>es</w:t>
      </w:r>
      <w:r>
        <w:rPr>
          <w:spacing w:val="-11"/>
        </w:rPr>
        <w:t> </w:t>
      </w:r>
      <w:r>
        <w:rPr/>
        <w:t>cierto,</w:t>
      </w:r>
      <w:r>
        <w:rPr>
          <w:spacing w:val="-47"/>
        </w:rPr>
        <w:t> </w:t>
      </w:r>
      <w:r>
        <w:rPr/>
        <w:t>si hay representatividad de las etnias mayoritarias por Departamento (51% Maya y 49% Ladina), ésta no</w:t>
      </w:r>
      <w:r>
        <w:rPr>
          <w:spacing w:val="1"/>
        </w:rPr>
        <w:t> </w:t>
      </w:r>
      <w:r>
        <w:rPr/>
        <w:t>se presenta en la misma proporción. Es decir, un niño o adolescente maya en Guatemala no posee la</w:t>
      </w:r>
      <w:r>
        <w:rPr>
          <w:spacing w:val="1"/>
        </w:rPr>
        <w:t> </w:t>
      </w:r>
      <w:r>
        <w:rPr/>
        <w:t>misma oportunidad de estudiar –a diferencia de los Ladinos-, cuya participación en el sistema educativo</w:t>
      </w:r>
      <w:r>
        <w:rPr>
          <w:spacing w:val="1"/>
        </w:rPr>
        <w:t> </w:t>
      </w:r>
      <w:r>
        <w:rPr/>
        <w:t>es</w:t>
      </w:r>
      <w:r>
        <w:rPr>
          <w:spacing w:val="-2"/>
        </w:rPr>
        <w:t> </w:t>
      </w:r>
      <w:r>
        <w:rPr/>
        <w:t>mayor.</w:t>
      </w:r>
      <w:r>
        <w:rPr>
          <w:spacing w:val="-1"/>
        </w:rPr>
        <w:t> </w:t>
      </w:r>
      <w:r>
        <w:rPr/>
        <w:t>Esto</w:t>
      </w:r>
      <w:r>
        <w:rPr>
          <w:spacing w:val="-2"/>
        </w:rPr>
        <w:t> </w:t>
      </w:r>
      <w:r>
        <w:rPr/>
        <w:t>quiere decir</w:t>
      </w:r>
      <w:r>
        <w:rPr>
          <w:spacing w:val="-3"/>
        </w:rPr>
        <w:t> </w:t>
      </w:r>
      <w:r>
        <w:rPr/>
        <w:t>que, se</w:t>
      </w:r>
      <w:r>
        <w:rPr>
          <w:spacing w:val="-2"/>
        </w:rPr>
        <w:t> </w:t>
      </w:r>
      <w:r>
        <w:rPr/>
        <w:t>sigue privilegiando</w:t>
      </w:r>
      <w:r>
        <w:rPr>
          <w:spacing w:val="-2"/>
        </w:rPr>
        <w:t> </w:t>
      </w:r>
      <w:r>
        <w:rPr/>
        <w:t>el acceso a la</w:t>
      </w:r>
      <w:r>
        <w:rPr>
          <w:spacing w:val="-4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etnia Ladina.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2"/>
        <w:jc w:val="both"/>
      </w:pPr>
      <w:r>
        <w:rPr/>
        <w:t>Por otra parte, respecto del sexo se sigue presentando una brecha de atención en dónde la participación</w:t>
      </w:r>
      <w:r>
        <w:rPr>
          <w:spacing w:val="1"/>
        </w:rPr>
        <w:t> </w:t>
      </w:r>
      <w:r>
        <w:rPr/>
        <w:t>del</w:t>
      </w:r>
      <w:r>
        <w:rPr>
          <w:spacing w:val="-5"/>
        </w:rPr>
        <w:t> </w:t>
      </w:r>
      <w:r>
        <w:rPr/>
        <w:t>hombre</w:t>
      </w:r>
      <w:r>
        <w:rPr>
          <w:spacing w:val="-10"/>
        </w:rPr>
        <w:t> </w:t>
      </w:r>
      <w:r>
        <w:rPr/>
        <w:t>Maya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Ladino,</w:t>
      </w:r>
      <w:r>
        <w:rPr>
          <w:spacing w:val="-7"/>
        </w:rPr>
        <w:t> </w:t>
      </w:r>
      <w:r>
        <w:rPr/>
        <w:t>es</w:t>
      </w:r>
      <w:r>
        <w:rPr>
          <w:spacing w:val="-7"/>
        </w:rPr>
        <w:t> </w:t>
      </w:r>
      <w:r>
        <w:rPr/>
        <w:t>mayor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mujer</w:t>
      </w:r>
      <w:r>
        <w:rPr>
          <w:spacing w:val="-8"/>
        </w:rPr>
        <w:t> </w:t>
      </w:r>
      <w:r>
        <w:rPr/>
        <w:t>-para</w:t>
      </w:r>
      <w:r>
        <w:rPr>
          <w:spacing w:val="-9"/>
        </w:rPr>
        <w:t> </w:t>
      </w:r>
      <w:r>
        <w:rPr/>
        <w:t>ambas</w:t>
      </w:r>
      <w:r>
        <w:rPr>
          <w:spacing w:val="-9"/>
        </w:rPr>
        <w:t> </w:t>
      </w:r>
      <w:r>
        <w:rPr/>
        <w:t>etnias-;</w:t>
      </w:r>
      <w:r>
        <w:rPr>
          <w:spacing w:val="-7"/>
        </w:rPr>
        <w:t> </w:t>
      </w:r>
      <w:r>
        <w:rPr/>
        <w:t>sobre</w:t>
      </w:r>
      <w:r>
        <w:rPr>
          <w:spacing w:val="-10"/>
        </w:rPr>
        <w:t> </w:t>
      </w:r>
      <w:r>
        <w:rPr/>
        <w:t>todo</w:t>
      </w:r>
      <w:r>
        <w:rPr>
          <w:spacing w:val="-7"/>
        </w:rPr>
        <w:t> </w:t>
      </w:r>
      <w:r>
        <w:rPr/>
        <w:t>considerando</w:t>
      </w:r>
      <w:r>
        <w:rPr>
          <w:spacing w:val="-4"/>
        </w:rPr>
        <w:t> </w:t>
      </w:r>
      <w:r>
        <w:rPr/>
        <w:t>que</w:t>
      </w:r>
      <w:r>
        <w:rPr>
          <w:spacing w:val="-47"/>
        </w:rPr>
        <w:t> </w:t>
      </w:r>
      <w:r>
        <w:rPr/>
        <w:t>este</w:t>
      </w:r>
      <w:r>
        <w:rPr>
          <w:spacing w:val="-3"/>
        </w:rPr>
        <w:t> </w:t>
      </w:r>
      <w:r>
        <w:rPr/>
        <w:t>es</w:t>
      </w:r>
      <w:r>
        <w:rPr>
          <w:spacing w:val="-1"/>
        </w:rPr>
        <w:t> </w:t>
      </w:r>
      <w:r>
        <w:rPr/>
        <w:t>el único</w:t>
      </w:r>
      <w:r>
        <w:rPr>
          <w:spacing w:val="-3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posee</w:t>
      </w:r>
      <w:r>
        <w:rPr>
          <w:spacing w:val="-2"/>
        </w:rPr>
        <w:t> </w:t>
      </w:r>
      <w:r>
        <w:rPr/>
        <w:t>mayor</w:t>
      </w:r>
      <w:r>
        <w:rPr>
          <w:spacing w:val="-1"/>
        </w:rPr>
        <w:t> </w:t>
      </w:r>
      <w:r>
        <w:rPr/>
        <w:t>participación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mujeres</w:t>
      </w:r>
      <w:r>
        <w:rPr>
          <w:spacing w:val="-2"/>
        </w:rPr>
        <w:t> </w:t>
      </w:r>
      <w:r>
        <w:rPr/>
        <w:t>(53%).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  <w:r>
        <w:rPr/>
        <w:pict>
          <v:rect style="position:absolute;margin-left:563.880005pt;margin-top:19.383066pt;width:25.44pt;height:1.4399pt;mso-position-horizontal-relative:page;mso-position-vertical-relative:paragraph;z-index:-1540044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167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42432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5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1"/>
          <w:numId w:val="36"/>
        </w:numPr>
        <w:tabs>
          <w:tab w:pos="855" w:val="left" w:leader="none"/>
        </w:tabs>
        <w:spacing w:line="240" w:lineRule="auto" w:before="52" w:after="0"/>
        <w:ind w:left="854" w:right="0" w:hanging="577"/>
        <w:jc w:val="left"/>
      </w:pPr>
      <w:bookmarkStart w:name="_bookmark204" w:id="341"/>
      <w:bookmarkEnd w:id="341"/>
      <w:r>
        <w:rPr>
          <w:b w:val="0"/>
        </w:rPr>
      </w:r>
      <w:bookmarkStart w:name="_bookmark204" w:id="342"/>
      <w:bookmarkEnd w:id="342"/>
      <w:r>
        <w:rPr>
          <w:color w:val="1F4E79"/>
        </w:rPr>
        <w:t>Qui</w:t>
      </w:r>
      <w:r>
        <w:rPr>
          <w:color w:val="1F4E79"/>
        </w:rPr>
        <w:t>ché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2"/>
          <w:numId w:val="36"/>
        </w:numPr>
        <w:tabs>
          <w:tab w:pos="999" w:val="left" w:leader="none"/>
        </w:tabs>
        <w:spacing w:line="240" w:lineRule="auto" w:before="187" w:after="0"/>
        <w:ind w:left="998" w:right="0" w:hanging="721"/>
        <w:jc w:val="left"/>
        <w:rPr>
          <w:b/>
          <w:sz w:val="24"/>
        </w:rPr>
      </w:pPr>
      <w:bookmarkStart w:name="_bookmark205" w:id="343"/>
      <w:bookmarkEnd w:id="343"/>
      <w:r>
        <w:rPr/>
      </w:r>
      <w:bookmarkStart w:name="_bookmark205" w:id="344"/>
      <w:bookmarkEnd w:id="344"/>
      <w:r>
        <w:rPr>
          <w:b/>
          <w:sz w:val="24"/>
        </w:rPr>
        <w:t>Inf</w:t>
      </w:r>
      <w:r>
        <w:rPr>
          <w:b/>
          <w:sz w:val="24"/>
        </w:rPr>
        <w:t>ormación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General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215"/>
        <w:ind w:left="278" w:right="1073"/>
        <w:jc w:val="both"/>
      </w:pPr>
      <w:r>
        <w:rPr/>
        <w:drawing>
          <wp:anchor distT="0" distB="0" distL="0" distR="0" allowOverlap="1" layoutInCell="1" locked="0" behindDoc="1" simplePos="0" relativeHeight="474642944">
            <wp:simplePos x="0" y="0"/>
            <wp:positionH relativeFrom="page">
              <wp:posOffset>4866640</wp:posOffset>
            </wp:positionH>
            <wp:positionV relativeFrom="paragraph">
              <wp:posOffset>1029381</wp:posOffset>
            </wp:positionV>
            <wp:extent cx="2188807" cy="2190377"/>
            <wp:effectExtent l="0" t="0" r="0" b="0"/>
            <wp:wrapNone/>
            <wp:docPr id="453" name="image1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124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807" cy="2190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 acuerdo con información demográfica contenida en el Censo de Población realizado por el Instituto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estadística</w:t>
      </w:r>
      <w:r>
        <w:rPr>
          <w:spacing w:val="1"/>
        </w:rPr>
        <w:t> </w:t>
      </w:r>
      <w:r>
        <w:rPr/>
        <w:t>-INE-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2018,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Quiché</w:t>
      </w:r>
      <w:r>
        <w:rPr>
          <w:spacing w:val="1"/>
        </w:rPr>
        <w:t> </w:t>
      </w:r>
      <w:r>
        <w:rPr/>
        <w:t>posee</w:t>
      </w:r>
      <w:r>
        <w:rPr>
          <w:spacing w:val="1"/>
        </w:rPr>
        <w:t> </w:t>
      </w:r>
      <w:r>
        <w:rPr/>
        <w:t>949,261</w:t>
      </w:r>
      <w:r>
        <w:rPr>
          <w:spacing w:val="1"/>
        </w:rPr>
        <w:t> </w:t>
      </w:r>
      <w:r>
        <w:rPr/>
        <w:t>habitantes,</w:t>
      </w:r>
      <w:r>
        <w:rPr>
          <w:spacing w:val="1"/>
        </w:rPr>
        <w:t> </w:t>
      </w:r>
      <w:r>
        <w:rPr/>
        <w:t>integrados por el 52% de mujeres y 48% de hombres. Cabe destacar que el 51% de la población es niño o</w:t>
      </w:r>
      <w:r>
        <w:rPr>
          <w:spacing w:val="-47"/>
        </w:rPr>
        <w:t> </w:t>
      </w:r>
      <w:r>
        <w:rPr/>
        <w:t>adolescente, ya que se encuentran entre el rango de 0 a 19 años de edad.</w:t>
      </w:r>
      <w:r>
        <w:rPr>
          <w:spacing w:val="1"/>
        </w:rPr>
        <w:t> </w:t>
      </w:r>
      <w:r>
        <w:rPr/>
        <w:t>De este total, el 32% reside en</w:t>
      </w:r>
      <w:r>
        <w:rPr>
          <w:spacing w:val="-47"/>
        </w:rPr>
        <w:t> </w:t>
      </w:r>
      <w:r>
        <w:rPr/>
        <w:t>el área urbana, mientras que el restante 68% es del área rural. Esto quiere decir que la mayoría de los</w:t>
      </w:r>
      <w:r>
        <w:rPr>
          <w:spacing w:val="1"/>
        </w:rPr>
        <w:t> </w:t>
      </w:r>
      <w:r>
        <w:rPr/>
        <w:t>niños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adolescentes</w:t>
      </w:r>
      <w:r>
        <w:rPr>
          <w:spacing w:val="26"/>
        </w:rPr>
        <w:t> </w:t>
      </w:r>
      <w:r>
        <w:rPr/>
        <w:t>residen</w:t>
      </w:r>
      <w:r>
        <w:rPr>
          <w:spacing w:val="29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área</w:t>
      </w:r>
      <w:r>
        <w:rPr>
          <w:spacing w:val="29"/>
        </w:rPr>
        <w:t> </w:t>
      </w:r>
      <w:r>
        <w:rPr/>
        <w:t>rural.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ellos,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89%</w:t>
      </w:r>
      <w:r>
        <w:rPr>
          <w:spacing w:val="31"/>
        </w:rPr>
        <w:t> </w:t>
      </w:r>
      <w:r>
        <w:rPr/>
        <w:t>se</w:t>
      </w:r>
    </w:p>
    <w:p>
      <w:pPr>
        <w:pStyle w:val="BodyText"/>
        <w:spacing w:line="268" w:lineRule="exact"/>
        <w:ind w:left="278"/>
        <w:jc w:val="both"/>
      </w:pPr>
      <w:r>
        <w:rPr/>
        <w:t>reconoce</w:t>
      </w:r>
      <w:r>
        <w:rPr>
          <w:spacing w:val="-3"/>
        </w:rPr>
        <w:t> </w:t>
      </w:r>
      <w:r>
        <w:rPr/>
        <w:t>mayoritariamente</w:t>
      </w:r>
      <w:r>
        <w:rPr>
          <w:spacing w:val="1"/>
        </w:rPr>
        <w:t> </w:t>
      </w:r>
      <w:r>
        <w:rPr/>
        <w:t>Maya</w:t>
      </w:r>
      <w:r>
        <w:rPr>
          <w:spacing w:val="-3"/>
        </w:rPr>
        <w:t> </w:t>
      </w:r>
      <w:r>
        <w:rPr/>
        <w:t>y el</w:t>
      </w:r>
      <w:r>
        <w:rPr>
          <w:spacing w:val="-4"/>
        </w:rPr>
        <w:t> </w:t>
      </w:r>
      <w:r>
        <w:rPr/>
        <w:t>11%</w:t>
      </w:r>
      <w:r>
        <w:rPr>
          <w:spacing w:val="1"/>
        </w:rPr>
        <w:t> </w:t>
      </w:r>
      <w:r>
        <w:rPr/>
        <w:t>de la</w:t>
      </w:r>
      <w:r>
        <w:rPr>
          <w:spacing w:val="-3"/>
        </w:rPr>
        <w:t> </w:t>
      </w:r>
      <w:r>
        <w:rPr/>
        <w:t>etnia</w:t>
      </w:r>
      <w:r>
        <w:rPr>
          <w:spacing w:val="-3"/>
        </w:rPr>
        <w:t> </w:t>
      </w:r>
      <w:r>
        <w:rPr/>
        <w:t>Ladina.</w:t>
      </w:r>
    </w:p>
    <w:p>
      <w:pPr>
        <w:pStyle w:val="BodyText"/>
        <w:spacing w:before="1"/>
        <w:ind w:left="278" w:right="4411"/>
        <w:jc w:val="both"/>
      </w:pPr>
      <w:r>
        <w:rPr/>
        <w:t>Por</w:t>
      </w:r>
      <w:r>
        <w:rPr>
          <w:spacing w:val="-6"/>
        </w:rPr>
        <w:t> </w:t>
      </w:r>
      <w:r>
        <w:rPr/>
        <w:t>otro</w:t>
      </w:r>
      <w:r>
        <w:rPr>
          <w:spacing w:val="-4"/>
        </w:rPr>
        <w:t> </w:t>
      </w:r>
      <w:r>
        <w:rPr/>
        <w:t>lado,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comunidad</w:t>
      </w:r>
      <w:r>
        <w:rPr>
          <w:spacing w:val="-4"/>
        </w:rPr>
        <w:t> </w:t>
      </w:r>
      <w:r>
        <w:rPr/>
        <w:t>maya</w:t>
      </w:r>
      <w:r>
        <w:rPr>
          <w:spacing w:val="-3"/>
        </w:rPr>
        <w:t> </w:t>
      </w:r>
      <w:r>
        <w:rPr/>
        <w:t>lingüística</w:t>
      </w:r>
      <w:r>
        <w:rPr>
          <w:spacing w:val="-6"/>
        </w:rPr>
        <w:t> </w:t>
      </w:r>
      <w:r>
        <w:rPr/>
        <w:t>dominante</w:t>
      </w:r>
      <w:r>
        <w:rPr>
          <w:spacing w:val="-5"/>
        </w:rPr>
        <w:t> </w:t>
      </w:r>
      <w:r>
        <w:rPr/>
        <w:t>es</w:t>
      </w:r>
      <w:r>
        <w:rPr>
          <w:spacing w:val="-2"/>
        </w:rPr>
        <w:t> </w:t>
      </w:r>
      <w:r>
        <w:rPr/>
        <w:t>el</w:t>
      </w:r>
      <w:r>
        <w:rPr>
          <w:spacing w:val="-6"/>
        </w:rPr>
        <w:t> </w:t>
      </w:r>
      <w:r>
        <w:rPr/>
        <w:t>K’iche’</w:t>
      </w:r>
      <w:r>
        <w:rPr>
          <w:spacing w:val="-47"/>
        </w:rPr>
        <w:t> </w:t>
      </w:r>
      <w:r>
        <w:rPr/>
        <w:t>(67%), Ixil (15%) y Q’eqchí’ (9%).</w:t>
      </w:r>
      <w:r>
        <w:rPr>
          <w:spacing w:val="1"/>
        </w:rPr>
        <w:t> </w:t>
      </w:r>
      <w:r>
        <w:rPr/>
        <w:t>Lo cual, representa el 91% de la</w:t>
      </w:r>
      <w:r>
        <w:rPr>
          <w:spacing w:val="1"/>
        </w:rPr>
        <w:t> </w:t>
      </w:r>
      <w:r>
        <w:rPr/>
        <w:t>población.</w:t>
      </w:r>
    </w:p>
    <w:p>
      <w:pPr>
        <w:pStyle w:val="BodyText"/>
      </w:pPr>
    </w:p>
    <w:p>
      <w:pPr>
        <w:pStyle w:val="BodyText"/>
        <w:spacing w:before="1"/>
        <w:ind w:left="278" w:right="4410"/>
        <w:jc w:val="both"/>
      </w:pPr>
      <w:r>
        <w:rPr/>
        <w:t>De acuerdo con los datos obtenidos de la SESAN (2015) a través del</w:t>
      </w:r>
      <w:r>
        <w:rPr>
          <w:spacing w:val="1"/>
        </w:rPr>
        <w:t> </w:t>
      </w:r>
      <w:r>
        <w:rPr/>
        <w:t>IV</w:t>
      </w:r>
      <w:r>
        <w:rPr>
          <w:spacing w:val="1"/>
        </w:rPr>
        <w:t> </w:t>
      </w:r>
      <w:r>
        <w:rPr/>
        <w:t>Censo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talla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escolares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grado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 primaria del sector público escolar, este departamento</w:t>
      </w:r>
      <w:r>
        <w:rPr>
          <w:spacing w:val="1"/>
        </w:rPr>
        <w:t> </w:t>
      </w:r>
      <w:r>
        <w:rPr/>
        <w:t>posee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alta vulnerabilidad</w:t>
      </w:r>
      <w:r>
        <w:rPr>
          <w:spacing w:val="1"/>
        </w:rPr>
        <w:t> </w:t>
      </w:r>
      <w:r>
        <w:rPr/>
        <w:t>nutricional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reportar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cifra</w:t>
      </w:r>
      <w:r>
        <w:rPr>
          <w:spacing w:val="1"/>
        </w:rPr>
        <w:t> </w:t>
      </w:r>
      <w:r>
        <w:rPr/>
        <w:t>del</w:t>
      </w:r>
      <w:r>
        <w:rPr>
          <w:spacing w:val="-47"/>
        </w:rPr>
        <w:t> </w:t>
      </w:r>
      <w:r>
        <w:rPr/>
        <w:t>55.3%.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mapa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vulnerabilidad, debido a que está en color rojo. Es una situación</w:t>
      </w:r>
      <w:r>
        <w:rPr>
          <w:spacing w:val="1"/>
        </w:rPr>
        <w:t> </w:t>
      </w:r>
      <w:r>
        <w:rPr/>
        <w:t>alarmante y preocupante porque compromete la calidad de la salud</w:t>
      </w:r>
      <w:r>
        <w:rPr>
          <w:spacing w:val="-47"/>
        </w:rPr>
        <w:t> </w:t>
      </w:r>
      <w:r>
        <w:rPr/>
        <w:t>no solo de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niños, sino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futuro de</w:t>
      </w:r>
      <w:r>
        <w:rPr>
          <w:spacing w:val="-3"/>
        </w:rPr>
        <w:t> </w:t>
      </w:r>
      <w:r>
        <w:rPr/>
        <w:t>la población.</w:t>
      </w:r>
    </w:p>
    <w:p>
      <w:pPr>
        <w:pStyle w:val="BodyText"/>
        <w:spacing w:before="5"/>
        <w:rPr>
          <w:sz w:val="15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52" w:after="0"/>
        <w:ind w:left="998" w:right="0" w:hanging="721"/>
        <w:jc w:val="left"/>
      </w:pPr>
      <w:bookmarkStart w:name="_bookmark206" w:id="345"/>
      <w:bookmarkEnd w:id="345"/>
      <w:r>
        <w:rPr>
          <w:b w:val="0"/>
        </w:rPr>
      </w:r>
      <w:bookmarkStart w:name="_bookmark206" w:id="346"/>
      <w:bookmarkEnd w:id="346"/>
      <w:r>
        <w:rPr>
          <w:shd w:fill="FFFFFF" w:color="auto" w:val="clear"/>
        </w:rPr>
        <w:t>Sit</w:t>
      </w:r>
      <w:r>
        <w:rPr>
          <w:shd w:fill="FFFFFF" w:color="auto" w:val="clear"/>
        </w:rPr>
        <w:t>uación</w:t>
      </w:r>
      <w:r>
        <w:rPr>
          <w:spacing w:val="-2"/>
          <w:shd w:fill="FFFFFF" w:color="auto" w:val="clear"/>
        </w:rPr>
        <w:t> </w:t>
      </w:r>
      <w:r>
        <w:rPr>
          <w:shd w:fill="FFFFFF" w:color="auto" w:val="clear"/>
        </w:rPr>
        <w:t>del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Sistema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Educación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Nacional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ind w:left="278" w:right="1073"/>
        <w:jc w:val="both"/>
      </w:pPr>
      <w:r>
        <w:rPr/>
        <w:t>En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estudiantil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Quiché,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cifras</w:t>
      </w:r>
      <w:r>
        <w:rPr>
          <w:spacing w:val="1"/>
        </w:rPr>
        <w:t> </w:t>
      </w:r>
      <w:r>
        <w:rPr/>
        <w:t>similares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comportamiento promedio nacional. La educación primaria es la que reporta mayor crecimiento con una</w:t>
      </w:r>
      <w:r>
        <w:rPr>
          <w:spacing w:val="-47"/>
        </w:rPr>
        <w:t> </w:t>
      </w:r>
      <w:r>
        <w:rPr/>
        <w:t>importante cantidad de estudiantes registrados, seguido por el nivel preprimaria, básico y diversificado.</w:t>
      </w:r>
      <w:r>
        <w:rPr>
          <w:spacing w:val="1"/>
        </w:rPr>
        <w:t> </w:t>
      </w:r>
      <w:r>
        <w:rPr/>
        <w:t>La cantidad cae drásticamente en el diversificado, con respecto del nivel procedente. A manera de</w:t>
      </w:r>
      <w:r>
        <w:rPr>
          <w:spacing w:val="1"/>
        </w:rPr>
        <w:t> </w:t>
      </w:r>
      <w:r>
        <w:rPr/>
        <w:t>referencia,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presentan los datos</w:t>
      </w:r>
      <w:r>
        <w:rPr>
          <w:spacing w:val="-3"/>
        </w:rPr>
        <w:t> </w:t>
      </w:r>
      <w:r>
        <w:rPr/>
        <w:t>absolutos</w:t>
      </w:r>
      <w:r>
        <w:rPr>
          <w:spacing w:val="-3"/>
        </w:rPr>
        <w:t> </w:t>
      </w:r>
      <w:r>
        <w:rPr/>
        <w:t>para</w:t>
      </w:r>
      <w:r>
        <w:rPr>
          <w:spacing w:val="-1"/>
        </w:rPr>
        <w:t> </w:t>
      </w:r>
      <w:r>
        <w:rPr/>
        <w:t>este</w:t>
      </w:r>
      <w:r>
        <w:rPr>
          <w:spacing w:val="-3"/>
        </w:rPr>
        <w:t> </w:t>
      </w:r>
      <w:r>
        <w:rPr/>
        <w:t>Departamento.</w:t>
      </w:r>
    </w:p>
    <w:p>
      <w:pPr>
        <w:pStyle w:val="BodyText"/>
        <w:spacing w:before="2"/>
      </w:pPr>
    </w:p>
    <w:p>
      <w:pPr>
        <w:pStyle w:val="BodyText"/>
        <w:spacing w:after="7"/>
        <w:ind w:left="278"/>
        <w:jc w:val="both"/>
      </w:pPr>
      <w:r>
        <w:rPr/>
        <w:t>Tabla</w:t>
      </w:r>
      <w:r>
        <w:rPr>
          <w:spacing w:val="-2"/>
        </w:rPr>
        <w:t> </w:t>
      </w:r>
      <w:r>
        <w:rPr/>
        <w:t>Nº.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estudiantes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Nivel</w:t>
      </w:r>
      <w:r>
        <w:rPr>
          <w:spacing w:val="-1"/>
        </w:rPr>
        <w:t> </w:t>
      </w:r>
      <w:r>
        <w:rPr/>
        <w:t>Educativo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Quiché</w:t>
      </w:r>
      <w:r>
        <w:rPr>
          <w:spacing w:val="-1"/>
        </w:rPr>
        <w:t> </w:t>
      </w:r>
      <w:r>
        <w:rPr/>
        <w:t>(2017</w:t>
      </w:r>
      <w:r>
        <w:rPr>
          <w:spacing w:val="-1"/>
        </w:rPr>
        <w:t> </w:t>
      </w:r>
      <w:r>
        <w:rPr/>
        <w:t>al</w:t>
      </w:r>
      <w:r>
        <w:rPr>
          <w:spacing w:val="-4"/>
        </w:rPr>
        <w:t> </w:t>
      </w:r>
      <w:r>
        <w:rPr/>
        <w:t>2021)</w:t>
      </w:r>
    </w:p>
    <w:tbl>
      <w:tblPr>
        <w:tblW w:w="0" w:type="auto"/>
        <w:jc w:val="left"/>
        <w:tblInd w:w="3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0"/>
        <w:gridCol w:w="1433"/>
        <w:gridCol w:w="1045"/>
        <w:gridCol w:w="1349"/>
        <w:gridCol w:w="859"/>
        <w:gridCol w:w="1571"/>
        <w:gridCol w:w="1280"/>
      </w:tblGrid>
      <w:tr>
        <w:trPr>
          <w:trHeight w:val="421" w:hRule="atLeast"/>
        </w:trPr>
        <w:tc>
          <w:tcPr>
            <w:tcW w:w="1280" w:type="dxa"/>
            <w:tcBorders>
              <w:bottom w:val="single" w:sz="8" w:space="0" w:color="8EA9DB"/>
            </w:tcBorders>
            <w:shd w:val="clear" w:color="auto" w:fill="D9E0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3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94" w:lineRule="exact"/>
              <w:ind w:left="37" w:right="3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105"/>
                <w:sz w:val="18"/>
              </w:rPr>
              <w:t>PREPRIMARIA</w:t>
            </w:r>
          </w:p>
        </w:tc>
        <w:tc>
          <w:tcPr>
            <w:tcW w:w="1045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94" w:lineRule="exact"/>
              <w:ind w:left="36" w:right="3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105"/>
                <w:sz w:val="18"/>
              </w:rPr>
              <w:t>PRIMARIA</w:t>
            </w:r>
          </w:p>
        </w:tc>
        <w:tc>
          <w:tcPr>
            <w:tcW w:w="1349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95" w:lineRule="exact"/>
              <w:ind w:left="55" w:right="5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PRIMARIA</w:t>
            </w:r>
            <w:r>
              <w:rPr>
                <w:rFonts w:ascii="Arial"/>
                <w:b/>
                <w:color w:val="FFFFFF"/>
                <w:spacing w:val="5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DE</w:t>
            </w:r>
          </w:p>
          <w:p>
            <w:pPr>
              <w:pStyle w:val="TableParagraph"/>
              <w:spacing w:line="194" w:lineRule="exact" w:before="15"/>
              <w:ind w:left="47" w:right="5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105"/>
                <w:sz w:val="18"/>
              </w:rPr>
              <w:t>ADULTOS</w:t>
            </w:r>
          </w:p>
        </w:tc>
        <w:tc>
          <w:tcPr>
            <w:tcW w:w="859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94" w:lineRule="exact"/>
              <w:ind w:left="41" w:right="4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105"/>
                <w:sz w:val="18"/>
              </w:rPr>
              <w:t>BASICO</w:t>
            </w:r>
          </w:p>
        </w:tc>
        <w:tc>
          <w:tcPr>
            <w:tcW w:w="1571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94" w:lineRule="exact"/>
              <w:ind w:left="31" w:righ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105"/>
                <w:sz w:val="18"/>
              </w:rPr>
              <w:t>DIVERSIFICADO</w:t>
            </w:r>
          </w:p>
        </w:tc>
        <w:tc>
          <w:tcPr>
            <w:tcW w:w="1280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94" w:lineRule="exact"/>
              <w:ind w:right="8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Total</w:t>
            </w:r>
            <w:r>
              <w:rPr>
                <w:rFonts w:ascii="Arial"/>
                <w:b/>
                <w:color w:val="FFFFFF"/>
                <w:spacing w:val="3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general</w:t>
            </w:r>
          </w:p>
        </w:tc>
      </w:tr>
      <w:tr>
        <w:trPr>
          <w:trHeight w:val="204" w:hRule="atLeast"/>
        </w:trPr>
        <w:tc>
          <w:tcPr>
            <w:tcW w:w="1280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83" w:lineRule="exact"/>
              <w:ind w:left="411" w:right="40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2017</w:t>
            </w:r>
          </w:p>
        </w:tc>
        <w:tc>
          <w:tcPr>
            <w:tcW w:w="1433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83" w:lineRule="exact"/>
              <w:ind w:left="37" w:right="3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31,791</w:t>
            </w:r>
          </w:p>
        </w:tc>
        <w:tc>
          <w:tcPr>
            <w:tcW w:w="1045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83" w:lineRule="exact"/>
              <w:ind w:left="36" w:right="2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169,426</w:t>
            </w:r>
          </w:p>
        </w:tc>
        <w:tc>
          <w:tcPr>
            <w:tcW w:w="1349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83" w:lineRule="exact"/>
              <w:ind w:left="522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644</w:t>
            </w:r>
          </w:p>
        </w:tc>
        <w:tc>
          <w:tcPr>
            <w:tcW w:w="859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83" w:lineRule="exact"/>
              <w:ind w:left="41" w:right="1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33,954</w:t>
            </w:r>
          </w:p>
        </w:tc>
        <w:tc>
          <w:tcPr>
            <w:tcW w:w="1571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83" w:lineRule="exact"/>
              <w:ind w:left="23" w:right="1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13,654</w:t>
            </w:r>
          </w:p>
        </w:tc>
        <w:tc>
          <w:tcPr>
            <w:tcW w:w="1280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83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249,469</w:t>
            </w:r>
          </w:p>
        </w:tc>
      </w:tr>
      <w:tr>
        <w:trPr>
          <w:trHeight w:val="221" w:hRule="atLeast"/>
        </w:trPr>
        <w:tc>
          <w:tcPr>
            <w:tcW w:w="1280" w:type="dxa"/>
          </w:tcPr>
          <w:p>
            <w:pPr>
              <w:pStyle w:val="TableParagraph"/>
              <w:spacing w:line="195" w:lineRule="exact" w:before="6"/>
              <w:ind w:left="411" w:right="40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2018</w:t>
            </w:r>
          </w:p>
        </w:tc>
        <w:tc>
          <w:tcPr>
            <w:tcW w:w="1433" w:type="dxa"/>
          </w:tcPr>
          <w:p>
            <w:pPr>
              <w:pStyle w:val="TableParagraph"/>
              <w:spacing w:line="195" w:lineRule="exact" w:before="6"/>
              <w:ind w:left="37" w:right="3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33,209</w:t>
            </w:r>
          </w:p>
        </w:tc>
        <w:tc>
          <w:tcPr>
            <w:tcW w:w="1045" w:type="dxa"/>
          </w:tcPr>
          <w:p>
            <w:pPr>
              <w:pStyle w:val="TableParagraph"/>
              <w:spacing w:line="195" w:lineRule="exact" w:before="6"/>
              <w:ind w:left="36" w:right="2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174,665</w:t>
            </w:r>
          </w:p>
        </w:tc>
        <w:tc>
          <w:tcPr>
            <w:tcW w:w="1349" w:type="dxa"/>
          </w:tcPr>
          <w:p>
            <w:pPr>
              <w:pStyle w:val="TableParagraph"/>
              <w:spacing w:line="195" w:lineRule="exact" w:before="6"/>
              <w:ind w:left="522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565</w:t>
            </w:r>
          </w:p>
        </w:tc>
        <w:tc>
          <w:tcPr>
            <w:tcW w:w="859" w:type="dxa"/>
          </w:tcPr>
          <w:p>
            <w:pPr>
              <w:pStyle w:val="TableParagraph"/>
              <w:spacing w:line="195" w:lineRule="exact" w:before="6"/>
              <w:ind w:left="41" w:right="1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34,247</w:t>
            </w:r>
          </w:p>
        </w:tc>
        <w:tc>
          <w:tcPr>
            <w:tcW w:w="1571" w:type="dxa"/>
          </w:tcPr>
          <w:p>
            <w:pPr>
              <w:pStyle w:val="TableParagraph"/>
              <w:spacing w:line="195" w:lineRule="exact" w:before="6"/>
              <w:ind w:left="23" w:right="1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13,835</w:t>
            </w:r>
          </w:p>
        </w:tc>
        <w:tc>
          <w:tcPr>
            <w:tcW w:w="1280" w:type="dxa"/>
          </w:tcPr>
          <w:p>
            <w:pPr>
              <w:pStyle w:val="TableParagraph"/>
              <w:spacing w:line="195" w:lineRule="exact" w:before="6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256,521</w:t>
            </w:r>
          </w:p>
        </w:tc>
      </w:tr>
      <w:tr>
        <w:trPr>
          <w:trHeight w:val="221" w:hRule="atLeast"/>
        </w:trPr>
        <w:tc>
          <w:tcPr>
            <w:tcW w:w="1280" w:type="dxa"/>
          </w:tcPr>
          <w:p>
            <w:pPr>
              <w:pStyle w:val="TableParagraph"/>
              <w:spacing w:line="195" w:lineRule="exact" w:before="6"/>
              <w:ind w:left="411" w:right="40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2019</w:t>
            </w:r>
          </w:p>
        </w:tc>
        <w:tc>
          <w:tcPr>
            <w:tcW w:w="1433" w:type="dxa"/>
          </w:tcPr>
          <w:p>
            <w:pPr>
              <w:pStyle w:val="TableParagraph"/>
              <w:spacing w:line="195" w:lineRule="exact" w:before="6"/>
              <w:ind w:left="37" w:right="3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31,572</w:t>
            </w:r>
          </w:p>
        </w:tc>
        <w:tc>
          <w:tcPr>
            <w:tcW w:w="1045" w:type="dxa"/>
          </w:tcPr>
          <w:p>
            <w:pPr>
              <w:pStyle w:val="TableParagraph"/>
              <w:spacing w:line="195" w:lineRule="exact" w:before="6"/>
              <w:ind w:left="36" w:right="2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170,972</w:t>
            </w:r>
          </w:p>
        </w:tc>
        <w:tc>
          <w:tcPr>
            <w:tcW w:w="1349" w:type="dxa"/>
          </w:tcPr>
          <w:p>
            <w:pPr>
              <w:pStyle w:val="TableParagraph"/>
              <w:spacing w:line="195" w:lineRule="exact" w:before="6"/>
              <w:ind w:left="522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410</w:t>
            </w:r>
          </w:p>
        </w:tc>
        <w:tc>
          <w:tcPr>
            <w:tcW w:w="859" w:type="dxa"/>
          </w:tcPr>
          <w:p>
            <w:pPr>
              <w:pStyle w:val="TableParagraph"/>
              <w:spacing w:line="195" w:lineRule="exact" w:before="6"/>
              <w:ind w:left="41" w:right="1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32,739</w:t>
            </w:r>
          </w:p>
        </w:tc>
        <w:tc>
          <w:tcPr>
            <w:tcW w:w="1571" w:type="dxa"/>
          </w:tcPr>
          <w:p>
            <w:pPr>
              <w:pStyle w:val="TableParagraph"/>
              <w:spacing w:line="195" w:lineRule="exact" w:before="6"/>
              <w:ind w:left="23" w:right="1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13,660</w:t>
            </w:r>
          </w:p>
        </w:tc>
        <w:tc>
          <w:tcPr>
            <w:tcW w:w="1280" w:type="dxa"/>
          </w:tcPr>
          <w:p>
            <w:pPr>
              <w:pStyle w:val="TableParagraph"/>
              <w:spacing w:line="195" w:lineRule="exact" w:before="6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249,353</w:t>
            </w:r>
          </w:p>
        </w:tc>
      </w:tr>
      <w:tr>
        <w:trPr>
          <w:trHeight w:val="221" w:hRule="atLeast"/>
        </w:trPr>
        <w:tc>
          <w:tcPr>
            <w:tcW w:w="1280" w:type="dxa"/>
          </w:tcPr>
          <w:p>
            <w:pPr>
              <w:pStyle w:val="TableParagraph"/>
              <w:spacing w:line="195" w:lineRule="exact" w:before="6"/>
              <w:ind w:left="411" w:right="40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2020</w:t>
            </w:r>
          </w:p>
        </w:tc>
        <w:tc>
          <w:tcPr>
            <w:tcW w:w="1433" w:type="dxa"/>
          </w:tcPr>
          <w:p>
            <w:pPr>
              <w:pStyle w:val="TableParagraph"/>
              <w:spacing w:line="195" w:lineRule="exact" w:before="6"/>
              <w:ind w:left="37" w:right="3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30,563</w:t>
            </w:r>
          </w:p>
        </w:tc>
        <w:tc>
          <w:tcPr>
            <w:tcW w:w="1045" w:type="dxa"/>
          </w:tcPr>
          <w:p>
            <w:pPr>
              <w:pStyle w:val="TableParagraph"/>
              <w:spacing w:line="195" w:lineRule="exact" w:before="6"/>
              <w:ind w:left="36" w:right="2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170,346</w:t>
            </w:r>
          </w:p>
        </w:tc>
        <w:tc>
          <w:tcPr>
            <w:tcW w:w="1349" w:type="dxa"/>
          </w:tcPr>
          <w:p>
            <w:pPr>
              <w:pStyle w:val="TableParagraph"/>
              <w:spacing w:line="195" w:lineRule="exact" w:before="6"/>
              <w:ind w:left="522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280</w:t>
            </w:r>
          </w:p>
        </w:tc>
        <w:tc>
          <w:tcPr>
            <w:tcW w:w="859" w:type="dxa"/>
          </w:tcPr>
          <w:p>
            <w:pPr>
              <w:pStyle w:val="TableParagraph"/>
              <w:spacing w:line="195" w:lineRule="exact" w:before="6"/>
              <w:ind w:left="41" w:right="1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31,779</w:t>
            </w:r>
          </w:p>
        </w:tc>
        <w:tc>
          <w:tcPr>
            <w:tcW w:w="1571" w:type="dxa"/>
          </w:tcPr>
          <w:p>
            <w:pPr>
              <w:pStyle w:val="TableParagraph"/>
              <w:spacing w:line="195" w:lineRule="exact" w:before="6"/>
              <w:ind w:left="23" w:right="1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13,753</w:t>
            </w:r>
          </w:p>
        </w:tc>
        <w:tc>
          <w:tcPr>
            <w:tcW w:w="1280" w:type="dxa"/>
          </w:tcPr>
          <w:p>
            <w:pPr>
              <w:pStyle w:val="TableParagraph"/>
              <w:spacing w:line="195" w:lineRule="exact" w:before="6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246,721</w:t>
            </w:r>
          </w:p>
        </w:tc>
      </w:tr>
      <w:tr>
        <w:trPr>
          <w:trHeight w:val="214" w:hRule="atLeast"/>
        </w:trPr>
        <w:tc>
          <w:tcPr>
            <w:tcW w:w="1280" w:type="dxa"/>
          </w:tcPr>
          <w:p>
            <w:pPr>
              <w:pStyle w:val="TableParagraph"/>
              <w:spacing w:line="188" w:lineRule="exact" w:before="6"/>
              <w:ind w:left="411" w:right="40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2021</w:t>
            </w:r>
          </w:p>
        </w:tc>
        <w:tc>
          <w:tcPr>
            <w:tcW w:w="1433" w:type="dxa"/>
          </w:tcPr>
          <w:p>
            <w:pPr>
              <w:pStyle w:val="TableParagraph"/>
              <w:spacing w:line="188" w:lineRule="exact" w:before="6"/>
              <w:ind w:left="37" w:right="3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35,781</w:t>
            </w:r>
          </w:p>
        </w:tc>
        <w:tc>
          <w:tcPr>
            <w:tcW w:w="1045" w:type="dxa"/>
          </w:tcPr>
          <w:p>
            <w:pPr>
              <w:pStyle w:val="TableParagraph"/>
              <w:spacing w:line="188" w:lineRule="exact" w:before="6"/>
              <w:ind w:left="36" w:right="2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175,731</w:t>
            </w:r>
          </w:p>
        </w:tc>
        <w:tc>
          <w:tcPr>
            <w:tcW w:w="1349" w:type="dxa"/>
          </w:tcPr>
          <w:p>
            <w:pPr>
              <w:pStyle w:val="TableParagraph"/>
              <w:spacing w:line="188" w:lineRule="exact" w:before="6"/>
              <w:ind w:left="522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197</w:t>
            </w:r>
          </w:p>
        </w:tc>
        <w:tc>
          <w:tcPr>
            <w:tcW w:w="859" w:type="dxa"/>
          </w:tcPr>
          <w:p>
            <w:pPr>
              <w:pStyle w:val="TableParagraph"/>
              <w:spacing w:line="188" w:lineRule="exact" w:before="6"/>
              <w:ind w:left="41" w:right="1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29,579</w:t>
            </w:r>
          </w:p>
        </w:tc>
        <w:tc>
          <w:tcPr>
            <w:tcW w:w="1571" w:type="dxa"/>
          </w:tcPr>
          <w:p>
            <w:pPr>
              <w:pStyle w:val="TableParagraph"/>
              <w:spacing w:line="188" w:lineRule="exact" w:before="6"/>
              <w:ind w:left="23" w:right="1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12,571</w:t>
            </w:r>
          </w:p>
        </w:tc>
        <w:tc>
          <w:tcPr>
            <w:tcW w:w="1280" w:type="dxa"/>
          </w:tcPr>
          <w:p>
            <w:pPr>
              <w:pStyle w:val="TableParagraph"/>
              <w:spacing w:line="188" w:lineRule="exact" w:before="6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253,859</w:t>
            </w:r>
          </w:p>
        </w:tc>
      </w:tr>
    </w:tbl>
    <w:tbl>
      <w:tblPr>
        <w:tblW w:w="0" w:type="auto"/>
        <w:jc w:val="left"/>
        <w:tblInd w:w="2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0"/>
        <w:gridCol w:w="1337"/>
        <w:gridCol w:w="1271"/>
        <w:gridCol w:w="1051"/>
        <w:gridCol w:w="1236"/>
        <w:gridCol w:w="1322"/>
        <w:gridCol w:w="1322"/>
      </w:tblGrid>
      <w:tr>
        <w:trPr>
          <w:trHeight w:val="206" w:hRule="atLeast"/>
        </w:trPr>
        <w:tc>
          <w:tcPr>
            <w:tcW w:w="1280" w:type="dxa"/>
            <w:tcBorders>
              <w:top w:val="single" w:sz="8" w:space="0" w:color="8EA9DB"/>
            </w:tcBorders>
            <w:shd w:val="clear" w:color="auto" w:fill="D9E0F1"/>
          </w:tcPr>
          <w:p>
            <w:pPr>
              <w:pStyle w:val="TableParagraph"/>
              <w:spacing w:line="187" w:lineRule="exact"/>
              <w:ind w:left="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4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general</w:t>
            </w:r>
          </w:p>
        </w:tc>
        <w:tc>
          <w:tcPr>
            <w:tcW w:w="1337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87" w:lineRule="exact"/>
              <w:ind w:left="3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105"/>
                <w:sz w:val="18"/>
              </w:rPr>
              <w:t>162,916</w:t>
            </w:r>
          </w:p>
        </w:tc>
        <w:tc>
          <w:tcPr>
            <w:tcW w:w="1271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87" w:lineRule="exact"/>
              <w:ind w:left="3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105"/>
                <w:sz w:val="18"/>
              </w:rPr>
              <w:t>861,140</w:t>
            </w:r>
          </w:p>
        </w:tc>
        <w:tc>
          <w:tcPr>
            <w:tcW w:w="1051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87" w:lineRule="exact"/>
              <w:ind w:left="3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105"/>
                <w:sz w:val="18"/>
              </w:rPr>
              <w:t>2,096</w:t>
            </w:r>
          </w:p>
        </w:tc>
        <w:tc>
          <w:tcPr>
            <w:tcW w:w="1236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87" w:lineRule="exact"/>
              <w:ind w:left="28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105"/>
                <w:sz w:val="18"/>
              </w:rPr>
              <w:t>162,298</w:t>
            </w:r>
          </w:p>
        </w:tc>
        <w:tc>
          <w:tcPr>
            <w:tcW w:w="1322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87" w:lineRule="exact"/>
              <w:ind w:left="30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105"/>
                <w:sz w:val="18"/>
              </w:rPr>
              <w:t>67,473</w:t>
            </w:r>
          </w:p>
        </w:tc>
        <w:tc>
          <w:tcPr>
            <w:tcW w:w="1322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87" w:lineRule="exact"/>
              <w:ind w:left="46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pacing w:val="-1"/>
                <w:w w:val="105"/>
                <w:sz w:val="18"/>
              </w:rPr>
              <w:t>1,255,923</w:t>
            </w:r>
          </w:p>
        </w:tc>
      </w:tr>
    </w:tbl>
    <w:p>
      <w:pPr>
        <w:spacing w:before="0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2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2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  <w:r>
        <w:rPr/>
        <w:pict>
          <v:rect style="position:absolute;margin-left:563.880005pt;margin-top:15.394812pt;width:25.44pt;height:1.4399pt;mso-position-horizontal-relative:page;mso-position-vertical-relative:paragraph;z-index:-1539891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168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44480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5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68"/>
        <w:jc w:val="both"/>
      </w:pPr>
      <w:r>
        <w:rPr>
          <w:spacing w:val="-1"/>
        </w:rPr>
        <w:t>Para</w:t>
      </w:r>
      <w:r>
        <w:rPr>
          <w:spacing w:val="-10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período</w:t>
      </w:r>
      <w:r>
        <w:rPr>
          <w:spacing w:val="-8"/>
        </w:rPr>
        <w:t> </w:t>
      </w:r>
      <w:r>
        <w:rPr>
          <w:spacing w:val="-1"/>
        </w:rPr>
        <w:t>analizado,</w:t>
      </w:r>
      <w:r>
        <w:rPr>
          <w:spacing w:val="-9"/>
        </w:rPr>
        <w:t> </w:t>
      </w:r>
      <w:r>
        <w:rPr>
          <w:spacing w:val="-1"/>
        </w:rPr>
        <w:t>el</w:t>
      </w:r>
      <w:r>
        <w:rPr>
          <w:spacing w:val="-10"/>
        </w:rPr>
        <w:t> </w:t>
      </w:r>
      <w:r>
        <w:rPr/>
        <w:t>total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estudiantes</w:t>
      </w:r>
      <w:r>
        <w:rPr>
          <w:spacing w:val="-9"/>
        </w:rPr>
        <w:t> </w:t>
      </w:r>
      <w:r>
        <w:rPr/>
        <w:t>atendidos</w:t>
      </w:r>
      <w:r>
        <w:rPr>
          <w:spacing w:val="-8"/>
        </w:rPr>
        <w:t> </w:t>
      </w:r>
      <w:r>
        <w:rPr/>
        <w:t>durante</w:t>
      </w:r>
      <w:r>
        <w:rPr>
          <w:spacing w:val="-11"/>
        </w:rPr>
        <w:t> </w:t>
      </w:r>
      <w:r>
        <w:rPr/>
        <w:t>este</w:t>
      </w:r>
      <w:r>
        <w:rPr>
          <w:spacing w:val="-11"/>
        </w:rPr>
        <w:t> </w:t>
      </w:r>
      <w:r>
        <w:rPr/>
        <w:t>período</w:t>
      </w:r>
      <w:r>
        <w:rPr>
          <w:spacing w:val="-8"/>
        </w:rPr>
        <w:t> </w:t>
      </w:r>
      <w:r>
        <w:rPr/>
        <w:t>fue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1,255,923.</w:t>
      </w:r>
      <w:r>
        <w:rPr>
          <w:spacing w:val="-8"/>
        </w:rPr>
        <w:t> </w:t>
      </w:r>
      <w:r>
        <w:rPr/>
        <w:t>El</w:t>
      </w:r>
      <w:r>
        <w:rPr>
          <w:spacing w:val="-12"/>
        </w:rPr>
        <w:t> </w:t>
      </w:r>
      <w:r>
        <w:rPr/>
        <w:t>2017</w:t>
      </w:r>
      <w:r>
        <w:rPr>
          <w:spacing w:val="-47"/>
        </w:rPr>
        <w:t> </w:t>
      </w:r>
      <w:r>
        <w:rPr/>
        <w:t>se</w:t>
      </w:r>
      <w:r>
        <w:rPr>
          <w:spacing w:val="-8"/>
        </w:rPr>
        <w:t> </w:t>
      </w:r>
      <w:r>
        <w:rPr/>
        <w:t>tuvo</w:t>
      </w:r>
      <w:r>
        <w:rPr>
          <w:spacing w:val="-7"/>
        </w:rPr>
        <w:t> </w:t>
      </w:r>
      <w:r>
        <w:rPr/>
        <w:t>una</w:t>
      </w:r>
      <w:r>
        <w:rPr>
          <w:spacing w:val="-8"/>
        </w:rPr>
        <w:t> </w:t>
      </w:r>
      <w:r>
        <w:rPr/>
        <w:t>población</w:t>
      </w:r>
      <w:r>
        <w:rPr>
          <w:spacing w:val="-8"/>
        </w:rPr>
        <w:t> </w:t>
      </w:r>
      <w:r>
        <w:rPr/>
        <w:t>estudiantil</w:t>
      </w:r>
      <w:r>
        <w:rPr>
          <w:spacing w:val="-8"/>
        </w:rPr>
        <w:t> </w:t>
      </w:r>
      <w:r>
        <w:rPr/>
        <w:t>total</w:t>
      </w:r>
      <w:r>
        <w:rPr>
          <w:spacing w:val="-8"/>
        </w:rPr>
        <w:t> </w:t>
      </w:r>
      <w:r>
        <w:rPr/>
        <w:t>de249,469.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/>
        <w:t>2018,</w:t>
      </w:r>
      <w:r>
        <w:rPr>
          <w:spacing w:val="-8"/>
        </w:rPr>
        <w:t> </w:t>
      </w:r>
      <w:r>
        <w:rPr/>
        <w:t>mostró</w:t>
      </w:r>
      <w:r>
        <w:rPr>
          <w:spacing w:val="-7"/>
        </w:rPr>
        <w:t> </w:t>
      </w:r>
      <w:r>
        <w:rPr/>
        <w:t>un</w:t>
      </w:r>
      <w:r>
        <w:rPr>
          <w:spacing w:val="-9"/>
        </w:rPr>
        <w:t> </w:t>
      </w:r>
      <w:r>
        <w:rPr/>
        <w:t>incremento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total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población</w:t>
      </w:r>
      <w:r>
        <w:rPr>
          <w:spacing w:val="-48"/>
        </w:rPr>
        <w:t> </w:t>
      </w:r>
      <w:r>
        <w:rPr/>
        <w:t>estudiantil reportando 256,521. En el 2019, registraron 249,353. El 2020, reportó una drástica caída con</w:t>
      </w:r>
      <w:r>
        <w:rPr>
          <w:spacing w:val="1"/>
        </w:rPr>
        <w:t> </w:t>
      </w:r>
      <w:r>
        <w:rPr/>
        <w:t>un</w:t>
      </w:r>
      <w:r>
        <w:rPr>
          <w:spacing w:val="-2"/>
        </w:rPr>
        <w:t> </w:t>
      </w:r>
      <w:r>
        <w:rPr/>
        <w:t>total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246721</w:t>
      </w:r>
      <w:r>
        <w:rPr>
          <w:spacing w:val="-3"/>
        </w:rPr>
        <w:t> </w:t>
      </w:r>
      <w:r>
        <w:rPr/>
        <w:t>alumnos. Mientras que</w:t>
      </w:r>
      <w:r>
        <w:rPr>
          <w:spacing w:val="-3"/>
        </w:rPr>
        <w:t> </w:t>
      </w:r>
      <w:r>
        <w:rPr/>
        <w:t>el 2021, registró una cifra de</w:t>
      </w:r>
      <w:r>
        <w:rPr>
          <w:spacing w:val="-4"/>
        </w:rPr>
        <w:t> </w:t>
      </w:r>
      <w:r>
        <w:rPr/>
        <w:t>253,859.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278" w:right="1072"/>
        <w:jc w:val="both"/>
      </w:pPr>
      <w:r>
        <w:rPr/>
        <w:t>Como se muestra, el nivel que presentó más crecimiento fue la Primaria representando el 68% de 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para este</w:t>
      </w:r>
      <w:r>
        <w:rPr>
          <w:spacing w:val="1"/>
        </w:rPr>
        <w:t> </w:t>
      </w:r>
      <w:r>
        <w:rPr/>
        <w:t>período.</w:t>
      </w:r>
      <w:r>
        <w:rPr>
          <w:spacing w:val="1"/>
        </w:rPr>
        <w:t> </w:t>
      </w:r>
      <w:r>
        <w:rPr/>
        <w:t>Seguido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preprimaria y</w:t>
      </w:r>
      <w:r>
        <w:rPr>
          <w:spacing w:val="1"/>
        </w:rPr>
        <w:t> </w:t>
      </w:r>
      <w:r>
        <w:rPr/>
        <w:t>básicos</w:t>
      </w:r>
      <w:r>
        <w:rPr>
          <w:spacing w:val="1"/>
        </w:rPr>
        <w:t> </w:t>
      </w:r>
      <w:r>
        <w:rPr/>
        <w:t>reportando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13% cada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respectivamente. Situando en el penúltimo sitio al diversificado con un 5%. Y finalizando, con la Primaria</w:t>
      </w:r>
      <w:r>
        <w:rPr>
          <w:spacing w:val="1"/>
        </w:rPr>
        <w:t> </w:t>
      </w:r>
      <w:r>
        <w:rPr/>
        <w:t>para Adultos. Cabe destacar que es uno de los departamentos con menor porcentaje de participación en</w:t>
      </w:r>
      <w:r>
        <w:rPr>
          <w:spacing w:val="1"/>
        </w:rPr>
        <w:t> </w:t>
      </w:r>
      <w:r>
        <w:rPr/>
        <w:t>el nivel diversificado. De acuerdo con INE, dentro de los principales motivos de deserción escolar se</w:t>
      </w:r>
      <w:r>
        <w:rPr>
          <w:spacing w:val="1"/>
        </w:rPr>
        <w:t> </w:t>
      </w:r>
      <w:r>
        <w:rPr/>
        <w:t>encuentra:</w:t>
      </w:r>
      <w:r>
        <w:rPr>
          <w:spacing w:val="-3"/>
        </w:rPr>
        <w:t> </w:t>
      </w:r>
      <w:r>
        <w:rPr/>
        <w:t>1.</w:t>
      </w:r>
      <w:r>
        <w:rPr>
          <w:spacing w:val="-3"/>
        </w:rPr>
        <w:t> </w:t>
      </w:r>
      <w:r>
        <w:rPr/>
        <w:t>La falta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dinero (29%).</w:t>
      </w:r>
      <w:r>
        <w:rPr>
          <w:spacing w:val="-3"/>
        </w:rPr>
        <w:t> </w:t>
      </w:r>
      <w:r>
        <w:rPr/>
        <w:t>2.</w:t>
      </w:r>
      <w:r>
        <w:rPr>
          <w:spacing w:val="-1"/>
        </w:rPr>
        <w:t> </w:t>
      </w:r>
      <w:r>
        <w:rPr/>
        <w:t>No</w:t>
      </w:r>
      <w:r>
        <w:rPr>
          <w:spacing w:val="-3"/>
        </w:rPr>
        <w:t> </w:t>
      </w:r>
      <w:r>
        <w:rPr/>
        <w:t>les</w:t>
      </w:r>
      <w:r>
        <w:rPr>
          <w:spacing w:val="1"/>
        </w:rPr>
        <w:t> </w:t>
      </w:r>
      <w:r>
        <w:rPr/>
        <w:t>interesa (17%).</w:t>
      </w:r>
      <w:r>
        <w:rPr>
          <w:spacing w:val="-4"/>
        </w:rPr>
        <w:t> </w:t>
      </w:r>
      <w:r>
        <w:rPr/>
        <w:t>3.</w:t>
      </w:r>
      <w:r>
        <w:rPr>
          <w:spacing w:val="-3"/>
        </w:rPr>
        <w:t> </w:t>
      </w:r>
      <w:r>
        <w:rPr/>
        <w:t>Tiene que</w:t>
      </w:r>
      <w:r>
        <w:rPr>
          <w:spacing w:val="-3"/>
        </w:rPr>
        <w:t> </w:t>
      </w:r>
      <w:r>
        <w:rPr/>
        <w:t>trabajar laboral</w:t>
      </w:r>
      <w:r>
        <w:rPr>
          <w:spacing w:val="-3"/>
        </w:rPr>
        <w:t> </w:t>
      </w:r>
      <w:r>
        <w:rPr/>
        <w:t>(10%).</w:t>
      </w:r>
    </w:p>
    <w:p>
      <w:pPr>
        <w:pStyle w:val="BodyText"/>
        <w:spacing w:before="10"/>
        <w:rPr>
          <w:sz w:val="19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1" w:after="0"/>
        <w:ind w:left="998" w:right="0" w:hanging="721"/>
        <w:jc w:val="left"/>
      </w:pPr>
      <w:bookmarkStart w:name="_bookmark207" w:id="347"/>
      <w:bookmarkEnd w:id="347"/>
      <w:r>
        <w:rPr>
          <w:b w:val="0"/>
        </w:rPr>
      </w:r>
      <w:bookmarkStart w:name="_bookmark207" w:id="348"/>
      <w:bookmarkEnd w:id="348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Cobertura:</w:t>
      </w:r>
      <w:r>
        <w:rPr>
          <w:spacing w:val="-4"/>
        </w:rPr>
        <w:t> </w:t>
      </w:r>
      <w:r>
        <w:rPr/>
        <w:t>Tasa</w:t>
      </w:r>
      <w:r>
        <w:rPr>
          <w:spacing w:val="-3"/>
        </w:rPr>
        <w:t> </w:t>
      </w:r>
      <w:r>
        <w:rPr/>
        <w:t>Neta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Cobertura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ind w:left="278" w:right="1072"/>
        <w:jc w:val="both"/>
      </w:pPr>
      <w:r>
        <w:rPr/>
        <w:t>La cobertura educativa medida a través del (TNE) para Quiché durante el período del 2017 al 2020,</w:t>
      </w:r>
      <w:r>
        <w:rPr>
          <w:spacing w:val="1"/>
        </w:rPr>
        <w:t> </w:t>
      </w:r>
      <w:r>
        <w:rPr/>
        <w:t>evidencia un aumento promedio considerable en la cobertura de nivel primaria (88%), en comparación</w:t>
      </w:r>
      <w:r>
        <w:rPr>
          <w:spacing w:val="1"/>
        </w:rPr>
        <w:t> </w:t>
      </w:r>
      <w:r>
        <w:rPr/>
        <w:t>con la TNE nacional promedio del período (2017-2019) que posee el 77.50%. Como sucede con los otros</w:t>
      </w:r>
      <w:r>
        <w:rPr>
          <w:spacing w:val="1"/>
        </w:rPr>
        <w:t> </w:t>
      </w:r>
      <w:r>
        <w:rPr/>
        <w:t>departamentos, presenta cantidades reducidas en la participación de los jóvenes en el ciclo básico y</w:t>
      </w:r>
      <w:r>
        <w:rPr>
          <w:spacing w:val="1"/>
        </w:rPr>
        <w:t> </w:t>
      </w:r>
      <w:r>
        <w:rPr/>
        <w:t>diversificado.</w:t>
      </w:r>
      <w:r>
        <w:rPr>
          <w:spacing w:val="-2"/>
        </w:rPr>
        <w:t> </w:t>
      </w:r>
      <w:r>
        <w:rPr/>
        <w:t>En la</w:t>
      </w:r>
      <w:r>
        <w:rPr>
          <w:spacing w:val="-3"/>
        </w:rPr>
        <w:t> </w:t>
      </w:r>
      <w:r>
        <w:rPr/>
        <w:t>siguiente tabla, se</w:t>
      </w:r>
      <w:r>
        <w:rPr>
          <w:spacing w:val="-2"/>
        </w:rPr>
        <w:t> </w:t>
      </w:r>
      <w:r>
        <w:rPr/>
        <w:t>observan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cifras del TNE</w:t>
      </w:r>
      <w:r>
        <w:rPr>
          <w:spacing w:val="-4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período</w:t>
      </w:r>
      <w:r>
        <w:rPr>
          <w:spacing w:val="-2"/>
        </w:rPr>
        <w:t> </w:t>
      </w:r>
      <w:r>
        <w:rPr/>
        <w:t>2017-2020.</w:t>
      </w:r>
    </w:p>
    <w:p>
      <w:pPr>
        <w:pStyle w:val="BodyText"/>
        <w:rPr>
          <w:sz w:val="20"/>
        </w:rPr>
      </w:pPr>
    </w:p>
    <w:p>
      <w:pPr>
        <w:pStyle w:val="BodyText"/>
        <w:ind w:left="278" w:right="1075"/>
        <w:jc w:val="both"/>
      </w:pPr>
      <w:r>
        <w:rPr/>
        <w:t>Tabla</w:t>
      </w:r>
      <w:r>
        <w:rPr>
          <w:spacing w:val="1"/>
        </w:rPr>
        <w:t> </w:t>
      </w:r>
      <w:r>
        <w:rPr/>
        <w:t>Nº.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Cobertura: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Bruta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Académico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47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de Quiché</w:t>
      </w:r>
    </w:p>
    <w:tbl>
      <w:tblPr>
        <w:tblW w:w="0" w:type="auto"/>
        <w:jc w:val="left"/>
        <w:tblInd w:w="2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7"/>
        <w:gridCol w:w="2707"/>
        <w:gridCol w:w="1344"/>
        <w:gridCol w:w="1107"/>
        <w:gridCol w:w="1105"/>
        <w:gridCol w:w="1456"/>
      </w:tblGrid>
      <w:tr>
        <w:trPr>
          <w:trHeight w:val="503" w:hRule="atLeast"/>
        </w:trPr>
        <w:tc>
          <w:tcPr>
            <w:tcW w:w="8826" w:type="dxa"/>
            <w:gridSpan w:val="6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before="96"/>
              <w:ind w:left="2935" w:right="2940"/>
              <w:jc w:val="center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w w:val="90"/>
                <w:sz w:val="26"/>
              </w:rPr>
              <w:t>Depa</w:t>
            </w:r>
            <w:r>
              <w:rPr>
                <w:rFonts w:ascii="Arial" w:hAnsi="Arial"/>
                <w:b/>
                <w:spacing w:val="-35"/>
                <w:w w:val="90"/>
                <w:sz w:val="26"/>
              </w:rPr>
              <w:t> </w:t>
            </w:r>
            <w:r>
              <w:rPr>
                <w:rFonts w:ascii="Arial" w:hAnsi="Arial"/>
                <w:b/>
                <w:w w:val="90"/>
                <w:sz w:val="26"/>
              </w:rPr>
              <w:t>rta</w:t>
            </w:r>
            <w:r>
              <w:rPr>
                <w:rFonts w:ascii="Arial" w:hAnsi="Arial"/>
                <w:b/>
                <w:spacing w:val="-35"/>
                <w:w w:val="90"/>
                <w:sz w:val="26"/>
              </w:rPr>
              <w:t> </w:t>
            </w:r>
            <w:r>
              <w:rPr>
                <w:rFonts w:ascii="Arial" w:hAnsi="Arial"/>
                <w:b/>
                <w:w w:val="90"/>
                <w:sz w:val="26"/>
              </w:rPr>
              <w:t>mento</w:t>
            </w:r>
            <w:r>
              <w:rPr>
                <w:rFonts w:ascii="Arial" w:hAnsi="Arial"/>
                <w:b/>
                <w:spacing w:val="27"/>
                <w:w w:val="90"/>
                <w:sz w:val="26"/>
              </w:rPr>
              <w:t> </w:t>
            </w:r>
            <w:r>
              <w:rPr>
                <w:rFonts w:ascii="Arial" w:hAnsi="Arial"/>
                <w:b/>
                <w:w w:val="90"/>
                <w:sz w:val="26"/>
              </w:rPr>
              <w:t>de</w:t>
            </w:r>
            <w:r>
              <w:rPr>
                <w:rFonts w:ascii="Arial" w:hAnsi="Arial"/>
                <w:b/>
                <w:spacing w:val="43"/>
                <w:w w:val="90"/>
                <w:sz w:val="26"/>
              </w:rPr>
              <w:t> </w:t>
            </w:r>
            <w:r>
              <w:rPr>
                <w:rFonts w:ascii="Arial" w:hAnsi="Arial"/>
                <w:b/>
                <w:w w:val="90"/>
                <w:sz w:val="26"/>
              </w:rPr>
              <w:t>Quiché</w:t>
            </w:r>
          </w:p>
        </w:tc>
      </w:tr>
      <w:tr>
        <w:trPr>
          <w:trHeight w:val="503" w:hRule="atLeast"/>
        </w:trPr>
        <w:tc>
          <w:tcPr>
            <w:tcW w:w="1107" w:type="dxa"/>
            <w:shd w:val="clear" w:color="auto" w:fill="F1F1F1"/>
          </w:tcPr>
          <w:p>
            <w:pPr>
              <w:pStyle w:val="TableParagraph"/>
              <w:spacing w:before="120"/>
              <w:ind w:left="33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Años</w:t>
            </w:r>
          </w:p>
        </w:tc>
        <w:tc>
          <w:tcPr>
            <w:tcW w:w="2707" w:type="dxa"/>
            <w:shd w:val="clear" w:color="auto" w:fill="F1F1F1"/>
          </w:tcPr>
          <w:p>
            <w:pPr>
              <w:pStyle w:val="TableParagraph"/>
              <w:spacing w:before="134"/>
              <w:ind w:left="176" w:right="20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Índicadores</w:t>
            </w:r>
            <w:r>
              <w:rPr>
                <w:rFonts w:ascii="Arial" w:hAnsi="Arial"/>
                <w:b/>
                <w:spacing w:val="5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7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Cobertura</w:t>
            </w:r>
          </w:p>
        </w:tc>
        <w:tc>
          <w:tcPr>
            <w:tcW w:w="1344" w:type="dxa"/>
            <w:shd w:val="clear" w:color="auto" w:fill="F1F1F1"/>
          </w:tcPr>
          <w:p>
            <w:pPr>
              <w:pStyle w:val="TableParagraph"/>
              <w:spacing w:before="134"/>
              <w:ind w:left="162" w:right="10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90"/>
                <w:sz w:val="20"/>
              </w:rPr>
              <w:t>Preprima</w:t>
            </w:r>
            <w:r>
              <w:rPr>
                <w:rFonts w:ascii="Arial"/>
                <w:b/>
                <w:spacing w:val="-3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ria</w:t>
            </w:r>
          </w:p>
        </w:tc>
        <w:tc>
          <w:tcPr>
            <w:tcW w:w="1107" w:type="dxa"/>
            <w:shd w:val="clear" w:color="auto" w:fill="F1F1F1"/>
          </w:tcPr>
          <w:p>
            <w:pPr>
              <w:pStyle w:val="TableParagraph"/>
              <w:spacing w:before="134"/>
              <w:ind w:left="1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w w:val="90"/>
                <w:sz w:val="20"/>
              </w:rPr>
              <w:t>Prima</w:t>
            </w:r>
            <w:r>
              <w:rPr>
                <w:rFonts w:ascii="Arial"/>
                <w:b/>
                <w:spacing w:val="-31"/>
                <w:w w:val="90"/>
                <w:sz w:val="20"/>
              </w:rPr>
              <w:t> </w:t>
            </w:r>
            <w:r>
              <w:rPr>
                <w:rFonts w:ascii="Arial"/>
                <w:b/>
                <w:spacing w:val="-3"/>
                <w:w w:val="90"/>
                <w:sz w:val="20"/>
              </w:rPr>
              <w:t>ria</w:t>
            </w:r>
          </w:p>
        </w:tc>
        <w:tc>
          <w:tcPr>
            <w:tcW w:w="1105" w:type="dxa"/>
            <w:shd w:val="clear" w:color="auto" w:fill="F1F1F1"/>
          </w:tcPr>
          <w:p>
            <w:pPr>
              <w:pStyle w:val="TableParagraph"/>
              <w:spacing w:before="134"/>
              <w:ind w:left="24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4"/>
                <w:w w:val="90"/>
                <w:sz w:val="20"/>
              </w:rPr>
              <w:t>Bá</w:t>
            </w:r>
            <w:r>
              <w:rPr>
                <w:rFonts w:ascii="Arial" w:hAnsi="Arial"/>
                <w:b/>
                <w:spacing w:val="-32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spacing w:val="-3"/>
                <w:w w:val="90"/>
                <w:sz w:val="20"/>
              </w:rPr>
              <w:t>sico</w:t>
            </w:r>
          </w:p>
        </w:tc>
        <w:tc>
          <w:tcPr>
            <w:tcW w:w="1456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before="134"/>
              <w:ind w:left="133" w:right="1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Diversifica</w:t>
            </w:r>
            <w:r>
              <w:rPr>
                <w:rFonts w:ascii="Arial"/>
                <w:b/>
                <w:spacing w:val="-29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do</w:t>
            </w:r>
          </w:p>
        </w:tc>
      </w:tr>
      <w:tr>
        <w:trPr>
          <w:trHeight w:val="504" w:hRule="atLeast"/>
        </w:trPr>
        <w:tc>
          <w:tcPr>
            <w:tcW w:w="1107" w:type="dxa"/>
            <w:vMerge w:val="restart"/>
            <w:shd w:val="clear" w:color="auto" w:fill="F1F1F1"/>
          </w:tcPr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left="348"/>
              <w:rPr>
                <w:rFonts w:ascii="Verdana"/>
                <w:sz w:val="20"/>
              </w:rPr>
            </w:pPr>
            <w:r>
              <w:rPr>
                <w:rFonts w:ascii="Verdana"/>
                <w:w w:val="90"/>
                <w:sz w:val="20"/>
              </w:rPr>
              <w:t>2017</w:t>
            </w:r>
          </w:p>
        </w:tc>
        <w:tc>
          <w:tcPr>
            <w:tcW w:w="2707" w:type="dxa"/>
          </w:tcPr>
          <w:p>
            <w:pPr>
              <w:pStyle w:val="TableParagraph"/>
              <w:spacing w:before="144"/>
              <w:ind w:left="176" w:right="17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D7CB3"/>
                <w:spacing w:val="-4"/>
                <w:w w:val="90"/>
                <w:sz w:val="17"/>
              </w:rPr>
              <w:t>Ta</w:t>
            </w:r>
            <w:r>
              <w:rPr>
                <w:rFonts w:ascii="Arial"/>
                <w:b/>
                <w:color w:val="1D7CB3"/>
                <w:spacing w:val="-28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90"/>
                <w:sz w:val="17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90"/>
                <w:sz w:val="17"/>
              </w:rPr>
              <w:t>Bruta</w:t>
            </w:r>
            <w:r>
              <w:rPr>
                <w:rFonts w:ascii="Arial"/>
                <w:b/>
                <w:color w:val="1D7CB3"/>
                <w:spacing w:val="16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90"/>
                <w:sz w:val="17"/>
              </w:rPr>
              <w:t>de</w:t>
            </w:r>
            <w:r>
              <w:rPr>
                <w:rFonts w:ascii="Arial"/>
                <w:b/>
                <w:color w:val="1D7CB3"/>
                <w:spacing w:val="12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90"/>
                <w:sz w:val="17"/>
              </w:rPr>
              <w:t>Cobertura</w:t>
            </w:r>
          </w:p>
        </w:tc>
        <w:tc>
          <w:tcPr>
            <w:tcW w:w="1344" w:type="dxa"/>
          </w:tcPr>
          <w:p>
            <w:pPr>
              <w:pStyle w:val="TableParagraph"/>
              <w:spacing w:before="125"/>
              <w:ind w:left="138" w:right="10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color w:val="333333"/>
                <w:sz w:val="17"/>
              </w:rPr>
              <w:t>57,46%</w:t>
            </w:r>
          </w:p>
        </w:tc>
        <w:tc>
          <w:tcPr>
            <w:tcW w:w="1107" w:type="dxa"/>
          </w:tcPr>
          <w:p>
            <w:pPr>
              <w:pStyle w:val="TableParagraph"/>
              <w:spacing w:before="125"/>
              <w:ind w:left="246"/>
              <w:rPr>
                <w:rFonts w:ascii="Arial MT"/>
                <w:sz w:val="17"/>
              </w:rPr>
            </w:pPr>
            <w:r>
              <w:rPr>
                <w:rFonts w:ascii="Arial MT"/>
                <w:color w:val="333333"/>
                <w:sz w:val="17"/>
              </w:rPr>
              <w:t>108,23%</w:t>
            </w:r>
          </w:p>
        </w:tc>
        <w:tc>
          <w:tcPr>
            <w:tcW w:w="1105" w:type="dxa"/>
          </w:tcPr>
          <w:p>
            <w:pPr>
              <w:pStyle w:val="TableParagraph"/>
              <w:spacing w:before="125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color w:val="333333"/>
                <w:sz w:val="17"/>
              </w:rPr>
              <w:t>45,48%</w:t>
            </w:r>
          </w:p>
        </w:tc>
        <w:tc>
          <w:tcPr>
            <w:tcW w:w="1456" w:type="dxa"/>
            <w:tcBorders>
              <w:right w:val="nil"/>
            </w:tcBorders>
          </w:tcPr>
          <w:p>
            <w:pPr>
              <w:pStyle w:val="TableParagraph"/>
              <w:spacing w:before="125"/>
              <w:ind w:left="133" w:right="1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color w:val="333333"/>
                <w:sz w:val="17"/>
              </w:rPr>
              <w:t>19,19%</w:t>
            </w:r>
          </w:p>
        </w:tc>
      </w:tr>
      <w:tr>
        <w:trPr>
          <w:trHeight w:val="503" w:hRule="atLeast"/>
        </w:trPr>
        <w:tc>
          <w:tcPr>
            <w:tcW w:w="1107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  <w:shd w:val="clear" w:color="auto" w:fill="DAEDF3"/>
          </w:tcPr>
          <w:p>
            <w:pPr>
              <w:pStyle w:val="TableParagraph"/>
              <w:spacing w:before="144"/>
              <w:ind w:left="176" w:right="19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D7CB3"/>
                <w:spacing w:val="-1"/>
                <w:w w:val="90"/>
                <w:sz w:val="17"/>
              </w:rPr>
              <w:t>Ta</w:t>
            </w:r>
            <w:r>
              <w:rPr>
                <w:rFonts w:ascii="Arial"/>
                <w:b/>
                <w:color w:val="1D7CB3"/>
                <w:spacing w:val="-28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90"/>
                <w:sz w:val="17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90"/>
                <w:sz w:val="17"/>
              </w:rPr>
              <w:t>Neta</w:t>
            </w:r>
            <w:r>
              <w:rPr>
                <w:rFonts w:ascii="Arial"/>
                <w:b/>
                <w:color w:val="1D7CB3"/>
                <w:spacing w:val="16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90"/>
                <w:sz w:val="17"/>
              </w:rPr>
              <w:t>de</w:t>
            </w:r>
            <w:r>
              <w:rPr>
                <w:rFonts w:ascii="Arial"/>
                <w:b/>
                <w:color w:val="1D7CB3"/>
                <w:spacing w:val="12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90"/>
                <w:sz w:val="17"/>
              </w:rPr>
              <w:t>Cobertura</w:t>
            </w:r>
          </w:p>
        </w:tc>
        <w:tc>
          <w:tcPr>
            <w:tcW w:w="1344" w:type="dxa"/>
            <w:shd w:val="clear" w:color="auto" w:fill="DAEDF3"/>
          </w:tcPr>
          <w:p>
            <w:pPr>
              <w:pStyle w:val="TableParagraph"/>
              <w:spacing w:before="124"/>
              <w:ind w:left="138" w:right="10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color w:val="333333"/>
                <w:sz w:val="17"/>
              </w:rPr>
              <w:t>45,53%</w:t>
            </w:r>
          </w:p>
        </w:tc>
        <w:tc>
          <w:tcPr>
            <w:tcW w:w="1107" w:type="dxa"/>
            <w:shd w:val="clear" w:color="auto" w:fill="DAEDF3"/>
          </w:tcPr>
          <w:p>
            <w:pPr>
              <w:pStyle w:val="TableParagraph"/>
              <w:spacing w:before="124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color w:val="333333"/>
                <w:sz w:val="17"/>
              </w:rPr>
              <w:t>89,58%</w:t>
            </w:r>
          </w:p>
        </w:tc>
        <w:tc>
          <w:tcPr>
            <w:tcW w:w="1105" w:type="dxa"/>
            <w:shd w:val="clear" w:color="auto" w:fill="DAEDF3"/>
          </w:tcPr>
          <w:p>
            <w:pPr>
              <w:pStyle w:val="TableParagraph"/>
              <w:spacing w:before="124"/>
              <w:ind w:left="29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333333"/>
                <w:sz w:val="17"/>
              </w:rPr>
              <w:t>28,77%</w:t>
            </w:r>
          </w:p>
        </w:tc>
        <w:tc>
          <w:tcPr>
            <w:tcW w:w="1456" w:type="dxa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spacing w:before="134"/>
              <w:ind w:left="133" w:right="9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12,30%</w:t>
            </w:r>
          </w:p>
        </w:tc>
      </w:tr>
      <w:tr>
        <w:trPr>
          <w:trHeight w:val="503" w:hRule="atLeast"/>
        </w:trPr>
        <w:tc>
          <w:tcPr>
            <w:tcW w:w="1107" w:type="dxa"/>
            <w:vMerge w:val="restart"/>
            <w:shd w:val="clear" w:color="auto" w:fill="F1F1F1"/>
          </w:tcPr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left="348"/>
              <w:rPr>
                <w:rFonts w:ascii="Verdana"/>
                <w:sz w:val="20"/>
              </w:rPr>
            </w:pPr>
            <w:r>
              <w:rPr>
                <w:rFonts w:ascii="Verdana"/>
                <w:w w:val="90"/>
                <w:sz w:val="20"/>
              </w:rPr>
              <w:t>2018</w:t>
            </w:r>
          </w:p>
        </w:tc>
        <w:tc>
          <w:tcPr>
            <w:tcW w:w="2707" w:type="dxa"/>
          </w:tcPr>
          <w:p>
            <w:pPr>
              <w:pStyle w:val="TableParagraph"/>
              <w:spacing w:before="144"/>
              <w:ind w:left="176" w:right="17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D7CB3"/>
                <w:spacing w:val="-4"/>
                <w:w w:val="90"/>
                <w:sz w:val="17"/>
              </w:rPr>
              <w:t>Ta</w:t>
            </w:r>
            <w:r>
              <w:rPr>
                <w:rFonts w:ascii="Arial"/>
                <w:b/>
                <w:color w:val="1D7CB3"/>
                <w:spacing w:val="-28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90"/>
                <w:sz w:val="17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90"/>
                <w:sz w:val="17"/>
              </w:rPr>
              <w:t>Bruta</w:t>
            </w:r>
            <w:r>
              <w:rPr>
                <w:rFonts w:ascii="Arial"/>
                <w:b/>
                <w:color w:val="1D7CB3"/>
                <w:spacing w:val="16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90"/>
                <w:sz w:val="17"/>
              </w:rPr>
              <w:t>de</w:t>
            </w:r>
            <w:r>
              <w:rPr>
                <w:rFonts w:ascii="Arial"/>
                <w:b/>
                <w:color w:val="1D7CB3"/>
                <w:spacing w:val="12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90"/>
                <w:sz w:val="17"/>
              </w:rPr>
              <w:t>Cobertura</w:t>
            </w:r>
          </w:p>
        </w:tc>
        <w:tc>
          <w:tcPr>
            <w:tcW w:w="1344" w:type="dxa"/>
          </w:tcPr>
          <w:p>
            <w:pPr>
              <w:pStyle w:val="TableParagraph"/>
              <w:spacing w:before="126"/>
              <w:ind w:left="138" w:right="10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color w:val="333333"/>
                <w:sz w:val="17"/>
              </w:rPr>
              <w:t>59,69%</w:t>
            </w:r>
          </w:p>
        </w:tc>
        <w:tc>
          <w:tcPr>
            <w:tcW w:w="1107" w:type="dxa"/>
          </w:tcPr>
          <w:p>
            <w:pPr>
              <w:pStyle w:val="TableParagraph"/>
              <w:spacing w:before="126"/>
              <w:ind w:left="246"/>
              <w:rPr>
                <w:rFonts w:ascii="Arial MT"/>
                <w:sz w:val="17"/>
              </w:rPr>
            </w:pPr>
            <w:r>
              <w:rPr>
                <w:rFonts w:ascii="Arial MT"/>
                <w:color w:val="333333"/>
                <w:sz w:val="17"/>
              </w:rPr>
              <w:t>110,42%</w:t>
            </w:r>
          </w:p>
        </w:tc>
        <w:tc>
          <w:tcPr>
            <w:tcW w:w="1105" w:type="dxa"/>
          </w:tcPr>
          <w:p>
            <w:pPr>
              <w:pStyle w:val="TableParagraph"/>
              <w:spacing w:before="126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color w:val="333333"/>
                <w:sz w:val="17"/>
              </w:rPr>
              <w:t>46,11%</w:t>
            </w:r>
          </w:p>
        </w:tc>
        <w:tc>
          <w:tcPr>
            <w:tcW w:w="1456" w:type="dxa"/>
            <w:tcBorders>
              <w:right w:val="nil"/>
            </w:tcBorders>
          </w:tcPr>
          <w:p>
            <w:pPr>
              <w:pStyle w:val="TableParagraph"/>
              <w:spacing w:before="126"/>
              <w:ind w:left="133" w:right="1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color w:val="333333"/>
                <w:sz w:val="17"/>
              </w:rPr>
              <w:t>18,99%</w:t>
            </w:r>
          </w:p>
        </w:tc>
      </w:tr>
      <w:tr>
        <w:trPr>
          <w:trHeight w:val="504" w:hRule="atLeast"/>
        </w:trPr>
        <w:tc>
          <w:tcPr>
            <w:tcW w:w="1107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  <w:shd w:val="clear" w:color="auto" w:fill="DAEDF3"/>
          </w:tcPr>
          <w:p>
            <w:pPr>
              <w:pStyle w:val="TableParagraph"/>
              <w:spacing w:before="144"/>
              <w:ind w:left="176" w:right="19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D7CB3"/>
                <w:spacing w:val="-1"/>
                <w:w w:val="90"/>
                <w:sz w:val="17"/>
              </w:rPr>
              <w:t>Ta</w:t>
            </w:r>
            <w:r>
              <w:rPr>
                <w:rFonts w:ascii="Arial"/>
                <w:b/>
                <w:color w:val="1D7CB3"/>
                <w:spacing w:val="-28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90"/>
                <w:sz w:val="17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90"/>
                <w:sz w:val="17"/>
              </w:rPr>
              <w:t>Neta</w:t>
            </w:r>
            <w:r>
              <w:rPr>
                <w:rFonts w:ascii="Arial"/>
                <w:b/>
                <w:color w:val="1D7CB3"/>
                <w:spacing w:val="16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90"/>
                <w:sz w:val="17"/>
              </w:rPr>
              <w:t>de</w:t>
            </w:r>
            <w:r>
              <w:rPr>
                <w:rFonts w:ascii="Arial"/>
                <w:b/>
                <w:color w:val="1D7CB3"/>
                <w:spacing w:val="12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90"/>
                <w:sz w:val="17"/>
              </w:rPr>
              <w:t>Cobertura</w:t>
            </w:r>
          </w:p>
        </w:tc>
        <w:tc>
          <w:tcPr>
            <w:tcW w:w="1344" w:type="dxa"/>
            <w:shd w:val="clear" w:color="auto" w:fill="DAEDF3"/>
          </w:tcPr>
          <w:p>
            <w:pPr>
              <w:pStyle w:val="TableParagraph"/>
              <w:spacing w:before="134"/>
              <w:ind w:left="125" w:right="10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47,29%</w:t>
            </w:r>
          </w:p>
        </w:tc>
        <w:tc>
          <w:tcPr>
            <w:tcW w:w="1107" w:type="dxa"/>
            <w:shd w:val="clear" w:color="auto" w:fill="DAEDF3"/>
          </w:tcPr>
          <w:p>
            <w:pPr>
              <w:pStyle w:val="TableParagraph"/>
              <w:spacing w:before="126"/>
              <w:ind w:left="29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333333"/>
                <w:sz w:val="17"/>
              </w:rPr>
              <w:t>90,43%</w:t>
            </w:r>
          </w:p>
        </w:tc>
        <w:tc>
          <w:tcPr>
            <w:tcW w:w="1105" w:type="dxa"/>
            <w:shd w:val="clear" w:color="auto" w:fill="DAEDF3"/>
          </w:tcPr>
          <w:p>
            <w:pPr>
              <w:pStyle w:val="TableParagraph"/>
              <w:spacing w:before="126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color w:val="333333"/>
                <w:sz w:val="17"/>
              </w:rPr>
              <w:t>29,34%</w:t>
            </w:r>
          </w:p>
        </w:tc>
        <w:tc>
          <w:tcPr>
            <w:tcW w:w="1456" w:type="dxa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spacing w:before="126"/>
              <w:ind w:left="133" w:right="1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color w:val="333333"/>
                <w:sz w:val="17"/>
              </w:rPr>
              <w:t>12,36%</w:t>
            </w:r>
          </w:p>
        </w:tc>
      </w:tr>
      <w:tr>
        <w:trPr>
          <w:trHeight w:val="503" w:hRule="atLeast"/>
        </w:trPr>
        <w:tc>
          <w:tcPr>
            <w:tcW w:w="1107" w:type="dxa"/>
            <w:vMerge w:val="restart"/>
            <w:shd w:val="clear" w:color="auto" w:fill="F1F1F1"/>
          </w:tcPr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left="348"/>
              <w:rPr>
                <w:rFonts w:ascii="Verdana"/>
                <w:sz w:val="20"/>
              </w:rPr>
            </w:pPr>
            <w:r>
              <w:rPr>
                <w:rFonts w:ascii="Verdana"/>
                <w:w w:val="90"/>
                <w:sz w:val="20"/>
              </w:rPr>
              <w:t>2019</w:t>
            </w:r>
          </w:p>
        </w:tc>
        <w:tc>
          <w:tcPr>
            <w:tcW w:w="2707" w:type="dxa"/>
          </w:tcPr>
          <w:p>
            <w:pPr>
              <w:pStyle w:val="TableParagraph"/>
              <w:spacing w:before="144"/>
              <w:ind w:left="176" w:right="17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D7CB3"/>
                <w:spacing w:val="-4"/>
                <w:w w:val="90"/>
                <w:sz w:val="17"/>
              </w:rPr>
              <w:t>Ta</w:t>
            </w:r>
            <w:r>
              <w:rPr>
                <w:rFonts w:ascii="Arial"/>
                <w:b/>
                <w:color w:val="1D7CB3"/>
                <w:spacing w:val="-28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90"/>
                <w:sz w:val="17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90"/>
                <w:sz w:val="17"/>
              </w:rPr>
              <w:t>Bruta</w:t>
            </w:r>
            <w:r>
              <w:rPr>
                <w:rFonts w:ascii="Arial"/>
                <w:b/>
                <w:color w:val="1D7CB3"/>
                <w:spacing w:val="16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90"/>
                <w:sz w:val="17"/>
              </w:rPr>
              <w:t>de</w:t>
            </w:r>
            <w:r>
              <w:rPr>
                <w:rFonts w:ascii="Arial"/>
                <w:b/>
                <w:color w:val="1D7CB3"/>
                <w:spacing w:val="12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90"/>
                <w:sz w:val="17"/>
              </w:rPr>
              <w:t>Cobertura</w:t>
            </w:r>
          </w:p>
        </w:tc>
        <w:tc>
          <w:tcPr>
            <w:tcW w:w="1344" w:type="dxa"/>
          </w:tcPr>
          <w:p>
            <w:pPr>
              <w:pStyle w:val="TableParagraph"/>
              <w:spacing w:before="124"/>
              <w:ind w:left="138" w:right="10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color w:val="333333"/>
                <w:sz w:val="17"/>
              </w:rPr>
              <w:t>56,36%</w:t>
            </w:r>
          </w:p>
        </w:tc>
        <w:tc>
          <w:tcPr>
            <w:tcW w:w="1107" w:type="dxa"/>
          </w:tcPr>
          <w:p>
            <w:pPr>
              <w:pStyle w:val="TableParagraph"/>
              <w:spacing w:before="124"/>
              <w:ind w:left="246"/>
              <w:rPr>
                <w:rFonts w:ascii="Arial MT"/>
                <w:sz w:val="17"/>
              </w:rPr>
            </w:pPr>
            <w:r>
              <w:rPr>
                <w:rFonts w:ascii="Arial MT"/>
                <w:color w:val="333333"/>
                <w:sz w:val="17"/>
              </w:rPr>
              <w:t>106,80%</w:t>
            </w:r>
          </w:p>
        </w:tc>
        <w:tc>
          <w:tcPr>
            <w:tcW w:w="1105" w:type="dxa"/>
          </w:tcPr>
          <w:p>
            <w:pPr>
              <w:pStyle w:val="TableParagraph"/>
              <w:spacing w:before="124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color w:val="333333"/>
                <w:sz w:val="17"/>
              </w:rPr>
              <w:t>44,00%</w:t>
            </w:r>
          </w:p>
        </w:tc>
        <w:tc>
          <w:tcPr>
            <w:tcW w:w="1456" w:type="dxa"/>
            <w:tcBorders>
              <w:right w:val="nil"/>
            </w:tcBorders>
          </w:tcPr>
          <w:p>
            <w:pPr>
              <w:pStyle w:val="TableParagraph"/>
              <w:spacing w:before="124"/>
              <w:ind w:left="133" w:right="1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color w:val="333333"/>
                <w:sz w:val="17"/>
              </w:rPr>
              <w:t>18,79%</w:t>
            </w:r>
          </w:p>
        </w:tc>
      </w:tr>
      <w:tr>
        <w:trPr>
          <w:trHeight w:val="503" w:hRule="atLeast"/>
        </w:trPr>
        <w:tc>
          <w:tcPr>
            <w:tcW w:w="1107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  <w:shd w:val="clear" w:color="auto" w:fill="DAEDF3"/>
          </w:tcPr>
          <w:p>
            <w:pPr>
              <w:pStyle w:val="TableParagraph"/>
              <w:spacing w:before="144"/>
              <w:ind w:left="176" w:right="19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D7CB3"/>
                <w:spacing w:val="-1"/>
                <w:w w:val="90"/>
                <w:sz w:val="17"/>
              </w:rPr>
              <w:t>Ta</w:t>
            </w:r>
            <w:r>
              <w:rPr>
                <w:rFonts w:ascii="Arial"/>
                <w:b/>
                <w:color w:val="1D7CB3"/>
                <w:spacing w:val="-28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90"/>
                <w:sz w:val="17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90"/>
                <w:sz w:val="17"/>
              </w:rPr>
              <w:t>Neta</w:t>
            </w:r>
            <w:r>
              <w:rPr>
                <w:rFonts w:ascii="Arial"/>
                <w:b/>
                <w:color w:val="1D7CB3"/>
                <w:spacing w:val="16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90"/>
                <w:sz w:val="17"/>
              </w:rPr>
              <w:t>de</w:t>
            </w:r>
            <w:r>
              <w:rPr>
                <w:rFonts w:ascii="Arial"/>
                <w:b/>
                <w:color w:val="1D7CB3"/>
                <w:spacing w:val="12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90"/>
                <w:sz w:val="17"/>
              </w:rPr>
              <w:t>Cobertura</w:t>
            </w:r>
          </w:p>
        </w:tc>
        <w:tc>
          <w:tcPr>
            <w:tcW w:w="1344" w:type="dxa"/>
            <w:shd w:val="clear" w:color="auto" w:fill="DAEDF3"/>
          </w:tcPr>
          <w:p>
            <w:pPr>
              <w:pStyle w:val="TableParagraph"/>
              <w:spacing w:before="126"/>
              <w:ind w:left="138" w:right="10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color w:val="333333"/>
                <w:sz w:val="17"/>
              </w:rPr>
              <w:t>44,87%</w:t>
            </w:r>
          </w:p>
        </w:tc>
        <w:tc>
          <w:tcPr>
            <w:tcW w:w="1107" w:type="dxa"/>
            <w:shd w:val="clear" w:color="auto" w:fill="DAEDF3"/>
          </w:tcPr>
          <w:p>
            <w:pPr>
              <w:pStyle w:val="TableParagraph"/>
              <w:spacing w:before="126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color w:val="333333"/>
                <w:sz w:val="17"/>
              </w:rPr>
              <w:t>88,94%</w:t>
            </w:r>
          </w:p>
        </w:tc>
        <w:tc>
          <w:tcPr>
            <w:tcW w:w="1105" w:type="dxa"/>
            <w:shd w:val="clear" w:color="auto" w:fill="DAEDF3"/>
          </w:tcPr>
          <w:p>
            <w:pPr>
              <w:pStyle w:val="TableParagraph"/>
              <w:spacing w:before="126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color w:val="333333"/>
                <w:sz w:val="17"/>
              </w:rPr>
              <w:t>29,04%</w:t>
            </w:r>
          </w:p>
        </w:tc>
        <w:tc>
          <w:tcPr>
            <w:tcW w:w="1456" w:type="dxa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spacing w:before="126"/>
              <w:ind w:left="133" w:right="1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color w:val="333333"/>
                <w:sz w:val="17"/>
              </w:rPr>
              <w:t>12,03%</w:t>
            </w:r>
          </w:p>
        </w:tc>
      </w:tr>
      <w:tr>
        <w:trPr>
          <w:trHeight w:val="504" w:hRule="atLeast"/>
        </w:trPr>
        <w:tc>
          <w:tcPr>
            <w:tcW w:w="1107" w:type="dxa"/>
            <w:vMerge w:val="restart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left="348"/>
              <w:rPr>
                <w:rFonts w:ascii="Verdana"/>
                <w:sz w:val="20"/>
              </w:rPr>
            </w:pPr>
            <w:r>
              <w:rPr>
                <w:rFonts w:ascii="Verdana"/>
                <w:w w:val="90"/>
                <w:sz w:val="20"/>
              </w:rPr>
              <w:t>2020</w:t>
            </w:r>
          </w:p>
        </w:tc>
        <w:tc>
          <w:tcPr>
            <w:tcW w:w="2707" w:type="dxa"/>
          </w:tcPr>
          <w:p>
            <w:pPr>
              <w:pStyle w:val="TableParagraph"/>
              <w:spacing w:before="144"/>
              <w:ind w:left="176" w:right="17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D7CB3"/>
                <w:spacing w:val="-4"/>
                <w:w w:val="90"/>
                <w:sz w:val="17"/>
              </w:rPr>
              <w:t>Ta</w:t>
            </w:r>
            <w:r>
              <w:rPr>
                <w:rFonts w:ascii="Arial"/>
                <w:b/>
                <w:color w:val="1D7CB3"/>
                <w:spacing w:val="-28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90"/>
                <w:sz w:val="17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90"/>
                <w:sz w:val="17"/>
              </w:rPr>
              <w:t>Bruta</w:t>
            </w:r>
            <w:r>
              <w:rPr>
                <w:rFonts w:ascii="Arial"/>
                <w:b/>
                <w:color w:val="1D7CB3"/>
                <w:spacing w:val="16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90"/>
                <w:sz w:val="17"/>
              </w:rPr>
              <w:t>de</w:t>
            </w:r>
            <w:r>
              <w:rPr>
                <w:rFonts w:ascii="Arial"/>
                <w:b/>
                <w:color w:val="1D7CB3"/>
                <w:spacing w:val="12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90"/>
                <w:sz w:val="17"/>
              </w:rPr>
              <w:t>Cobertura</w:t>
            </w:r>
          </w:p>
        </w:tc>
        <w:tc>
          <w:tcPr>
            <w:tcW w:w="1344" w:type="dxa"/>
          </w:tcPr>
          <w:p>
            <w:pPr>
              <w:pStyle w:val="TableParagraph"/>
              <w:spacing w:before="126"/>
              <w:ind w:left="138" w:right="10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color w:val="333333"/>
                <w:sz w:val="17"/>
              </w:rPr>
              <w:t>54,42%</w:t>
            </w:r>
          </w:p>
        </w:tc>
        <w:tc>
          <w:tcPr>
            <w:tcW w:w="1107" w:type="dxa"/>
          </w:tcPr>
          <w:p>
            <w:pPr>
              <w:pStyle w:val="TableParagraph"/>
              <w:spacing w:before="126"/>
              <w:ind w:left="246"/>
              <w:rPr>
                <w:rFonts w:ascii="Arial MT"/>
                <w:sz w:val="17"/>
              </w:rPr>
            </w:pPr>
            <w:r>
              <w:rPr>
                <w:rFonts w:ascii="Arial MT"/>
                <w:color w:val="333333"/>
                <w:sz w:val="17"/>
              </w:rPr>
              <w:t>105,18%</w:t>
            </w:r>
          </w:p>
        </w:tc>
        <w:tc>
          <w:tcPr>
            <w:tcW w:w="1105" w:type="dxa"/>
          </w:tcPr>
          <w:p>
            <w:pPr>
              <w:pStyle w:val="TableParagraph"/>
              <w:spacing w:before="126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color w:val="333333"/>
                <w:sz w:val="17"/>
              </w:rPr>
              <w:t>42,60%</w:t>
            </w:r>
          </w:p>
        </w:tc>
        <w:tc>
          <w:tcPr>
            <w:tcW w:w="1456" w:type="dxa"/>
            <w:tcBorders>
              <w:right w:val="nil"/>
            </w:tcBorders>
          </w:tcPr>
          <w:p>
            <w:pPr>
              <w:pStyle w:val="TableParagraph"/>
              <w:spacing w:before="126"/>
              <w:ind w:left="133" w:right="1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color w:val="333333"/>
                <w:sz w:val="17"/>
              </w:rPr>
              <w:t>19,00%</w:t>
            </w:r>
          </w:p>
        </w:tc>
      </w:tr>
      <w:tr>
        <w:trPr>
          <w:trHeight w:val="508" w:hRule="atLeast"/>
        </w:trPr>
        <w:tc>
          <w:tcPr>
            <w:tcW w:w="1107" w:type="dxa"/>
            <w:vMerge/>
            <w:tcBorders>
              <w:top w:val="nil"/>
              <w:bottom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  <w:tcBorders>
              <w:bottom w:val="nil"/>
            </w:tcBorders>
            <w:shd w:val="clear" w:color="auto" w:fill="DAEDF3"/>
          </w:tcPr>
          <w:p>
            <w:pPr>
              <w:pStyle w:val="TableParagraph"/>
              <w:spacing w:before="144"/>
              <w:ind w:left="176" w:right="19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D7CB3"/>
                <w:spacing w:val="-1"/>
                <w:w w:val="90"/>
                <w:sz w:val="17"/>
              </w:rPr>
              <w:t>Ta</w:t>
            </w:r>
            <w:r>
              <w:rPr>
                <w:rFonts w:ascii="Arial"/>
                <w:b/>
                <w:color w:val="1D7CB3"/>
                <w:spacing w:val="-28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90"/>
                <w:sz w:val="17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90"/>
                <w:sz w:val="17"/>
              </w:rPr>
              <w:t>Neta</w:t>
            </w:r>
            <w:r>
              <w:rPr>
                <w:rFonts w:ascii="Arial"/>
                <w:b/>
                <w:color w:val="1D7CB3"/>
                <w:spacing w:val="16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90"/>
                <w:sz w:val="17"/>
              </w:rPr>
              <w:t>de</w:t>
            </w:r>
            <w:r>
              <w:rPr>
                <w:rFonts w:ascii="Arial"/>
                <w:b/>
                <w:color w:val="1D7CB3"/>
                <w:spacing w:val="12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90"/>
                <w:sz w:val="17"/>
              </w:rPr>
              <w:t>Cobertura</w:t>
            </w:r>
          </w:p>
        </w:tc>
        <w:tc>
          <w:tcPr>
            <w:tcW w:w="1344" w:type="dxa"/>
            <w:tcBorders>
              <w:bottom w:val="nil"/>
            </w:tcBorders>
            <w:shd w:val="clear" w:color="auto" w:fill="DAEDF3"/>
          </w:tcPr>
          <w:p>
            <w:pPr>
              <w:pStyle w:val="TableParagraph"/>
              <w:spacing w:before="124"/>
              <w:ind w:left="138" w:right="10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color w:val="333333"/>
                <w:sz w:val="17"/>
              </w:rPr>
              <w:t>43,32%</w:t>
            </w:r>
          </w:p>
        </w:tc>
        <w:tc>
          <w:tcPr>
            <w:tcW w:w="1107" w:type="dxa"/>
            <w:tcBorders>
              <w:bottom w:val="nil"/>
            </w:tcBorders>
            <w:shd w:val="clear" w:color="auto" w:fill="DAEDF3"/>
          </w:tcPr>
          <w:p>
            <w:pPr>
              <w:pStyle w:val="TableParagraph"/>
              <w:spacing w:before="124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color w:val="333333"/>
                <w:sz w:val="17"/>
              </w:rPr>
              <w:t>88,52%</w:t>
            </w:r>
          </w:p>
        </w:tc>
        <w:tc>
          <w:tcPr>
            <w:tcW w:w="1105" w:type="dxa"/>
            <w:tcBorders>
              <w:bottom w:val="nil"/>
            </w:tcBorders>
            <w:shd w:val="clear" w:color="auto" w:fill="DAEDF3"/>
          </w:tcPr>
          <w:p>
            <w:pPr>
              <w:pStyle w:val="TableParagraph"/>
              <w:spacing w:before="124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color w:val="333333"/>
                <w:sz w:val="17"/>
              </w:rPr>
              <w:t>28,89%</w:t>
            </w:r>
          </w:p>
        </w:tc>
        <w:tc>
          <w:tcPr>
            <w:tcW w:w="1456" w:type="dxa"/>
            <w:tcBorders>
              <w:bottom w:val="nil"/>
              <w:right w:val="nil"/>
            </w:tcBorders>
            <w:shd w:val="clear" w:color="auto" w:fill="DAEDF3"/>
          </w:tcPr>
          <w:p>
            <w:pPr>
              <w:pStyle w:val="TableParagraph"/>
              <w:spacing w:before="124"/>
              <w:ind w:left="133" w:right="1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color w:val="333333"/>
                <w:sz w:val="17"/>
              </w:rPr>
              <w:t>12,20%</w:t>
            </w:r>
          </w:p>
        </w:tc>
      </w:tr>
    </w:tbl>
    <w:p>
      <w:pPr>
        <w:spacing w:before="0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3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2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4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4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2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4"/>
          <w:sz w:val="14"/>
        </w:rPr>
        <w:t> </w:t>
      </w:r>
      <w:r>
        <w:rPr>
          <w:sz w:val="14"/>
        </w:rPr>
        <w:t>Educación</w:t>
      </w:r>
      <w:r>
        <w:rPr>
          <w:spacing w:val="-4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  <w:r>
        <w:rPr/>
        <w:pict>
          <v:rect style="position:absolute;margin-left:563.880005pt;margin-top:17.001131pt;width:25.44pt;height:1.4399pt;mso-position-horizontal-relative:page;mso-position-vertical-relative:paragraph;z-index:-1539686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169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46528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5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2"/>
        <w:jc w:val="both"/>
      </w:pPr>
      <w:r>
        <w:rPr/>
        <w:t>La tabla anterior, engloba los principales indicadores de cobertura para Quiché. A nivel Preprimaria,</w:t>
      </w:r>
      <w:r>
        <w:rPr>
          <w:spacing w:val="1"/>
        </w:rPr>
        <w:t> </w:t>
      </w:r>
      <w:r>
        <w:rPr/>
        <w:t>muestra</w:t>
      </w:r>
      <w:r>
        <w:rPr>
          <w:spacing w:val="-9"/>
        </w:rPr>
        <w:t> </w:t>
      </w:r>
      <w:r>
        <w:rPr/>
        <w:t>una</w:t>
      </w:r>
      <w:r>
        <w:rPr>
          <w:spacing w:val="-8"/>
        </w:rPr>
        <w:t> </w:t>
      </w:r>
      <w:r>
        <w:rPr/>
        <w:t>reducción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cobertura</w:t>
      </w:r>
      <w:r>
        <w:rPr>
          <w:spacing w:val="-8"/>
        </w:rPr>
        <w:t> </w:t>
      </w:r>
      <w:r>
        <w:rPr/>
        <w:t>durante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periodo</w:t>
      </w:r>
      <w:r>
        <w:rPr>
          <w:spacing w:val="-9"/>
        </w:rPr>
        <w:t> </w:t>
      </w:r>
      <w:r>
        <w:rPr/>
        <w:t>2017‐2020,</w:t>
      </w:r>
      <w:r>
        <w:rPr>
          <w:spacing w:val="-8"/>
        </w:rPr>
        <w:t> </w:t>
      </w:r>
      <w:r>
        <w:rPr/>
        <w:t>con</w:t>
      </w:r>
      <w:r>
        <w:rPr>
          <w:spacing w:val="-9"/>
        </w:rPr>
        <w:t> </w:t>
      </w:r>
      <w:r>
        <w:rPr/>
        <w:t>una</w:t>
      </w:r>
      <w:r>
        <w:rPr>
          <w:spacing w:val="-8"/>
        </w:rPr>
        <w:t> </w:t>
      </w:r>
      <w:r>
        <w:rPr/>
        <w:t>TNE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(45.53%),</w:t>
      </w:r>
      <w:r>
        <w:rPr>
          <w:spacing w:val="-9"/>
        </w:rPr>
        <w:t> </w:t>
      </w:r>
      <w:r>
        <w:rPr/>
        <w:t>(47.29%),</w:t>
      </w:r>
      <w:r>
        <w:rPr>
          <w:spacing w:val="-47"/>
        </w:rPr>
        <w:t> </w:t>
      </w:r>
      <w:r>
        <w:rPr/>
        <w:t>(44.87%)</w:t>
      </w:r>
      <w:r>
        <w:rPr>
          <w:spacing w:val="-11"/>
        </w:rPr>
        <w:t> </w:t>
      </w:r>
      <w:r>
        <w:rPr/>
        <w:t>y</w:t>
      </w:r>
      <w:r>
        <w:rPr>
          <w:spacing w:val="-8"/>
        </w:rPr>
        <w:t> </w:t>
      </w:r>
      <w:r>
        <w:rPr/>
        <w:t>(43.32%)</w:t>
      </w:r>
      <w:r>
        <w:rPr>
          <w:spacing w:val="-7"/>
        </w:rPr>
        <w:t> </w:t>
      </w:r>
      <w:r>
        <w:rPr/>
        <w:t>respectivamente</w:t>
      </w:r>
      <w:r>
        <w:rPr>
          <w:spacing w:val="-8"/>
        </w:rPr>
        <w:t> </w:t>
      </w:r>
      <w:r>
        <w:rPr/>
        <w:t>durante</w:t>
      </w:r>
      <w:r>
        <w:rPr>
          <w:spacing w:val="-7"/>
        </w:rPr>
        <w:t> </w:t>
      </w:r>
      <w:r>
        <w:rPr/>
        <w:t>los</w:t>
      </w:r>
      <w:r>
        <w:rPr>
          <w:spacing w:val="-11"/>
        </w:rPr>
        <w:t> </w:t>
      </w:r>
      <w:r>
        <w:rPr/>
        <w:t>años</w:t>
      </w:r>
      <w:r>
        <w:rPr>
          <w:spacing w:val="-11"/>
        </w:rPr>
        <w:t> </w:t>
      </w:r>
      <w:r>
        <w:rPr/>
        <w:t>indicados.</w:t>
      </w:r>
      <w:r>
        <w:rPr>
          <w:spacing w:val="-8"/>
        </w:rPr>
        <w:t> </w:t>
      </w:r>
      <w:r>
        <w:rPr/>
        <w:t>Lo</w:t>
      </w:r>
      <w:r>
        <w:rPr>
          <w:spacing w:val="-10"/>
        </w:rPr>
        <w:t> </w:t>
      </w:r>
      <w:r>
        <w:rPr/>
        <w:t>cual,</w:t>
      </w:r>
      <w:r>
        <w:rPr>
          <w:spacing w:val="-9"/>
        </w:rPr>
        <w:t> </w:t>
      </w:r>
      <w:r>
        <w:rPr/>
        <w:t>significa</w:t>
      </w:r>
      <w:r>
        <w:rPr>
          <w:spacing w:val="-11"/>
        </w:rPr>
        <w:t> </w:t>
      </w:r>
      <w:r>
        <w:rPr/>
        <w:t>que</w:t>
      </w:r>
      <w:r>
        <w:rPr>
          <w:spacing w:val="-7"/>
        </w:rPr>
        <w:t> </w:t>
      </w:r>
      <w:r>
        <w:rPr/>
        <w:t>uno</w:t>
      </w:r>
      <w:r>
        <w:rPr>
          <w:spacing w:val="-8"/>
        </w:rPr>
        <w:t> </w:t>
      </w:r>
      <w:r>
        <w:rPr/>
        <w:t>(1)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cada</w:t>
      </w:r>
      <w:r>
        <w:rPr>
          <w:spacing w:val="-8"/>
        </w:rPr>
        <w:t> </w:t>
      </w:r>
      <w:r>
        <w:rPr/>
        <w:t>dos</w:t>
      </w:r>
    </w:p>
    <w:p>
      <w:pPr>
        <w:pStyle w:val="BodyText"/>
        <w:ind w:left="278"/>
        <w:jc w:val="both"/>
      </w:pPr>
      <w:r>
        <w:rPr/>
        <w:t>(2)</w:t>
      </w:r>
      <w:r>
        <w:rPr>
          <w:spacing w:val="-2"/>
        </w:rPr>
        <w:t> </w:t>
      </w:r>
      <w:r>
        <w:rPr/>
        <w:t>niños</w:t>
      </w:r>
      <w:r>
        <w:rPr>
          <w:spacing w:val="-1"/>
        </w:rPr>
        <w:t> </w:t>
      </w:r>
      <w:r>
        <w:rPr/>
        <w:t>asiste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este</w:t>
      </w:r>
      <w:r>
        <w:rPr>
          <w:spacing w:val="-1"/>
        </w:rPr>
        <w:t> </w:t>
      </w:r>
      <w:r>
        <w:rPr/>
        <w:t>nivel</w:t>
      </w:r>
      <w:r>
        <w:rPr>
          <w:spacing w:val="-3"/>
        </w:rPr>
        <w:t> </w:t>
      </w:r>
      <w:r>
        <w:rPr/>
        <w:t>(TNE:</w:t>
      </w:r>
      <w:r>
        <w:rPr>
          <w:spacing w:val="-2"/>
        </w:rPr>
        <w:t> </w:t>
      </w:r>
      <w:r>
        <w:rPr/>
        <w:t>45.25%).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2"/>
        <w:jc w:val="both"/>
      </w:pPr>
      <w:r>
        <w:rPr/>
        <w:t>En primaria se</w:t>
      </w:r>
      <w:r>
        <w:rPr>
          <w:spacing w:val="1"/>
        </w:rPr>
        <w:t> </w:t>
      </w:r>
      <w:r>
        <w:rPr/>
        <w:t>registran mayores valores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van de</w:t>
      </w:r>
      <w:r>
        <w:rPr>
          <w:spacing w:val="1"/>
        </w:rPr>
        <w:t> </w:t>
      </w:r>
      <w:r>
        <w:rPr/>
        <w:t>(89.58%), (90.43%),</w:t>
      </w:r>
      <w:r>
        <w:rPr>
          <w:spacing w:val="1"/>
        </w:rPr>
        <w:t> </w:t>
      </w:r>
      <w:r>
        <w:rPr/>
        <w:t>(88.94%) y</w:t>
      </w:r>
      <w:r>
        <w:rPr>
          <w:spacing w:val="1"/>
        </w:rPr>
        <w:t> </w:t>
      </w:r>
      <w:r>
        <w:rPr/>
        <w:t>(88.52%),</w:t>
      </w:r>
      <w:r>
        <w:rPr>
          <w:spacing w:val="-5"/>
        </w:rPr>
        <w:t> </w:t>
      </w:r>
      <w:r>
        <w:rPr/>
        <w:t>registrando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mayor</w:t>
      </w:r>
      <w:r>
        <w:rPr>
          <w:spacing w:val="-4"/>
        </w:rPr>
        <w:t> </w:t>
      </w:r>
      <w:r>
        <w:rPr/>
        <w:t>dato</w:t>
      </w:r>
      <w:r>
        <w:rPr>
          <w:spacing w:val="-3"/>
        </w:rPr>
        <w:t> </w:t>
      </w:r>
      <w:r>
        <w:rPr/>
        <w:t>durante</w:t>
      </w:r>
      <w:r>
        <w:rPr>
          <w:spacing w:val="-3"/>
        </w:rPr>
        <w:t> </w:t>
      </w:r>
      <w:r>
        <w:rPr/>
        <w:t>el</w:t>
      </w:r>
      <w:r>
        <w:rPr>
          <w:spacing w:val="-5"/>
        </w:rPr>
        <w:t> </w:t>
      </w:r>
      <w:r>
        <w:rPr/>
        <w:t>2019.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acuerdo</w:t>
      </w:r>
      <w:r>
        <w:rPr>
          <w:spacing w:val="-2"/>
        </w:rPr>
        <w:t> </w:t>
      </w:r>
      <w:r>
        <w:rPr/>
        <w:t>con</w:t>
      </w:r>
      <w:r>
        <w:rPr>
          <w:spacing w:val="-4"/>
        </w:rPr>
        <w:t> </w:t>
      </w:r>
      <w:r>
        <w:rPr/>
        <w:t>dato promedio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TNE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Quiché</w:t>
      </w:r>
      <w:r>
        <w:rPr>
          <w:spacing w:val="-48"/>
        </w:rPr>
        <w:t> </w:t>
      </w:r>
      <w:r>
        <w:rPr/>
        <w:t>(89,4%) durante el período en comparación con el promedio de la TNE Nacional, este departamento</w:t>
      </w:r>
      <w:r>
        <w:rPr>
          <w:spacing w:val="1"/>
        </w:rPr>
        <w:t> </w:t>
      </w:r>
      <w:r>
        <w:rPr/>
        <w:t>registró un valor por arriba con 15.50%. En otras palabras, nueve (9) de cada diez (10) asiste al nivel</w:t>
      </w:r>
      <w:r>
        <w:rPr>
          <w:spacing w:val="1"/>
        </w:rPr>
        <w:t> </w:t>
      </w:r>
      <w:r>
        <w:rPr/>
        <w:t>primario. Lo interesante aquí será determinar la tasa neta a nivel municipal para identificar brechas o</w:t>
      </w:r>
      <w:r>
        <w:rPr>
          <w:spacing w:val="1"/>
        </w:rPr>
        <w:t> </w:t>
      </w:r>
      <w:r>
        <w:rPr/>
        <w:t>desigualdades en</w:t>
      </w:r>
      <w:r>
        <w:rPr>
          <w:spacing w:val="-2"/>
        </w:rPr>
        <w:t> </w:t>
      </w:r>
      <w:r>
        <w:rPr/>
        <w:t>el sistema.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1"/>
        <w:ind w:left="278" w:right="1072"/>
        <w:jc w:val="both"/>
      </w:pPr>
      <w:r>
        <w:rPr/>
        <w:t>Los valores en el Ciclo básico reportan una tendencia a la baja, por debajo de la tasa promedio neta</w:t>
      </w:r>
      <w:r>
        <w:rPr>
          <w:spacing w:val="1"/>
        </w:rPr>
        <w:t> </w:t>
      </w:r>
      <w:r>
        <w:rPr/>
        <w:t>(TNE:34%).</w:t>
      </w:r>
      <w:r>
        <w:rPr>
          <w:spacing w:val="1"/>
        </w:rPr>
        <w:t> </w:t>
      </w:r>
      <w:r>
        <w:rPr/>
        <w:t>Para el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analizado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cantidades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(28.77%),</w:t>
      </w:r>
      <w:r>
        <w:rPr>
          <w:spacing w:val="1"/>
        </w:rPr>
        <w:t> </w:t>
      </w:r>
      <w:r>
        <w:rPr/>
        <w:t>(29.34%),</w:t>
      </w:r>
      <w:r>
        <w:rPr>
          <w:spacing w:val="1"/>
        </w:rPr>
        <w:t> </w:t>
      </w:r>
      <w:r>
        <w:rPr/>
        <w:t>(29.04%)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(28.89%).</w:t>
      </w:r>
      <w:r>
        <w:rPr>
          <w:spacing w:val="1"/>
        </w:rPr>
        <w:t> </w:t>
      </w:r>
      <w:r>
        <w:rPr/>
        <w:t>Mostrando, que está un 5% por debajo del TNE de referencia para este nivel. Lo que significa</w:t>
      </w:r>
      <w:r>
        <w:rPr>
          <w:spacing w:val="1"/>
        </w:rPr>
        <w:t> </w:t>
      </w:r>
      <w:r>
        <w:rPr/>
        <w:t>que una tercera parte</w:t>
      </w:r>
      <w:r>
        <w:rPr>
          <w:spacing w:val="1"/>
        </w:rPr>
        <w:t> </w:t>
      </w:r>
      <w:r>
        <w:rPr/>
        <w:t>asiste al ciclo</w:t>
      </w:r>
      <w:r>
        <w:rPr>
          <w:spacing w:val="1"/>
        </w:rPr>
        <w:t> </w:t>
      </w:r>
      <w:r>
        <w:rPr/>
        <w:t>básico</w:t>
      </w:r>
      <w:r>
        <w:rPr>
          <w:spacing w:val="-1"/>
        </w:rPr>
        <w:t> </w:t>
      </w:r>
      <w:r>
        <w:rPr/>
        <w:t>(TNE:</w:t>
      </w:r>
      <w:r>
        <w:rPr>
          <w:spacing w:val="-1"/>
        </w:rPr>
        <w:t> </w:t>
      </w:r>
      <w:r>
        <w:rPr/>
        <w:t>34%).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278" w:right="1071"/>
        <w:jc w:val="both"/>
      </w:pPr>
      <w:r>
        <w:rPr/>
        <w:t>De modo similar a los datos nacionales, el nivel más bajo de participación en el Sistema Nacional de</w:t>
      </w:r>
      <w:r>
        <w:rPr>
          <w:spacing w:val="1"/>
        </w:rPr>
        <w:t> </w:t>
      </w:r>
      <w:r>
        <w:rPr/>
        <w:t>Educación, lo representa el diversificado. Incluso en Quiché solamente 1 de cada 10 jóvenes tiene acceso</w:t>
      </w:r>
      <w:r>
        <w:rPr>
          <w:spacing w:val="-47"/>
        </w:rPr>
        <w:t> </w:t>
      </w:r>
      <w:r>
        <w:rPr/>
        <w:t>a educación en este nivel, hallándose por debajo de la TNE a nivel nacional cuya tasa de cobertura en</w:t>
      </w:r>
      <w:r>
        <w:rPr>
          <w:spacing w:val="1"/>
        </w:rPr>
        <w:t> </w:t>
      </w:r>
      <w:r>
        <w:rPr/>
        <w:t>educación media es del 24.57%, mientras que la tasa promedio del departamento se sitúa en 11.70%.</w:t>
      </w:r>
      <w:r>
        <w:rPr>
          <w:spacing w:val="1"/>
        </w:rPr>
        <w:t> </w:t>
      </w:r>
      <w:r>
        <w:rPr>
          <w:spacing w:val="-1"/>
        </w:rPr>
        <w:t>Específicamente,</w:t>
      </w:r>
      <w:r>
        <w:rPr>
          <w:spacing w:val="-9"/>
        </w:rPr>
        <w:t> </w:t>
      </w:r>
      <w:r>
        <w:rPr>
          <w:spacing w:val="-1"/>
        </w:rPr>
        <w:t>dentro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motivos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deserción</w:t>
      </w:r>
      <w:r>
        <w:rPr>
          <w:spacing w:val="-13"/>
        </w:rPr>
        <w:t> </w:t>
      </w:r>
      <w:r>
        <w:rPr/>
        <w:t>durante</w:t>
      </w:r>
      <w:r>
        <w:rPr>
          <w:spacing w:val="-9"/>
        </w:rPr>
        <w:t> </w:t>
      </w:r>
      <w:r>
        <w:rPr/>
        <w:t>el</w:t>
      </w:r>
      <w:r>
        <w:rPr>
          <w:spacing w:val="-12"/>
        </w:rPr>
        <w:t> </w:t>
      </w:r>
      <w:r>
        <w:rPr/>
        <w:t>2020</w:t>
      </w:r>
      <w:r>
        <w:rPr>
          <w:spacing w:val="-9"/>
        </w:rPr>
        <w:t> </w:t>
      </w:r>
      <w:r>
        <w:rPr/>
        <w:t>las</w:t>
      </w:r>
      <w:r>
        <w:rPr>
          <w:spacing w:val="-11"/>
        </w:rPr>
        <w:t> </w:t>
      </w:r>
      <w:r>
        <w:rPr/>
        <w:t>principales</w:t>
      </w:r>
      <w:r>
        <w:rPr>
          <w:spacing w:val="-9"/>
        </w:rPr>
        <w:t> </w:t>
      </w:r>
      <w:r>
        <w:rPr/>
        <w:t>razones</w:t>
      </w:r>
      <w:r>
        <w:rPr>
          <w:spacing w:val="-11"/>
        </w:rPr>
        <w:t> </w:t>
      </w:r>
      <w:r>
        <w:rPr/>
        <w:t>corresponden</w:t>
      </w:r>
      <w:r>
        <w:rPr>
          <w:spacing w:val="-48"/>
        </w:rPr>
        <w:t> </w:t>
      </w:r>
      <w:r>
        <w:rPr/>
        <w:t>a:</w:t>
      </w:r>
      <w:r>
        <w:rPr>
          <w:spacing w:val="-1"/>
        </w:rPr>
        <w:t> </w:t>
      </w:r>
      <w:r>
        <w:rPr/>
        <w:t>1.</w:t>
      </w:r>
      <w:r>
        <w:rPr>
          <w:spacing w:val="-3"/>
        </w:rPr>
        <w:t> </w:t>
      </w:r>
      <w:r>
        <w:rPr/>
        <w:t>No le</w:t>
      </w:r>
      <w:r>
        <w:rPr>
          <w:spacing w:val="1"/>
        </w:rPr>
        <w:t> </w:t>
      </w:r>
      <w:r>
        <w:rPr/>
        <w:t>interesa.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Traslado.</w:t>
      </w:r>
      <w:r>
        <w:rPr>
          <w:spacing w:val="-1"/>
        </w:rPr>
        <w:t> </w:t>
      </w:r>
      <w:r>
        <w:rPr/>
        <w:t>3.</w:t>
      </w:r>
      <w:r>
        <w:rPr>
          <w:spacing w:val="-3"/>
        </w:rPr>
        <w:t> </w:t>
      </w:r>
      <w:r>
        <w:rPr/>
        <w:t>Trabajo.</w:t>
      </w:r>
    </w:p>
    <w:p>
      <w:pPr>
        <w:pStyle w:val="BodyText"/>
        <w:spacing w:before="7"/>
        <w:rPr>
          <w:sz w:val="15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51" w:after="0"/>
        <w:ind w:left="998" w:right="0" w:hanging="721"/>
        <w:jc w:val="left"/>
      </w:pPr>
      <w:bookmarkStart w:name="_bookmark208" w:id="349"/>
      <w:bookmarkEnd w:id="349"/>
      <w:r>
        <w:rPr>
          <w:b w:val="0"/>
        </w:rPr>
      </w:r>
      <w:bookmarkStart w:name="_bookmark208" w:id="350"/>
      <w:bookmarkEnd w:id="350"/>
      <w:r>
        <w:rPr>
          <w:shd w:fill="FFFFFF" w:color="auto" w:val="clear"/>
        </w:rPr>
        <w:t>I</w:t>
      </w:r>
      <w:r>
        <w:rPr>
          <w:shd w:fill="FFFFFF" w:color="auto" w:val="clear"/>
        </w:rPr>
        <w:t>ndicador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Cobertura: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Tasa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Bruta</w:t>
      </w:r>
      <w:r>
        <w:rPr>
          <w:spacing w:val="-2"/>
          <w:shd w:fill="FFFFFF" w:color="auto" w:val="clear"/>
        </w:rPr>
        <w:t> </w:t>
      </w:r>
      <w:r>
        <w:rPr>
          <w:shd w:fill="FFFFFF" w:color="auto" w:val="clear"/>
        </w:rPr>
        <w:t>y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Déficit</w:t>
      </w:r>
      <w:r>
        <w:rPr>
          <w:spacing w:val="-1"/>
          <w:shd w:fill="FFFFFF" w:color="auto" w:val="clear"/>
        </w:rPr>
        <w:t> </w:t>
      </w:r>
      <w:r>
        <w:rPr>
          <w:shd w:fill="FFFFFF" w:color="auto" w:val="clear"/>
        </w:rPr>
        <w:t>por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departamento,</w:t>
      </w:r>
      <w:r>
        <w:rPr>
          <w:spacing w:val="-1"/>
          <w:shd w:fill="FFFFFF" w:color="auto" w:val="clear"/>
        </w:rPr>
        <w:t> </w:t>
      </w:r>
      <w:r>
        <w:rPr>
          <w:shd w:fill="FFFFFF" w:color="auto" w:val="clear"/>
        </w:rPr>
        <w:t>sexo</w:t>
      </w:r>
      <w:r>
        <w:rPr>
          <w:spacing w:val="-5"/>
          <w:shd w:fill="FFFFFF" w:color="auto" w:val="clear"/>
        </w:rPr>
        <w:t> </w:t>
      </w:r>
      <w:r>
        <w:rPr>
          <w:shd w:fill="FFFFFF" w:color="auto" w:val="clear"/>
        </w:rPr>
        <w:t>y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etnia.</w:t>
      </w: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spacing w:line="237" w:lineRule="auto"/>
        <w:ind w:left="278" w:right="1061"/>
      </w:pPr>
      <w:r>
        <w:rPr/>
        <w:pict>
          <v:group style="position:absolute;margin-left:71.665131pt;margin-top:29.695589pt;width:469.5pt;height:186.6pt;mso-position-horizontal-relative:page;mso-position-vertical-relative:paragraph;z-index:-15395328;mso-wrap-distance-left:0;mso-wrap-distance-right:0" coordorigin="1433,594" coordsize="9390,3732">
            <v:rect style="position:absolute;left:1439;top:600;width:9377;height:3719" filled="true" fillcolor="#ffffff" stroked="false">
              <v:fill type="solid"/>
            </v:rect>
            <v:line style="position:absolute" from="1987,2880" to="2583,2880" stroked="true" strokeweight=".570368pt" strokecolor="#888888">
              <v:stroke dashstyle="solid"/>
            </v:line>
            <v:shape style="position:absolute;left:2698;top:2879;width:1607;height:2" coordorigin="2698,2880" coordsize="1607,0" path="m2698,2880l2864,2880m2980,2880l2996,2880m3112,2880l4305,2880e" filled="false" stroked="true" strokeweight=".570368pt" strokecolor="#888888">
              <v:path arrowok="t"/>
              <v:stroke dashstyle="solid"/>
            </v:shape>
            <v:shape style="position:absolute;left:4421;top:2876;width:6179;height:6" coordorigin="4421,2877" coordsize="6179,6" path="m4421,2882l4587,2882m4702,2882l4720,2882m4835,2882l6310,2882m6426,2882l6442,2882m6558,2882l8032,2882m8149,2882l8165,2882m8281,2882l9755,2882m9871,2882l9888,2882m10004,2882l10600,2882m4421,2877l4587,2877m4702,2877l4720,2877m4835,2877l6310,2877m6426,2877l6442,2877m6558,2877l8032,2877m8149,2877l8165,2877m8281,2877l9755,2877m9871,2877l9888,2877m10004,2877l10600,2877e" filled="false" stroked="true" strokeweight=".28518pt" strokecolor="#888888">
              <v:path arrowok="t"/>
              <v:stroke dashstyle="solid"/>
            </v:shape>
            <v:line style="position:absolute" from="1987,2714" to="2864,2714" stroked="true" strokeweight=".570368pt" strokecolor="#888888">
              <v:stroke dashstyle="solid"/>
            </v:line>
            <v:shape style="position:absolute;left:2980;top:2713;width:7620;height:2" coordorigin="2980,2714" coordsize="7620,0" path="m2980,2714l2996,2714m3112,2714l4587,2714m4702,2714l4720,2714m4835,2714l6310,2714m6426,2714l6442,2714m6558,2714l8032,2714m8149,2714l8165,2714m8281,2714l9755,2714m9871,2714l10600,2714e" filled="false" stroked="true" strokeweight=".570368pt" strokecolor="#888888">
              <v:path arrowok="t"/>
              <v:stroke dashstyle="solid"/>
            </v:shape>
            <v:line style="position:absolute" from="1987,2560" to="2864,2560" stroked="true" strokeweight=".570368pt" strokecolor="#888888">
              <v:stroke dashstyle="solid"/>
            </v:line>
            <v:shape style="position:absolute;left:2980;top:2560;width:7620;height:2" coordorigin="2980,2560" coordsize="7620,0" path="m2980,2560l2996,2560m3112,2560l4587,2560m4702,2560l4720,2560m4835,2560l6310,2560m6426,2560l6442,2560m6558,2560l8032,2560m8149,2560l10600,2560e" filled="false" stroked="true" strokeweight=".570368pt" strokecolor="#888888">
              <v:path arrowok="t"/>
              <v:stroke dashstyle="solid"/>
            </v:shape>
            <v:shape style="position:absolute;left:1986;top:2394;width:8614;height:2" coordorigin="1987,2395" coordsize="8614,0" path="m1987,2395l2864,2395m2980,2395l2996,2395m3112,2395l4587,2395m4702,2395l4720,2395m4835,2395l6310,2395m6426,2395l6442,2395m6558,2395l8032,2395m8149,2395l10600,2395e" filled="false" stroked="true" strokeweight=".570368pt" strokecolor="#888888">
              <v:path arrowok="t"/>
              <v:stroke dashstyle="solid"/>
            </v:shape>
            <v:line style="position:absolute" from="1987,2230" to="2864,2230" stroked="true" strokeweight=".570368pt" strokecolor="#888888">
              <v:stroke dashstyle="solid"/>
            </v:line>
            <v:shape style="position:absolute;left:2980;top:2230;width:7620;height:2" coordorigin="2980,2230" coordsize="7620,0" path="m2980,2230l4587,2230m4702,2230l6310,2230m6426,2230l6442,2230m6558,2230l10600,2230e" filled="false" stroked="true" strokeweight=".570368pt" strokecolor="#888888">
              <v:path arrowok="t"/>
              <v:stroke dashstyle="solid"/>
            </v:shape>
            <v:line style="position:absolute" from="1987,2076" to="2864,2076" stroked="true" strokeweight=".570368pt" strokecolor="#888888">
              <v:stroke dashstyle="solid"/>
            </v:line>
            <v:shape style="position:absolute;left:2980;top:2073;width:7620;height:6" coordorigin="2980,2073" coordsize="7620,6" path="m2980,2079l6310,2079m6426,2079l10600,2079m2980,2073l6310,2073m6426,2073l10600,2073e" filled="false" stroked="true" strokeweight=".285184pt" strokecolor="#888888">
              <v:path arrowok="t"/>
              <v:stroke dashstyle="solid"/>
            </v:shape>
            <v:shape style="position:absolute;left:1986;top:1911;width:8614;height:2" coordorigin="1987,1911" coordsize="8614,0" path="m1987,1911l2864,1911m2980,1911l10600,1911e" filled="false" stroked="true" strokeweight=".570368pt" strokecolor="#888888">
              <v:path arrowok="t"/>
              <v:stroke dashstyle="solid"/>
            </v:shape>
            <v:shape style="position:absolute;left:1986;top:1592;width:8614;height:165" coordorigin="1987,1592" coordsize="8614,165" path="m1987,1757l1987,1757,10600,1757m1987,1592l1987,1592,10600,1592e" filled="false" stroked="true" strokeweight=".685561pt" strokecolor="#888888">
              <v:path arrowok="t"/>
              <v:stroke dashstyle="solid"/>
            </v:shape>
            <v:shape style="position:absolute;left:5614;top:3032;width:1839;height:7" coordorigin="5614,3033" coordsize="1839,7" path="m5730,3033l5614,3033,5614,3039,5730,3039,5730,3033xm7453,3033l7336,3033,7336,3039,7453,3039,7453,3033xe" filled="true" fillcolor="#c46627" stroked="false">
              <v:path arrowok="t"/>
              <v:fill type="solid"/>
            </v:shape>
            <v:shape style="position:absolute;left:4172;top:3032;width:1822;height:7" coordorigin="4173,3033" coordsize="1822,7" path="m4272,3033l4173,3033,4173,3039,4272,3039,4272,3033xm5994,3033l5895,3033,5895,3039,5994,3039,5994,3033xe" filled="true" fillcolor="#d29e00" stroked="false">
              <v:path arrowok="t"/>
              <v:fill type="solid"/>
            </v:shape>
            <v:shape style="position:absolute;left:2582;top:2844;width:7008;height:195" coordorigin="2583,2844" coordsize="7008,195" path="m2698,2844l2583,2844,2583,3039,2698,3039,2698,2844xm4421,2868l4305,2868,4305,3039,4421,3039,4421,2868xm6143,2891l6028,2891,6028,3039,6143,3039,6143,2891xm7867,2880l7751,2880,7751,3039,7867,3039,7867,2880xm9590,2915l9473,2915,9473,3039,9590,3039,9590,2915xe" filled="true" fillcolor="#497eaf" stroked="false">
              <v:path arrowok="t"/>
              <v:fill type="solid"/>
            </v:shape>
            <v:shape style="position:absolute;left:2731;top:2890;width:6990;height:148" coordorigin="2732,2891" coordsize="6990,148" path="m2831,2950l2732,2950,2732,3039,2831,3039,2831,2950xm4553,2926l4454,2926,4454,3039,4553,3039,4553,2926xm6277,2962l6177,2962,6177,3039,6277,3039,6277,2962xm8000,2891l7900,2891,7900,3039,8000,3039,8000,2891xm9722,2926l9622,2926,9622,3039,9722,3039,9722,2926xe" filled="true" fillcolor="#5b8e39" stroked="false">
              <v:path arrowok="t"/>
              <v:fill type="solid"/>
            </v:shape>
            <v:shape style="position:absolute;left:2863;top:1792;width:7007;height:1247" coordorigin="2864,1793" coordsize="7007,1247" path="m2980,1793l2864,1793,2864,3039,2980,3039,2980,1793xm4702,2076l4587,2076,4587,3039,4702,3039,4702,2076xm6426,2041l6310,2041,6310,3039,6426,3039,6426,2041xm8149,2360l8032,2360,8032,3039,8149,3039,8149,2360xm9871,2655l9755,2655,9755,3039,9871,3039,9871,2655xe" filled="true" fillcolor="#4471c4" stroked="false">
              <v:path arrowok="t"/>
              <v:fill type="solid"/>
            </v:shape>
            <v:shape style="position:absolute;left:2996;top:2194;width:7008;height:845" coordorigin="2996,2195" coordsize="7008,845" path="m3112,2266l2996,2266,2996,3039,3112,3039,3112,2266xm4835,2372l4720,2372,4720,3039,4835,3039,4835,2372xm6558,2195l6442,2195,6442,3039,6558,3039,6558,2195xm8281,2643l8165,2643,8165,3039,8281,3039,8281,2643xm10004,2785l9888,2785,9888,3039,10004,3039,10004,2785xe" filled="true" fillcolor="#ec7c30" stroked="false">
              <v:path arrowok="t"/>
              <v:fill type="solid"/>
            </v:shape>
            <v:shape style="position:absolute;left:3145;top:3032;width:5268;height:7" coordorigin="3145,3033" coordsize="5268,7" path="m3245,3033l3145,3033,3145,3039,3245,3039,3245,3033xm4968,3033l4869,3033,4869,3039,4968,3039,4968,3033xm6690,3033l6591,3033,6591,3039,6690,3039,6690,3033xm8413,3033l8314,3033,8314,3039,8413,3039,8413,3033xe" filled="true" fillcolor="#a4a4a4" stroked="false">
              <v:path arrowok="t"/>
              <v:fill type="solid"/>
            </v:shape>
            <v:rect style="position:absolute;left:6856;top:3032;width:116;height:7" filled="true" fillcolor="#5b9bd4" stroked="false">
              <v:fill type="solid"/>
            </v:rect>
            <v:shape style="position:absolute;left:1987;top:3038;width:8614;height:2" coordorigin="1988,3039" coordsize="8614,0" path="m1988,3039l1988,3039,10601,3039e" filled="false" stroked="true" strokeweight=".570356pt" strokecolor="#888888">
              <v:path arrowok="t"/>
              <v:stroke dashstyle="solid"/>
            </v:shape>
            <v:rect style="position:absolute;left:2409;top:3434;width:83;height:59" filled="true" fillcolor="#375da0" stroked="false">
              <v:fill type="solid"/>
            </v:rect>
            <v:rect style="position:absolute;left:5163;top:3434;width:82;height:59" filled="true" fillcolor="#c46627" stroked="false">
              <v:fill type="solid"/>
            </v:rect>
            <v:rect style="position:absolute;left:7915;top:3434;width:83;height:59" filled="true" fillcolor="#878787" stroked="false">
              <v:fill type="solid"/>
            </v:rect>
            <v:rect style="position:absolute;left:2409;top:3652;width:83;height:59" filled="true" fillcolor="#d29e00" stroked="false">
              <v:fill type="solid"/>
            </v:rect>
            <v:rect style="position:absolute;left:5163;top:3652;width:82;height:59" filled="true" fillcolor="#497eaf" stroked="false">
              <v:fill type="solid"/>
            </v:rect>
            <v:rect style="position:absolute;left:7915;top:3652;width:83;height:59" filled="true" fillcolor="#5b8e39" stroked="false">
              <v:fill type="solid"/>
            </v:rect>
            <v:rect style="position:absolute;left:2409;top:3869;width:83;height:59" filled="true" fillcolor="#4471c4" stroked="false">
              <v:fill type="solid"/>
            </v:rect>
            <v:rect style="position:absolute;left:5163;top:3869;width:82;height:59" filled="true" fillcolor="#ec7c30" stroked="false">
              <v:fill type="solid"/>
            </v:rect>
            <v:rect style="position:absolute;left:7915;top:3869;width:83;height:59" filled="true" fillcolor="#a4a4a4" stroked="false">
              <v:fill type="solid"/>
            </v:rect>
            <v:rect style="position:absolute;left:2409;top:4086;width:83;height:59" filled="true" fillcolor="#ffc000" stroked="false">
              <v:fill type="solid"/>
            </v:rect>
            <v:rect style="position:absolute;left:5163;top:4086;width:82;height:59" filled="true" fillcolor="#5b9bd4" stroked="false">
              <v:fill type="solid"/>
            </v:rect>
            <v:rect style="position:absolute;left:7915;top:4086;width:83;height:59" filled="true" fillcolor="#6fac46" stroked="false">
              <v:fill type="solid"/>
            </v:rect>
            <v:rect style="position:absolute;left:1439;top:600;width:9377;height:3719" filled="false" stroked="true" strokeweight=".601670pt" strokecolor="#888888">
              <v:stroke dashstyle="solid"/>
            </v:rect>
            <v:shape style="position:absolute;left:2633;top:732;width:6959;height:682" type="#_x0000_t202" filled="false" stroked="false">
              <v:textbox inset="0,0,0,0">
                <w:txbxContent>
                  <w:p>
                    <w:pPr>
                      <w:spacing w:line="237" w:lineRule="exact" w:before="0"/>
                      <w:ind w:left="28" w:right="18" w:firstLine="0"/>
                      <w:jc w:val="center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w w:val="140"/>
                        <w:sz w:val="21"/>
                      </w:rPr>
                      <w:t>Quiché</w:t>
                    </w:r>
                  </w:p>
                  <w:p>
                    <w:pPr>
                      <w:spacing w:line="247" w:lineRule="auto" w:before="0"/>
                      <w:ind w:left="-1" w:right="18" w:firstLine="0"/>
                      <w:jc w:val="center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w w:val="135"/>
                        <w:sz w:val="19"/>
                      </w:rPr>
                      <w:t>Tota</w:t>
                    </w:r>
                    <w:r>
                      <w:rPr>
                        <w:rFonts w:ascii="Arial" w:hAnsi="Arial"/>
                        <w:b/>
                        <w:spacing w:val="-44"/>
                        <w:w w:val="135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19"/>
                      </w:rPr>
                      <w:t>l</w:t>
                    </w:r>
                    <w:r>
                      <w:rPr>
                        <w:rFonts w:ascii="Arial" w:hAnsi="Arial"/>
                        <w:b/>
                        <w:spacing w:val="-3"/>
                        <w:w w:val="135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19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31"/>
                        <w:w w:val="135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19"/>
                      </w:rPr>
                      <w:t>población</w:t>
                    </w:r>
                    <w:r>
                      <w:rPr>
                        <w:rFonts w:ascii="Arial" w:hAnsi="Arial"/>
                        <w:b/>
                        <w:spacing w:val="4"/>
                        <w:w w:val="135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19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9"/>
                        <w:w w:val="135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19"/>
                      </w:rPr>
                      <w:t>studia</w:t>
                    </w:r>
                    <w:r>
                      <w:rPr>
                        <w:rFonts w:ascii="Arial" w:hAnsi="Arial"/>
                        <w:b/>
                        <w:spacing w:val="-43"/>
                        <w:w w:val="135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19"/>
                      </w:rPr>
                      <w:t>ntil</w:t>
                    </w:r>
                    <w:r>
                      <w:rPr>
                        <w:rFonts w:ascii="Arial" w:hAnsi="Arial"/>
                        <w:b/>
                        <w:spacing w:val="-3"/>
                        <w:w w:val="135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19"/>
                      </w:rPr>
                      <w:t>por</w:t>
                    </w:r>
                    <w:r>
                      <w:rPr>
                        <w:rFonts w:ascii="Arial" w:hAnsi="Arial"/>
                        <w:b/>
                        <w:spacing w:val="-12"/>
                        <w:w w:val="135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19"/>
                      </w:rPr>
                      <w:t>Nive</w:t>
                    </w:r>
                    <w:r>
                      <w:rPr>
                        <w:rFonts w:ascii="Arial" w:hAnsi="Arial"/>
                        <w:b/>
                        <w:spacing w:val="-49"/>
                        <w:w w:val="135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19"/>
                      </w:rPr>
                      <w:t>le</w:t>
                    </w:r>
                    <w:r>
                      <w:rPr>
                        <w:rFonts w:ascii="Arial" w:hAnsi="Arial"/>
                        <w:b/>
                        <w:spacing w:val="-49"/>
                        <w:w w:val="135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19"/>
                      </w:rPr>
                      <w:t>s,</w:t>
                    </w:r>
                    <w:r>
                      <w:rPr>
                        <w:rFonts w:ascii="Arial" w:hAnsi="Arial"/>
                        <w:b/>
                        <w:spacing w:val="8"/>
                        <w:w w:val="135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19"/>
                      </w:rPr>
                      <w:t>etnia</w:t>
                    </w:r>
                    <w:r>
                      <w:rPr>
                        <w:rFonts w:ascii="Arial" w:hAnsi="Arial"/>
                        <w:b/>
                        <w:spacing w:val="37"/>
                        <w:w w:val="135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19"/>
                      </w:rPr>
                      <w:t>y</w:t>
                    </w:r>
                    <w:r>
                      <w:rPr>
                        <w:rFonts w:ascii="Arial" w:hAnsi="Arial"/>
                        <w:b/>
                        <w:spacing w:val="13"/>
                        <w:w w:val="135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19"/>
                      </w:rPr>
                      <w:t>se</w:t>
                    </w:r>
                    <w:r>
                      <w:rPr>
                        <w:rFonts w:ascii="Arial" w:hAnsi="Arial"/>
                        <w:b/>
                        <w:spacing w:val="-49"/>
                        <w:w w:val="135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19"/>
                      </w:rPr>
                      <w:t>xo</w:t>
                    </w:r>
                    <w:r>
                      <w:rPr>
                        <w:rFonts w:ascii="Arial" w:hAnsi="Arial"/>
                        <w:b/>
                        <w:spacing w:val="-68"/>
                        <w:w w:val="135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40"/>
                        <w:sz w:val="19"/>
                      </w:rPr>
                      <w:t>2017-</w:t>
                    </w:r>
                    <w:r>
                      <w:rPr>
                        <w:rFonts w:ascii="Arial" w:hAnsi="Arial"/>
                        <w:b/>
                        <w:spacing w:val="-53"/>
                        <w:w w:val="140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40"/>
                        <w:sz w:val="19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1555;top:1521;width:296;height:1591" type="#_x0000_t202" filled="false" stroked="false">
              <v:textbox inset="0,0,0,0">
                <w:txbxContent>
                  <w:p>
                    <w:pPr>
                      <w:spacing w:before="8"/>
                      <w:ind w:left="0" w:right="21" w:firstLine="0"/>
                      <w:jc w:val="righ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30"/>
                        <w:sz w:val="11"/>
                      </w:rPr>
                      <w:t>450</w:t>
                    </w:r>
                  </w:p>
                  <w:p>
                    <w:pPr>
                      <w:spacing w:before="26"/>
                      <w:ind w:left="0" w:right="21" w:firstLine="0"/>
                      <w:jc w:val="righ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30"/>
                        <w:sz w:val="11"/>
                      </w:rPr>
                      <w:t>400</w:t>
                    </w:r>
                  </w:p>
                  <w:p>
                    <w:pPr>
                      <w:spacing w:before="28"/>
                      <w:ind w:left="0" w:right="21" w:firstLine="0"/>
                      <w:jc w:val="righ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30"/>
                        <w:sz w:val="11"/>
                      </w:rPr>
                      <w:t>350</w:t>
                    </w:r>
                  </w:p>
                  <w:p>
                    <w:pPr>
                      <w:spacing w:before="26"/>
                      <w:ind w:left="0" w:right="21" w:firstLine="0"/>
                      <w:jc w:val="righ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30"/>
                        <w:sz w:val="11"/>
                      </w:rPr>
                      <w:t>300</w:t>
                    </w:r>
                  </w:p>
                  <w:p>
                    <w:pPr>
                      <w:spacing w:before="28"/>
                      <w:ind w:left="0" w:right="21" w:firstLine="0"/>
                      <w:jc w:val="righ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30"/>
                        <w:sz w:val="11"/>
                      </w:rPr>
                      <w:t>250</w:t>
                    </w:r>
                  </w:p>
                  <w:p>
                    <w:pPr>
                      <w:spacing w:before="27"/>
                      <w:ind w:left="0" w:right="21" w:firstLine="0"/>
                      <w:jc w:val="righ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30"/>
                        <w:sz w:val="11"/>
                      </w:rPr>
                      <w:t>200</w:t>
                    </w:r>
                  </w:p>
                  <w:p>
                    <w:pPr>
                      <w:spacing w:before="27"/>
                      <w:ind w:left="0" w:right="21" w:firstLine="0"/>
                      <w:jc w:val="righ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30"/>
                        <w:sz w:val="11"/>
                      </w:rPr>
                      <w:t>150</w:t>
                    </w:r>
                  </w:p>
                  <w:p>
                    <w:pPr>
                      <w:spacing w:before="27"/>
                      <w:ind w:left="0" w:right="21" w:firstLine="0"/>
                      <w:jc w:val="righ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30"/>
                        <w:sz w:val="11"/>
                      </w:rPr>
                      <w:t>100</w:t>
                    </w:r>
                  </w:p>
                  <w:p>
                    <w:pPr>
                      <w:spacing w:before="27"/>
                      <w:ind w:left="0" w:right="19" w:firstLine="0"/>
                      <w:jc w:val="righ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30"/>
                        <w:sz w:val="11"/>
                      </w:rPr>
                      <w:t>50</w:t>
                    </w:r>
                  </w:p>
                  <w:p>
                    <w:pPr>
                      <w:spacing w:before="27"/>
                      <w:ind w:left="0" w:right="18" w:firstLine="0"/>
                      <w:jc w:val="righ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31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62;top:3117;width:383;height:145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30"/>
                        <w:sz w:val="11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4390;top:3117;width:383;height:145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30"/>
                        <w:sz w:val="11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6112;top:3117;width:383;height:145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30"/>
                        <w:sz w:val="11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7835;top:3117;width:383;height:145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30"/>
                        <w:sz w:val="11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9557;top:3117;width:383;height:145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w w:val="130"/>
                        <w:sz w:val="11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2525;top:3398;width:7456;height:784" type="#_x0000_t202" filled="false" stroked="false">
              <v:textbox inset="0,0,0,0">
                <w:txbxContent>
                  <w:p>
                    <w:pPr>
                      <w:tabs>
                        <w:tab w:pos="2752" w:val="left" w:leader="none"/>
                        <w:tab w:pos="5505" w:val="left" w:leader="none"/>
                      </w:tabs>
                      <w:spacing w:line="429" w:lineRule="auto" w:before="6"/>
                      <w:ind w:left="0" w:right="362" w:firstLine="0"/>
                      <w:jc w:val="left"/>
                      <w:rPr>
                        <w:rFonts w:ascii="Verdana"/>
                        <w:sz w:val="10"/>
                      </w:rPr>
                    </w:pPr>
                    <w:r>
                      <w:rPr>
                        <w:rFonts w:ascii="Verdana"/>
                        <w:spacing w:val="-1"/>
                        <w:w w:val="126"/>
                        <w:sz w:val="10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w w:val="132"/>
                        <w:sz w:val="10"/>
                      </w:rPr>
                      <w:t>X</w:t>
                    </w:r>
                    <w:r>
                      <w:rPr>
                        <w:rFonts w:ascii="Verdana"/>
                        <w:spacing w:val="-1"/>
                        <w:w w:val="103"/>
                        <w:sz w:val="10"/>
                      </w:rPr>
                      <w:t>T</w:t>
                    </w:r>
                    <w:r>
                      <w:rPr>
                        <w:rFonts w:ascii="Verdana"/>
                        <w:w w:val="130"/>
                        <w:sz w:val="10"/>
                      </w:rPr>
                      <w:t>R</w:t>
                    </w:r>
                    <w:r>
                      <w:rPr>
                        <w:rFonts w:ascii="Verdana"/>
                        <w:w w:val="161"/>
                        <w:sz w:val="10"/>
                      </w:rPr>
                      <w:t>A</w:t>
                    </w:r>
                    <w:r>
                      <w:rPr>
                        <w:rFonts w:ascii="Verdana"/>
                        <w:w w:val="147"/>
                        <w:sz w:val="10"/>
                      </w:rPr>
                      <w:t>N</w:t>
                    </w:r>
                    <w:r>
                      <w:rPr>
                        <w:rFonts w:ascii="Verdana"/>
                        <w:w w:val="158"/>
                        <w:sz w:val="10"/>
                      </w:rPr>
                      <w:t>J</w:t>
                    </w:r>
                    <w:r>
                      <w:rPr>
                        <w:rFonts w:ascii="Verdana"/>
                        <w:spacing w:val="-1"/>
                        <w:w w:val="126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30"/>
                        <w:sz w:val="10"/>
                      </w:rPr>
                      <w:t>R</w:t>
                    </w:r>
                    <w:r>
                      <w:rPr>
                        <w:rFonts w:ascii="Verdana"/>
                        <w:w w:val="164"/>
                        <w:sz w:val="10"/>
                      </w:rPr>
                      <w:t>O</w:t>
                    </w:r>
                    <w:r>
                      <w:rPr>
                        <w:rFonts w:ascii="Verdana"/>
                        <w:spacing w:val="5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08"/>
                        <w:sz w:val="10"/>
                      </w:rPr>
                      <w:t>-</w:t>
                    </w:r>
                    <w:r>
                      <w:rPr>
                        <w:rFonts w:ascii="Verdana"/>
                        <w:spacing w:val="6"/>
                        <w:sz w:val="10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35"/>
                        <w:sz w:val="10"/>
                      </w:rPr>
                      <w:t>H</w:t>
                    </w:r>
                    <w:r>
                      <w:rPr>
                        <w:rFonts w:ascii="Verdana"/>
                        <w:spacing w:val="1"/>
                        <w:w w:val="164"/>
                        <w:sz w:val="10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w w:val="162"/>
                        <w:sz w:val="10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124"/>
                        <w:sz w:val="10"/>
                      </w:rPr>
                      <w:t>B</w:t>
                    </w:r>
                    <w:r>
                      <w:rPr>
                        <w:rFonts w:ascii="Verdana"/>
                        <w:w w:val="130"/>
                        <w:sz w:val="1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26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08"/>
                        <w:sz w:val="10"/>
                      </w:rPr>
                      <w:t>S</w:t>
                    </w:r>
                    <w:r>
                      <w:rPr>
                        <w:rFonts w:ascii="Verdana"/>
                        <w:sz w:val="10"/>
                      </w:rPr>
                      <w:tab/>
                    </w:r>
                    <w:r>
                      <w:rPr>
                        <w:rFonts w:ascii="Verdana"/>
                        <w:spacing w:val="-1"/>
                        <w:w w:val="126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32"/>
                        <w:sz w:val="10"/>
                      </w:rPr>
                      <w:t>X</w:t>
                    </w:r>
                    <w:r>
                      <w:rPr>
                        <w:rFonts w:ascii="Verdana"/>
                        <w:spacing w:val="-1"/>
                        <w:w w:val="103"/>
                        <w:sz w:val="10"/>
                      </w:rPr>
                      <w:t>T</w:t>
                    </w:r>
                    <w:r>
                      <w:rPr>
                        <w:rFonts w:ascii="Verdana"/>
                        <w:w w:val="130"/>
                        <w:sz w:val="10"/>
                      </w:rPr>
                      <w:t>R</w:t>
                    </w:r>
                    <w:r>
                      <w:rPr>
                        <w:rFonts w:ascii="Verdana"/>
                        <w:w w:val="161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147"/>
                        <w:sz w:val="10"/>
                      </w:rPr>
                      <w:t>N</w:t>
                    </w:r>
                    <w:r>
                      <w:rPr>
                        <w:rFonts w:ascii="Verdana"/>
                        <w:w w:val="158"/>
                        <w:sz w:val="10"/>
                      </w:rPr>
                      <w:t>J</w:t>
                    </w:r>
                    <w:r>
                      <w:rPr>
                        <w:rFonts w:ascii="Verdana"/>
                        <w:w w:val="126"/>
                        <w:sz w:val="10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w w:val="130"/>
                        <w:sz w:val="10"/>
                      </w:rPr>
                      <w:t>R</w:t>
                    </w:r>
                    <w:r>
                      <w:rPr>
                        <w:rFonts w:ascii="Verdana"/>
                        <w:w w:val="164"/>
                        <w:sz w:val="10"/>
                      </w:rPr>
                      <w:t>O</w:t>
                    </w:r>
                    <w:r>
                      <w:rPr>
                        <w:rFonts w:ascii="Verdana"/>
                        <w:spacing w:val="7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08"/>
                        <w:sz w:val="10"/>
                      </w:rPr>
                      <w:t>-</w:t>
                    </w:r>
                    <w:r>
                      <w:rPr>
                        <w:rFonts w:ascii="Verdana"/>
                        <w:spacing w:val="6"/>
                        <w:sz w:val="10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62"/>
                        <w:sz w:val="10"/>
                      </w:rPr>
                      <w:t>M</w:t>
                    </w:r>
                    <w:r>
                      <w:rPr>
                        <w:rFonts w:ascii="Verdana"/>
                        <w:w w:val="133"/>
                        <w:sz w:val="10"/>
                      </w:rPr>
                      <w:t>U</w:t>
                    </w:r>
                    <w:r>
                      <w:rPr>
                        <w:rFonts w:ascii="Verdana"/>
                        <w:w w:val="158"/>
                        <w:sz w:val="10"/>
                      </w:rPr>
                      <w:t>J</w:t>
                    </w:r>
                    <w:r>
                      <w:rPr>
                        <w:rFonts w:ascii="Verdana"/>
                        <w:spacing w:val="-1"/>
                        <w:w w:val="126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30"/>
                        <w:sz w:val="1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26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08"/>
                        <w:sz w:val="10"/>
                      </w:rPr>
                      <w:t>S</w:t>
                    </w:r>
                    <w:r>
                      <w:rPr>
                        <w:rFonts w:ascii="Verdana"/>
                        <w:sz w:val="10"/>
                      </w:rPr>
                      <w:tab/>
                    </w:r>
                    <w:r>
                      <w:rPr>
                        <w:rFonts w:ascii="Verdana"/>
                        <w:w w:val="167"/>
                        <w:sz w:val="10"/>
                      </w:rPr>
                      <w:t>G</w:t>
                    </w:r>
                    <w:r>
                      <w:rPr>
                        <w:rFonts w:ascii="Verdana"/>
                        <w:w w:val="161"/>
                        <w:sz w:val="10"/>
                      </w:rPr>
                      <w:t>A</w:t>
                    </w:r>
                    <w:r>
                      <w:rPr>
                        <w:rFonts w:ascii="Verdana"/>
                        <w:w w:val="130"/>
                        <w:sz w:val="10"/>
                      </w:rPr>
                      <w:t>R</w:t>
                    </w:r>
                    <w:r>
                      <w:rPr>
                        <w:rFonts w:ascii="Verdana"/>
                        <w:w w:val="80"/>
                        <w:sz w:val="10"/>
                      </w:rPr>
                      <w:t>I</w:t>
                    </w:r>
                    <w:r>
                      <w:rPr>
                        <w:rFonts w:ascii="Verdana"/>
                        <w:w w:val="125"/>
                        <w:sz w:val="10"/>
                      </w:rPr>
                      <w:t>F</w:t>
                    </w:r>
                    <w:r>
                      <w:rPr>
                        <w:rFonts w:ascii="Verdana"/>
                        <w:spacing w:val="-1"/>
                        <w:w w:val="133"/>
                        <w:sz w:val="10"/>
                      </w:rPr>
                      <w:t>U</w:t>
                    </w:r>
                    <w:r>
                      <w:rPr>
                        <w:rFonts w:ascii="Verdana"/>
                        <w:w w:val="147"/>
                        <w:sz w:val="10"/>
                      </w:rPr>
                      <w:t>N</w:t>
                    </w:r>
                    <w:r>
                      <w:rPr>
                        <w:rFonts w:ascii="Verdana"/>
                        <w:w w:val="161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6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08"/>
                        <w:sz w:val="10"/>
                      </w:rPr>
                      <w:t>-</w:t>
                    </w:r>
                    <w:r>
                      <w:rPr>
                        <w:rFonts w:ascii="Verdana"/>
                        <w:spacing w:val="6"/>
                        <w:sz w:val="10"/>
                      </w:rPr>
                      <w:t> </w:t>
                    </w:r>
                    <w:r>
                      <w:rPr>
                        <w:rFonts w:ascii="Verdana"/>
                        <w:spacing w:val="-3"/>
                        <w:w w:val="135"/>
                        <w:sz w:val="10"/>
                      </w:rPr>
                      <w:t>H</w:t>
                    </w:r>
                    <w:r>
                      <w:rPr>
                        <w:rFonts w:ascii="Verdana"/>
                        <w:spacing w:val="-3"/>
                        <w:w w:val="164"/>
                        <w:sz w:val="10"/>
                      </w:rPr>
                      <w:t>O</w:t>
                    </w:r>
                    <w:r>
                      <w:rPr>
                        <w:rFonts w:ascii="Verdana"/>
                        <w:spacing w:val="-2"/>
                        <w:w w:val="162"/>
                        <w:sz w:val="10"/>
                      </w:rPr>
                      <w:t>M</w:t>
                    </w:r>
                    <w:r>
                      <w:rPr>
                        <w:rFonts w:ascii="Verdana"/>
                        <w:spacing w:val="-2"/>
                        <w:w w:val="124"/>
                        <w:sz w:val="10"/>
                      </w:rPr>
                      <w:t>B</w:t>
                    </w:r>
                    <w:r>
                      <w:rPr>
                        <w:rFonts w:ascii="Verdana"/>
                        <w:spacing w:val="-3"/>
                        <w:w w:val="130"/>
                        <w:sz w:val="10"/>
                      </w:rPr>
                      <w:t>R</w:t>
                    </w:r>
                    <w:r>
                      <w:rPr>
                        <w:rFonts w:ascii="Verdana"/>
                        <w:spacing w:val="-2"/>
                        <w:w w:val="126"/>
                        <w:sz w:val="10"/>
                      </w:rPr>
                      <w:t>E</w:t>
                    </w:r>
                    <w:r>
                      <w:rPr>
                        <w:rFonts w:ascii="Verdana"/>
                        <w:spacing w:val="-2"/>
                        <w:w w:val="108"/>
                        <w:sz w:val="10"/>
                      </w:rPr>
                      <w:t>S</w:t>
                    </w:r>
                    <w:r>
                      <w:rPr>
                        <w:rFonts w:ascii="Verdana"/>
                        <w:w w:val="108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67"/>
                        <w:sz w:val="10"/>
                      </w:rPr>
                      <w:t>G</w:t>
                    </w:r>
                    <w:r>
                      <w:rPr>
                        <w:rFonts w:ascii="Verdana"/>
                        <w:spacing w:val="-1"/>
                        <w:w w:val="161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130"/>
                        <w:sz w:val="1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80"/>
                        <w:sz w:val="10"/>
                      </w:rPr>
                      <w:t>I</w:t>
                    </w:r>
                    <w:r>
                      <w:rPr>
                        <w:rFonts w:ascii="Verdana"/>
                        <w:spacing w:val="1"/>
                        <w:w w:val="125"/>
                        <w:sz w:val="10"/>
                      </w:rPr>
                      <w:t>F</w:t>
                    </w:r>
                    <w:r>
                      <w:rPr>
                        <w:rFonts w:ascii="Verdana"/>
                        <w:spacing w:val="-1"/>
                        <w:w w:val="133"/>
                        <w:sz w:val="10"/>
                      </w:rPr>
                      <w:t>U</w:t>
                    </w:r>
                    <w:r>
                      <w:rPr>
                        <w:rFonts w:ascii="Verdana"/>
                        <w:w w:val="147"/>
                        <w:sz w:val="10"/>
                      </w:rPr>
                      <w:t>N</w:t>
                    </w:r>
                    <w:r>
                      <w:rPr>
                        <w:rFonts w:ascii="Verdana"/>
                        <w:w w:val="161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6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08"/>
                        <w:sz w:val="10"/>
                      </w:rPr>
                      <w:t>-</w:t>
                    </w:r>
                    <w:r>
                      <w:rPr>
                        <w:rFonts w:ascii="Verdana"/>
                        <w:spacing w:val="6"/>
                        <w:sz w:val="10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62"/>
                        <w:sz w:val="10"/>
                      </w:rPr>
                      <w:t>M</w:t>
                    </w:r>
                    <w:r>
                      <w:rPr>
                        <w:rFonts w:ascii="Verdana"/>
                        <w:w w:val="133"/>
                        <w:sz w:val="10"/>
                      </w:rPr>
                      <w:t>U</w:t>
                    </w:r>
                    <w:r>
                      <w:rPr>
                        <w:rFonts w:ascii="Verdana"/>
                        <w:spacing w:val="-1"/>
                        <w:w w:val="158"/>
                        <w:sz w:val="10"/>
                      </w:rPr>
                      <w:t>J</w:t>
                    </w:r>
                    <w:r>
                      <w:rPr>
                        <w:rFonts w:ascii="Verdana"/>
                        <w:spacing w:val="-1"/>
                        <w:w w:val="126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30"/>
                        <w:sz w:val="1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26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08"/>
                        <w:sz w:val="10"/>
                      </w:rPr>
                      <w:t>S</w:t>
                    </w:r>
                    <w:r>
                      <w:rPr>
                        <w:rFonts w:ascii="Verdana"/>
                        <w:sz w:val="10"/>
                      </w:rPr>
                      <w:tab/>
                    </w:r>
                    <w:r>
                      <w:rPr>
                        <w:rFonts w:ascii="Verdana"/>
                        <w:spacing w:val="-1"/>
                        <w:w w:val="123"/>
                        <w:sz w:val="10"/>
                      </w:rPr>
                      <w:t>L</w:t>
                    </w:r>
                    <w:r>
                      <w:rPr>
                        <w:rFonts w:ascii="Verdana"/>
                        <w:w w:val="161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143"/>
                        <w:sz w:val="10"/>
                      </w:rPr>
                      <w:t>D</w:t>
                    </w:r>
                    <w:r>
                      <w:rPr>
                        <w:rFonts w:ascii="Verdana"/>
                        <w:w w:val="80"/>
                        <w:sz w:val="10"/>
                      </w:rPr>
                      <w:t>I</w:t>
                    </w:r>
                    <w:r>
                      <w:rPr>
                        <w:rFonts w:ascii="Verdana"/>
                        <w:w w:val="147"/>
                        <w:sz w:val="10"/>
                      </w:rPr>
                      <w:t>N</w:t>
                    </w:r>
                    <w:r>
                      <w:rPr>
                        <w:rFonts w:ascii="Verdana"/>
                        <w:w w:val="164"/>
                        <w:sz w:val="10"/>
                      </w:rPr>
                      <w:t>O</w:t>
                    </w:r>
                    <w:r>
                      <w:rPr>
                        <w:rFonts w:ascii="Verdana"/>
                        <w:spacing w:val="6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08"/>
                        <w:sz w:val="10"/>
                      </w:rPr>
                      <w:t>-</w:t>
                    </w:r>
                    <w:r>
                      <w:rPr>
                        <w:rFonts w:ascii="Verdana"/>
                        <w:spacing w:val="6"/>
                        <w:sz w:val="10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35"/>
                        <w:sz w:val="10"/>
                      </w:rPr>
                      <w:t>H</w:t>
                    </w:r>
                    <w:r>
                      <w:rPr>
                        <w:rFonts w:ascii="Verdana"/>
                        <w:spacing w:val="-1"/>
                        <w:w w:val="164"/>
                        <w:sz w:val="10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w w:val="162"/>
                        <w:sz w:val="10"/>
                      </w:rPr>
                      <w:t>M</w:t>
                    </w:r>
                    <w:r>
                      <w:rPr>
                        <w:rFonts w:ascii="Verdana"/>
                        <w:w w:val="124"/>
                        <w:sz w:val="10"/>
                      </w:rPr>
                      <w:t>B</w:t>
                    </w:r>
                    <w:r>
                      <w:rPr>
                        <w:rFonts w:ascii="Verdana"/>
                        <w:w w:val="130"/>
                        <w:sz w:val="1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26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08"/>
                        <w:sz w:val="10"/>
                      </w:rPr>
                      <w:t>S</w:t>
                    </w:r>
                    <w:r>
                      <w:rPr>
                        <w:rFonts w:ascii="Verdana"/>
                        <w:sz w:val="10"/>
                      </w:rPr>
                      <w:tab/>
                    </w:r>
                    <w:r>
                      <w:rPr>
                        <w:rFonts w:ascii="Verdana"/>
                        <w:w w:val="123"/>
                        <w:sz w:val="10"/>
                      </w:rPr>
                      <w:t>L</w:t>
                    </w:r>
                    <w:r>
                      <w:rPr>
                        <w:rFonts w:ascii="Verdana"/>
                        <w:spacing w:val="-1"/>
                        <w:w w:val="161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1"/>
                        <w:w w:val="143"/>
                        <w:sz w:val="10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w w:val="80"/>
                        <w:sz w:val="10"/>
                      </w:rPr>
                      <w:t>I</w:t>
                    </w:r>
                    <w:r>
                      <w:rPr>
                        <w:rFonts w:ascii="Verdana"/>
                        <w:w w:val="147"/>
                        <w:sz w:val="10"/>
                      </w:rPr>
                      <w:t>N</w:t>
                    </w:r>
                    <w:r>
                      <w:rPr>
                        <w:rFonts w:ascii="Verdana"/>
                        <w:w w:val="164"/>
                        <w:sz w:val="10"/>
                      </w:rPr>
                      <w:t>O</w:t>
                    </w:r>
                    <w:r>
                      <w:rPr>
                        <w:rFonts w:ascii="Verdana"/>
                        <w:spacing w:val="5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08"/>
                        <w:sz w:val="10"/>
                      </w:rPr>
                      <w:t>-</w:t>
                    </w:r>
                    <w:r>
                      <w:rPr>
                        <w:rFonts w:ascii="Verdana"/>
                        <w:spacing w:val="6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62"/>
                        <w:sz w:val="10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133"/>
                        <w:sz w:val="10"/>
                      </w:rPr>
                      <w:t>U</w:t>
                    </w:r>
                    <w:r>
                      <w:rPr>
                        <w:rFonts w:ascii="Verdana"/>
                        <w:spacing w:val="-1"/>
                        <w:w w:val="158"/>
                        <w:sz w:val="10"/>
                      </w:rPr>
                      <w:t>J</w:t>
                    </w:r>
                    <w:r>
                      <w:rPr>
                        <w:rFonts w:ascii="Verdana"/>
                        <w:spacing w:val="-1"/>
                        <w:w w:val="126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30"/>
                        <w:sz w:val="1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26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08"/>
                        <w:sz w:val="10"/>
                      </w:rPr>
                      <w:t>S </w:t>
                    </w:r>
                    <w:r>
                      <w:rPr>
                        <w:rFonts w:ascii="Verdana"/>
                        <w:spacing w:val="-1"/>
                        <w:w w:val="162"/>
                        <w:sz w:val="10"/>
                      </w:rPr>
                      <w:t>M</w:t>
                    </w:r>
                    <w:r>
                      <w:rPr>
                        <w:rFonts w:ascii="Verdana"/>
                        <w:spacing w:val="-19"/>
                        <w:w w:val="161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-18"/>
                        <w:w w:val="143"/>
                        <w:sz w:val="10"/>
                      </w:rPr>
                      <w:t>Y</w:t>
                    </w:r>
                    <w:r>
                      <w:rPr>
                        <w:rFonts w:ascii="Verdana"/>
                        <w:w w:val="161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6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08"/>
                        <w:sz w:val="10"/>
                      </w:rPr>
                      <w:t>-</w:t>
                    </w:r>
                    <w:r>
                      <w:rPr>
                        <w:rFonts w:ascii="Verdana"/>
                        <w:spacing w:val="6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35"/>
                        <w:sz w:val="10"/>
                      </w:rPr>
                      <w:t>H</w:t>
                    </w:r>
                    <w:r>
                      <w:rPr>
                        <w:rFonts w:ascii="Verdana"/>
                        <w:spacing w:val="-1"/>
                        <w:w w:val="164"/>
                        <w:sz w:val="10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w w:val="162"/>
                        <w:sz w:val="10"/>
                      </w:rPr>
                      <w:t>M</w:t>
                    </w:r>
                    <w:r>
                      <w:rPr>
                        <w:rFonts w:ascii="Verdana"/>
                        <w:w w:val="124"/>
                        <w:sz w:val="10"/>
                      </w:rPr>
                      <w:t>B</w:t>
                    </w:r>
                    <w:r>
                      <w:rPr>
                        <w:rFonts w:ascii="Verdana"/>
                        <w:w w:val="130"/>
                        <w:sz w:val="1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26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08"/>
                        <w:sz w:val="10"/>
                      </w:rPr>
                      <w:t>S</w:t>
                    </w:r>
                    <w:r>
                      <w:rPr>
                        <w:rFonts w:ascii="Verdana"/>
                        <w:sz w:val="10"/>
                      </w:rPr>
                      <w:tab/>
                    </w:r>
                    <w:r>
                      <w:rPr>
                        <w:rFonts w:ascii="Verdana"/>
                        <w:spacing w:val="-1"/>
                        <w:w w:val="162"/>
                        <w:sz w:val="10"/>
                      </w:rPr>
                      <w:t>M</w:t>
                    </w:r>
                    <w:r>
                      <w:rPr>
                        <w:rFonts w:ascii="Verdana"/>
                        <w:spacing w:val="-19"/>
                        <w:w w:val="161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-19"/>
                        <w:w w:val="143"/>
                        <w:sz w:val="10"/>
                      </w:rPr>
                      <w:t>Y</w:t>
                    </w:r>
                    <w:r>
                      <w:rPr>
                        <w:rFonts w:ascii="Verdana"/>
                        <w:w w:val="161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6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08"/>
                        <w:sz w:val="10"/>
                      </w:rPr>
                      <w:t>-</w:t>
                    </w:r>
                    <w:r>
                      <w:rPr>
                        <w:rFonts w:ascii="Verdana"/>
                        <w:spacing w:val="6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62"/>
                        <w:sz w:val="10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133"/>
                        <w:sz w:val="10"/>
                      </w:rPr>
                      <w:t>U</w:t>
                    </w:r>
                    <w:r>
                      <w:rPr>
                        <w:rFonts w:ascii="Verdana"/>
                        <w:w w:val="158"/>
                        <w:sz w:val="10"/>
                      </w:rPr>
                      <w:t>J</w:t>
                    </w:r>
                    <w:r>
                      <w:rPr>
                        <w:rFonts w:ascii="Verdana"/>
                        <w:spacing w:val="-1"/>
                        <w:w w:val="126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30"/>
                        <w:sz w:val="10"/>
                      </w:rPr>
                      <w:t>R</w:t>
                    </w:r>
                    <w:r>
                      <w:rPr>
                        <w:rFonts w:ascii="Verdana"/>
                        <w:w w:val="126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08"/>
                        <w:sz w:val="10"/>
                      </w:rPr>
                      <w:t>S</w:t>
                    </w:r>
                    <w:r>
                      <w:rPr>
                        <w:rFonts w:ascii="Verdana"/>
                        <w:sz w:val="10"/>
                      </w:rPr>
                      <w:tab/>
                    </w:r>
                    <w:r>
                      <w:rPr>
                        <w:rFonts w:ascii="Verdana"/>
                        <w:spacing w:val="-1"/>
                        <w:w w:val="132"/>
                        <w:sz w:val="10"/>
                      </w:rPr>
                      <w:t>X</w:t>
                    </w:r>
                    <w:r>
                      <w:rPr>
                        <w:rFonts w:ascii="Verdana"/>
                        <w:spacing w:val="-1"/>
                        <w:w w:val="80"/>
                        <w:sz w:val="10"/>
                      </w:rPr>
                      <w:t>I</w:t>
                    </w:r>
                    <w:r>
                      <w:rPr>
                        <w:rFonts w:ascii="Verdana"/>
                        <w:w w:val="147"/>
                        <w:sz w:val="10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w w:val="167"/>
                        <w:sz w:val="10"/>
                      </w:rPr>
                      <w:t>C</w:t>
                    </w:r>
                    <w:r>
                      <w:rPr>
                        <w:rFonts w:ascii="Verdana"/>
                        <w:w w:val="167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7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08"/>
                        <w:sz w:val="10"/>
                      </w:rPr>
                      <w:t>-</w:t>
                    </w:r>
                    <w:r>
                      <w:rPr>
                        <w:rFonts w:ascii="Verdana"/>
                        <w:spacing w:val="6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35"/>
                        <w:sz w:val="10"/>
                      </w:rPr>
                      <w:t>H</w:t>
                    </w:r>
                    <w:r>
                      <w:rPr>
                        <w:rFonts w:ascii="Verdana"/>
                        <w:spacing w:val="-1"/>
                        <w:w w:val="164"/>
                        <w:sz w:val="10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w w:val="162"/>
                        <w:sz w:val="10"/>
                      </w:rPr>
                      <w:t>M</w:t>
                    </w:r>
                    <w:r>
                      <w:rPr>
                        <w:rFonts w:ascii="Verdana"/>
                        <w:w w:val="124"/>
                        <w:sz w:val="10"/>
                      </w:rPr>
                      <w:t>B</w:t>
                    </w:r>
                    <w:r>
                      <w:rPr>
                        <w:rFonts w:ascii="Verdana"/>
                        <w:w w:val="130"/>
                        <w:sz w:val="1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26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08"/>
                        <w:sz w:val="10"/>
                      </w:rPr>
                      <w:t>S</w:t>
                    </w:r>
                  </w:p>
                  <w:p>
                    <w:pPr>
                      <w:tabs>
                        <w:tab w:pos="2752" w:val="left" w:leader="none"/>
                        <w:tab w:pos="5505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Verdana" w:hAnsi="Verdana"/>
                        <w:sz w:val="10"/>
                      </w:rPr>
                    </w:pPr>
                    <w:r>
                      <w:rPr>
                        <w:rFonts w:ascii="Verdana" w:hAnsi="Verdana"/>
                        <w:spacing w:val="-1"/>
                        <w:w w:val="132"/>
                        <w:sz w:val="10"/>
                      </w:rPr>
                      <w:t>X</w:t>
                    </w:r>
                    <w:r>
                      <w:rPr>
                        <w:rFonts w:ascii="Verdana" w:hAnsi="Verdana"/>
                        <w:spacing w:val="-1"/>
                        <w:w w:val="80"/>
                        <w:sz w:val="10"/>
                      </w:rPr>
                      <w:t>I</w:t>
                    </w:r>
                    <w:r>
                      <w:rPr>
                        <w:rFonts w:ascii="Verdana" w:hAnsi="Verdana"/>
                        <w:w w:val="147"/>
                        <w:sz w:val="10"/>
                      </w:rPr>
                      <w:t>N</w:t>
                    </w:r>
                    <w:r>
                      <w:rPr>
                        <w:rFonts w:ascii="Verdana" w:hAnsi="Verdana"/>
                        <w:spacing w:val="-1"/>
                        <w:w w:val="167"/>
                        <w:sz w:val="10"/>
                      </w:rPr>
                      <w:t>C</w:t>
                    </w:r>
                    <w:r>
                      <w:rPr>
                        <w:rFonts w:ascii="Verdana" w:hAnsi="Verdana"/>
                        <w:w w:val="167"/>
                        <w:sz w:val="10"/>
                      </w:rPr>
                      <w:t>A</w:t>
                    </w:r>
                    <w:r>
                      <w:rPr>
                        <w:rFonts w:ascii="Verdana" w:hAnsi="Verdana"/>
                        <w:spacing w:val="6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08"/>
                        <w:sz w:val="10"/>
                      </w:rPr>
                      <w:t>-</w:t>
                    </w:r>
                    <w:r>
                      <w:rPr>
                        <w:rFonts w:ascii="Verdana" w:hAnsi="Verdana"/>
                        <w:spacing w:val="7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162"/>
                        <w:sz w:val="10"/>
                      </w:rPr>
                      <w:t>M</w:t>
                    </w:r>
                    <w:r>
                      <w:rPr>
                        <w:rFonts w:ascii="Verdana" w:hAnsi="Verdana"/>
                        <w:spacing w:val="-1"/>
                        <w:w w:val="133"/>
                        <w:sz w:val="10"/>
                      </w:rPr>
                      <w:t>U</w:t>
                    </w:r>
                    <w:r>
                      <w:rPr>
                        <w:rFonts w:ascii="Verdana" w:hAnsi="Verdana"/>
                        <w:spacing w:val="-1"/>
                        <w:w w:val="158"/>
                        <w:sz w:val="10"/>
                      </w:rPr>
                      <w:t>J</w:t>
                    </w:r>
                    <w:r>
                      <w:rPr>
                        <w:rFonts w:ascii="Verdana" w:hAnsi="Verdana"/>
                        <w:w w:val="126"/>
                        <w:sz w:val="10"/>
                      </w:rPr>
                      <w:t>E</w:t>
                    </w:r>
                    <w:r>
                      <w:rPr>
                        <w:rFonts w:ascii="Verdana" w:hAnsi="Verdana"/>
                        <w:spacing w:val="-1"/>
                        <w:w w:val="130"/>
                        <w:sz w:val="10"/>
                      </w:rPr>
                      <w:t>R</w:t>
                    </w:r>
                    <w:r>
                      <w:rPr>
                        <w:rFonts w:ascii="Verdana" w:hAnsi="Verdana"/>
                        <w:w w:val="126"/>
                        <w:sz w:val="10"/>
                      </w:rPr>
                      <w:t>E</w:t>
                    </w:r>
                    <w:r>
                      <w:rPr>
                        <w:rFonts w:ascii="Verdana" w:hAnsi="Verdana"/>
                        <w:w w:val="108"/>
                        <w:sz w:val="10"/>
                      </w:rPr>
                      <w:t>S</w:t>
                    </w:r>
                    <w:r>
                      <w:rPr>
                        <w:rFonts w:ascii="Verdana" w:hAnsi="Verdana"/>
                        <w:sz w:val="10"/>
                      </w:rPr>
                      <w:tab/>
                    </w:r>
                    <w:r>
                      <w:rPr>
                        <w:rFonts w:ascii="Verdana" w:hAnsi="Verdana"/>
                        <w:spacing w:val="-1"/>
                        <w:w w:val="108"/>
                        <w:sz w:val="10"/>
                      </w:rPr>
                      <w:t>Si</w:t>
                    </w:r>
                    <w:r>
                      <w:rPr>
                        <w:rFonts w:ascii="Verdana" w:hAnsi="Verdana"/>
                        <w:w w:val="143"/>
                        <w:sz w:val="10"/>
                      </w:rPr>
                      <w:t>n</w:t>
                    </w:r>
                    <w:r>
                      <w:rPr>
                        <w:rFonts w:ascii="Verdana" w:hAnsi="Verdana"/>
                        <w:spacing w:val="7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155"/>
                        <w:sz w:val="10"/>
                      </w:rPr>
                      <w:t>Cl</w:t>
                    </w:r>
                    <w:r>
                      <w:rPr>
                        <w:rFonts w:ascii="Verdana" w:hAnsi="Verdana"/>
                        <w:w w:val="169"/>
                        <w:sz w:val="10"/>
                      </w:rPr>
                      <w:t>a</w:t>
                    </w:r>
                    <w:r>
                      <w:rPr>
                        <w:rFonts w:ascii="Verdana" w:hAnsi="Verdana"/>
                        <w:w w:val="111"/>
                        <w:sz w:val="10"/>
                      </w:rPr>
                      <w:t>s</w:t>
                    </w:r>
                    <w:r>
                      <w:rPr>
                        <w:rFonts w:ascii="Verdana" w:hAnsi="Verdana"/>
                        <w:w w:val="108"/>
                        <w:sz w:val="10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122"/>
                        <w:sz w:val="10"/>
                      </w:rPr>
                      <w:t>f</w:t>
                    </w:r>
                    <w:r>
                      <w:rPr>
                        <w:rFonts w:ascii="Verdana" w:hAnsi="Verdana"/>
                        <w:w w:val="122"/>
                        <w:sz w:val="10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176"/>
                        <w:sz w:val="10"/>
                      </w:rPr>
                      <w:t>c</w:t>
                    </w:r>
                    <w:r>
                      <w:rPr>
                        <w:rFonts w:ascii="Verdana" w:hAnsi="Verdana"/>
                        <w:w w:val="176"/>
                        <w:sz w:val="10"/>
                      </w:rPr>
                      <w:t>a</w:t>
                    </w:r>
                    <w:r>
                      <w:rPr>
                        <w:rFonts w:ascii="Verdana" w:hAnsi="Verdana"/>
                        <w:spacing w:val="-1"/>
                        <w:w w:val="158"/>
                        <w:sz w:val="10"/>
                      </w:rPr>
                      <w:t>c</w:t>
                    </w:r>
                    <w:r>
                      <w:rPr>
                        <w:rFonts w:ascii="Verdana" w:hAnsi="Verdana"/>
                        <w:spacing w:val="1"/>
                        <w:w w:val="158"/>
                        <w:sz w:val="10"/>
                      </w:rPr>
                      <w:t>i</w:t>
                    </w:r>
                    <w:r>
                      <w:rPr>
                        <w:rFonts w:ascii="Verdana" w:hAnsi="Verdana"/>
                        <w:w w:val="160"/>
                        <w:sz w:val="10"/>
                      </w:rPr>
                      <w:t>ó</w:t>
                    </w:r>
                    <w:r>
                      <w:rPr>
                        <w:rFonts w:ascii="Verdana" w:hAnsi="Verdana"/>
                        <w:w w:val="143"/>
                        <w:sz w:val="10"/>
                      </w:rPr>
                      <w:t>n</w:t>
                    </w:r>
                    <w:r>
                      <w:rPr>
                        <w:rFonts w:ascii="Verdana" w:hAnsi="Verdana"/>
                        <w:spacing w:val="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08"/>
                        <w:sz w:val="10"/>
                      </w:rPr>
                      <w:t>-</w:t>
                    </w:r>
                    <w:r>
                      <w:rPr>
                        <w:rFonts w:ascii="Verdana" w:hAnsi="Verdana"/>
                        <w:spacing w:val="6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135"/>
                        <w:sz w:val="10"/>
                      </w:rPr>
                      <w:t>H</w:t>
                    </w:r>
                    <w:r>
                      <w:rPr>
                        <w:rFonts w:ascii="Verdana" w:hAnsi="Verdana"/>
                        <w:spacing w:val="-1"/>
                        <w:w w:val="164"/>
                        <w:sz w:val="10"/>
                      </w:rPr>
                      <w:t>O</w:t>
                    </w:r>
                    <w:r>
                      <w:rPr>
                        <w:rFonts w:ascii="Verdana" w:hAnsi="Verdana"/>
                        <w:w w:val="162"/>
                        <w:sz w:val="10"/>
                      </w:rPr>
                      <w:t>M</w:t>
                    </w:r>
                    <w:r>
                      <w:rPr>
                        <w:rFonts w:ascii="Verdana" w:hAnsi="Verdana"/>
                        <w:spacing w:val="-2"/>
                        <w:w w:val="124"/>
                        <w:sz w:val="10"/>
                      </w:rPr>
                      <w:t>B</w:t>
                    </w:r>
                    <w:r>
                      <w:rPr>
                        <w:rFonts w:ascii="Verdana" w:hAnsi="Verdana"/>
                        <w:w w:val="130"/>
                        <w:sz w:val="10"/>
                      </w:rPr>
                      <w:t>R</w:t>
                    </w:r>
                    <w:r>
                      <w:rPr>
                        <w:rFonts w:ascii="Verdana" w:hAnsi="Verdana"/>
                        <w:w w:val="126"/>
                        <w:sz w:val="10"/>
                      </w:rPr>
                      <w:t>E</w:t>
                    </w:r>
                    <w:r>
                      <w:rPr>
                        <w:rFonts w:ascii="Verdana" w:hAnsi="Verdana"/>
                        <w:w w:val="108"/>
                        <w:sz w:val="10"/>
                      </w:rPr>
                      <w:t>S</w:t>
                    </w:r>
                    <w:r>
                      <w:rPr>
                        <w:rFonts w:ascii="Verdana" w:hAnsi="Verdana"/>
                        <w:sz w:val="10"/>
                      </w:rPr>
                      <w:tab/>
                    </w:r>
                    <w:r>
                      <w:rPr>
                        <w:rFonts w:ascii="Verdana" w:hAnsi="Verdana"/>
                        <w:spacing w:val="-1"/>
                        <w:w w:val="108"/>
                        <w:sz w:val="10"/>
                      </w:rPr>
                      <w:t>S</w:t>
                    </w:r>
                    <w:r>
                      <w:rPr>
                        <w:rFonts w:ascii="Verdana" w:hAnsi="Verdana"/>
                        <w:w w:val="108"/>
                        <w:sz w:val="10"/>
                      </w:rPr>
                      <w:t>i</w:t>
                    </w:r>
                    <w:r>
                      <w:rPr>
                        <w:rFonts w:ascii="Verdana" w:hAnsi="Verdana"/>
                        <w:w w:val="143"/>
                        <w:sz w:val="10"/>
                      </w:rPr>
                      <w:t>n</w:t>
                    </w:r>
                    <w:r>
                      <w:rPr>
                        <w:rFonts w:ascii="Verdana" w:hAnsi="Verdana"/>
                        <w:spacing w:val="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155"/>
                        <w:sz w:val="10"/>
                      </w:rPr>
                      <w:t>C</w:t>
                    </w:r>
                    <w:r>
                      <w:rPr>
                        <w:rFonts w:ascii="Verdana" w:hAnsi="Verdana"/>
                        <w:spacing w:val="1"/>
                        <w:w w:val="155"/>
                        <w:sz w:val="10"/>
                      </w:rPr>
                      <w:t>l</w:t>
                    </w:r>
                    <w:r>
                      <w:rPr>
                        <w:rFonts w:ascii="Verdana" w:hAnsi="Verdana"/>
                        <w:w w:val="169"/>
                        <w:sz w:val="10"/>
                      </w:rPr>
                      <w:t>a</w:t>
                    </w:r>
                    <w:r>
                      <w:rPr>
                        <w:rFonts w:ascii="Verdana" w:hAnsi="Verdana"/>
                        <w:w w:val="111"/>
                        <w:sz w:val="10"/>
                      </w:rPr>
                      <w:t>s</w:t>
                    </w:r>
                    <w:r>
                      <w:rPr>
                        <w:rFonts w:ascii="Verdana" w:hAnsi="Verdana"/>
                        <w:spacing w:val="-1"/>
                        <w:w w:val="108"/>
                        <w:sz w:val="10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122"/>
                        <w:sz w:val="10"/>
                      </w:rPr>
                      <w:t>f</w:t>
                    </w:r>
                    <w:r>
                      <w:rPr>
                        <w:rFonts w:ascii="Verdana" w:hAnsi="Verdana"/>
                        <w:w w:val="122"/>
                        <w:sz w:val="10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176"/>
                        <w:sz w:val="10"/>
                      </w:rPr>
                      <w:t>c</w:t>
                    </w:r>
                    <w:r>
                      <w:rPr>
                        <w:rFonts w:ascii="Verdana" w:hAnsi="Verdana"/>
                        <w:spacing w:val="1"/>
                        <w:w w:val="176"/>
                        <w:sz w:val="10"/>
                      </w:rPr>
                      <w:t>a</w:t>
                    </w:r>
                    <w:r>
                      <w:rPr>
                        <w:rFonts w:ascii="Verdana" w:hAnsi="Verdana"/>
                        <w:spacing w:val="-1"/>
                        <w:w w:val="158"/>
                        <w:sz w:val="10"/>
                      </w:rPr>
                      <w:t>c</w:t>
                    </w:r>
                    <w:r>
                      <w:rPr>
                        <w:rFonts w:ascii="Verdana" w:hAnsi="Verdana"/>
                        <w:spacing w:val="1"/>
                        <w:w w:val="158"/>
                        <w:sz w:val="10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160"/>
                        <w:sz w:val="10"/>
                      </w:rPr>
                      <w:t>ó</w:t>
                    </w:r>
                    <w:r>
                      <w:rPr>
                        <w:rFonts w:ascii="Verdana" w:hAnsi="Verdana"/>
                        <w:w w:val="143"/>
                        <w:sz w:val="10"/>
                      </w:rPr>
                      <w:t>n</w:t>
                    </w:r>
                    <w:r>
                      <w:rPr>
                        <w:rFonts w:ascii="Verdana" w:hAnsi="Verdana"/>
                        <w:spacing w:val="6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08"/>
                        <w:sz w:val="10"/>
                      </w:rPr>
                      <w:t>-</w:t>
                    </w:r>
                    <w:r>
                      <w:rPr>
                        <w:rFonts w:ascii="Verdana" w:hAnsi="Verdana"/>
                        <w:spacing w:val="6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162"/>
                        <w:sz w:val="10"/>
                      </w:rPr>
                      <w:t>M</w:t>
                    </w:r>
                    <w:r>
                      <w:rPr>
                        <w:rFonts w:ascii="Verdana" w:hAnsi="Verdana"/>
                        <w:w w:val="133"/>
                        <w:sz w:val="10"/>
                      </w:rPr>
                      <w:t>U</w:t>
                    </w:r>
                    <w:r>
                      <w:rPr>
                        <w:rFonts w:ascii="Verdana" w:hAnsi="Verdana"/>
                        <w:spacing w:val="-2"/>
                        <w:w w:val="158"/>
                        <w:sz w:val="10"/>
                      </w:rPr>
                      <w:t>J</w:t>
                    </w:r>
                    <w:r>
                      <w:rPr>
                        <w:rFonts w:ascii="Verdana" w:hAnsi="Verdana"/>
                        <w:w w:val="126"/>
                        <w:sz w:val="10"/>
                      </w:rPr>
                      <w:t>E</w:t>
                    </w:r>
                    <w:r>
                      <w:rPr>
                        <w:rFonts w:ascii="Verdana" w:hAnsi="Verdana"/>
                        <w:w w:val="130"/>
                        <w:sz w:val="10"/>
                      </w:rPr>
                      <w:t>R</w:t>
                    </w:r>
                    <w:r>
                      <w:rPr>
                        <w:rFonts w:ascii="Verdana" w:hAnsi="Verdana"/>
                        <w:spacing w:val="-1"/>
                        <w:w w:val="126"/>
                        <w:sz w:val="10"/>
                      </w:rPr>
                      <w:t>E</w:t>
                    </w:r>
                    <w:r>
                      <w:rPr>
                        <w:rFonts w:ascii="Verdana" w:hAnsi="Verdana"/>
                        <w:w w:val="108"/>
                        <w:sz w:val="10"/>
                      </w:rPr>
                      <w:t>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Gráfico</w:t>
      </w:r>
      <w:r>
        <w:rPr>
          <w:spacing w:val="11"/>
        </w:rPr>
        <w:t> </w:t>
      </w:r>
      <w:r>
        <w:rPr/>
        <w:t>Nº.</w:t>
      </w:r>
      <w:r>
        <w:rPr>
          <w:spacing w:val="13"/>
        </w:rPr>
        <w:t> </w:t>
      </w:r>
      <w:r>
        <w:rPr/>
        <w:t>Total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población</w:t>
      </w:r>
      <w:r>
        <w:rPr>
          <w:spacing w:val="9"/>
        </w:rPr>
        <w:t> </w:t>
      </w:r>
      <w:r>
        <w:rPr/>
        <w:t>estudiantil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niveles</w:t>
      </w:r>
      <w:r>
        <w:rPr>
          <w:spacing w:val="10"/>
        </w:rPr>
        <w:t> </w:t>
      </w:r>
      <w:r>
        <w:rPr/>
        <w:t>educativos,</w:t>
      </w:r>
      <w:r>
        <w:rPr>
          <w:spacing w:val="11"/>
        </w:rPr>
        <w:t> </w:t>
      </w:r>
      <w:r>
        <w:rPr/>
        <w:t>etnia</w:t>
      </w:r>
      <w:r>
        <w:rPr>
          <w:spacing w:val="10"/>
        </w:rPr>
        <w:t> </w:t>
      </w:r>
      <w:r>
        <w:rPr/>
        <w:t>y</w:t>
      </w:r>
      <w:r>
        <w:rPr>
          <w:spacing w:val="14"/>
        </w:rPr>
        <w:t> </w:t>
      </w:r>
      <w:r>
        <w:rPr/>
        <w:t>sexo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el</w:t>
      </w:r>
      <w:r>
        <w:rPr>
          <w:spacing w:val="11"/>
        </w:rPr>
        <w:t> </w:t>
      </w:r>
      <w:r>
        <w:rPr/>
        <w:t>Departamento</w:t>
      </w:r>
      <w:r>
        <w:rPr>
          <w:spacing w:val="13"/>
        </w:rPr>
        <w:t> </w:t>
      </w:r>
      <w:r>
        <w:rPr/>
        <w:t>de</w:t>
      </w:r>
      <w:r>
        <w:rPr>
          <w:spacing w:val="-47"/>
        </w:rPr>
        <w:t> </w:t>
      </w:r>
      <w:r>
        <w:rPr/>
        <w:t>Quiché</w:t>
      </w:r>
      <w:r>
        <w:rPr>
          <w:spacing w:val="-1"/>
        </w:rPr>
        <w:t> </w:t>
      </w:r>
      <w:r>
        <w:rPr/>
        <w:t>(2017-2021)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pict>
          <v:rect style="position:absolute;margin-left:563.880005pt;margin-top:14.662976pt;width:25.44pt;height:1.4399pt;mso-position-horizontal-relative:page;mso-position-vertical-relative:paragraph;z-index:-1539481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170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48064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5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6"/>
        <w:jc w:val="both"/>
      </w:pPr>
      <w:r>
        <w:rPr/>
        <w:t>Este gráfico muestra el total de la población estudiantil por niveles educativos, etnia y sexo durante el</w:t>
      </w:r>
      <w:r>
        <w:rPr>
          <w:spacing w:val="1"/>
        </w:rPr>
        <w:t> </w:t>
      </w:r>
      <w:r>
        <w:rPr/>
        <w:t>período 2017-2021, para el Departamento de Quiché. Según DIPLAN, (2021), de las cifras anteriores, la</w:t>
      </w:r>
      <w:r>
        <w:rPr>
          <w:spacing w:val="1"/>
        </w:rPr>
        <w:t> </w:t>
      </w:r>
      <w:r>
        <w:rPr/>
        <w:t>proporción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a la</w:t>
      </w:r>
      <w:r>
        <w:rPr>
          <w:spacing w:val="-3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estudiantil</w:t>
      </w:r>
      <w:r>
        <w:rPr>
          <w:spacing w:val="-2"/>
        </w:rPr>
        <w:t> </w:t>
      </w:r>
      <w:r>
        <w:rPr/>
        <w:t>fue</w:t>
      </w:r>
      <w:r>
        <w:rPr>
          <w:spacing w:val="1"/>
        </w:rPr>
        <w:t> </w:t>
      </w:r>
      <w:r>
        <w:rPr/>
        <w:t>como</w:t>
      </w:r>
      <w:r>
        <w:rPr>
          <w:spacing w:val="-2"/>
        </w:rPr>
        <w:t> </w:t>
      </w:r>
      <w:r>
        <w:rPr/>
        <w:t>sigue: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278" w:right="6709"/>
      </w:pPr>
      <w:r>
        <w:rPr/>
        <w:t>Ladinos: 7% de hombres y 6% de mujeres.</w:t>
      </w:r>
      <w:r>
        <w:rPr>
          <w:spacing w:val="-47"/>
        </w:rPr>
        <w:t> </w:t>
      </w:r>
      <w:r>
        <w:rPr/>
        <w:t>Mayas:</w:t>
      </w:r>
      <w:r>
        <w:rPr>
          <w:spacing w:val="-3"/>
        </w:rPr>
        <w:t> </w:t>
      </w:r>
      <w:r>
        <w:rPr/>
        <w:t>41%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hombres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42%</w:t>
      </w:r>
      <w:r>
        <w:rPr>
          <w:spacing w:val="-2"/>
        </w:rPr>
        <w:t> </w:t>
      </w:r>
      <w:r>
        <w:rPr/>
        <w:t>mujeres.</w:t>
      </w:r>
    </w:p>
    <w:p>
      <w:pPr>
        <w:pStyle w:val="BodyText"/>
        <w:spacing w:before="1"/>
      </w:pPr>
    </w:p>
    <w:p>
      <w:pPr>
        <w:pStyle w:val="BodyText"/>
        <w:ind w:left="278" w:right="1069"/>
        <w:jc w:val="both"/>
      </w:pPr>
      <w:r>
        <w:rPr>
          <w:spacing w:val="-1"/>
        </w:rPr>
        <w:t>Al</w:t>
      </w:r>
      <w:r>
        <w:rPr>
          <w:spacing w:val="-10"/>
        </w:rPr>
        <w:t> </w:t>
      </w:r>
      <w:r>
        <w:rPr>
          <w:spacing w:val="-1"/>
        </w:rPr>
        <w:t>comparar</w:t>
      </w:r>
      <w:r>
        <w:rPr>
          <w:spacing w:val="-13"/>
        </w:rPr>
        <w:t> </w:t>
      </w:r>
      <w:r>
        <w:rPr>
          <w:spacing w:val="-1"/>
        </w:rPr>
        <w:t>estos</w:t>
      </w:r>
      <w:r>
        <w:rPr>
          <w:spacing w:val="-9"/>
        </w:rPr>
        <w:t> </w:t>
      </w:r>
      <w:r>
        <w:rPr>
          <w:spacing w:val="-1"/>
        </w:rPr>
        <w:t>resultados</w:t>
      </w:r>
      <w:r>
        <w:rPr>
          <w:spacing w:val="-11"/>
        </w:rPr>
        <w:t> </w:t>
      </w:r>
      <w:r>
        <w:rPr/>
        <w:t>con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información</w:t>
      </w:r>
      <w:r>
        <w:rPr>
          <w:spacing w:val="-10"/>
        </w:rPr>
        <w:t> </w:t>
      </w:r>
      <w:r>
        <w:rPr/>
        <w:t>del</w:t>
      </w:r>
      <w:r>
        <w:rPr>
          <w:spacing w:val="-8"/>
        </w:rPr>
        <w:t> </w:t>
      </w:r>
      <w:r>
        <w:rPr/>
        <w:t>INE,</w:t>
      </w:r>
      <w:r>
        <w:rPr>
          <w:spacing w:val="-9"/>
        </w:rPr>
        <w:t> </w:t>
      </w:r>
      <w:r>
        <w:rPr/>
        <w:t>(2018),</w:t>
      </w:r>
      <w:r>
        <w:rPr>
          <w:spacing w:val="-12"/>
        </w:rPr>
        <w:t> </w:t>
      </w:r>
      <w:r>
        <w:rPr/>
        <w:t>es</w:t>
      </w:r>
      <w:r>
        <w:rPr>
          <w:spacing w:val="-11"/>
        </w:rPr>
        <w:t> </w:t>
      </w:r>
      <w:r>
        <w:rPr/>
        <w:t>posible</w:t>
      </w:r>
      <w:r>
        <w:rPr>
          <w:spacing w:val="-11"/>
        </w:rPr>
        <w:t> </w:t>
      </w:r>
      <w:r>
        <w:rPr/>
        <w:t>evidenciar</w:t>
      </w:r>
      <w:r>
        <w:rPr>
          <w:spacing w:val="-7"/>
        </w:rPr>
        <w:t> </w:t>
      </w:r>
      <w:r>
        <w:rPr/>
        <w:t>que,</w:t>
      </w:r>
      <w:r>
        <w:rPr>
          <w:spacing w:val="-11"/>
        </w:rPr>
        <w:t> </w:t>
      </w:r>
      <w:r>
        <w:rPr/>
        <w:t>si</w:t>
      </w:r>
      <w:r>
        <w:rPr>
          <w:spacing w:val="-11"/>
        </w:rPr>
        <w:t> </w:t>
      </w:r>
      <w:r>
        <w:rPr/>
        <w:t>bien</w:t>
      </w:r>
      <w:r>
        <w:rPr>
          <w:spacing w:val="-12"/>
        </w:rPr>
        <w:t> </w:t>
      </w:r>
      <w:r>
        <w:rPr/>
        <w:t>es</w:t>
      </w:r>
      <w:r>
        <w:rPr>
          <w:spacing w:val="-11"/>
        </w:rPr>
        <w:t> </w:t>
      </w:r>
      <w:r>
        <w:rPr/>
        <w:t>cierto,</w:t>
      </w:r>
      <w:r>
        <w:rPr>
          <w:spacing w:val="-47"/>
        </w:rPr>
        <w:t> </w:t>
      </w:r>
      <w:r>
        <w:rPr/>
        <w:t>si hay participación de las etnias mayoritarias (89% Maya y 11% Ladina), no hay representatividad.</w:t>
      </w:r>
      <w:r>
        <w:rPr>
          <w:spacing w:val="1"/>
        </w:rPr>
        <w:t> </w:t>
      </w:r>
      <w:r>
        <w:rPr/>
        <w:t>Continúan teniendo más oportunidad los ladinos, aunque sean minoría en este departamento. Es decir,</w:t>
      </w:r>
      <w:r>
        <w:rPr>
          <w:spacing w:val="1"/>
        </w:rPr>
        <w:t> </w:t>
      </w:r>
      <w:r>
        <w:rPr/>
        <w:t>un niño o adolescente maya en Quiché no posee la misma oportunidad de estudiar –a diferencia de los</w:t>
      </w:r>
      <w:r>
        <w:rPr>
          <w:spacing w:val="1"/>
        </w:rPr>
        <w:t> </w:t>
      </w:r>
      <w:r>
        <w:rPr/>
        <w:t>Ladinos-,</w:t>
      </w:r>
      <w:r>
        <w:rPr>
          <w:spacing w:val="-11"/>
        </w:rPr>
        <w:t> </w:t>
      </w:r>
      <w:r>
        <w:rPr/>
        <w:t>cuya</w:t>
      </w:r>
      <w:r>
        <w:rPr>
          <w:spacing w:val="-10"/>
        </w:rPr>
        <w:t> </w:t>
      </w:r>
      <w:r>
        <w:rPr/>
        <w:t>participación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sistema</w:t>
      </w:r>
      <w:r>
        <w:rPr>
          <w:spacing w:val="-11"/>
        </w:rPr>
        <w:t> </w:t>
      </w:r>
      <w:r>
        <w:rPr/>
        <w:t>educativo</w:t>
      </w:r>
      <w:r>
        <w:rPr>
          <w:spacing w:val="-10"/>
        </w:rPr>
        <w:t> </w:t>
      </w:r>
      <w:r>
        <w:rPr/>
        <w:t>es</w:t>
      </w:r>
      <w:r>
        <w:rPr>
          <w:spacing w:val="-8"/>
        </w:rPr>
        <w:t> </w:t>
      </w:r>
      <w:r>
        <w:rPr/>
        <w:t>mayor.</w:t>
      </w:r>
      <w:r>
        <w:rPr>
          <w:spacing w:val="-9"/>
        </w:rPr>
        <w:t> </w:t>
      </w:r>
      <w:r>
        <w:rPr/>
        <w:t>Esto</w:t>
      </w:r>
      <w:r>
        <w:rPr>
          <w:spacing w:val="-10"/>
        </w:rPr>
        <w:t> </w:t>
      </w:r>
      <w:r>
        <w:rPr/>
        <w:t>quiere</w:t>
      </w:r>
      <w:r>
        <w:rPr>
          <w:spacing w:val="-10"/>
        </w:rPr>
        <w:t> </w:t>
      </w:r>
      <w:r>
        <w:rPr/>
        <w:t>decir</w:t>
      </w:r>
      <w:r>
        <w:rPr>
          <w:spacing w:val="-10"/>
        </w:rPr>
        <w:t> </w:t>
      </w:r>
      <w:r>
        <w:rPr/>
        <w:t>que,</w:t>
      </w:r>
      <w:r>
        <w:rPr>
          <w:spacing w:val="-8"/>
        </w:rPr>
        <w:t> </w:t>
      </w:r>
      <w:r>
        <w:rPr/>
        <w:t>se</w:t>
      </w:r>
      <w:r>
        <w:rPr>
          <w:spacing w:val="-10"/>
        </w:rPr>
        <w:t> </w:t>
      </w:r>
      <w:r>
        <w:rPr/>
        <w:t>sigue</w:t>
      </w:r>
      <w:r>
        <w:rPr>
          <w:spacing w:val="-10"/>
        </w:rPr>
        <w:t> </w:t>
      </w:r>
      <w:r>
        <w:rPr/>
        <w:t>privilegiando</w:t>
      </w:r>
      <w:r>
        <w:rPr>
          <w:spacing w:val="-48"/>
        </w:rPr>
        <w:t> </w:t>
      </w:r>
      <w:r>
        <w:rPr/>
        <w:t>el acceso a la educación de la etnia Ladina. Por tanto, es factible argumentar que se debe fortalecer la</w:t>
      </w:r>
      <w:r>
        <w:rPr>
          <w:spacing w:val="1"/>
        </w:rPr>
        <w:t> </w:t>
      </w:r>
      <w:r>
        <w:rPr/>
        <w:t>pertinencia cultural</w:t>
      </w:r>
      <w:r>
        <w:rPr>
          <w:spacing w:val="-3"/>
        </w:rPr>
        <w:t> </w:t>
      </w:r>
      <w:r>
        <w:rPr/>
        <w:t>de los</w:t>
      </w:r>
      <w:r>
        <w:rPr>
          <w:spacing w:val="-2"/>
        </w:rPr>
        <w:t> </w:t>
      </w:r>
      <w:r>
        <w:rPr/>
        <w:t>pueblos</w:t>
      </w:r>
      <w:r>
        <w:rPr>
          <w:spacing w:val="-2"/>
        </w:rPr>
        <w:t> </w:t>
      </w:r>
      <w:r>
        <w:rPr/>
        <w:t>mayoritarios.</w:t>
      </w:r>
    </w:p>
    <w:p>
      <w:pPr>
        <w:pStyle w:val="BodyText"/>
      </w:pPr>
    </w:p>
    <w:p>
      <w:pPr>
        <w:pStyle w:val="BodyText"/>
        <w:spacing w:before="1"/>
        <w:ind w:left="278" w:right="1072"/>
        <w:jc w:val="both"/>
      </w:pPr>
      <w:r>
        <w:rPr/>
        <w:t>Por otra parte, respecto del sexo se sigue presentando una brecha de atención en dónde la participación</w:t>
      </w:r>
      <w:r>
        <w:rPr>
          <w:spacing w:val="1"/>
        </w:rPr>
        <w:t> </w:t>
      </w:r>
      <w:r>
        <w:rPr/>
        <w:t>del</w:t>
      </w:r>
      <w:r>
        <w:rPr>
          <w:spacing w:val="-5"/>
        </w:rPr>
        <w:t> </w:t>
      </w:r>
      <w:r>
        <w:rPr/>
        <w:t>hombre</w:t>
      </w:r>
      <w:r>
        <w:rPr>
          <w:spacing w:val="-10"/>
        </w:rPr>
        <w:t> </w:t>
      </w:r>
      <w:r>
        <w:rPr/>
        <w:t>Maya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Ladino,</w:t>
      </w:r>
      <w:r>
        <w:rPr>
          <w:spacing w:val="-7"/>
        </w:rPr>
        <w:t> </w:t>
      </w:r>
      <w:r>
        <w:rPr/>
        <w:t>es</w:t>
      </w:r>
      <w:r>
        <w:rPr>
          <w:spacing w:val="-7"/>
        </w:rPr>
        <w:t> </w:t>
      </w:r>
      <w:r>
        <w:rPr/>
        <w:t>mayor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mujer</w:t>
      </w:r>
      <w:r>
        <w:rPr>
          <w:spacing w:val="-8"/>
        </w:rPr>
        <w:t> </w:t>
      </w:r>
      <w:r>
        <w:rPr/>
        <w:t>-para</w:t>
      </w:r>
      <w:r>
        <w:rPr>
          <w:spacing w:val="-9"/>
        </w:rPr>
        <w:t> </w:t>
      </w:r>
      <w:r>
        <w:rPr/>
        <w:t>ambas</w:t>
      </w:r>
      <w:r>
        <w:rPr>
          <w:spacing w:val="-9"/>
        </w:rPr>
        <w:t> </w:t>
      </w:r>
      <w:r>
        <w:rPr/>
        <w:t>etnias-;</w:t>
      </w:r>
      <w:r>
        <w:rPr>
          <w:spacing w:val="-7"/>
        </w:rPr>
        <w:t> </w:t>
      </w:r>
      <w:r>
        <w:rPr/>
        <w:t>sobre</w:t>
      </w:r>
      <w:r>
        <w:rPr>
          <w:spacing w:val="-10"/>
        </w:rPr>
        <w:t> </w:t>
      </w:r>
      <w:r>
        <w:rPr/>
        <w:t>todo</w:t>
      </w:r>
      <w:r>
        <w:rPr>
          <w:spacing w:val="-7"/>
        </w:rPr>
        <w:t> </w:t>
      </w:r>
      <w:r>
        <w:rPr/>
        <w:t>considerando</w:t>
      </w:r>
      <w:r>
        <w:rPr>
          <w:spacing w:val="-4"/>
        </w:rPr>
        <w:t> </w:t>
      </w:r>
      <w:r>
        <w:rPr/>
        <w:t>que</w:t>
      </w:r>
      <w:r>
        <w:rPr>
          <w:spacing w:val="-47"/>
        </w:rPr>
        <w:t> </w:t>
      </w:r>
      <w:r>
        <w:rPr/>
        <w:t>posee</w:t>
      </w:r>
      <w:r>
        <w:rPr>
          <w:spacing w:val="-3"/>
        </w:rPr>
        <w:t> </w:t>
      </w:r>
      <w:r>
        <w:rPr/>
        <w:t>mayor participación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mujeres</w:t>
      </w:r>
      <w:r>
        <w:rPr>
          <w:spacing w:val="-2"/>
        </w:rPr>
        <w:t> </w:t>
      </w:r>
      <w:r>
        <w:rPr/>
        <w:t>(52%).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  <w:r>
        <w:rPr/>
        <w:pict>
          <v:rect style="position:absolute;margin-left:563.880005pt;margin-top:19.821304pt;width:25.44pt;height:1.4399pt;mso-position-horizontal-relative:page;mso-position-vertical-relative:paragraph;z-index:-1539328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171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49600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6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1"/>
          <w:numId w:val="36"/>
        </w:numPr>
        <w:tabs>
          <w:tab w:pos="855" w:val="left" w:leader="none"/>
        </w:tabs>
        <w:spacing w:line="240" w:lineRule="auto" w:before="52" w:after="0"/>
        <w:ind w:left="854" w:right="0" w:hanging="577"/>
        <w:jc w:val="left"/>
      </w:pPr>
      <w:bookmarkStart w:name="_bookmark209" w:id="351"/>
      <w:bookmarkEnd w:id="351"/>
      <w:r>
        <w:rPr>
          <w:b w:val="0"/>
        </w:rPr>
      </w:r>
      <w:bookmarkStart w:name="_bookmark209" w:id="352"/>
      <w:bookmarkEnd w:id="352"/>
      <w:r>
        <w:rPr>
          <w:color w:val="1F4E79"/>
        </w:rPr>
        <w:t>R</w:t>
      </w:r>
      <w:r>
        <w:rPr>
          <w:color w:val="1F4E79"/>
        </w:rPr>
        <w:t>etalhuleu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2"/>
          <w:numId w:val="36"/>
        </w:numPr>
        <w:tabs>
          <w:tab w:pos="999" w:val="left" w:leader="none"/>
        </w:tabs>
        <w:spacing w:line="240" w:lineRule="auto" w:before="187" w:after="0"/>
        <w:ind w:left="998" w:right="0" w:hanging="721"/>
        <w:jc w:val="left"/>
        <w:rPr>
          <w:b/>
          <w:sz w:val="24"/>
        </w:rPr>
      </w:pPr>
      <w:bookmarkStart w:name="_bookmark210" w:id="353"/>
      <w:bookmarkEnd w:id="353"/>
      <w:r>
        <w:rPr/>
      </w:r>
      <w:bookmarkStart w:name="_bookmark210" w:id="354"/>
      <w:bookmarkEnd w:id="354"/>
      <w:r>
        <w:rPr>
          <w:b/>
          <w:sz w:val="24"/>
        </w:rPr>
        <w:t>Inf</w:t>
      </w:r>
      <w:r>
        <w:rPr>
          <w:b/>
          <w:sz w:val="24"/>
        </w:rPr>
        <w:t>ormación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General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68"/>
        <w:jc w:val="both"/>
      </w:pPr>
      <w:r>
        <w:rPr/>
        <w:t>De</w:t>
      </w:r>
      <w:r>
        <w:rPr>
          <w:spacing w:val="-6"/>
        </w:rPr>
        <w:t> </w:t>
      </w:r>
      <w:r>
        <w:rPr/>
        <w:t>acuerdo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INE</w:t>
      </w:r>
      <w:r>
        <w:rPr>
          <w:spacing w:val="-8"/>
        </w:rPr>
        <w:t> </w:t>
      </w:r>
      <w:r>
        <w:rPr/>
        <w:t>(2018)</w:t>
      </w:r>
      <w:r>
        <w:rPr>
          <w:spacing w:val="-5"/>
        </w:rPr>
        <w:t> </w:t>
      </w:r>
      <w:r>
        <w:rPr/>
        <w:t>Retalhuleu</w:t>
      </w:r>
      <w:r>
        <w:rPr>
          <w:spacing w:val="-6"/>
        </w:rPr>
        <w:t> </w:t>
      </w:r>
      <w:r>
        <w:rPr/>
        <w:t>posee</w:t>
      </w:r>
      <w:r>
        <w:rPr>
          <w:spacing w:val="-5"/>
        </w:rPr>
        <w:t> </w:t>
      </w:r>
      <w:r>
        <w:rPr/>
        <w:t>una</w:t>
      </w:r>
      <w:r>
        <w:rPr>
          <w:spacing w:val="-6"/>
        </w:rPr>
        <w:t> </w:t>
      </w:r>
      <w:r>
        <w:rPr/>
        <w:t>población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326,828</w:t>
      </w:r>
      <w:r>
        <w:rPr>
          <w:spacing w:val="-5"/>
        </w:rPr>
        <w:t> </w:t>
      </w:r>
      <w:r>
        <w:rPr/>
        <w:t>habitantes</w:t>
      </w:r>
      <w:r>
        <w:rPr>
          <w:spacing w:val="-6"/>
        </w:rPr>
        <w:t> </w:t>
      </w:r>
      <w:r>
        <w:rPr/>
        <w:t>integrado</w:t>
      </w:r>
      <w:r>
        <w:rPr>
          <w:spacing w:val="-4"/>
        </w:rPr>
        <w:t> </w:t>
      </w:r>
      <w:r>
        <w:rPr/>
        <w:t>por</w:t>
      </w:r>
      <w:r>
        <w:rPr>
          <w:spacing w:val="-8"/>
        </w:rPr>
        <w:t> </w:t>
      </w:r>
      <w:r>
        <w:rPr/>
        <w:t>el</w:t>
      </w:r>
      <w:r>
        <w:rPr>
          <w:spacing w:val="-5"/>
        </w:rPr>
        <w:t> </w:t>
      </w:r>
      <w:r>
        <w:rPr/>
        <w:t>51%</w:t>
      </w:r>
      <w:r>
        <w:rPr>
          <w:spacing w:val="-47"/>
        </w:rPr>
        <w:t> </w:t>
      </w:r>
      <w:r>
        <w:rPr/>
        <w:t>de</w:t>
      </w:r>
      <w:r>
        <w:rPr>
          <w:spacing w:val="-3"/>
        </w:rPr>
        <w:t> </w:t>
      </w:r>
      <w:r>
        <w:rPr/>
        <w:t>mujeres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49%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hombres.</w:t>
      </w:r>
      <w:r>
        <w:rPr>
          <w:spacing w:val="-3"/>
        </w:rPr>
        <w:t> </w:t>
      </w:r>
      <w:r>
        <w:rPr/>
        <w:t>Cabe</w:t>
      </w:r>
      <w:r>
        <w:rPr>
          <w:spacing w:val="-3"/>
        </w:rPr>
        <w:t> </w:t>
      </w:r>
      <w:r>
        <w:rPr/>
        <w:t>destacar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el</w:t>
      </w:r>
      <w:r>
        <w:rPr>
          <w:spacing w:val="-2"/>
        </w:rPr>
        <w:t> </w:t>
      </w:r>
      <w:r>
        <w:rPr/>
        <w:t>44%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población</w:t>
      </w:r>
      <w:r>
        <w:rPr>
          <w:spacing w:val="-3"/>
        </w:rPr>
        <w:t> </w:t>
      </w:r>
      <w:r>
        <w:rPr/>
        <w:t>es</w:t>
      </w:r>
      <w:r>
        <w:rPr>
          <w:spacing w:val="-2"/>
        </w:rPr>
        <w:t> </w:t>
      </w:r>
      <w:r>
        <w:rPr/>
        <w:t>niño</w:t>
      </w:r>
      <w:r>
        <w:rPr>
          <w:spacing w:val="-4"/>
        </w:rPr>
        <w:t> </w:t>
      </w:r>
      <w:r>
        <w:rPr/>
        <w:t>o</w:t>
      </w:r>
      <w:r>
        <w:rPr>
          <w:spacing w:val="-2"/>
        </w:rPr>
        <w:t> </w:t>
      </w:r>
      <w:r>
        <w:rPr/>
        <w:t>adolescente,</w:t>
      </w:r>
      <w:r>
        <w:rPr>
          <w:spacing w:val="-5"/>
        </w:rPr>
        <w:t> </w:t>
      </w:r>
      <w:r>
        <w:rPr/>
        <w:t>ya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47"/>
        </w:rPr>
        <w:t> </w:t>
      </w:r>
      <w:r>
        <w:rPr/>
        <w:t>encuentran</w:t>
      </w:r>
      <w:r>
        <w:rPr>
          <w:spacing w:val="-9"/>
        </w:rPr>
        <w:t> </w:t>
      </w:r>
      <w:r>
        <w:rPr/>
        <w:t>entre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rango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0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19</w:t>
      </w:r>
      <w:r>
        <w:rPr>
          <w:spacing w:val="-6"/>
        </w:rPr>
        <w:t> </w:t>
      </w:r>
      <w:r>
        <w:rPr/>
        <w:t>años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edad.</w:t>
      </w:r>
      <w:r>
        <w:rPr>
          <w:spacing w:val="36"/>
        </w:rPr>
        <w:t> </w:t>
      </w:r>
      <w:r>
        <w:rPr/>
        <w:t>De</w:t>
      </w:r>
      <w:r>
        <w:rPr>
          <w:spacing w:val="-9"/>
        </w:rPr>
        <w:t> </w:t>
      </w:r>
      <w:r>
        <w:rPr/>
        <w:t>este</w:t>
      </w:r>
      <w:r>
        <w:rPr>
          <w:spacing w:val="-9"/>
        </w:rPr>
        <w:t> </w:t>
      </w:r>
      <w:r>
        <w:rPr/>
        <w:t>total,</w:t>
      </w:r>
      <w:r>
        <w:rPr>
          <w:spacing w:val="-6"/>
        </w:rPr>
        <w:t> </w:t>
      </w:r>
      <w:r>
        <w:rPr/>
        <w:t>el</w:t>
      </w:r>
      <w:r>
        <w:rPr>
          <w:spacing w:val="-9"/>
        </w:rPr>
        <w:t> </w:t>
      </w:r>
      <w:r>
        <w:rPr/>
        <w:t>57%</w:t>
      </w:r>
      <w:r>
        <w:rPr>
          <w:spacing w:val="-6"/>
        </w:rPr>
        <w:t> </w:t>
      </w:r>
      <w:r>
        <w:rPr/>
        <w:t>reside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/>
        <w:t>área</w:t>
      </w:r>
      <w:r>
        <w:rPr>
          <w:spacing w:val="-6"/>
        </w:rPr>
        <w:t> </w:t>
      </w:r>
      <w:r>
        <w:rPr/>
        <w:t>urbana,</w:t>
      </w:r>
      <w:r>
        <w:rPr>
          <w:spacing w:val="-10"/>
        </w:rPr>
        <w:t> </w:t>
      </w:r>
      <w:r>
        <w:rPr/>
        <w:t>mientras</w:t>
      </w:r>
      <w:r>
        <w:rPr>
          <w:spacing w:val="-47"/>
        </w:rPr>
        <w:t> </w:t>
      </w:r>
      <w:r>
        <w:rPr/>
        <w:t>que el restante 43% es del área rural. De ellos, el 85% se reconoce mayoritariamente como Ladina, y el</w:t>
      </w:r>
      <w:r>
        <w:rPr>
          <w:spacing w:val="1"/>
        </w:rPr>
        <w:t> </w:t>
      </w:r>
      <w:r>
        <w:rPr/>
        <w:t>15%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etnia</w:t>
      </w:r>
      <w:r>
        <w:rPr>
          <w:spacing w:val="-3"/>
        </w:rPr>
        <w:t> </w:t>
      </w:r>
      <w:r>
        <w:rPr/>
        <w:t>Maya.</w:t>
      </w:r>
    </w:p>
    <w:p>
      <w:pPr>
        <w:pStyle w:val="BodyText"/>
        <w:spacing w:before="1"/>
      </w:pPr>
    </w:p>
    <w:p>
      <w:pPr>
        <w:pStyle w:val="BodyText"/>
        <w:spacing w:before="1"/>
        <w:ind w:left="278"/>
        <w:jc w:val="both"/>
      </w:pPr>
      <w:r>
        <w:rPr/>
        <w:t>Por</w:t>
      </w:r>
      <w:r>
        <w:rPr>
          <w:spacing w:val="-4"/>
        </w:rPr>
        <w:t> </w:t>
      </w:r>
      <w:r>
        <w:rPr/>
        <w:t>otro</w:t>
      </w:r>
      <w:r>
        <w:rPr>
          <w:spacing w:val="-1"/>
        </w:rPr>
        <w:t> </w:t>
      </w:r>
      <w:r>
        <w:rPr/>
        <w:t>lado, la comunidad</w:t>
      </w:r>
      <w:r>
        <w:rPr>
          <w:spacing w:val="-1"/>
        </w:rPr>
        <w:t> </w:t>
      </w:r>
      <w:r>
        <w:rPr/>
        <w:t>maya lingüística</w:t>
      </w:r>
      <w:r>
        <w:rPr>
          <w:spacing w:val="-1"/>
        </w:rPr>
        <w:t> </w:t>
      </w:r>
      <w:r>
        <w:rPr/>
        <w:t>dominante es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K’iché’</w:t>
      </w:r>
      <w:r>
        <w:rPr>
          <w:spacing w:val="-3"/>
        </w:rPr>
        <w:t> </w:t>
      </w:r>
      <w:r>
        <w:rPr/>
        <w:t>(56%),</w:t>
      </w:r>
      <w:r>
        <w:rPr>
          <w:spacing w:val="-2"/>
        </w:rPr>
        <w:t> </w:t>
      </w:r>
      <w:r>
        <w:rPr/>
        <w:t>Mam</w:t>
      </w:r>
      <w:r>
        <w:rPr>
          <w:spacing w:val="-3"/>
        </w:rPr>
        <w:t> </w:t>
      </w:r>
      <w:r>
        <w:rPr/>
        <w:t>(37%)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Kaqchikel</w:t>
      </w:r>
      <w:r>
        <w:rPr>
          <w:spacing w:val="-3"/>
        </w:rPr>
        <w:t> </w:t>
      </w:r>
      <w:r>
        <w:rPr/>
        <w:t>(3%).</w:t>
      </w:r>
    </w:p>
    <w:p>
      <w:pPr>
        <w:pStyle w:val="BodyText"/>
        <w:spacing w:before="8"/>
        <w:rPr>
          <w:sz w:val="19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211" w:id="355"/>
      <w:bookmarkEnd w:id="355"/>
      <w:r>
        <w:rPr>
          <w:b w:val="0"/>
        </w:rPr>
      </w:r>
      <w:bookmarkStart w:name="_bookmark211" w:id="356"/>
      <w:bookmarkEnd w:id="356"/>
      <w:r>
        <w:rPr/>
        <w:t>Situ</w:t>
      </w:r>
      <w:r>
        <w:rPr/>
        <w:t>ación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Sistema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Nacional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ind w:left="278" w:right="1073"/>
        <w:jc w:val="both"/>
      </w:pPr>
      <w:r>
        <w:rPr>
          <w:spacing w:val="-1"/>
        </w:rPr>
        <w:t>Retalhuleu</w:t>
      </w:r>
      <w:r>
        <w:rPr>
          <w:spacing w:val="-12"/>
        </w:rPr>
        <w:t> </w:t>
      </w:r>
      <w:r>
        <w:rPr/>
        <w:t>muestra</w:t>
      </w:r>
      <w:r>
        <w:rPr>
          <w:spacing w:val="-12"/>
        </w:rPr>
        <w:t> </w:t>
      </w:r>
      <w:r>
        <w:rPr/>
        <w:t>cifras</w:t>
      </w:r>
      <w:r>
        <w:rPr>
          <w:spacing w:val="-12"/>
        </w:rPr>
        <w:t> </w:t>
      </w:r>
      <w:r>
        <w:rPr/>
        <w:t>similares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comportamiento</w:t>
      </w:r>
      <w:r>
        <w:rPr>
          <w:spacing w:val="-10"/>
        </w:rPr>
        <w:t> </w:t>
      </w:r>
      <w:r>
        <w:rPr/>
        <w:t>promedio</w:t>
      </w:r>
      <w:r>
        <w:rPr>
          <w:spacing w:val="-11"/>
        </w:rPr>
        <w:t> </w:t>
      </w:r>
      <w:r>
        <w:rPr/>
        <w:t>nacional.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educación</w:t>
      </w:r>
      <w:r>
        <w:rPr>
          <w:spacing w:val="-10"/>
        </w:rPr>
        <w:t> </w:t>
      </w:r>
      <w:r>
        <w:rPr/>
        <w:t>primaria</w:t>
      </w:r>
      <w:r>
        <w:rPr>
          <w:spacing w:val="-12"/>
        </w:rPr>
        <w:t> </w:t>
      </w:r>
      <w:r>
        <w:rPr/>
        <w:t>es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que</w:t>
      </w:r>
      <w:r>
        <w:rPr>
          <w:spacing w:val="-48"/>
        </w:rPr>
        <w:t> </w:t>
      </w:r>
      <w:r>
        <w:rPr/>
        <w:t>reporta mayor crecimiento con una importante cantidad de estudiantes registrados, seguido por el nivel</w:t>
      </w:r>
      <w:r>
        <w:rPr>
          <w:spacing w:val="1"/>
        </w:rPr>
        <w:t> </w:t>
      </w:r>
      <w:r>
        <w:rPr/>
        <w:t>preprimaria, básico y diversificado. La cantidad cae drásticamente en el diversificado, con respecto del</w:t>
      </w:r>
      <w:r>
        <w:rPr>
          <w:spacing w:val="1"/>
        </w:rPr>
        <w:t> </w:t>
      </w:r>
      <w:r>
        <w:rPr/>
        <w:t>nivel</w:t>
      </w:r>
      <w:r>
        <w:rPr>
          <w:spacing w:val="-1"/>
        </w:rPr>
        <w:t> </w:t>
      </w:r>
      <w:r>
        <w:rPr/>
        <w:t>procedente.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manera</w:t>
      </w:r>
      <w:r>
        <w:rPr>
          <w:spacing w:val="-1"/>
        </w:rPr>
        <w:t> </w:t>
      </w:r>
      <w:r>
        <w:rPr/>
        <w:t>de referencia,</w:t>
      </w:r>
      <w:r>
        <w:rPr>
          <w:spacing w:val="-3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presentan</w:t>
      </w:r>
      <w:r>
        <w:rPr>
          <w:spacing w:val="-2"/>
        </w:rPr>
        <w:t> </w:t>
      </w:r>
      <w:r>
        <w:rPr/>
        <w:t>los datos</w:t>
      </w:r>
      <w:r>
        <w:rPr>
          <w:spacing w:val="-3"/>
        </w:rPr>
        <w:t> </w:t>
      </w:r>
      <w:r>
        <w:rPr/>
        <w:t>absolutos para</w:t>
      </w:r>
      <w:r>
        <w:rPr>
          <w:spacing w:val="-5"/>
        </w:rPr>
        <w:t> </w:t>
      </w:r>
      <w:r>
        <w:rPr/>
        <w:t>este</w:t>
      </w:r>
      <w:r>
        <w:rPr>
          <w:spacing w:val="-2"/>
        </w:rPr>
        <w:t> </w:t>
      </w:r>
      <w:r>
        <w:rPr/>
        <w:t>Departamento.</w:t>
      </w:r>
    </w:p>
    <w:p>
      <w:pPr>
        <w:pStyle w:val="BodyText"/>
        <w:spacing w:before="1"/>
      </w:pPr>
    </w:p>
    <w:p>
      <w:pPr>
        <w:pStyle w:val="BodyText"/>
        <w:spacing w:before="1" w:after="5"/>
        <w:ind w:left="278"/>
        <w:jc w:val="both"/>
      </w:pPr>
      <w:r>
        <w:rPr/>
        <w:t>Tabla</w:t>
      </w:r>
      <w:r>
        <w:rPr>
          <w:spacing w:val="-2"/>
        </w:rPr>
        <w:t> </w:t>
      </w:r>
      <w:r>
        <w:rPr/>
        <w:t>Nº.</w:t>
      </w:r>
      <w:r>
        <w:rPr>
          <w:spacing w:val="-1"/>
        </w:rPr>
        <w:t> </w:t>
      </w:r>
      <w:r>
        <w:rPr/>
        <w:t>Total</w:t>
      </w:r>
      <w:r>
        <w:rPr>
          <w:spacing w:val="-2"/>
        </w:rPr>
        <w:t> </w:t>
      </w:r>
      <w:r>
        <w:rPr/>
        <w:t>de estudiantes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Nivel</w:t>
      </w:r>
      <w:r>
        <w:rPr>
          <w:spacing w:val="-2"/>
        </w:rPr>
        <w:t> </w:t>
      </w:r>
      <w:r>
        <w:rPr/>
        <w:t>Educativo para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Retalhuleu</w:t>
      </w:r>
      <w:r>
        <w:rPr>
          <w:spacing w:val="-2"/>
        </w:rPr>
        <w:t> </w:t>
      </w:r>
      <w:r>
        <w:rPr/>
        <w:t>(2017</w:t>
      </w:r>
      <w:r>
        <w:rPr>
          <w:spacing w:val="-3"/>
        </w:rPr>
        <w:t> </w:t>
      </w:r>
      <w:r>
        <w:rPr/>
        <w:t>al</w:t>
      </w:r>
      <w:r>
        <w:rPr>
          <w:spacing w:val="-4"/>
        </w:rPr>
        <w:t> </w:t>
      </w:r>
      <w:r>
        <w:rPr/>
        <w:t>2021)</w:t>
      </w:r>
    </w:p>
    <w:tbl>
      <w:tblPr>
        <w:tblW w:w="0" w:type="auto"/>
        <w:jc w:val="left"/>
        <w:tblInd w:w="3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3"/>
        <w:gridCol w:w="1422"/>
        <w:gridCol w:w="980"/>
        <w:gridCol w:w="1947"/>
        <w:gridCol w:w="732"/>
        <w:gridCol w:w="1365"/>
        <w:gridCol w:w="1196"/>
      </w:tblGrid>
      <w:tr>
        <w:trPr>
          <w:trHeight w:val="417" w:hRule="atLeast"/>
        </w:trPr>
        <w:tc>
          <w:tcPr>
            <w:tcW w:w="1173" w:type="dxa"/>
            <w:tcBorders>
              <w:bottom w:val="single" w:sz="8" w:space="0" w:color="8EA9DB"/>
            </w:tcBorders>
            <w:shd w:val="clear" w:color="auto" w:fill="D9E0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2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80" w:lineRule="exact"/>
              <w:ind w:left="136" w:right="5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PREPRIMARIA</w:t>
            </w:r>
          </w:p>
        </w:tc>
        <w:tc>
          <w:tcPr>
            <w:tcW w:w="980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80" w:lineRule="exact"/>
              <w:ind w:left="87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PRIMARIA</w:t>
            </w:r>
          </w:p>
        </w:tc>
        <w:tc>
          <w:tcPr>
            <w:tcW w:w="1947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80" w:lineRule="exact"/>
              <w:ind w:left="48" w:right="2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pacing w:val="-8"/>
                <w:sz w:val="17"/>
              </w:rPr>
              <w:t>PRIMARIA</w:t>
            </w:r>
            <w:r>
              <w:rPr>
                <w:rFonts w:ascii="Arial"/>
                <w:b/>
                <w:color w:val="FFFFFF"/>
                <w:spacing w:val="2"/>
                <w:sz w:val="17"/>
              </w:rPr>
              <w:t> </w:t>
            </w:r>
            <w:r>
              <w:rPr>
                <w:rFonts w:ascii="Arial"/>
                <w:b/>
                <w:color w:val="FFFFFF"/>
                <w:spacing w:val="-8"/>
                <w:sz w:val="17"/>
              </w:rPr>
              <w:t>DE</w:t>
            </w:r>
            <w:r>
              <w:rPr>
                <w:rFonts w:ascii="Arial"/>
                <w:b/>
                <w:color w:val="FFFFFF"/>
                <w:spacing w:val="-27"/>
                <w:sz w:val="17"/>
              </w:rPr>
              <w:t> </w:t>
            </w:r>
            <w:r>
              <w:rPr>
                <w:rFonts w:ascii="Arial"/>
                <w:b/>
                <w:color w:val="FFFFFF"/>
                <w:spacing w:val="-8"/>
                <w:sz w:val="17"/>
              </w:rPr>
              <w:t>ADULTOS</w:t>
            </w:r>
          </w:p>
        </w:tc>
        <w:tc>
          <w:tcPr>
            <w:tcW w:w="732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80" w:lineRule="exact"/>
              <w:ind w:left="6" w:righ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BASICO</w:t>
            </w:r>
          </w:p>
        </w:tc>
        <w:tc>
          <w:tcPr>
            <w:tcW w:w="1365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80" w:lineRule="exact"/>
              <w:ind w:left="14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pacing w:val="-2"/>
                <w:sz w:val="17"/>
              </w:rPr>
              <w:t>DIVERSIFICADO</w:t>
            </w:r>
          </w:p>
        </w:tc>
        <w:tc>
          <w:tcPr>
            <w:tcW w:w="1196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80" w:lineRule="exact"/>
              <w:ind w:right="7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pacing w:val="-1"/>
                <w:sz w:val="17"/>
              </w:rPr>
              <w:t>Tota</w:t>
            </w:r>
            <w:r>
              <w:rPr>
                <w:rFonts w:ascii="Arial"/>
                <w:b/>
                <w:color w:val="FFFFFF"/>
                <w:spacing w:val="-32"/>
                <w:sz w:val="17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7"/>
              </w:rPr>
              <w:t>l</w:t>
            </w:r>
            <w:r>
              <w:rPr>
                <w:rFonts w:ascii="Arial"/>
                <w:b/>
                <w:color w:val="FFFFFF"/>
                <w:spacing w:val="-7"/>
                <w:sz w:val="17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7"/>
              </w:rPr>
              <w:t>general</w:t>
            </w:r>
          </w:p>
        </w:tc>
      </w:tr>
      <w:tr>
        <w:trPr>
          <w:trHeight w:val="184" w:hRule="atLeast"/>
        </w:trPr>
        <w:tc>
          <w:tcPr>
            <w:tcW w:w="1173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2" w:lineRule="exact"/>
              <w:ind w:left="420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2017</w:t>
            </w:r>
          </w:p>
        </w:tc>
        <w:tc>
          <w:tcPr>
            <w:tcW w:w="1422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2" w:lineRule="exact"/>
              <w:ind w:left="136" w:right="53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16,097</w:t>
            </w:r>
          </w:p>
        </w:tc>
        <w:tc>
          <w:tcPr>
            <w:tcW w:w="980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2" w:lineRule="exact"/>
              <w:ind w:left="108" w:right="12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49,679</w:t>
            </w:r>
          </w:p>
        </w:tc>
        <w:tc>
          <w:tcPr>
            <w:tcW w:w="1947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2" w:lineRule="exact"/>
              <w:ind w:left="35" w:right="27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445</w:t>
            </w:r>
          </w:p>
        </w:tc>
        <w:tc>
          <w:tcPr>
            <w:tcW w:w="732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2" w:lineRule="exact"/>
              <w:ind w:left="6" w:right="14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18,532</w:t>
            </w:r>
          </w:p>
        </w:tc>
        <w:tc>
          <w:tcPr>
            <w:tcW w:w="1365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2" w:lineRule="exact"/>
              <w:ind w:left="41" w:right="4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10,920</w:t>
            </w:r>
          </w:p>
        </w:tc>
        <w:tc>
          <w:tcPr>
            <w:tcW w:w="1196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2" w:lineRule="exact"/>
              <w:ind w:right="32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95,673</w:t>
            </w:r>
          </w:p>
        </w:tc>
      </w:tr>
      <w:tr>
        <w:trPr>
          <w:trHeight w:val="202" w:hRule="atLeast"/>
        </w:trPr>
        <w:tc>
          <w:tcPr>
            <w:tcW w:w="1173" w:type="dxa"/>
          </w:tcPr>
          <w:p>
            <w:pPr>
              <w:pStyle w:val="TableParagraph"/>
              <w:spacing w:line="172" w:lineRule="exact" w:before="10"/>
              <w:ind w:left="420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2018</w:t>
            </w:r>
          </w:p>
        </w:tc>
        <w:tc>
          <w:tcPr>
            <w:tcW w:w="1422" w:type="dxa"/>
          </w:tcPr>
          <w:p>
            <w:pPr>
              <w:pStyle w:val="TableParagraph"/>
              <w:spacing w:line="172" w:lineRule="exact" w:before="10"/>
              <w:ind w:left="136" w:right="53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16,803</w:t>
            </w:r>
          </w:p>
        </w:tc>
        <w:tc>
          <w:tcPr>
            <w:tcW w:w="980" w:type="dxa"/>
          </w:tcPr>
          <w:p>
            <w:pPr>
              <w:pStyle w:val="TableParagraph"/>
              <w:spacing w:line="172" w:lineRule="exact" w:before="10"/>
              <w:ind w:left="108" w:right="12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50,283</w:t>
            </w:r>
          </w:p>
        </w:tc>
        <w:tc>
          <w:tcPr>
            <w:tcW w:w="1947" w:type="dxa"/>
          </w:tcPr>
          <w:p>
            <w:pPr>
              <w:pStyle w:val="TableParagraph"/>
              <w:spacing w:line="172" w:lineRule="exact" w:before="10"/>
              <w:ind w:left="35" w:right="27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477</w:t>
            </w:r>
          </w:p>
        </w:tc>
        <w:tc>
          <w:tcPr>
            <w:tcW w:w="732" w:type="dxa"/>
          </w:tcPr>
          <w:p>
            <w:pPr>
              <w:pStyle w:val="TableParagraph"/>
              <w:spacing w:line="172" w:lineRule="exact" w:before="10"/>
              <w:ind w:left="6" w:right="14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19,149</w:t>
            </w:r>
          </w:p>
        </w:tc>
        <w:tc>
          <w:tcPr>
            <w:tcW w:w="1365" w:type="dxa"/>
          </w:tcPr>
          <w:p>
            <w:pPr>
              <w:pStyle w:val="TableParagraph"/>
              <w:spacing w:line="172" w:lineRule="exact" w:before="10"/>
              <w:ind w:left="41" w:right="4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10,947</w:t>
            </w:r>
          </w:p>
        </w:tc>
        <w:tc>
          <w:tcPr>
            <w:tcW w:w="1196" w:type="dxa"/>
          </w:tcPr>
          <w:p>
            <w:pPr>
              <w:pStyle w:val="TableParagraph"/>
              <w:spacing w:line="172" w:lineRule="exact" w:before="10"/>
              <w:ind w:right="32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97,659</w:t>
            </w:r>
          </w:p>
        </w:tc>
      </w:tr>
      <w:tr>
        <w:trPr>
          <w:trHeight w:val="202" w:hRule="atLeast"/>
        </w:trPr>
        <w:tc>
          <w:tcPr>
            <w:tcW w:w="1173" w:type="dxa"/>
          </w:tcPr>
          <w:p>
            <w:pPr>
              <w:pStyle w:val="TableParagraph"/>
              <w:spacing w:line="172" w:lineRule="exact" w:before="10"/>
              <w:ind w:left="420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2019</w:t>
            </w:r>
          </w:p>
        </w:tc>
        <w:tc>
          <w:tcPr>
            <w:tcW w:w="1422" w:type="dxa"/>
          </w:tcPr>
          <w:p>
            <w:pPr>
              <w:pStyle w:val="TableParagraph"/>
              <w:spacing w:line="172" w:lineRule="exact" w:before="10"/>
              <w:ind w:left="136" w:right="53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16,401</w:t>
            </w:r>
          </w:p>
        </w:tc>
        <w:tc>
          <w:tcPr>
            <w:tcW w:w="980" w:type="dxa"/>
          </w:tcPr>
          <w:p>
            <w:pPr>
              <w:pStyle w:val="TableParagraph"/>
              <w:spacing w:line="172" w:lineRule="exact" w:before="10"/>
              <w:ind w:left="108" w:right="12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49,570</w:t>
            </w:r>
          </w:p>
        </w:tc>
        <w:tc>
          <w:tcPr>
            <w:tcW w:w="1947" w:type="dxa"/>
          </w:tcPr>
          <w:p>
            <w:pPr>
              <w:pStyle w:val="TableParagraph"/>
              <w:spacing w:line="172" w:lineRule="exact" w:before="10"/>
              <w:ind w:left="35" w:right="27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435</w:t>
            </w:r>
          </w:p>
        </w:tc>
        <w:tc>
          <w:tcPr>
            <w:tcW w:w="732" w:type="dxa"/>
          </w:tcPr>
          <w:p>
            <w:pPr>
              <w:pStyle w:val="TableParagraph"/>
              <w:spacing w:line="172" w:lineRule="exact" w:before="10"/>
              <w:ind w:left="6" w:right="14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18,979</w:t>
            </w:r>
          </w:p>
        </w:tc>
        <w:tc>
          <w:tcPr>
            <w:tcW w:w="1365" w:type="dxa"/>
          </w:tcPr>
          <w:p>
            <w:pPr>
              <w:pStyle w:val="TableParagraph"/>
              <w:spacing w:line="172" w:lineRule="exact" w:before="10"/>
              <w:ind w:left="41" w:right="4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10,659</w:t>
            </w:r>
          </w:p>
        </w:tc>
        <w:tc>
          <w:tcPr>
            <w:tcW w:w="1196" w:type="dxa"/>
          </w:tcPr>
          <w:p>
            <w:pPr>
              <w:pStyle w:val="TableParagraph"/>
              <w:spacing w:line="172" w:lineRule="exact" w:before="10"/>
              <w:ind w:right="32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96,044</w:t>
            </w:r>
          </w:p>
        </w:tc>
      </w:tr>
      <w:tr>
        <w:trPr>
          <w:trHeight w:val="202" w:hRule="atLeast"/>
        </w:trPr>
        <w:tc>
          <w:tcPr>
            <w:tcW w:w="1173" w:type="dxa"/>
          </w:tcPr>
          <w:p>
            <w:pPr>
              <w:pStyle w:val="TableParagraph"/>
              <w:spacing w:line="172" w:lineRule="exact" w:before="10"/>
              <w:ind w:left="420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2020</w:t>
            </w:r>
          </w:p>
        </w:tc>
        <w:tc>
          <w:tcPr>
            <w:tcW w:w="1422" w:type="dxa"/>
          </w:tcPr>
          <w:p>
            <w:pPr>
              <w:pStyle w:val="TableParagraph"/>
              <w:spacing w:line="172" w:lineRule="exact" w:before="10"/>
              <w:ind w:left="136" w:right="53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16,195</w:t>
            </w:r>
          </w:p>
        </w:tc>
        <w:tc>
          <w:tcPr>
            <w:tcW w:w="980" w:type="dxa"/>
          </w:tcPr>
          <w:p>
            <w:pPr>
              <w:pStyle w:val="TableParagraph"/>
              <w:spacing w:line="172" w:lineRule="exact" w:before="10"/>
              <w:ind w:left="108" w:right="12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49,593</w:t>
            </w:r>
          </w:p>
        </w:tc>
        <w:tc>
          <w:tcPr>
            <w:tcW w:w="1947" w:type="dxa"/>
          </w:tcPr>
          <w:p>
            <w:pPr>
              <w:pStyle w:val="TableParagraph"/>
              <w:spacing w:line="172" w:lineRule="exact" w:before="10"/>
              <w:ind w:left="35" w:right="27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344</w:t>
            </w:r>
          </w:p>
        </w:tc>
        <w:tc>
          <w:tcPr>
            <w:tcW w:w="732" w:type="dxa"/>
          </w:tcPr>
          <w:p>
            <w:pPr>
              <w:pStyle w:val="TableParagraph"/>
              <w:spacing w:line="172" w:lineRule="exact" w:before="10"/>
              <w:ind w:left="6" w:right="14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18,973</w:t>
            </w:r>
          </w:p>
        </w:tc>
        <w:tc>
          <w:tcPr>
            <w:tcW w:w="1365" w:type="dxa"/>
          </w:tcPr>
          <w:p>
            <w:pPr>
              <w:pStyle w:val="TableParagraph"/>
              <w:spacing w:line="172" w:lineRule="exact" w:before="10"/>
              <w:ind w:left="41" w:right="4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10,648</w:t>
            </w:r>
          </w:p>
        </w:tc>
        <w:tc>
          <w:tcPr>
            <w:tcW w:w="1196" w:type="dxa"/>
          </w:tcPr>
          <w:p>
            <w:pPr>
              <w:pStyle w:val="TableParagraph"/>
              <w:spacing w:line="172" w:lineRule="exact" w:before="10"/>
              <w:ind w:right="32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95,753</w:t>
            </w:r>
          </w:p>
        </w:tc>
      </w:tr>
      <w:tr>
        <w:trPr>
          <w:trHeight w:val="194" w:hRule="atLeast"/>
        </w:trPr>
        <w:tc>
          <w:tcPr>
            <w:tcW w:w="1173" w:type="dxa"/>
          </w:tcPr>
          <w:p>
            <w:pPr>
              <w:pStyle w:val="TableParagraph"/>
              <w:spacing w:line="165" w:lineRule="exact" w:before="10"/>
              <w:ind w:left="420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2021</w:t>
            </w:r>
          </w:p>
        </w:tc>
        <w:tc>
          <w:tcPr>
            <w:tcW w:w="1422" w:type="dxa"/>
          </w:tcPr>
          <w:p>
            <w:pPr>
              <w:pStyle w:val="TableParagraph"/>
              <w:spacing w:line="165" w:lineRule="exact" w:before="10"/>
              <w:ind w:left="136" w:right="53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17,873</w:t>
            </w:r>
          </w:p>
        </w:tc>
        <w:tc>
          <w:tcPr>
            <w:tcW w:w="980" w:type="dxa"/>
          </w:tcPr>
          <w:p>
            <w:pPr>
              <w:pStyle w:val="TableParagraph"/>
              <w:spacing w:line="165" w:lineRule="exact" w:before="10"/>
              <w:ind w:left="108" w:right="12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50,688</w:t>
            </w:r>
          </w:p>
        </w:tc>
        <w:tc>
          <w:tcPr>
            <w:tcW w:w="1947" w:type="dxa"/>
          </w:tcPr>
          <w:p>
            <w:pPr>
              <w:pStyle w:val="TableParagraph"/>
              <w:spacing w:line="165" w:lineRule="exact" w:before="10"/>
              <w:ind w:left="35" w:right="27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121</w:t>
            </w:r>
          </w:p>
        </w:tc>
        <w:tc>
          <w:tcPr>
            <w:tcW w:w="732" w:type="dxa"/>
          </w:tcPr>
          <w:p>
            <w:pPr>
              <w:pStyle w:val="TableParagraph"/>
              <w:spacing w:line="165" w:lineRule="exact" w:before="10"/>
              <w:ind w:left="6" w:right="14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17,924</w:t>
            </w:r>
          </w:p>
        </w:tc>
        <w:tc>
          <w:tcPr>
            <w:tcW w:w="1365" w:type="dxa"/>
          </w:tcPr>
          <w:p>
            <w:pPr>
              <w:pStyle w:val="TableParagraph"/>
              <w:spacing w:line="165" w:lineRule="exact" w:before="10"/>
              <w:ind w:left="41" w:right="4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10,193</w:t>
            </w:r>
          </w:p>
        </w:tc>
        <w:tc>
          <w:tcPr>
            <w:tcW w:w="1196" w:type="dxa"/>
          </w:tcPr>
          <w:p>
            <w:pPr>
              <w:pStyle w:val="TableParagraph"/>
              <w:spacing w:line="165" w:lineRule="exact" w:before="10"/>
              <w:ind w:right="32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96,799</w:t>
            </w:r>
          </w:p>
        </w:tc>
      </w:tr>
    </w:tbl>
    <w:tbl>
      <w:tblPr>
        <w:tblW w:w="0" w:type="auto"/>
        <w:jc w:val="left"/>
        <w:tblInd w:w="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3"/>
        <w:gridCol w:w="1333"/>
        <w:gridCol w:w="1389"/>
        <w:gridCol w:w="1297"/>
        <w:gridCol w:w="1221"/>
        <w:gridCol w:w="1275"/>
        <w:gridCol w:w="1131"/>
      </w:tblGrid>
      <w:tr>
        <w:trPr>
          <w:trHeight w:val="216" w:hRule="atLeast"/>
        </w:trPr>
        <w:tc>
          <w:tcPr>
            <w:tcW w:w="1173" w:type="dxa"/>
            <w:tcBorders>
              <w:top w:val="single" w:sz="8" w:space="0" w:color="8EA9DB"/>
            </w:tcBorders>
            <w:shd w:val="clear" w:color="auto" w:fill="D9E0F1"/>
          </w:tcPr>
          <w:p>
            <w:pPr>
              <w:pStyle w:val="TableParagraph"/>
              <w:spacing w:before="17"/>
              <w:ind w:left="4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Tota</w:t>
            </w:r>
            <w:r>
              <w:rPr>
                <w:rFonts w:ascii="Arial"/>
                <w:b/>
                <w:spacing w:val="-26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l</w:t>
            </w:r>
            <w:r>
              <w:rPr>
                <w:rFonts w:ascii="Arial"/>
                <w:b/>
                <w:spacing w:val="-1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general</w:t>
            </w:r>
          </w:p>
        </w:tc>
        <w:tc>
          <w:tcPr>
            <w:tcW w:w="1333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94" w:lineRule="exact"/>
              <w:ind w:left="49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83,369</w:t>
            </w:r>
          </w:p>
        </w:tc>
        <w:tc>
          <w:tcPr>
            <w:tcW w:w="1389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94" w:lineRule="exact"/>
              <w:ind w:left="3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249,813</w:t>
            </w:r>
          </w:p>
        </w:tc>
        <w:tc>
          <w:tcPr>
            <w:tcW w:w="1297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94" w:lineRule="exact"/>
              <w:ind w:left="45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1,822</w:t>
            </w:r>
          </w:p>
        </w:tc>
        <w:tc>
          <w:tcPr>
            <w:tcW w:w="1221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94" w:lineRule="exact"/>
              <w:ind w:left="4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93,557</w:t>
            </w:r>
          </w:p>
        </w:tc>
        <w:tc>
          <w:tcPr>
            <w:tcW w:w="1275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94" w:lineRule="exact"/>
              <w:ind w:left="28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53,367</w:t>
            </w:r>
          </w:p>
        </w:tc>
        <w:tc>
          <w:tcPr>
            <w:tcW w:w="1131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94" w:lineRule="exact"/>
              <w:ind w:left="48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481,928</w:t>
            </w:r>
          </w:p>
        </w:tc>
      </w:tr>
    </w:tbl>
    <w:p>
      <w:pPr>
        <w:spacing w:before="8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2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2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3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ind w:left="278" w:right="1072"/>
        <w:jc w:val="both"/>
      </w:pPr>
      <w:r>
        <w:rPr/>
        <w:t>El total de estudiantes atendidos durante este período fue de 481,928. En el 2017 se tuvo una población</w:t>
      </w:r>
      <w:r>
        <w:rPr>
          <w:spacing w:val="1"/>
        </w:rPr>
        <w:t> </w:t>
      </w:r>
      <w:r>
        <w:rPr/>
        <w:t>estudiantil total de95,673. En el 2018, se presentó un leve aumento al reportar 97,659 alumnos. En el</w:t>
      </w:r>
      <w:r>
        <w:rPr>
          <w:spacing w:val="1"/>
        </w:rPr>
        <w:t> </w:t>
      </w:r>
      <w:r>
        <w:rPr/>
        <w:t>2019, se redujo a 96,044.</w:t>
      </w:r>
      <w:r>
        <w:rPr>
          <w:spacing w:val="1"/>
        </w:rPr>
        <w:t> </w:t>
      </w:r>
      <w:r>
        <w:rPr/>
        <w:t>No obstante, la pandemia Covid-19 fue una amenaza sanitaria a nivel mundial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estudiantes</w:t>
      </w:r>
      <w:r>
        <w:rPr>
          <w:spacing w:val="1"/>
        </w:rPr>
        <w:t> </w:t>
      </w:r>
      <w:r>
        <w:rPr/>
        <w:t>prácticamente</w:t>
      </w:r>
      <w:r>
        <w:rPr>
          <w:spacing w:val="1"/>
        </w:rPr>
        <w:t> </w:t>
      </w:r>
      <w:r>
        <w:rPr/>
        <w:t>permaneció</w:t>
      </w:r>
      <w:r>
        <w:rPr>
          <w:spacing w:val="1"/>
        </w:rPr>
        <w:t> </w:t>
      </w:r>
      <w:r>
        <w:rPr/>
        <w:t>invariable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95,753.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2021,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cifras</w:t>
      </w:r>
      <w:r>
        <w:rPr>
          <w:spacing w:val="1"/>
        </w:rPr>
        <w:t> </w:t>
      </w:r>
      <w:r>
        <w:rPr/>
        <w:t>aumentaron</w:t>
      </w:r>
      <w:r>
        <w:rPr>
          <w:spacing w:val="-2"/>
        </w:rPr>
        <w:t> </w:t>
      </w:r>
      <w:r>
        <w:rPr/>
        <w:t>levemente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481,928.</w:t>
      </w:r>
    </w:p>
    <w:p>
      <w:pPr>
        <w:pStyle w:val="BodyText"/>
        <w:rPr>
          <w:sz w:val="20"/>
        </w:rPr>
      </w:pPr>
    </w:p>
    <w:p>
      <w:pPr>
        <w:pStyle w:val="BodyText"/>
        <w:ind w:left="278" w:right="1073"/>
        <w:jc w:val="both"/>
      </w:pPr>
      <w:r>
        <w:rPr/>
        <w:t>Al respecto conviene decir que la Primaria fue la que más incrementó representando el 52% de la</w:t>
      </w:r>
      <w:r>
        <w:rPr>
          <w:spacing w:val="1"/>
        </w:rPr>
        <w:t> </w:t>
      </w:r>
      <w:r>
        <w:rPr/>
        <w:t>población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este</w:t>
      </w:r>
      <w:r>
        <w:rPr>
          <w:spacing w:val="-3"/>
        </w:rPr>
        <w:t> </w:t>
      </w:r>
      <w:r>
        <w:rPr/>
        <w:t>período.</w:t>
      </w:r>
      <w:r>
        <w:rPr>
          <w:spacing w:val="-4"/>
        </w:rPr>
        <w:t> </w:t>
      </w:r>
      <w:r>
        <w:rPr/>
        <w:t>Seguido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ciclo</w:t>
      </w:r>
      <w:r>
        <w:rPr>
          <w:spacing w:val="-5"/>
        </w:rPr>
        <w:t> </w:t>
      </w:r>
      <w:r>
        <w:rPr/>
        <w:t>básico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19%,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luego</w:t>
      </w:r>
      <w:r>
        <w:rPr>
          <w:spacing w:val="-2"/>
        </w:rPr>
        <w:t> </w:t>
      </w:r>
      <w:r>
        <w:rPr/>
        <w:t>por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17%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nivel</w:t>
      </w:r>
      <w:r>
        <w:rPr>
          <w:spacing w:val="-8"/>
        </w:rPr>
        <w:t> </w:t>
      </w:r>
      <w:r>
        <w:rPr/>
        <w:t>Preprimaria.</w:t>
      </w:r>
      <w:r>
        <w:rPr>
          <w:spacing w:val="-47"/>
        </w:rPr>
        <w:t> </w:t>
      </w:r>
      <w:r>
        <w:rPr/>
        <w:t>Ubicando en el penúltimo sitio al diversificado con un 11%. Y finalizando, con la Primaria para Adultos.</w:t>
      </w:r>
      <w:r>
        <w:rPr>
          <w:spacing w:val="1"/>
        </w:rPr>
        <w:t> </w:t>
      </w:r>
      <w:r>
        <w:rPr/>
        <w:t>Cabe destacar, que Retalhuleu ha sido uno de los departamentos que ha, revertido la tendencia nacional</w:t>
      </w:r>
      <w:r>
        <w:rPr>
          <w:spacing w:val="1"/>
        </w:rPr>
        <w:t> </w:t>
      </w:r>
      <w:r>
        <w:rPr/>
        <w:t>presentando</w:t>
      </w:r>
      <w:r>
        <w:rPr>
          <w:spacing w:val="-3"/>
        </w:rPr>
        <w:t> </w:t>
      </w:r>
      <w:r>
        <w:rPr/>
        <w:t>mayor incorporación</w:t>
      </w:r>
      <w:r>
        <w:rPr>
          <w:spacing w:val="-1"/>
        </w:rPr>
        <w:t> </w:t>
      </w:r>
      <w:r>
        <w:rPr/>
        <w:t>de jóvenes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ciclo básico.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pict>
          <v:rect style="position:absolute;margin-left:563.880005pt;margin-top:12.477033pt;width:25.44pt;height:1.4399pt;mso-position-horizontal-relative:page;mso-position-vertical-relative:paragraph;z-index:-1539174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172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5113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6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52" w:after="0"/>
        <w:ind w:left="998" w:right="0" w:hanging="721"/>
        <w:jc w:val="left"/>
      </w:pPr>
      <w:bookmarkStart w:name="_bookmark212" w:id="357"/>
      <w:bookmarkEnd w:id="357"/>
      <w:r>
        <w:rPr>
          <w:b w:val="0"/>
        </w:rPr>
      </w:r>
      <w:bookmarkStart w:name="_bookmark212" w:id="358"/>
      <w:bookmarkEnd w:id="358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Cobertura:</w:t>
      </w:r>
      <w:r>
        <w:rPr>
          <w:spacing w:val="-4"/>
        </w:rPr>
        <w:t> </w:t>
      </w:r>
      <w:r>
        <w:rPr/>
        <w:t>Tasa</w:t>
      </w:r>
      <w:r>
        <w:rPr>
          <w:spacing w:val="-3"/>
        </w:rPr>
        <w:t> </w:t>
      </w:r>
      <w:r>
        <w:rPr/>
        <w:t>Neta</w:t>
      </w:r>
      <w:r>
        <w:rPr>
          <w:spacing w:val="-2"/>
        </w:rPr>
        <w:t> </w:t>
      </w:r>
      <w:r>
        <w:rPr/>
        <w:t>de</w:t>
      </w:r>
      <w:r>
        <w:rPr>
          <w:spacing w:val="2"/>
        </w:rPr>
        <w:t> </w:t>
      </w:r>
      <w:r>
        <w:rPr/>
        <w:t>Cobertura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5"/>
        <w:jc w:val="both"/>
      </w:pPr>
      <w:r>
        <w:rPr/>
        <w:t>Tabla</w:t>
      </w:r>
      <w:r>
        <w:rPr>
          <w:spacing w:val="1"/>
        </w:rPr>
        <w:t> </w:t>
      </w:r>
      <w:r>
        <w:rPr/>
        <w:t>Nº.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Cobertura: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Bruta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Académico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47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de Retalhuleu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30"/>
        </w:rPr>
      </w:pPr>
    </w:p>
    <w:p>
      <w:pPr>
        <w:spacing w:before="1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3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2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4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4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2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4"/>
          <w:sz w:val="14"/>
        </w:rPr>
        <w:t> </w:t>
      </w:r>
      <w:r>
        <w:rPr>
          <w:sz w:val="14"/>
        </w:rPr>
        <w:t>Educación</w:t>
      </w:r>
      <w:r>
        <w:rPr>
          <w:spacing w:val="-4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</w:t>
      </w:r>
    </w:p>
    <w:p>
      <w:pPr>
        <w:pStyle w:val="BodyText"/>
        <w:ind w:left="278" w:right="1074"/>
        <w:jc w:val="both"/>
      </w:pPr>
      <w:r>
        <w:rPr/>
        <w:t>Con el propósito de conocer las particularidades educativas del Departamento en la tabla anterior se</w:t>
      </w:r>
      <w:r>
        <w:rPr>
          <w:spacing w:val="1"/>
        </w:rPr>
        <w:t> </w:t>
      </w:r>
      <w:r>
        <w:rPr/>
        <w:t>observan</w:t>
      </w:r>
      <w:r>
        <w:rPr>
          <w:spacing w:val="-2"/>
        </w:rPr>
        <w:t> </w:t>
      </w:r>
      <w:r>
        <w:rPr/>
        <w:t>las</w:t>
      </w:r>
      <w:r>
        <w:rPr>
          <w:spacing w:val="-4"/>
        </w:rPr>
        <w:t> </w:t>
      </w:r>
      <w:r>
        <w:rPr/>
        <w:t>ratios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indicadores</w:t>
      </w:r>
      <w:r>
        <w:rPr>
          <w:spacing w:val="-2"/>
        </w:rPr>
        <w:t> </w:t>
      </w:r>
      <w:r>
        <w:rPr/>
        <w:t>de cobertura</w:t>
      </w:r>
      <w:r>
        <w:rPr>
          <w:spacing w:val="-3"/>
        </w:rPr>
        <w:t> </w:t>
      </w:r>
      <w:r>
        <w:rPr/>
        <w:t>neta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Bruta,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niveles</w:t>
      </w:r>
      <w:r>
        <w:rPr>
          <w:spacing w:val="-2"/>
        </w:rPr>
        <w:t> </w:t>
      </w:r>
      <w:r>
        <w:rPr/>
        <w:t>educativos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un</w:t>
      </w:r>
      <w:r>
        <w:rPr>
          <w:spacing w:val="-2"/>
        </w:rPr>
        <w:t> </w:t>
      </w:r>
      <w:r>
        <w:rPr/>
        <w:t>plazo</w:t>
      </w:r>
      <w:r>
        <w:rPr>
          <w:spacing w:val="-3"/>
        </w:rPr>
        <w:t> </w:t>
      </w:r>
      <w:r>
        <w:rPr/>
        <w:t>de</w:t>
      </w:r>
      <w:r>
        <w:rPr>
          <w:spacing w:val="-48"/>
        </w:rPr>
        <w:t> </w:t>
      </w:r>
      <w:r>
        <w:rPr/>
        <w:t>4</w:t>
      </w:r>
      <w:r>
        <w:rPr>
          <w:spacing w:val="-1"/>
        </w:rPr>
        <w:t> </w:t>
      </w:r>
      <w:r>
        <w:rPr/>
        <w:t>años.</w:t>
      </w:r>
    </w:p>
    <w:p>
      <w:pPr>
        <w:pStyle w:val="BodyText"/>
        <w:spacing w:before="1"/>
      </w:pPr>
    </w:p>
    <w:p>
      <w:pPr>
        <w:pStyle w:val="BodyText"/>
        <w:ind w:left="278" w:right="1073"/>
        <w:jc w:val="both"/>
      </w:pPr>
      <w:r>
        <w:rPr/>
        <w:t>Es evidente que la educación preprimaria reporta una alta cobertura durante el periodo 2017‐2020, con</w:t>
      </w:r>
      <w:r>
        <w:rPr>
          <w:spacing w:val="1"/>
        </w:rPr>
        <w:t> </w:t>
      </w:r>
      <w:r>
        <w:rPr/>
        <w:t>una TNE de (71.10%), (74.08%), (70.73%) y (69%) respectivamente durante los años indicados. Por esta</w:t>
      </w:r>
      <w:r>
        <w:rPr>
          <w:spacing w:val="1"/>
        </w:rPr>
        <w:t> </w:t>
      </w:r>
      <w:r>
        <w:rPr/>
        <w:t>razón, siete (7) de cada 10 niños, están accediendo a este nivel. Además, de evidenciar un 24% más con</w:t>
      </w:r>
      <w:r>
        <w:rPr>
          <w:spacing w:val="1"/>
        </w:rPr>
        <w:t> </w:t>
      </w:r>
      <w:r>
        <w:rPr/>
        <w:t>respecto del</w:t>
      </w:r>
      <w:r>
        <w:rPr>
          <w:spacing w:val="-3"/>
        </w:rPr>
        <w:t> </w:t>
      </w:r>
      <w:r>
        <w:rPr/>
        <w:t>TNE Nacional</w:t>
      </w:r>
      <w:r>
        <w:rPr>
          <w:spacing w:val="-3"/>
        </w:rPr>
        <w:t> </w:t>
      </w:r>
      <w:r>
        <w:rPr/>
        <w:t>(47%).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0"/>
        <w:jc w:val="both"/>
      </w:pPr>
      <w:r>
        <w:rPr/>
        <w:t>Las cifras aquí presentadas parecen confirmar que en el nivel primaria se registran mayores valores de</w:t>
      </w:r>
      <w:r>
        <w:rPr>
          <w:spacing w:val="1"/>
        </w:rPr>
        <w:t> </w:t>
      </w:r>
      <w:r>
        <w:rPr/>
        <w:t>cobertura, que van de (91.57%), (92.17%), (92.17%) y (92.66%) para cada año respectivamente. El valor</w:t>
      </w:r>
      <w:r>
        <w:rPr>
          <w:spacing w:val="1"/>
        </w:rPr>
        <w:t> </w:t>
      </w:r>
      <w:r>
        <w:rPr>
          <w:spacing w:val="-1"/>
        </w:rPr>
        <w:t>promedio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1"/>
        </w:rPr>
        <w:t>TNE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Retalhuleu</w:t>
      </w:r>
      <w:r>
        <w:rPr>
          <w:spacing w:val="-7"/>
        </w:rPr>
        <w:t> </w:t>
      </w:r>
      <w:r>
        <w:rPr/>
        <w:t>es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un</w:t>
      </w:r>
      <w:r>
        <w:rPr>
          <w:spacing w:val="-8"/>
        </w:rPr>
        <w:t> </w:t>
      </w:r>
      <w:r>
        <w:rPr/>
        <w:t>(92.24%)</w:t>
      </w:r>
      <w:r>
        <w:rPr>
          <w:spacing w:val="-8"/>
        </w:rPr>
        <w:t> </w:t>
      </w:r>
      <w:r>
        <w:rPr/>
        <w:t>durante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/>
        <w:t>periodo</w:t>
      </w:r>
      <w:r>
        <w:rPr>
          <w:spacing w:val="-6"/>
        </w:rPr>
        <w:t> </w:t>
      </w:r>
      <w:r>
        <w:rPr/>
        <w:t>fue</w:t>
      </w:r>
      <w:r>
        <w:rPr>
          <w:spacing w:val="-9"/>
        </w:rPr>
        <w:t> </w:t>
      </w:r>
      <w:r>
        <w:rPr/>
        <w:t>mayor</w:t>
      </w:r>
      <w:r>
        <w:rPr>
          <w:spacing w:val="-12"/>
        </w:rPr>
        <w:t> </w:t>
      </w:r>
      <w:r>
        <w:rPr/>
        <w:t>al</w:t>
      </w:r>
      <w:r>
        <w:rPr>
          <w:spacing w:val="-8"/>
        </w:rPr>
        <w:t> </w:t>
      </w:r>
      <w:r>
        <w:rPr/>
        <w:t>TNE</w:t>
      </w:r>
      <w:r>
        <w:rPr>
          <w:spacing w:val="-10"/>
        </w:rPr>
        <w:t> </w:t>
      </w:r>
      <w:r>
        <w:rPr/>
        <w:t>Nacional</w:t>
      </w:r>
      <w:r>
        <w:rPr>
          <w:spacing w:val="-8"/>
        </w:rPr>
        <w:t> </w:t>
      </w:r>
      <w:r>
        <w:rPr/>
        <w:t>(77.5%)</w:t>
      </w:r>
      <w:r>
        <w:rPr>
          <w:spacing w:val="-47"/>
        </w:rPr>
        <w:t> </w:t>
      </w:r>
      <w:r>
        <w:rPr/>
        <w:t>al último valor registrado en el 2019. En otras palabras, el 100% de los niños están siendo atendidos en</w:t>
      </w:r>
      <w:r>
        <w:rPr>
          <w:spacing w:val="1"/>
        </w:rPr>
        <w:t> </w:t>
      </w:r>
      <w:r>
        <w:rPr/>
        <w:t>primaria.</w:t>
      </w:r>
    </w:p>
    <w:p>
      <w:pPr>
        <w:pStyle w:val="BodyText"/>
        <w:rPr>
          <w:sz w:val="20"/>
        </w:rPr>
      </w:pPr>
    </w:p>
    <w:p>
      <w:pPr>
        <w:pStyle w:val="BodyText"/>
        <w:ind w:left="278" w:right="1073"/>
        <w:jc w:val="both"/>
      </w:pPr>
      <w:r>
        <w:rPr/>
        <w:t>Por lo que se refiere a educación básica, los valores promedio para el período presentan un aumento</w:t>
      </w:r>
      <w:r>
        <w:rPr>
          <w:spacing w:val="1"/>
        </w:rPr>
        <w:t> </w:t>
      </w:r>
      <w:r>
        <w:rPr/>
        <w:t>considerable respecto con los datos nacionales (TNE:45.49%), debido a que reportan valores que van</w:t>
      </w:r>
      <w:r>
        <w:rPr>
          <w:spacing w:val="1"/>
        </w:rPr>
        <w:t> </w:t>
      </w:r>
      <w:r>
        <w:rPr/>
        <w:t>desde (52.68%), (55.18%), (56.03%) y (56.41%), respectivamente para el período analizado. Todo esto</w:t>
      </w:r>
      <w:r>
        <w:rPr>
          <w:spacing w:val="1"/>
        </w:rPr>
        <w:t> </w:t>
      </w:r>
      <w:r>
        <w:rPr/>
        <w:t>parece</w:t>
      </w:r>
      <w:r>
        <w:rPr>
          <w:spacing w:val="-1"/>
        </w:rPr>
        <w:t> </w:t>
      </w:r>
      <w:r>
        <w:rPr/>
        <w:t>confirmar que</w:t>
      </w:r>
      <w:r>
        <w:rPr>
          <w:spacing w:val="-2"/>
        </w:rPr>
        <w:t> </w:t>
      </w:r>
      <w:r>
        <w:rPr/>
        <w:t>1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cada</w:t>
      </w:r>
      <w:r>
        <w:rPr>
          <w:spacing w:val="-1"/>
        </w:rPr>
        <w:t> </w:t>
      </w:r>
      <w:r>
        <w:rPr/>
        <w:t>2</w:t>
      </w:r>
      <w:r>
        <w:rPr>
          <w:spacing w:val="1"/>
        </w:rPr>
        <w:t> </w:t>
      </w:r>
      <w:r>
        <w:rPr/>
        <w:t>adolescentes</w:t>
      </w:r>
      <w:r>
        <w:rPr>
          <w:spacing w:val="1"/>
        </w:rPr>
        <w:t> </w:t>
      </w:r>
      <w:r>
        <w:rPr/>
        <w:t>está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 ciclo</w:t>
      </w:r>
      <w:r>
        <w:rPr>
          <w:spacing w:val="1"/>
        </w:rPr>
        <w:t> </w:t>
      </w:r>
      <w:r>
        <w:rPr/>
        <w:t>básico.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  <w:r>
        <w:rPr/>
        <w:pict>
          <v:rect style="position:absolute;margin-left:563.880005pt;margin-top:16.061344pt;width:25.44pt;height:1.4399pt;mso-position-horizontal-relative:page;mso-position-vertical-relative:paragraph;z-index:-1539020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173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53184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6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68"/>
        <w:jc w:val="both"/>
      </w:pPr>
      <w:r>
        <w:rPr/>
        <w:t>A diferencia de los niveles anteriores, diversificado muestra un incremento del 6% de cobertura con</w:t>
      </w:r>
      <w:r>
        <w:rPr>
          <w:spacing w:val="1"/>
        </w:rPr>
        <w:t> </w:t>
      </w:r>
      <w:r>
        <w:rPr/>
        <w:t>respecto del TNE Nacional (24%), debido a que posee una tasa promedio del 30.3%. Según el INE,2018</w:t>
      </w:r>
      <w:r>
        <w:rPr>
          <w:spacing w:val="1"/>
        </w:rPr>
        <w:t> </w:t>
      </w:r>
      <w:r>
        <w:rPr/>
        <w:t>dentro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principales</w:t>
      </w:r>
      <w:r>
        <w:rPr>
          <w:spacing w:val="-5"/>
        </w:rPr>
        <w:t> </w:t>
      </w:r>
      <w:r>
        <w:rPr/>
        <w:t>razones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inasistencia</w:t>
      </w:r>
      <w:r>
        <w:rPr>
          <w:spacing w:val="-5"/>
        </w:rPr>
        <w:t> </w:t>
      </w:r>
      <w:r>
        <w:rPr/>
        <w:t>escolar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población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4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29</w:t>
      </w:r>
      <w:r>
        <w:rPr>
          <w:spacing w:val="-4"/>
        </w:rPr>
        <w:t> </w:t>
      </w:r>
      <w:r>
        <w:rPr/>
        <w:t>años,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ubica</w:t>
      </w:r>
      <w:r>
        <w:rPr>
          <w:spacing w:val="-5"/>
        </w:rPr>
        <w:t> </w:t>
      </w:r>
      <w:r>
        <w:rPr/>
        <w:t>en</w:t>
      </w:r>
      <w:r>
        <w:rPr>
          <w:spacing w:val="-8"/>
        </w:rPr>
        <w:t> </w:t>
      </w:r>
      <w:r>
        <w:rPr/>
        <w:t>1.</w:t>
      </w:r>
      <w:r>
        <w:rPr>
          <w:spacing w:val="-5"/>
        </w:rPr>
        <w:t> </w:t>
      </w:r>
      <w:r>
        <w:rPr/>
        <w:t>La</w:t>
      </w:r>
      <w:r>
        <w:rPr>
          <w:spacing w:val="-47"/>
        </w:rPr>
        <w:t> </w:t>
      </w:r>
      <w:r>
        <w:rPr/>
        <w:t>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dinero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29%.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trabajar</w:t>
      </w:r>
      <w:r>
        <w:rPr>
          <w:spacing w:val="1"/>
        </w:rPr>
        <w:t> </w:t>
      </w:r>
      <w:r>
        <w:rPr/>
        <w:t>(15%)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otro</w:t>
      </w:r>
      <w:r>
        <w:rPr>
          <w:spacing w:val="1"/>
        </w:rPr>
        <w:t> </w:t>
      </w:r>
      <w:r>
        <w:rPr/>
        <w:t>lado,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DIPLAN</w:t>
      </w:r>
      <w:r>
        <w:rPr>
          <w:spacing w:val="1"/>
        </w:rPr>
        <w:t> </w:t>
      </w:r>
      <w:r>
        <w:rPr/>
        <w:t>(2021)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motivaciones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deserción</w:t>
      </w:r>
      <w:r>
        <w:rPr>
          <w:spacing w:val="-10"/>
        </w:rPr>
        <w:t> </w:t>
      </w:r>
      <w:r>
        <w:rPr/>
        <w:t>escolar</w:t>
      </w:r>
      <w:r>
        <w:rPr>
          <w:spacing w:val="-6"/>
        </w:rPr>
        <w:t> </w:t>
      </w:r>
      <w:r>
        <w:rPr/>
        <w:t>durante</w:t>
      </w:r>
      <w:r>
        <w:rPr>
          <w:spacing w:val="-8"/>
        </w:rPr>
        <w:t> </w:t>
      </w:r>
      <w:r>
        <w:rPr/>
        <w:t>el</w:t>
      </w:r>
      <w:r>
        <w:rPr>
          <w:spacing w:val="-5"/>
        </w:rPr>
        <w:t> </w:t>
      </w:r>
      <w:r>
        <w:rPr/>
        <w:t>año</w:t>
      </w:r>
      <w:r>
        <w:rPr>
          <w:spacing w:val="-5"/>
        </w:rPr>
        <w:t> </w:t>
      </w:r>
      <w:r>
        <w:rPr/>
        <w:t>2020</w:t>
      </w:r>
      <w:r>
        <w:rPr>
          <w:spacing w:val="-5"/>
        </w:rPr>
        <w:t> </w:t>
      </w:r>
      <w:r>
        <w:rPr/>
        <w:t>obedecen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interesa,</w:t>
      </w:r>
      <w:r>
        <w:rPr>
          <w:spacing w:val="-6"/>
        </w:rPr>
        <w:t> </w:t>
      </w:r>
      <w:r>
        <w:rPr/>
        <w:t>trabajo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retiro</w:t>
      </w:r>
      <w:r>
        <w:rPr>
          <w:spacing w:val="-4"/>
        </w:rPr>
        <w:t> </w:t>
      </w:r>
      <w:r>
        <w:rPr/>
        <w:t>por</w:t>
      </w:r>
      <w:r>
        <w:rPr>
          <w:spacing w:val="-47"/>
        </w:rPr>
        <w:t> </w:t>
      </w:r>
      <w:r>
        <w:rPr/>
        <w:t>traslado.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213" w:id="359"/>
      <w:bookmarkEnd w:id="359"/>
      <w:r>
        <w:rPr>
          <w:b w:val="0"/>
        </w:rPr>
      </w:r>
      <w:bookmarkStart w:name="_bookmark213" w:id="360"/>
      <w:bookmarkEnd w:id="360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Cobertura:</w:t>
      </w:r>
      <w:r>
        <w:rPr>
          <w:spacing w:val="-3"/>
        </w:rPr>
        <w:t> </w:t>
      </w:r>
      <w:r>
        <w:rPr/>
        <w:t>Tasa</w:t>
      </w:r>
      <w:r>
        <w:rPr>
          <w:spacing w:val="-3"/>
        </w:rPr>
        <w:t> </w:t>
      </w:r>
      <w:r>
        <w:rPr/>
        <w:t>Bruta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Déficit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departamento,</w:t>
      </w:r>
      <w:r>
        <w:rPr>
          <w:spacing w:val="-1"/>
        </w:rPr>
        <w:t> </w:t>
      </w:r>
      <w:r>
        <w:rPr/>
        <w:t>sexo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etnia.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278" w:right="1074"/>
        <w:jc w:val="both"/>
      </w:pPr>
      <w:r>
        <w:rPr/>
        <w:t>Gráfico Nº. Total de población estudiantil por niveles educativos, etnia y sexo para el Departamento de</w:t>
      </w:r>
      <w:r>
        <w:rPr>
          <w:spacing w:val="1"/>
        </w:rPr>
        <w:t> </w:t>
      </w:r>
      <w:r>
        <w:rPr/>
        <w:t>Retalhuleu</w:t>
      </w:r>
      <w:r>
        <w:rPr>
          <w:spacing w:val="-2"/>
        </w:rPr>
        <w:t> </w:t>
      </w:r>
      <w:r>
        <w:rPr/>
        <w:t>(2017-2021)</w:t>
      </w:r>
    </w:p>
    <w:p>
      <w:pPr>
        <w:pStyle w:val="BodyText"/>
        <w:spacing w:before="8"/>
        <w:rPr>
          <w:sz w:val="14"/>
        </w:rPr>
      </w:pPr>
      <w:r>
        <w:rPr/>
        <w:pict>
          <v:group style="position:absolute;margin-left:65.169289pt;margin-top:11.084173pt;width:465pt;height:153.15pt;mso-position-horizontal-relative:page;mso-position-vertical-relative:paragraph;z-index:-15388672;mso-wrap-distance-left:0;mso-wrap-distance-right:0" coordorigin="1303,222" coordsize="9300,3063">
            <v:shape style="position:absolute;left:1311;top:226;width:9293;height:3058" coordorigin="1311,226" coordsize="9293,3058" path="m10603,226l1311,226,1311,3284,4503,2234,4914,2098,8122,1043,10603,226xe" filled="true" fillcolor="#ffffff" stroked="false">
              <v:path arrowok="t"/>
              <v:fill type="solid"/>
            </v:shape>
            <v:shape style="position:absolute;left:1842;top:2102;width:3060;height:2" coordorigin="1842,2103" coordsize="3060,0" path="m1842,2103l2437,2103m2549,2103l4160,2103m4256,2103l4901,2103e" filled="false" stroked="true" strokeweight=".469485pt" strokecolor="#888888">
              <v:path arrowok="t"/>
              <v:stroke dashstyle="solid"/>
            </v:shape>
            <v:shape style="position:absolute;left:1842;top:1042;width:6280;height:924" coordorigin="1842,1043" coordsize="6280,924" path="m1842,1966l5316,1966m1842,1840l5700,1840m1842,1704l6114,1704m1842,1568l6526,1568m1842,1441l6911,1441m1842,1306l7323,1306m1842,1179l7709,1179m1842,1043l8122,1043e" filled="false" stroked="true" strokeweight=".623712pt" strokecolor="#888888">
              <v:path arrowok="t"/>
              <v:stroke dashstyle="solid"/>
            </v:shape>
            <v:rect style="position:absolute;left:4014;top:2228;width:113;height:6" filled="true" fillcolor="#d29e00" stroked="false">
              <v:fill type="solid"/>
            </v:rect>
            <v:shape style="position:absolute;left:2437;top:2073;width:1819;height:161" coordorigin="2437,2073" coordsize="1819,161" path="m2549,2073l2437,2073,2437,2234,2549,2234,2549,2073xm4256,2093l4160,2093,4160,2234,4256,2234,4256,2093xe" filled="true" fillcolor="#497eaf" stroked="false">
              <v:path arrowok="t"/>
              <v:fill type="solid"/>
            </v:shape>
            <v:shape style="position:absolute;left:2582;top:2141;width:1819;height:93" coordorigin="2582,2141" coordsize="1819,93" path="m2694,2161l2582,2161,2582,2234,2694,2234,2694,2161xm4401,2141l4287,2141,4287,2234,4401,2234,4401,2141xe" filled="true" fillcolor="#5b8e39" stroked="false">
              <v:path arrowok="t"/>
              <v:fill type="solid"/>
            </v:shape>
            <v:shape style="position:absolute;left:2711;top:1207;width:3540;height:1026" coordorigin="2711,1208" coordsize="3540,1026" path="m2824,1208l2711,1208,2711,2234,2824,2234,2824,1208xm4546,1441l4432,1441,4432,2234,4503,2234,4546,2220,4546,1441xm6251,1412l6139,1412,6139,1695,6251,1658,6251,1412xe" filled="true" fillcolor="#4471c4" stroked="false">
              <v:path arrowok="t"/>
              <v:fill type="solid"/>
            </v:shape>
            <v:shape style="position:absolute;left:2856;top:1538;width:3540;height:695" coordorigin="2856,1539" coordsize="3540,695" path="m2968,1597l2856,1597,2856,2234,2968,2234,2968,1597xm4674,1685l4561,1685,4561,2214,4674,2178,4674,1685xm6396,1539l6284,1539,6284,1648,6396,1611,6396,1539xe" filled="true" fillcolor="#ec7c30" stroked="false">
              <v:path arrowok="t"/>
              <v:fill type="solid"/>
            </v:shape>
            <v:rect style="position:absolute;left:2983;top:2228;width:114;height:6" filled="true" fillcolor="#a4a4a4" stroked="false">
              <v:fill type="solid"/>
            </v:rect>
            <v:line style="position:absolute" from="1843,2234" to="4503,2234" stroked="true" strokeweight=".469476pt" strokecolor="#888888">
              <v:stroke dashstyle="solid"/>
            </v:line>
            <v:rect style="position:absolute;left:2297;top:2559;width:80;height:48" filled="true" fillcolor="#375da0" stroked="false">
              <v:fill type="solid"/>
            </v:rect>
            <v:rect style="position:absolute;left:2297;top:2738;width:80;height:48" filled="true" fillcolor="#d29e00" stroked="false">
              <v:fill type="solid"/>
            </v:rect>
            <v:shape style="position:absolute;left:2297;top:2917;width:80;height:43" coordorigin="2297,2917" coordsize="80,43" path="m2377,2917l2297,2917,2297,2959,2377,2933,2377,2917xe" filled="true" fillcolor="#4471c4" stroked="false">
              <v:path arrowok="t"/>
              <v:fill type="solid"/>
            </v:shape>
            <v:shape style="position:absolute;left:1311;top:226;width:9293;height:3058" coordorigin="1311,226" coordsize="9293,3058" path="m1311,226l10603,226m1311,3284l1311,226e" filled="false" stroked="true" strokeweight=".623712pt" strokecolor="#888888">
              <v:path arrowok="t"/>
              <v:stroke dashstyle="solid"/>
            </v:shape>
            <v:shape style="position:absolute;left:2570;top:335;width:6761;height:561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54" w:right="18" w:firstLine="0"/>
                      <w:jc w:val="center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6"/>
                        <w:w w:val="170"/>
                        <w:sz w:val="17"/>
                      </w:rPr>
                      <w:t>Re</w:t>
                    </w:r>
                    <w:r>
                      <w:rPr>
                        <w:rFonts w:ascii="Arial"/>
                        <w:b/>
                        <w:spacing w:val="-58"/>
                        <w:w w:val="170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70"/>
                        <w:sz w:val="17"/>
                      </w:rPr>
                      <w:t>ta</w:t>
                    </w:r>
                    <w:r>
                      <w:rPr>
                        <w:rFonts w:ascii="Arial"/>
                        <w:b/>
                        <w:spacing w:val="-51"/>
                        <w:w w:val="170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70"/>
                        <w:sz w:val="17"/>
                      </w:rPr>
                      <w:t>lhuleu</w:t>
                    </w:r>
                  </w:p>
                  <w:p>
                    <w:pPr>
                      <w:spacing w:line="256" w:lineRule="auto" w:before="3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w w:val="170"/>
                        <w:sz w:val="15"/>
                      </w:rPr>
                      <w:t>Tota</w:t>
                    </w:r>
                    <w:r>
                      <w:rPr>
                        <w:rFonts w:ascii="Arial" w:hAnsi="Arial"/>
                        <w:b/>
                        <w:spacing w:val="-46"/>
                        <w:w w:val="17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70"/>
                        <w:sz w:val="15"/>
                      </w:rPr>
                      <w:t>l</w:t>
                    </w:r>
                    <w:r>
                      <w:rPr>
                        <w:rFonts w:ascii="Arial" w:hAnsi="Arial"/>
                        <w:b/>
                        <w:spacing w:val="-10"/>
                        <w:w w:val="17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70"/>
                        <w:sz w:val="15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21"/>
                        <w:w w:val="17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70"/>
                        <w:sz w:val="15"/>
                      </w:rPr>
                      <w:t>pobla</w:t>
                    </w:r>
                    <w:r>
                      <w:rPr>
                        <w:rFonts w:ascii="Arial" w:hAnsi="Arial"/>
                        <w:b/>
                        <w:spacing w:val="-45"/>
                        <w:w w:val="17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70"/>
                        <w:sz w:val="15"/>
                      </w:rPr>
                      <w:t>ción</w:t>
                    </w:r>
                    <w:r>
                      <w:rPr>
                        <w:rFonts w:ascii="Arial" w:hAnsi="Arial"/>
                        <w:b/>
                        <w:spacing w:val="-3"/>
                        <w:w w:val="17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70"/>
                        <w:sz w:val="15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52"/>
                        <w:w w:val="17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70"/>
                        <w:sz w:val="15"/>
                      </w:rPr>
                      <w:t>studia</w:t>
                    </w:r>
                    <w:r>
                      <w:rPr>
                        <w:rFonts w:ascii="Arial" w:hAnsi="Arial"/>
                        <w:b/>
                        <w:spacing w:val="-45"/>
                        <w:w w:val="17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70"/>
                        <w:sz w:val="15"/>
                      </w:rPr>
                      <w:t>ntil</w:t>
                    </w:r>
                    <w:r>
                      <w:rPr>
                        <w:rFonts w:ascii="Arial" w:hAnsi="Arial"/>
                        <w:b/>
                        <w:spacing w:val="-10"/>
                        <w:w w:val="17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70"/>
                        <w:sz w:val="15"/>
                      </w:rPr>
                      <w:t>por</w:t>
                    </w:r>
                    <w:r>
                      <w:rPr>
                        <w:rFonts w:ascii="Arial" w:hAnsi="Arial"/>
                        <w:b/>
                        <w:spacing w:val="-18"/>
                        <w:w w:val="17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70"/>
                        <w:sz w:val="15"/>
                      </w:rPr>
                      <w:t>Nive</w:t>
                    </w:r>
                    <w:r>
                      <w:rPr>
                        <w:rFonts w:ascii="Arial" w:hAnsi="Arial"/>
                        <w:b/>
                        <w:spacing w:val="-50"/>
                        <w:w w:val="17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70"/>
                        <w:sz w:val="15"/>
                      </w:rPr>
                      <w:t>le</w:t>
                    </w:r>
                    <w:r>
                      <w:rPr>
                        <w:rFonts w:ascii="Arial" w:hAnsi="Arial"/>
                        <w:b/>
                        <w:spacing w:val="-51"/>
                        <w:w w:val="17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70"/>
                        <w:sz w:val="15"/>
                      </w:rPr>
                      <w:t>s,</w:t>
                    </w:r>
                    <w:r>
                      <w:rPr>
                        <w:rFonts w:ascii="Arial" w:hAnsi="Arial"/>
                        <w:b/>
                        <w:w w:val="17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70"/>
                        <w:sz w:val="15"/>
                      </w:rPr>
                      <w:t>etnia</w:t>
                    </w:r>
                    <w:r>
                      <w:rPr>
                        <w:rFonts w:ascii="Arial" w:hAnsi="Arial"/>
                        <w:b/>
                        <w:spacing w:val="26"/>
                        <w:w w:val="17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70"/>
                        <w:sz w:val="15"/>
                      </w:rPr>
                      <w:t>y</w:t>
                    </w:r>
                    <w:r>
                      <w:rPr>
                        <w:rFonts w:ascii="Arial" w:hAnsi="Arial"/>
                        <w:b/>
                        <w:spacing w:val="6"/>
                        <w:w w:val="17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70"/>
                        <w:sz w:val="15"/>
                      </w:rPr>
                      <w:t>se</w:t>
                    </w:r>
                    <w:r>
                      <w:rPr>
                        <w:rFonts w:ascii="Arial" w:hAnsi="Arial"/>
                        <w:b/>
                        <w:spacing w:val="-51"/>
                        <w:w w:val="17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70"/>
                        <w:sz w:val="15"/>
                      </w:rPr>
                      <w:t>xo</w:t>
                    </w:r>
                    <w:r>
                      <w:rPr>
                        <w:rFonts w:ascii="Arial" w:hAnsi="Arial"/>
                        <w:b/>
                        <w:spacing w:val="-68"/>
                        <w:w w:val="17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70"/>
                        <w:sz w:val="15"/>
                      </w:rPr>
                      <w:t>2017-</w:t>
                    </w:r>
                    <w:r>
                      <w:rPr>
                        <w:rFonts w:ascii="Arial" w:hAnsi="Arial"/>
                        <w:b/>
                        <w:spacing w:val="-51"/>
                        <w:w w:val="17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70"/>
                        <w:sz w:val="15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1423;top:984;width:288;height:1310" type="#_x0000_t202" filled="false" stroked="false">
              <v:textbox inset="0,0,0,0">
                <w:txbxContent>
                  <w:p>
                    <w:pPr>
                      <w:spacing w:before="7"/>
                      <w:ind w:left="0" w:right="21" w:firstLine="0"/>
                      <w:jc w:val="righ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155"/>
                        <w:sz w:val="9"/>
                      </w:rPr>
                      <w:t>450</w:t>
                    </w:r>
                  </w:p>
                  <w:p>
                    <w:pPr>
                      <w:spacing w:before="22"/>
                      <w:ind w:left="0" w:right="21" w:firstLine="0"/>
                      <w:jc w:val="righ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155"/>
                        <w:sz w:val="9"/>
                      </w:rPr>
                      <w:t>400</w:t>
                    </w:r>
                  </w:p>
                  <w:p>
                    <w:pPr>
                      <w:spacing w:before="24"/>
                      <w:ind w:left="0" w:right="21" w:firstLine="0"/>
                      <w:jc w:val="righ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155"/>
                        <w:sz w:val="9"/>
                      </w:rPr>
                      <w:t>350</w:t>
                    </w:r>
                  </w:p>
                  <w:p>
                    <w:pPr>
                      <w:spacing w:before="22"/>
                      <w:ind w:left="0" w:right="21" w:firstLine="0"/>
                      <w:jc w:val="righ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155"/>
                        <w:sz w:val="9"/>
                      </w:rPr>
                      <w:t>300</w:t>
                    </w:r>
                  </w:p>
                  <w:p>
                    <w:pPr>
                      <w:spacing w:before="24"/>
                      <w:ind w:left="0" w:right="21" w:firstLine="0"/>
                      <w:jc w:val="righ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155"/>
                        <w:sz w:val="9"/>
                      </w:rPr>
                      <w:t>250</w:t>
                    </w:r>
                  </w:p>
                  <w:p>
                    <w:pPr>
                      <w:spacing w:before="22"/>
                      <w:ind w:left="0" w:right="21" w:firstLine="0"/>
                      <w:jc w:val="righ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155"/>
                        <w:sz w:val="9"/>
                      </w:rPr>
                      <w:t>200</w:t>
                    </w:r>
                  </w:p>
                  <w:p>
                    <w:pPr>
                      <w:spacing w:before="24"/>
                      <w:ind w:left="0" w:right="21" w:firstLine="0"/>
                      <w:jc w:val="righ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155"/>
                        <w:sz w:val="9"/>
                      </w:rPr>
                      <w:t>150</w:t>
                    </w:r>
                  </w:p>
                  <w:p>
                    <w:pPr>
                      <w:spacing w:before="22"/>
                      <w:ind w:left="0" w:right="21" w:firstLine="0"/>
                      <w:jc w:val="righ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155"/>
                        <w:sz w:val="9"/>
                      </w:rPr>
                      <w:t>100</w:t>
                    </w:r>
                  </w:p>
                  <w:p>
                    <w:pPr>
                      <w:spacing w:before="23"/>
                      <w:ind w:left="0" w:right="19" w:firstLine="0"/>
                      <w:jc w:val="righ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155"/>
                        <w:sz w:val="9"/>
                      </w:rPr>
                      <w:t>50</w:t>
                    </w:r>
                  </w:p>
                  <w:p>
                    <w:pPr>
                      <w:spacing w:before="23"/>
                      <w:ind w:left="0" w:right="18" w:firstLine="0"/>
                      <w:jc w:val="righ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155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409;top:2298;width:1138;height:518" type="#_x0000_t202" filled="false" stroked="false">
              <v:textbox inset="0,0,0,0">
                <w:txbxContent>
                  <w:p>
                    <w:pPr>
                      <w:spacing w:before="7"/>
                      <w:ind w:left="113" w:right="0" w:firstLine="0"/>
                      <w:jc w:val="lef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155"/>
                        <w:sz w:val="9"/>
                      </w:rPr>
                      <w:t>2017</w:t>
                    </w:r>
                  </w:p>
                  <w:p>
                    <w:pPr>
                      <w:spacing w:line="180" w:lineRule="atLeast" w:before="39"/>
                      <w:ind w:left="0" w:right="0" w:firstLine="0"/>
                      <w:jc w:val="left"/>
                      <w:rPr>
                        <w:rFonts w:ascii="Verdana"/>
                        <w:sz w:val="8"/>
                      </w:rPr>
                    </w:pPr>
                    <w:r>
                      <w:rPr>
                        <w:rFonts w:ascii="Verdana"/>
                        <w:w w:val="160"/>
                        <w:sz w:val="8"/>
                      </w:rPr>
                      <w:t>EXTRANJERO</w:t>
                    </w:r>
                    <w:r>
                      <w:rPr>
                        <w:rFonts w:ascii="Verdana"/>
                        <w:spacing w:val="1"/>
                        <w:w w:val="160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60"/>
                        <w:sz w:val="8"/>
                      </w:rPr>
                      <w:t>-</w:t>
                    </w:r>
                    <w:r>
                      <w:rPr>
                        <w:rFonts w:ascii="Verdana"/>
                        <w:spacing w:val="1"/>
                        <w:w w:val="160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60"/>
                        <w:sz w:val="8"/>
                      </w:rPr>
                      <w:t>H</w:t>
                    </w:r>
                    <w:r>
                      <w:rPr>
                        <w:rFonts w:ascii="Verdana"/>
                        <w:spacing w:val="-42"/>
                        <w:w w:val="160"/>
                        <w:sz w:val="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203"/>
                        <w:sz w:val="8"/>
                      </w:rPr>
                      <w:t>G</w:t>
                    </w:r>
                    <w:r>
                      <w:rPr>
                        <w:rFonts w:ascii="Verdana"/>
                        <w:w w:val="195"/>
                        <w:sz w:val="8"/>
                      </w:rPr>
                      <w:t>A</w:t>
                    </w:r>
                    <w:r>
                      <w:rPr>
                        <w:rFonts w:ascii="Verdana"/>
                        <w:w w:val="158"/>
                        <w:sz w:val="8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97"/>
                        <w:sz w:val="8"/>
                      </w:rPr>
                      <w:t>I</w:t>
                    </w:r>
                    <w:r>
                      <w:rPr>
                        <w:rFonts w:ascii="Verdana"/>
                        <w:spacing w:val="-1"/>
                        <w:w w:val="152"/>
                        <w:sz w:val="8"/>
                      </w:rPr>
                      <w:t>F</w:t>
                    </w:r>
                    <w:r>
                      <w:rPr>
                        <w:rFonts w:ascii="Verdana"/>
                        <w:w w:val="161"/>
                        <w:sz w:val="8"/>
                      </w:rPr>
                      <w:t>U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ind w:left="278" w:right="1071"/>
        <w:jc w:val="both"/>
      </w:pPr>
      <w:r>
        <w:rPr/>
        <w:t>Este gráfico muestra el total de la población estudiantil por niveles educativos, etnia y sexo durante el</w:t>
      </w:r>
      <w:r>
        <w:rPr>
          <w:spacing w:val="1"/>
        </w:rPr>
        <w:t> </w:t>
      </w:r>
      <w:r>
        <w:rPr/>
        <w:t>período 2017-2021, para el Departamento de Retalhuleu, Según DIPLAN, (2021), de las cifras anteriores,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proporción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atención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la población</w:t>
      </w:r>
      <w:r>
        <w:rPr>
          <w:spacing w:val="-1"/>
        </w:rPr>
        <w:t> </w:t>
      </w:r>
      <w:r>
        <w:rPr/>
        <w:t>estudiantil fue</w:t>
      </w:r>
      <w:r>
        <w:rPr>
          <w:spacing w:val="1"/>
        </w:rPr>
        <w:t> </w:t>
      </w:r>
      <w:r>
        <w:rPr/>
        <w:t>como sigue:</w:t>
      </w:r>
    </w:p>
    <w:p>
      <w:pPr>
        <w:pStyle w:val="BodyText"/>
        <w:spacing w:before="1"/>
      </w:pPr>
    </w:p>
    <w:p>
      <w:pPr>
        <w:pStyle w:val="BodyText"/>
        <w:ind w:left="278" w:right="6486"/>
      </w:pPr>
      <w:r>
        <w:rPr/>
        <w:t>Ladinos: 51% de hombres y 47% de mujeres.</w:t>
      </w:r>
      <w:r>
        <w:rPr>
          <w:spacing w:val="-47"/>
        </w:rPr>
        <w:t> </w:t>
      </w:r>
      <w:r>
        <w:rPr/>
        <w:t>Mayas:</w:t>
      </w:r>
      <w:r>
        <w:rPr>
          <w:spacing w:val="-3"/>
        </w:rPr>
        <w:t> </w:t>
      </w:r>
      <w:r>
        <w:rPr/>
        <w:t>1%</w:t>
      </w:r>
      <w:r>
        <w:rPr>
          <w:spacing w:val="1"/>
        </w:rPr>
        <w:t> </w:t>
      </w:r>
      <w:r>
        <w:rPr/>
        <w:t>de hombres y</w:t>
      </w:r>
      <w:r>
        <w:rPr>
          <w:spacing w:val="-2"/>
        </w:rPr>
        <w:t> </w:t>
      </w:r>
      <w:r>
        <w:rPr/>
        <w:t>1%</w:t>
      </w:r>
      <w:r>
        <w:rPr>
          <w:spacing w:val="-2"/>
        </w:rPr>
        <w:t> </w:t>
      </w:r>
      <w:r>
        <w:rPr/>
        <w:t>mujeres.</w:t>
      </w:r>
    </w:p>
    <w:p>
      <w:pPr>
        <w:pStyle w:val="BodyText"/>
        <w:spacing w:before="1"/>
      </w:pPr>
    </w:p>
    <w:p>
      <w:pPr>
        <w:pStyle w:val="BodyText"/>
        <w:ind w:left="278" w:right="1069"/>
        <w:jc w:val="both"/>
      </w:pPr>
      <w:r>
        <w:rPr>
          <w:spacing w:val="-1"/>
        </w:rPr>
        <w:t>Al</w:t>
      </w:r>
      <w:r>
        <w:rPr>
          <w:spacing w:val="-10"/>
        </w:rPr>
        <w:t> </w:t>
      </w:r>
      <w:r>
        <w:rPr>
          <w:spacing w:val="-1"/>
        </w:rPr>
        <w:t>comparar</w:t>
      </w:r>
      <w:r>
        <w:rPr>
          <w:spacing w:val="-13"/>
        </w:rPr>
        <w:t> </w:t>
      </w:r>
      <w:r>
        <w:rPr>
          <w:spacing w:val="-1"/>
        </w:rPr>
        <w:t>estos</w:t>
      </w:r>
      <w:r>
        <w:rPr>
          <w:spacing w:val="-8"/>
        </w:rPr>
        <w:t> </w:t>
      </w:r>
      <w:r>
        <w:rPr>
          <w:spacing w:val="-1"/>
        </w:rPr>
        <w:t>resultados</w:t>
      </w:r>
      <w:r>
        <w:rPr>
          <w:spacing w:val="-12"/>
        </w:rPr>
        <w:t> </w:t>
      </w:r>
      <w:r>
        <w:rPr/>
        <w:t>con</w:t>
      </w:r>
      <w:r>
        <w:rPr>
          <w:spacing w:val="-13"/>
        </w:rPr>
        <w:t> </w:t>
      </w:r>
      <w:r>
        <w:rPr/>
        <w:t>la</w:t>
      </w:r>
      <w:r>
        <w:rPr>
          <w:spacing w:val="-11"/>
        </w:rPr>
        <w:t> </w:t>
      </w:r>
      <w:r>
        <w:rPr/>
        <w:t>información</w:t>
      </w:r>
      <w:r>
        <w:rPr>
          <w:spacing w:val="-10"/>
        </w:rPr>
        <w:t> </w:t>
      </w:r>
      <w:r>
        <w:rPr/>
        <w:t>del</w:t>
      </w:r>
      <w:r>
        <w:rPr>
          <w:spacing w:val="-8"/>
        </w:rPr>
        <w:t> </w:t>
      </w:r>
      <w:r>
        <w:rPr/>
        <w:t>INE,</w:t>
      </w:r>
      <w:r>
        <w:rPr>
          <w:spacing w:val="-9"/>
        </w:rPr>
        <w:t> </w:t>
      </w:r>
      <w:r>
        <w:rPr/>
        <w:t>(2018),</w:t>
      </w:r>
      <w:r>
        <w:rPr>
          <w:spacing w:val="-12"/>
        </w:rPr>
        <w:t> </w:t>
      </w:r>
      <w:r>
        <w:rPr/>
        <w:t>es</w:t>
      </w:r>
      <w:r>
        <w:rPr>
          <w:spacing w:val="-10"/>
        </w:rPr>
        <w:t> </w:t>
      </w:r>
      <w:r>
        <w:rPr/>
        <w:t>posible</w:t>
      </w:r>
      <w:r>
        <w:rPr>
          <w:spacing w:val="-12"/>
        </w:rPr>
        <w:t> </w:t>
      </w:r>
      <w:r>
        <w:rPr/>
        <w:t>evidenciar</w:t>
      </w:r>
      <w:r>
        <w:rPr>
          <w:spacing w:val="-10"/>
        </w:rPr>
        <w:t> </w:t>
      </w:r>
      <w:r>
        <w:rPr/>
        <w:t>que,</w:t>
      </w:r>
      <w:r>
        <w:rPr>
          <w:spacing w:val="-10"/>
        </w:rPr>
        <w:t> </w:t>
      </w:r>
      <w:r>
        <w:rPr/>
        <w:t>si</w:t>
      </w:r>
      <w:r>
        <w:rPr>
          <w:spacing w:val="-12"/>
        </w:rPr>
        <w:t> </w:t>
      </w:r>
      <w:r>
        <w:rPr/>
        <w:t>bien</w:t>
      </w:r>
      <w:r>
        <w:rPr>
          <w:spacing w:val="-11"/>
        </w:rPr>
        <w:t> </w:t>
      </w:r>
      <w:r>
        <w:rPr/>
        <w:t>es</w:t>
      </w:r>
      <w:r>
        <w:rPr>
          <w:spacing w:val="-11"/>
        </w:rPr>
        <w:t> </w:t>
      </w:r>
      <w:r>
        <w:rPr/>
        <w:t>cierto,</w:t>
      </w:r>
      <w:r>
        <w:rPr>
          <w:spacing w:val="-47"/>
        </w:rPr>
        <w:t> </w:t>
      </w:r>
      <w:r>
        <w:rPr/>
        <w:t>si hay participación de las etnias mayoritarias (15% Maya y 85% Ladina), no hay representación. Es decir,</w:t>
      </w:r>
      <w:r>
        <w:rPr>
          <w:spacing w:val="1"/>
        </w:rPr>
        <w:t> </w:t>
      </w:r>
      <w:r>
        <w:rPr/>
        <w:t>el acceso al Sistema de Educación Nacional no llega a las poblaciones de etnia maya residentes en el</w:t>
      </w:r>
      <w:r>
        <w:rPr>
          <w:spacing w:val="1"/>
        </w:rPr>
        <w:t> </w:t>
      </w:r>
      <w:r>
        <w:rPr/>
        <w:t>departamento lo que profundiza la brecha de inequidad. Mientras que para los que pertenecen a la etnia</w:t>
      </w:r>
      <w:r>
        <w:rPr>
          <w:spacing w:val="-47"/>
        </w:rPr>
        <w:t> </w:t>
      </w:r>
      <w:r>
        <w:rPr/>
        <w:t>ladina</w:t>
      </w:r>
      <w:r>
        <w:rPr>
          <w:spacing w:val="-1"/>
        </w:rPr>
        <w:t> </w:t>
      </w:r>
      <w:r>
        <w:rPr/>
        <w:t>poseen</w:t>
      </w:r>
      <w:r>
        <w:rPr>
          <w:spacing w:val="-4"/>
        </w:rPr>
        <w:t> </w:t>
      </w:r>
      <w:r>
        <w:rPr/>
        <w:t>mayor representatividad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sistema</w:t>
      </w:r>
      <w:r>
        <w:rPr>
          <w:spacing w:val="-3"/>
        </w:rPr>
        <w:t> </w:t>
      </w:r>
      <w:r>
        <w:rPr/>
        <w:t>educativo.</w:t>
      </w:r>
    </w:p>
    <w:p>
      <w:pPr>
        <w:pStyle w:val="BodyText"/>
      </w:pPr>
    </w:p>
    <w:p>
      <w:pPr>
        <w:pStyle w:val="BodyText"/>
        <w:ind w:left="278" w:right="1072"/>
        <w:jc w:val="both"/>
      </w:pPr>
      <w:r>
        <w:rPr/>
        <w:t>Por otra parte, respecto del sexo se sigue presentando una brecha de atención en dónde la participación</w:t>
      </w:r>
      <w:r>
        <w:rPr>
          <w:spacing w:val="1"/>
        </w:rPr>
        <w:t> </w:t>
      </w:r>
      <w:r>
        <w:rPr/>
        <w:t>del</w:t>
      </w:r>
      <w:r>
        <w:rPr>
          <w:spacing w:val="-6"/>
        </w:rPr>
        <w:t> </w:t>
      </w:r>
      <w:r>
        <w:rPr/>
        <w:t>hombre</w:t>
      </w:r>
      <w:r>
        <w:rPr>
          <w:spacing w:val="-10"/>
        </w:rPr>
        <w:t> </w:t>
      </w:r>
      <w:r>
        <w:rPr/>
        <w:t>Maya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Ladino,</w:t>
      </w:r>
      <w:r>
        <w:rPr>
          <w:spacing w:val="-7"/>
        </w:rPr>
        <w:t> </w:t>
      </w:r>
      <w:r>
        <w:rPr/>
        <w:t>es</w:t>
      </w:r>
      <w:r>
        <w:rPr>
          <w:spacing w:val="-7"/>
        </w:rPr>
        <w:t> </w:t>
      </w:r>
      <w:r>
        <w:rPr/>
        <w:t>mayor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mujer</w:t>
      </w:r>
      <w:r>
        <w:rPr>
          <w:spacing w:val="-8"/>
        </w:rPr>
        <w:t> </w:t>
      </w:r>
      <w:r>
        <w:rPr/>
        <w:t>-para</w:t>
      </w:r>
      <w:r>
        <w:rPr>
          <w:spacing w:val="-9"/>
        </w:rPr>
        <w:t> </w:t>
      </w:r>
      <w:r>
        <w:rPr/>
        <w:t>ambas</w:t>
      </w:r>
      <w:r>
        <w:rPr>
          <w:spacing w:val="-9"/>
        </w:rPr>
        <w:t> </w:t>
      </w:r>
      <w:r>
        <w:rPr/>
        <w:t>etnias-;</w:t>
      </w:r>
      <w:r>
        <w:rPr>
          <w:spacing w:val="-7"/>
        </w:rPr>
        <w:t> </w:t>
      </w:r>
      <w:r>
        <w:rPr/>
        <w:t>sobre</w:t>
      </w:r>
      <w:r>
        <w:rPr>
          <w:spacing w:val="-10"/>
        </w:rPr>
        <w:t> </w:t>
      </w:r>
      <w:r>
        <w:rPr/>
        <w:t>todo</w:t>
      </w:r>
      <w:r>
        <w:rPr>
          <w:spacing w:val="-7"/>
        </w:rPr>
        <w:t> </w:t>
      </w:r>
      <w:r>
        <w:rPr/>
        <w:t>considerando</w:t>
      </w:r>
      <w:r>
        <w:rPr>
          <w:spacing w:val="-4"/>
        </w:rPr>
        <w:t> </w:t>
      </w:r>
      <w:r>
        <w:rPr/>
        <w:t>que</w:t>
      </w:r>
      <w:r>
        <w:rPr>
          <w:spacing w:val="-47"/>
        </w:rPr>
        <w:t> </w:t>
      </w:r>
      <w:r>
        <w:rPr/>
        <w:t>en</w:t>
      </w:r>
      <w:r>
        <w:rPr>
          <w:spacing w:val="-3"/>
        </w:rPr>
        <w:t> </w:t>
      </w:r>
      <w:r>
        <w:rPr/>
        <w:t>este</w:t>
      </w:r>
      <w:r>
        <w:rPr>
          <w:spacing w:val="-3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51%</w:t>
      </w:r>
      <w:r>
        <w:rPr>
          <w:spacing w:val="-2"/>
        </w:rPr>
        <w:t> </w:t>
      </w:r>
      <w:r>
        <w:rPr/>
        <w:t>es</w:t>
      </w:r>
      <w:r>
        <w:rPr>
          <w:spacing w:val="-5"/>
        </w:rPr>
        <w:t> </w:t>
      </w:r>
      <w:r>
        <w:rPr/>
        <w:t>mujer</w:t>
      </w:r>
      <w:r>
        <w:rPr>
          <w:spacing w:val="-6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49%</w:t>
      </w:r>
      <w:r>
        <w:rPr>
          <w:spacing w:val="-3"/>
        </w:rPr>
        <w:t> </w:t>
      </w:r>
      <w:r>
        <w:rPr/>
        <w:t>es</w:t>
      </w:r>
      <w:r>
        <w:rPr>
          <w:spacing w:val="-2"/>
        </w:rPr>
        <w:t> </w:t>
      </w:r>
      <w:r>
        <w:rPr/>
        <w:t>hombre.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posibilidad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tener</w:t>
      </w:r>
      <w:r>
        <w:rPr>
          <w:spacing w:val="-3"/>
        </w:rPr>
        <w:t> </w:t>
      </w:r>
      <w:r>
        <w:rPr/>
        <w:t>acceso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en</w:t>
      </w:r>
      <w:r>
        <w:rPr>
          <w:spacing w:val="-47"/>
        </w:rPr>
        <w:t> </w:t>
      </w:r>
      <w:r>
        <w:rPr/>
        <w:t>el</w:t>
      </w:r>
      <w:r>
        <w:rPr>
          <w:spacing w:val="-1"/>
        </w:rPr>
        <w:t> </w:t>
      </w:r>
      <w:r>
        <w:rPr/>
        <w:t>sistema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reduce</w:t>
      </w:r>
      <w:r>
        <w:rPr>
          <w:spacing w:val="-2"/>
        </w:rPr>
        <w:t> </w:t>
      </w:r>
      <w:r>
        <w:rPr/>
        <w:t>si se</w:t>
      </w:r>
      <w:r>
        <w:rPr>
          <w:spacing w:val="-2"/>
        </w:rPr>
        <w:t> </w:t>
      </w:r>
      <w:r>
        <w:rPr/>
        <w:t>es mujer de la</w:t>
      </w:r>
      <w:r>
        <w:rPr>
          <w:spacing w:val="-3"/>
        </w:rPr>
        <w:t> </w:t>
      </w:r>
      <w:r>
        <w:rPr/>
        <w:t>etnia</w:t>
      </w:r>
      <w:r>
        <w:rPr>
          <w:spacing w:val="-2"/>
        </w:rPr>
        <w:t> </w:t>
      </w:r>
      <w:r>
        <w:rPr/>
        <w:t>Maya.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rect style="position:absolute;margin-left:563.880005pt;margin-top:14.499391pt;width:25.44pt;height:1.4399pt;mso-position-horizontal-relative:page;mso-position-vertical-relative:paragraph;z-index:-1538816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174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55232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6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1"/>
          <w:numId w:val="36"/>
        </w:numPr>
        <w:tabs>
          <w:tab w:pos="855" w:val="left" w:leader="none"/>
        </w:tabs>
        <w:spacing w:line="240" w:lineRule="auto" w:before="52" w:after="0"/>
        <w:ind w:left="854" w:right="0" w:hanging="577"/>
        <w:jc w:val="left"/>
      </w:pPr>
      <w:bookmarkStart w:name="_bookmark214" w:id="361"/>
      <w:bookmarkEnd w:id="361"/>
      <w:r>
        <w:rPr>
          <w:b w:val="0"/>
        </w:rPr>
      </w:r>
      <w:bookmarkStart w:name="_bookmark214" w:id="362"/>
      <w:bookmarkEnd w:id="362"/>
      <w:r>
        <w:rPr>
          <w:color w:val="1F4E79"/>
        </w:rPr>
        <w:t>S</w:t>
      </w:r>
      <w:r>
        <w:rPr>
          <w:color w:val="1F4E79"/>
        </w:rPr>
        <w:t>acatepéquez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2"/>
          <w:numId w:val="36"/>
        </w:numPr>
        <w:tabs>
          <w:tab w:pos="999" w:val="left" w:leader="none"/>
        </w:tabs>
        <w:spacing w:line="240" w:lineRule="auto" w:before="187" w:after="0"/>
        <w:ind w:left="998" w:right="0" w:hanging="721"/>
        <w:jc w:val="left"/>
        <w:rPr>
          <w:b/>
          <w:sz w:val="24"/>
        </w:rPr>
      </w:pPr>
      <w:bookmarkStart w:name="_bookmark215" w:id="363"/>
      <w:bookmarkEnd w:id="363"/>
      <w:r>
        <w:rPr/>
      </w:r>
      <w:bookmarkStart w:name="_bookmark215" w:id="364"/>
      <w:bookmarkEnd w:id="364"/>
      <w:r>
        <w:rPr>
          <w:b/>
          <w:sz w:val="24"/>
        </w:rPr>
        <w:t>Inf</w:t>
      </w:r>
      <w:r>
        <w:rPr>
          <w:b/>
          <w:sz w:val="24"/>
        </w:rPr>
        <w:t>ormación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General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4"/>
        <w:jc w:val="both"/>
      </w:pPr>
      <w:r>
        <w:rPr/>
        <w:t>Según INE, 2018, 330,469 habitantes residen en Sacatepéquez, con una proporción del 51% de mujeres y</w:t>
      </w:r>
      <w:r>
        <w:rPr>
          <w:spacing w:val="-47"/>
        </w:rPr>
        <w:t> </w:t>
      </w:r>
      <w:r>
        <w:rPr/>
        <w:t>49% de hombres. Cabe destacar que el 40% de la población es niño o adolescente, ya que se encuentran</w:t>
      </w:r>
      <w:r>
        <w:rPr>
          <w:spacing w:val="1"/>
        </w:rPr>
        <w:t> </w:t>
      </w:r>
      <w:r>
        <w:rPr/>
        <w:t>entre el rango de 0 a 19 años de edad.</w:t>
      </w:r>
      <w:r>
        <w:rPr>
          <w:spacing w:val="1"/>
        </w:rPr>
        <w:t> </w:t>
      </w:r>
      <w:r>
        <w:rPr/>
        <w:t>De este total, el 88% reside en el área urbana, mientras que el</w:t>
      </w:r>
      <w:r>
        <w:rPr>
          <w:spacing w:val="1"/>
        </w:rPr>
        <w:t> </w:t>
      </w:r>
      <w:r>
        <w:rPr/>
        <w:t>restante 12% es del área rural. De ellos, el 60% se reconoce mayoritariamente como Ladina, y el 40% de</w:t>
      </w:r>
      <w:r>
        <w:rPr>
          <w:spacing w:val="1"/>
        </w:rPr>
        <w:t> </w:t>
      </w:r>
      <w:r>
        <w:rPr/>
        <w:t>etnia</w:t>
      </w:r>
      <w:r>
        <w:rPr>
          <w:spacing w:val="-1"/>
        </w:rPr>
        <w:t> </w:t>
      </w:r>
      <w:r>
        <w:rPr/>
        <w:t>Maya.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otro</w:t>
      </w:r>
      <w:r>
        <w:rPr>
          <w:spacing w:val="1"/>
        </w:rPr>
        <w:t> </w:t>
      </w:r>
      <w:r>
        <w:rPr/>
        <w:t>lado,</w:t>
      </w:r>
      <w:r>
        <w:rPr>
          <w:spacing w:val="-4"/>
        </w:rPr>
        <w:t> </w:t>
      </w:r>
      <w:r>
        <w:rPr/>
        <w:t>la comunidad</w:t>
      </w:r>
      <w:r>
        <w:rPr>
          <w:spacing w:val="-1"/>
        </w:rPr>
        <w:t> </w:t>
      </w:r>
      <w:r>
        <w:rPr/>
        <w:t>maya lingüística</w:t>
      </w:r>
      <w:r>
        <w:rPr>
          <w:spacing w:val="-1"/>
        </w:rPr>
        <w:t> </w:t>
      </w:r>
      <w:r>
        <w:rPr/>
        <w:t>dominante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el Kaqchikel</w:t>
      </w:r>
      <w:r>
        <w:rPr>
          <w:spacing w:val="-1"/>
        </w:rPr>
        <w:t> </w:t>
      </w:r>
      <w:r>
        <w:rPr/>
        <w:t>(94%).</w:t>
      </w:r>
    </w:p>
    <w:p>
      <w:pPr>
        <w:pStyle w:val="BodyText"/>
        <w:spacing w:before="9"/>
        <w:rPr>
          <w:sz w:val="19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1" w:after="0"/>
        <w:ind w:left="998" w:right="0" w:hanging="721"/>
        <w:jc w:val="left"/>
      </w:pPr>
      <w:bookmarkStart w:name="_bookmark216" w:id="365"/>
      <w:bookmarkEnd w:id="365"/>
      <w:r>
        <w:rPr>
          <w:b w:val="0"/>
        </w:rPr>
      </w:r>
      <w:bookmarkStart w:name="_bookmark216" w:id="366"/>
      <w:bookmarkEnd w:id="366"/>
      <w:r>
        <w:rPr/>
        <w:t>Situ</w:t>
      </w:r>
      <w:r>
        <w:rPr/>
        <w:t>ación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Sistema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Nacional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ind w:left="278" w:right="1072"/>
        <w:jc w:val="both"/>
      </w:pPr>
      <w:r>
        <w:rPr/>
        <w:t>La temática estadística relacionada con la población estudiantil del departamento de Sacatepéquez, han</w:t>
      </w:r>
      <w:r>
        <w:rPr>
          <w:spacing w:val="1"/>
        </w:rPr>
        <w:t> </w:t>
      </w:r>
      <w:r>
        <w:rPr/>
        <w:t>mostrado un comportamiento similar al presentado a nivel nacional. En primer lugar, aparece el nivel</w:t>
      </w:r>
      <w:r>
        <w:rPr>
          <w:spacing w:val="1"/>
        </w:rPr>
        <w:t> </w:t>
      </w:r>
      <w:r>
        <w:rPr/>
        <w:t>primaria, en segundo lugar el básico y el tercer lugar, la preprimaria.</w:t>
      </w:r>
      <w:r>
        <w:rPr>
          <w:spacing w:val="1"/>
        </w:rPr>
        <w:t> </w:t>
      </w:r>
      <w:r>
        <w:rPr/>
        <w:t>Por último, el diversificado y la</w:t>
      </w:r>
      <w:r>
        <w:rPr>
          <w:spacing w:val="1"/>
        </w:rPr>
        <w:t> </w:t>
      </w:r>
      <w:r>
        <w:rPr/>
        <w:t>primaria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adultos.</w:t>
      </w:r>
      <w:r>
        <w:rPr>
          <w:spacing w:val="-3"/>
        </w:rPr>
        <w:t> </w:t>
      </w:r>
      <w:r>
        <w:rPr/>
        <w:t>Como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la siguiente</w:t>
      </w:r>
      <w:r>
        <w:rPr>
          <w:spacing w:val="1"/>
        </w:rPr>
        <w:t> </w:t>
      </w:r>
      <w:r>
        <w:rPr/>
        <w:t>tabla.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ind w:left="278"/>
        <w:jc w:val="both"/>
      </w:pPr>
      <w:r>
        <w:rPr/>
        <w:pict>
          <v:group style="position:absolute;margin-left:71.736771pt;margin-top:13.266716pt;width:438.9pt;height:21.55pt;mso-position-horizontal-relative:page;mso-position-vertical-relative:paragraph;z-index:16072704" coordorigin="1435,265" coordsize="8778,431">
            <v:rect style="position:absolute;left:1434;top:276;width:1229;height:420" filled="true" fillcolor="#d9e0f1" stroked="false">
              <v:fill type="solid"/>
            </v:rect>
            <v:shape style="position:absolute;left:2646;top:276;width:7566;height:420" coordorigin="2646,276" coordsize="7566,420" path="m2646,276l2646,696,7995,696,10212,276,2646,276xe" filled="true" fillcolor="#585858" stroked="false">
              <v:path arrowok="t"/>
              <v:fill type="solid"/>
            </v:shape>
            <v:shape style="position:absolute;left:1434;top:265;width:8778;height:431" type="#_x0000_t202" filled="false" stroked="false">
              <v:textbox inset="0,0,0,0">
                <w:txbxContent>
                  <w:p>
                    <w:pPr>
                      <w:spacing w:line="195" w:lineRule="exact" w:before="0"/>
                      <w:ind w:left="2029" w:right="1487" w:firstLine="0"/>
                      <w:jc w:val="center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7"/>
                      </w:rPr>
                      <w:t>PRIMARIA</w:t>
                    </w:r>
                    <w:r>
                      <w:rPr>
                        <w:rFonts w:ascii="Arial"/>
                        <w:b/>
                        <w:color w:val="FFFFFF"/>
                        <w:spacing w:val="4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17"/>
                      </w:rPr>
                      <w:t>DE</w:t>
                    </w:r>
                  </w:p>
                  <w:p>
                    <w:pPr>
                      <w:tabs>
                        <w:tab w:pos="1524" w:val="left" w:leader="none"/>
                        <w:tab w:pos="3099" w:val="left" w:leader="none"/>
                        <w:tab w:pos="4243" w:val="left" w:leader="none"/>
                        <w:tab w:pos="5367" w:val="left" w:leader="none"/>
                      </w:tabs>
                      <w:spacing w:before="14"/>
                      <w:ind w:left="-17" w:right="1487" w:firstLine="0"/>
                      <w:jc w:val="center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3"/>
                        <w:sz w:val="17"/>
                        <w:u w:val="single" w:color="8EA9DB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17"/>
                        <w:u w:val="single" w:color="8EA9DB"/>
                      </w:rPr>
                      <w:tab/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7"/>
                        <w:u w:val="single" w:color="8EA9DB"/>
                      </w:rPr>
                      <w:t>PREPRIMARIA</w:t>
                      <w:tab/>
                      <w:t>PRIMARIA</w:t>
                      <w:tab/>
                      <w:t>ADULTOS</w:t>
                      <w:tab/>
                      <w:t>BASICO</w:t>
                    </w:r>
                    <w:r>
                      <w:rPr>
                        <w:rFonts w:ascii="Arial"/>
                        <w:b/>
                        <w:color w:val="FFFFFF"/>
                        <w:spacing w:val="41"/>
                        <w:w w:val="105"/>
                        <w:sz w:val="17"/>
                        <w:u w:val="single" w:color="8EA9DB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7"/>
                        <w:u w:val="single" w:color="8EA9DB"/>
                      </w:rPr>
                      <w:t>DIVE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7"/>
                      </w:rPr>
                      <w:t>RSIFICA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Tabla</w:t>
      </w:r>
      <w:r>
        <w:rPr>
          <w:spacing w:val="-2"/>
        </w:rPr>
        <w:t> </w:t>
      </w:r>
      <w:r>
        <w:rPr/>
        <w:t>Nº.</w:t>
      </w:r>
      <w:r>
        <w:rPr>
          <w:spacing w:val="-1"/>
        </w:rPr>
        <w:t> </w:t>
      </w:r>
      <w:r>
        <w:rPr/>
        <w:t>Total</w:t>
      </w:r>
      <w:r>
        <w:rPr>
          <w:spacing w:val="-2"/>
        </w:rPr>
        <w:t> </w:t>
      </w:r>
      <w:r>
        <w:rPr/>
        <w:t>de estudiantes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Nivel</w:t>
      </w:r>
      <w:r>
        <w:rPr>
          <w:spacing w:val="-2"/>
        </w:rPr>
        <w:t> </w:t>
      </w:r>
      <w:r>
        <w:rPr/>
        <w:t>Educativo para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Sacatepéquez</w:t>
      </w:r>
      <w:r>
        <w:rPr>
          <w:spacing w:val="-2"/>
        </w:rPr>
        <w:t> </w:t>
      </w:r>
      <w:r>
        <w:rPr/>
        <w:t>(2017</w:t>
      </w:r>
      <w:r>
        <w:rPr>
          <w:spacing w:val="-3"/>
        </w:rPr>
        <w:t> </w:t>
      </w:r>
      <w:r>
        <w:rPr/>
        <w:t>al</w:t>
      </w:r>
      <w:r>
        <w:rPr>
          <w:spacing w:val="-4"/>
        </w:rPr>
        <w:t> </w:t>
      </w:r>
      <w:r>
        <w:rPr/>
        <w:t>2021)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7"/>
        <w:gridCol w:w="1501"/>
        <w:gridCol w:w="1325"/>
        <w:gridCol w:w="971"/>
        <w:gridCol w:w="904"/>
      </w:tblGrid>
      <w:tr>
        <w:trPr>
          <w:trHeight w:val="202" w:hRule="atLeast"/>
        </w:trPr>
        <w:tc>
          <w:tcPr>
            <w:tcW w:w="1177" w:type="dxa"/>
          </w:tcPr>
          <w:p>
            <w:pPr>
              <w:pStyle w:val="TableParagraph"/>
              <w:spacing w:line="183" w:lineRule="exact"/>
              <w:ind w:left="257"/>
              <w:rPr>
                <w:rFonts w:ascii="Arial MT"/>
                <w:sz w:val="17"/>
              </w:rPr>
            </w:pPr>
            <w:r>
              <w:rPr>
                <w:rFonts w:ascii="Arial MT"/>
                <w:w w:val="105"/>
                <w:sz w:val="17"/>
              </w:rPr>
              <w:t>2017</w:t>
            </w:r>
          </w:p>
        </w:tc>
        <w:tc>
          <w:tcPr>
            <w:tcW w:w="1501" w:type="dxa"/>
          </w:tcPr>
          <w:p>
            <w:pPr>
              <w:pStyle w:val="TableParagraph"/>
              <w:spacing w:line="183" w:lineRule="exact"/>
              <w:ind w:right="434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w w:val="105"/>
                <w:sz w:val="17"/>
              </w:rPr>
              <w:t>13,779</w:t>
            </w:r>
          </w:p>
        </w:tc>
        <w:tc>
          <w:tcPr>
            <w:tcW w:w="1325" w:type="dxa"/>
          </w:tcPr>
          <w:p>
            <w:pPr>
              <w:pStyle w:val="TableParagraph"/>
              <w:spacing w:line="183" w:lineRule="exact"/>
              <w:ind w:right="357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w w:val="105"/>
                <w:sz w:val="17"/>
              </w:rPr>
              <w:t>46,331</w:t>
            </w:r>
          </w:p>
        </w:tc>
        <w:tc>
          <w:tcPr>
            <w:tcW w:w="971" w:type="dxa"/>
          </w:tcPr>
          <w:p>
            <w:pPr>
              <w:pStyle w:val="TableParagraph"/>
              <w:spacing w:line="183" w:lineRule="exact"/>
              <w:ind w:left="332" w:right="30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105"/>
                <w:sz w:val="17"/>
              </w:rPr>
              <w:t>731</w:t>
            </w:r>
          </w:p>
        </w:tc>
        <w:tc>
          <w:tcPr>
            <w:tcW w:w="904" w:type="dxa"/>
          </w:tcPr>
          <w:p>
            <w:pPr>
              <w:pStyle w:val="TableParagraph"/>
              <w:spacing w:line="183" w:lineRule="exact"/>
              <w:ind w:left="321"/>
              <w:rPr>
                <w:rFonts w:ascii="Arial MT"/>
                <w:sz w:val="17"/>
              </w:rPr>
            </w:pPr>
            <w:r>
              <w:rPr>
                <w:rFonts w:ascii="Arial MT"/>
                <w:w w:val="105"/>
                <w:sz w:val="17"/>
              </w:rPr>
              <w:t>20,995</w:t>
            </w:r>
          </w:p>
        </w:tc>
      </w:tr>
      <w:tr>
        <w:trPr>
          <w:trHeight w:val="209" w:hRule="atLeast"/>
        </w:trPr>
        <w:tc>
          <w:tcPr>
            <w:tcW w:w="1177" w:type="dxa"/>
          </w:tcPr>
          <w:p>
            <w:pPr>
              <w:pStyle w:val="TableParagraph"/>
              <w:spacing w:line="183" w:lineRule="exact" w:before="6"/>
              <w:ind w:left="257"/>
              <w:rPr>
                <w:rFonts w:ascii="Arial MT"/>
                <w:sz w:val="17"/>
              </w:rPr>
            </w:pPr>
            <w:r>
              <w:rPr>
                <w:rFonts w:ascii="Arial MT"/>
                <w:w w:val="105"/>
                <w:sz w:val="17"/>
              </w:rPr>
              <w:t>2018</w:t>
            </w:r>
          </w:p>
        </w:tc>
        <w:tc>
          <w:tcPr>
            <w:tcW w:w="1501" w:type="dxa"/>
          </w:tcPr>
          <w:p>
            <w:pPr>
              <w:pStyle w:val="TableParagraph"/>
              <w:spacing w:line="183" w:lineRule="exact" w:before="6"/>
              <w:ind w:right="434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w w:val="105"/>
                <w:sz w:val="17"/>
              </w:rPr>
              <w:t>13,816</w:t>
            </w:r>
          </w:p>
        </w:tc>
        <w:tc>
          <w:tcPr>
            <w:tcW w:w="1325" w:type="dxa"/>
          </w:tcPr>
          <w:p>
            <w:pPr>
              <w:pStyle w:val="TableParagraph"/>
              <w:spacing w:line="183" w:lineRule="exact" w:before="6"/>
              <w:ind w:right="357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w w:val="105"/>
                <w:sz w:val="17"/>
              </w:rPr>
              <w:t>46,830</w:t>
            </w:r>
          </w:p>
        </w:tc>
        <w:tc>
          <w:tcPr>
            <w:tcW w:w="971" w:type="dxa"/>
          </w:tcPr>
          <w:p>
            <w:pPr>
              <w:pStyle w:val="TableParagraph"/>
              <w:spacing w:line="183" w:lineRule="exact" w:before="6"/>
              <w:ind w:left="332" w:right="30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105"/>
                <w:sz w:val="17"/>
              </w:rPr>
              <w:t>669</w:t>
            </w:r>
          </w:p>
        </w:tc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1177" w:type="dxa"/>
          </w:tcPr>
          <w:p>
            <w:pPr>
              <w:pStyle w:val="TableParagraph"/>
              <w:spacing w:line="184" w:lineRule="exact" w:before="6"/>
              <w:ind w:left="257"/>
              <w:rPr>
                <w:rFonts w:ascii="Arial MT"/>
                <w:sz w:val="17"/>
              </w:rPr>
            </w:pPr>
            <w:r>
              <w:rPr>
                <w:rFonts w:ascii="Arial MT"/>
                <w:w w:val="105"/>
                <w:sz w:val="17"/>
              </w:rPr>
              <w:t>2019</w:t>
            </w:r>
          </w:p>
        </w:tc>
        <w:tc>
          <w:tcPr>
            <w:tcW w:w="1501" w:type="dxa"/>
          </w:tcPr>
          <w:p>
            <w:pPr>
              <w:pStyle w:val="TableParagraph"/>
              <w:spacing w:line="184" w:lineRule="exact" w:before="6"/>
              <w:ind w:right="434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w w:val="105"/>
                <w:sz w:val="17"/>
              </w:rPr>
              <w:t>13,948</w:t>
            </w:r>
          </w:p>
        </w:tc>
        <w:tc>
          <w:tcPr>
            <w:tcW w:w="1325" w:type="dxa"/>
          </w:tcPr>
          <w:p>
            <w:pPr>
              <w:pStyle w:val="TableParagraph"/>
              <w:spacing w:line="184" w:lineRule="exact" w:before="6"/>
              <w:ind w:right="357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w w:val="105"/>
                <w:sz w:val="17"/>
              </w:rPr>
              <w:t>46,402</w:t>
            </w:r>
          </w:p>
        </w:tc>
        <w:tc>
          <w:tcPr>
            <w:tcW w:w="9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1177" w:type="dxa"/>
          </w:tcPr>
          <w:p>
            <w:pPr>
              <w:pStyle w:val="TableParagraph"/>
              <w:spacing w:line="177" w:lineRule="exact" w:before="6"/>
              <w:ind w:left="257"/>
              <w:rPr>
                <w:rFonts w:ascii="Arial MT"/>
                <w:sz w:val="17"/>
              </w:rPr>
            </w:pPr>
            <w:r>
              <w:rPr>
                <w:rFonts w:ascii="Arial MT"/>
                <w:w w:val="105"/>
                <w:sz w:val="17"/>
              </w:rPr>
              <w:t>2020</w:t>
            </w:r>
          </w:p>
        </w:tc>
        <w:tc>
          <w:tcPr>
            <w:tcW w:w="1501" w:type="dxa"/>
          </w:tcPr>
          <w:p>
            <w:pPr>
              <w:pStyle w:val="TableParagraph"/>
              <w:spacing w:line="177" w:lineRule="exact" w:before="6"/>
              <w:ind w:right="434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w w:val="105"/>
                <w:sz w:val="17"/>
              </w:rPr>
              <w:t>13,816</w:t>
            </w:r>
          </w:p>
        </w:tc>
        <w:tc>
          <w:tcPr>
            <w:tcW w:w="13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tabs>
          <w:tab w:pos="710" w:val="left" w:leader="none"/>
          <w:tab w:pos="1362" w:val="left" w:leader="none"/>
        </w:tabs>
        <w:spacing w:before="13" w:after="7"/>
        <w:ind w:left="277" w:right="0" w:firstLine="0"/>
        <w:jc w:val="left"/>
        <w:rPr>
          <w:rFonts w:ascii="Arial MT"/>
          <w:sz w:val="17"/>
        </w:rPr>
      </w:pPr>
      <w:r>
        <w:rPr>
          <w:rFonts w:ascii="Arial MT"/>
          <w:w w:val="103"/>
          <w:sz w:val="17"/>
          <w:u w:val="single" w:color="8EA9DB"/>
        </w:rPr>
        <w:t> </w:t>
      </w:r>
      <w:r>
        <w:rPr>
          <w:rFonts w:ascii="Arial MT"/>
          <w:sz w:val="17"/>
          <w:u w:val="single" w:color="8EA9DB"/>
        </w:rPr>
        <w:tab/>
      </w:r>
      <w:r>
        <w:rPr>
          <w:rFonts w:ascii="Arial MT"/>
          <w:w w:val="105"/>
          <w:sz w:val="17"/>
          <w:u w:val="single" w:color="8EA9DB"/>
        </w:rPr>
        <w:t>2021</w:t>
      </w:r>
      <w:r>
        <w:rPr>
          <w:rFonts w:ascii="Arial MT"/>
          <w:sz w:val="17"/>
          <w:u w:val="single" w:color="8EA9DB"/>
        </w:rPr>
        <w:tab/>
      </w:r>
    </w:p>
    <w:p>
      <w:pPr>
        <w:pStyle w:val="BodyText"/>
        <w:spacing w:line="211" w:lineRule="exact"/>
        <w:ind w:left="294"/>
        <w:rPr>
          <w:rFonts w:ascii="Arial MT"/>
          <w:sz w:val="20"/>
        </w:rPr>
      </w:pPr>
      <w:r>
        <w:rPr>
          <w:rFonts w:ascii="Arial MT"/>
          <w:position w:val="-3"/>
          <w:sz w:val="20"/>
        </w:rPr>
        <w:pict>
          <v:group style="width:55.95pt;height:10.6pt;mso-position-horizontal-relative:char;mso-position-vertical-relative:line" coordorigin="0,0" coordsize="1119,212">
            <v:shape style="position:absolute;left:0;top:0;width:1119;height:212" coordorigin="0,0" coordsize="1119,212" path="m1118,0l0,0,0,212,1118,0xe" filled="true" fillcolor="#d9e0f1" stroked="false">
              <v:path arrowok="t"/>
              <v:fill type="solid"/>
            </v:shape>
            <v:shape style="position:absolute;left:0;top:0;width:1119;height:212" type="#_x0000_t202" filled="false" stroked="false">
              <v:textbox inset="0,0,0,0">
                <w:txbxContent>
                  <w:p>
                    <w:pPr>
                      <w:spacing w:before="7"/>
                      <w:ind w:left="35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7"/>
                      </w:rPr>
                      <w:t>Total</w:t>
                    </w:r>
                    <w:r>
                      <w:rPr>
                        <w:rFonts w:ascii="Arial"/>
                        <w:b/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7"/>
                      </w:rPr>
                      <w:t>g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MT"/>
          <w:position w:val="-3"/>
          <w:sz w:val="20"/>
        </w:rPr>
      </w:r>
    </w:p>
    <w:p>
      <w:pPr>
        <w:spacing w:before="11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2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3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4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2021.</w:t>
      </w:r>
    </w:p>
    <w:p>
      <w:pPr>
        <w:pStyle w:val="BodyText"/>
        <w:rPr>
          <w:sz w:val="14"/>
        </w:r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ind w:left="278" w:right="1069"/>
        <w:jc w:val="both"/>
      </w:pPr>
      <w:r>
        <w:rPr/>
        <w:t>De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muestran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cifras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estudiantil por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Sacatepéquez,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intervalo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2017-2020.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tuvo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población estudiantil total de 92,642. El 2018, mostró un pequeño incremento de 93,538 alumnos. En el</w:t>
      </w:r>
      <w:r>
        <w:rPr>
          <w:spacing w:val="1"/>
        </w:rPr>
        <w:t> </w:t>
      </w:r>
      <w:r>
        <w:rPr/>
        <w:t>2019, se redujo a 93,000. La tendencia se continuó reduciendo, presentando para el 2020 la cifra 92,409,</w:t>
      </w:r>
      <w:r>
        <w:rPr>
          <w:spacing w:val="-47"/>
        </w:rPr>
        <w:t> </w:t>
      </w:r>
      <w:r>
        <w:rPr/>
        <w:t>registrándose el</w:t>
      </w:r>
      <w:r>
        <w:rPr>
          <w:spacing w:val="-4"/>
        </w:rPr>
        <w:t> </w:t>
      </w:r>
      <w:r>
        <w:rPr/>
        <w:t>dato</w:t>
      </w:r>
      <w:r>
        <w:rPr>
          <w:spacing w:val="-2"/>
        </w:rPr>
        <w:t> </w:t>
      </w:r>
      <w:r>
        <w:rPr/>
        <w:t>más</w:t>
      </w:r>
      <w:r>
        <w:rPr>
          <w:spacing w:val="-3"/>
        </w:rPr>
        <w:t> </w:t>
      </w:r>
      <w:r>
        <w:rPr/>
        <w:t>bajo.</w:t>
      </w:r>
      <w:r>
        <w:rPr>
          <w:spacing w:val="-1"/>
        </w:rPr>
        <w:t> </w:t>
      </w:r>
      <w:r>
        <w:rPr/>
        <w:t>Disminuyendo al</w:t>
      </w:r>
      <w:r>
        <w:rPr>
          <w:spacing w:val="-4"/>
        </w:rPr>
        <w:t> </w:t>
      </w:r>
      <w:r>
        <w:rPr/>
        <w:t>2021 con</w:t>
      </w:r>
      <w:r>
        <w:rPr>
          <w:spacing w:val="-2"/>
        </w:rPr>
        <w:t> </w:t>
      </w:r>
      <w:r>
        <w:rPr/>
        <w:t>88,183</w:t>
      </w:r>
      <w:r>
        <w:rPr>
          <w:spacing w:val="-1"/>
        </w:rPr>
        <w:t> </w:t>
      </w:r>
      <w:r>
        <w:rPr/>
        <w:t>durante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período</w:t>
      </w:r>
      <w:r>
        <w:rPr>
          <w:spacing w:val="-1"/>
        </w:rPr>
        <w:t> </w:t>
      </w:r>
      <w:r>
        <w:rPr/>
        <w:t>evaluado.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1"/>
        <w:ind w:left="278" w:right="1075"/>
        <w:jc w:val="both"/>
      </w:pPr>
      <w:r>
        <w:rPr/>
        <w:t>Como se muestra, el nivel que presentó más crecimiento fue la Primaria representando el 50% de la</w:t>
      </w:r>
      <w:r>
        <w:rPr>
          <w:spacing w:val="1"/>
        </w:rPr>
        <w:t> </w:t>
      </w:r>
      <w:r>
        <w:rPr/>
        <w:t>población para este período, seguido del básico con el 22% y finalmente el nivel Preprimaria con un 15%.</w:t>
      </w:r>
      <w:r>
        <w:rPr>
          <w:spacing w:val="-47"/>
        </w:rPr>
        <w:t> </w:t>
      </w:r>
      <w:r>
        <w:rPr/>
        <w:t>La participación de alumnos en el Nivel Diversificado se mantuvo constante durante el período analizado</w:t>
      </w:r>
      <w:r>
        <w:rPr>
          <w:spacing w:val="1"/>
        </w:rPr>
        <w:t> </w:t>
      </w:r>
      <w:r>
        <w:rPr/>
        <w:t>reportando un</w:t>
      </w:r>
      <w:r>
        <w:rPr>
          <w:spacing w:val="-1"/>
        </w:rPr>
        <w:t> </w:t>
      </w:r>
      <w:r>
        <w:rPr/>
        <w:t>12%.</w:t>
      </w:r>
      <w:r>
        <w:rPr>
          <w:spacing w:val="-2"/>
        </w:rPr>
        <w:t> </w:t>
      </w:r>
      <w:r>
        <w:rPr/>
        <w:t>Y finalizando, con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Primaria para</w:t>
      </w:r>
      <w:r>
        <w:rPr>
          <w:spacing w:val="-3"/>
        </w:rPr>
        <w:t> </w:t>
      </w:r>
      <w:r>
        <w:rPr/>
        <w:t>Adultos.</w:t>
      </w:r>
    </w:p>
    <w:p>
      <w:pPr>
        <w:pStyle w:val="BodyText"/>
        <w:spacing w:before="6"/>
        <w:rPr>
          <w:sz w:val="15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52" w:after="0"/>
        <w:ind w:left="998" w:right="0" w:hanging="721"/>
        <w:jc w:val="left"/>
      </w:pPr>
      <w:bookmarkStart w:name="_bookmark217" w:id="367"/>
      <w:bookmarkEnd w:id="367"/>
      <w:r>
        <w:rPr>
          <w:b w:val="0"/>
        </w:rPr>
      </w:r>
      <w:bookmarkStart w:name="_bookmark217" w:id="368"/>
      <w:bookmarkEnd w:id="368"/>
      <w:r>
        <w:rPr>
          <w:shd w:fill="FFFFFF" w:color="auto" w:val="clear"/>
        </w:rPr>
        <w:t>I</w:t>
      </w:r>
      <w:r>
        <w:rPr>
          <w:shd w:fill="FFFFFF" w:color="auto" w:val="clear"/>
        </w:rPr>
        <w:t>ndicador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Cobertura: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Tasa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Neta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Cobertura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278" w:right="1072"/>
        <w:jc w:val="both"/>
      </w:pPr>
      <w:r>
        <w:rPr/>
        <w:t>Por lo que se refiere a la cobertura educativa medida a través del (TNE) para Sacatepéquez durante el</w:t>
      </w:r>
      <w:r>
        <w:rPr>
          <w:spacing w:val="1"/>
        </w:rPr>
        <w:t> </w:t>
      </w:r>
      <w:r>
        <w:rPr/>
        <w:t>período del 2017 al 2020, evidencia un aumento promedio considerable en la cobertura de nivel primaria</w:t>
      </w:r>
      <w:r>
        <w:rPr>
          <w:spacing w:val="-47"/>
        </w:rPr>
        <w:t> </w:t>
      </w:r>
      <w:r>
        <w:rPr/>
        <w:t>(99.18%),</w:t>
      </w:r>
      <w:r>
        <w:rPr>
          <w:spacing w:val="36"/>
        </w:rPr>
        <w:t> </w:t>
      </w:r>
      <w:r>
        <w:rPr/>
        <w:t>en</w:t>
      </w:r>
      <w:r>
        <w:rPr>
          <w:spacing w:val="38"/>
        </w:rPr>
        <w:t> </w:t>
      </w:r>
      <w:r>
        <w:rPr/>
        <w:t>contraste</w:t>
      </w:r>
      <w:r>
        <w:rPr>
          <w:spacing w:val="39"/>
        </w:rPr>
        <w:t> </w:t>
      </w:r>
      <w:r>
        <w:rPr/>
        <w:t>con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TNE</w:t>
      </w:r>
      <w:r>
        <w:rPr>
          <w:spacing w:val="35"/>
        </w:rPr>
        <w:t> </w:t>
      </w:r>
      <w:r>
        <w:rPr/>
        <w:t>nacional</w:t>
      </w:r>
      <w:r>
        <w:rPr>
          <w:spacing w:val="41"/>
        </w:rPr>
        <w:t> </w:t>
      </w:r>
      <w:r>
        <w:rPr/>
        <w:t>promedio</w:t>
      </w:r>
      <w:r>
        <w:rPr>
          <w:spacing w:val="39"/>
        </w:rPr>
        <w:t> </w:t>
      </w:r>
      <w:r>
        <w:rPr/>
        <w:t>del</w:t>
      </w:r>
      <w:r>
        <w:rPr>
          <w:spacing w:val="37"/>
        </w:rPr>
        <w:t> </w:t>
      </w:r>
      <w:r>
        <w:rPr/>
        <w:t>77.5%.</w:t>
      </w:r>
      <w:r>
        <w:rPr>
          <w:spacing w:val="36"/>
        </w:rPr>
        <w:t> </w:t>
      </w:r>
      <w:r>
        <w:rPr/>
        <w:t>Como</w:t>
      </w:r>
      <w:r>
        <w:rPr>
          <w:spacing w:val="37"/>
        </w:rPr>
        <w:t> </w:t>
      </w:r>
      <w:r>
        <w:rPr/>
        <w:t>sucede</w:t>
      </w:r>
      <w:r>
        <w:rPr>
          <w:spacing w:val="37"/>
        </w:rPr>
        <w:t> </w:t>
      </w:r>
      <w:r>
        <w:rPr/>
        <w:t>con</w:t>
      </w:r>
      <w:r>
        <w:rPr>
          <w:spacing w:val="37"/>
        </w:rPr>
        <w:t> </w:t>
      </w:r>
      <w:r>
        <w:rPr/>
        <w:t>los</w:t>
      </w:r>
      <w:r>
        <w:rPr>
          <w:spacing w:val="36"/>
        </w:rPr>
        <w:t> </w:t>
      </w:r>
      <w:r>
        <w:rPr/>
        <w:t>otros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  <w:r>
        <w:rPr/>
        <w:pict>
          <v:rect style="position:absolute;margin-left:563.880005pt;margin-top:17.695732pt;width:25.44pt;height:1.4399pt;mso-position-horizontal-relative:page;mso-position-vertical-relative:paragraph;z-index:-1538611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175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57280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6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1"/>
        <w:jc w:val="both"/>
      </w:pPr>
      <w:r>
        <w:rPr/>
        <w:t>departamentos,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reducidas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jóvenes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básico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diversificado.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237" w:lineRule="auto"/>
        <w:ind w:left="278" w:right="1075"/>
        <w:jc w:val="both"/>
      </w:pPr>
      <w:r>
        <w:rPr/>
        <w:t>Tabla</w:t>
      </w:r>
      <w:r>
        <w:rPr>
          <w:spacing w:val="1"/>
        </w:rPr>
        <w:t> </w:t>
      </w:r>
      <w:r>
        <w:rPr/>
        <w:t>Nº.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Cobertura: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Bruta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Académico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47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de Sacatepéquez</w:t>
      </w:r>
    </w:p>
    <w:tbl>
      <w:tblPr>
        <w:tblW w:w="0" w:type="auto"/>
        <w:jc w:val="left"/>
        <w:tblInd w:w="2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0"/>
        <w:gridCol w:w="3122"/>
        <w:gridCol w:w="1080"/>
        <w:gridCol w:w="1080"/>
        <w:gridCol w:w="1079"/>
        <w:gridCol w:w="1388"/>
      </w:tblGrid>
      <w:tr>
        <w:trPr>
          <w:trHeight w:val="445" w:hRule="atLeast"/>
        </w:trPr>
        <w:tc>
          <w:tcPr>
            <w:tcW w:w="8829" w:type="dxa"/>
            <w:gridSpan w:val="6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before="90"/>
              <w:ind w:left="2560" w:right="2539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Departamento</w:t>
            </w:r>
            <w:r>
              <w:rPr>
                <w:rFonts w:ascii="Arial" w:hAnsi="Arial"/>
                <w:b/>
                <w:spacing w:val="24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de</w:t>
            </w:r>
            <w:r>
              <w:rPr>
                <w:rFonts w:ascii="Arial" w:hAnsi="Arial"/>
                <w:b/>
                <w:spacing w:val="40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Sa</w:t>
            </w:r>
            <w:r>
              <w:rPr>
                <w:rFonts w:ascii="Arial" w:hAnsi="Arial"/>
                <w:b/>
                <w:spacing w:val="-35"/>
                <w:sz w:val="23"/>
              </w:rPr>
              <w:t> </w:t>
            </w:r>
            <w:r>
              <w:rPr>
                <w:rFonts w:ascii="Arial" w:hAnsi="Arial"/>
                <w:b/>
                <w:spacing w:val="11"/>
                <w:sz w:val="23"/>
              </w:rPr>
              <w:t>catepéquez</w:t>
            </w:r>
          </w:p>
        </w:tc>
      </w:tr>
      <w:tr>
        <w:trPr>
          <w:trHeight w:val="445" w:hRule="atLeast"/>
        </w:trPr>
        <w:tc>
          <w:tcPr>
            <w:tcW w:w="1080" w:type="dxa"/>
            <w:shd w:val="clear" w:color="auto" w:fill="F1F1F1"/>
          </w:tcPr>
          <w:p>
            <w:pPr>
              <w:pStyle w:val="TableParagraph"/>
              <w:spacing w:before="108"/>
              <w:ind w:left="32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Años</w:t>
            </w:r>
          </w:p>
        </w:tc>
        <w:tc>
          <w:tcPr>
            <w:tcW w:w="3122" w:type="dxa"/>
            <w:shd w:val="clear" w:color="auto" w:fill="F1F1F1"/>
          </w:tcPr>
          <w:p>
            <w:pPr>
              <w:pStyle w:val="TableParagraph"/>
              <w:spacing w:before="120"/>
              <w:ind w:left="409" w:right="42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Índicadores</w:t>
            </w:r>
            <w:r>
              <w:rPr>
                <w:rFonts w:ascii="Arial" w:hAnsi="Arial"/>
                <w:b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5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Cobertura</w:t>
            </w:r>
          </w:p>
        </w:tc>
        <w:tc>
          <w:tcPr>
            <w:tcW w:w="1080" w:type="dxa"/>
            <w:shd w:val="clear" w:color="auto" w:fill="F1F1F1"/>
          </w:tcPr>
          <w:p>
            <w:pPr>
              <w:pStyle w:val="TableParagraph"/>
              <w:spacing w:before="120"/>
              <w:ind w:left="5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Preprimaria</w:t>
            </w:r>
          </w:p>
        </w:tc>
        <w:tc>
          <w:tcPr>
            <w:tcW w:w="1080" w:type="dxa"/>
            <w:shd w:val="clear" w:color="auto" w:fill="F1F1F1"/>
          </w:tcPr>
          <w:p>
            <w:pPr>
              <w:pStyle w:val="TableParagraph"/>
              <w:spacing w:before="120"/>
              <w:ind w:right="18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6"/>
                <w:sz w:val="18"/>
              </w:rPr>
              <w:t>Prima</w:t>
            </w:r>
            <w:r>
              <w:rPr>
                <w:rFonts w:ascii="Arial"/>
                <w:b/>
                <w:spacing w:val="-32"/>
                <w:sz w:val="18"/>
              </w:rPr>
              <w:t> </w:t>
            </w:r>
            <w:r>
              <w:rPr>
                <w:rFonts w:ascii="Arial"/>
                <w:b/>
                <w:spacing w:val="-5"/>
                <w:sz w:val="18"/>
              </w:rPr>
              <w:t>ria</w:t>
            </w:r>
          </w:p>
        </w:tc>
        <w:tc>
          <w:tcPr>
            <w:tcW w:w="1079" w:type="dxa"/>
            <w:shd w:val="clear" w:color="auto" w:fill="F1F1F1"/>
          </w:tcPr>
          <w:p>
            <w:pPr>
              <w:pStyle w:val="TableParagraph"/>
              <w:spacing w:before="120"/>
              <w:ind w:left="24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6"/>
                <w:sz w:val="18"/>
              </w:rPr>
              <w:t>Bá</w:t>
            </w:r>
            <w:r>
              <w:rPr>
                <w:rFonts w:ascii="Arial" w:hAnsi="Arial"/>
                <w:b/>
                <w:spacing w:val="-32"/>
                <w:sz w:val="18"/>
              </w:rPr>
              <w:t> </w:t>
            </w:r>
            <w:r>
              <w:rPr>
                <w:rFonts w:ascii="Arial" w:hAnsi="Arial"/>
                <w:b/>
                <w:spacing w:val="-6"/>
                <w:sz w:val="18"/>
              </w:rPr>
              <w:t>sico</w:t>
            </w:r>
          </w:p>
        </w:tc>
        <w:tc>
          <w:tcPr>
            <w:tcW w:w="1388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before="120"/>
              <w:ind w:left="106" w:right="9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Diversifica</w:t>
            </w:r>
            <w:r>
              <w:rPr>
                <w:rFonts w:ascii="Arial"/>
                <w:b/>
                <w:spacing w:val="-32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do</w:t>
            </w:r>
          </w:p>
        </w:tc>
      </w:tr>
      <w:tr>
        <w:trPr>
          <w:trHeight w:val="446" w:hRule="atLeast"/>
        </w:trPr>
        <w:tc>
          <w:tcPr>
            <w:tcW w:w="1080" w:type="dxa"/>
            <w:vMerge w:val="restart"/>
            <w:shd w:val="clear" w:color="auto" w:fill="F1F1F1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339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2017</w:t>
            </w:r>
          </w:p>
        </w:tc>
        <w:tc>
          <w:tcPr>
            <w:tcW w:w="3122" w:type="dxa"/>
          </w:tcPr>
          <w:p>
            <w:pPr>
              <w:pStyle w:val="TableParagraph"/>
              <w:spacing w:before="132"/>
              <w:ind w:left="409" w:right="42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1D7CB3"/>
                <w:spacing w:val="-4"/>
                <w:sz w:val="15"/>
              </w:rPr>
              <w:t>Ta</w:t>
            </w:r>
            <w:r>
              <w:rPr>
                <w:rFonts w:ascii="Arial"/>
                <w:b/>
                <w:color w:val="1D7CB3"/>
                <w:spacing w:val="-27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sz w:val="15"/>
              </w:rPr>
              <w:t>sa</w:t>
            </w:r>
            <w:r>
              <w:rPr>
                <w:rFonts w:ascii="Arial"/>
                <w:b/>
                <w:color w:val="1D7CB3"/>
                <w:spacing w:val="16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sz w:val="15"/>
              </w:rPr>
              <w:t>Bruta</w:t>
            </w:r>
            <w:r>
              <w:rPr>
                <w:rFonts w:ascii="Arial"/>
                <w:b/>
                <w:color w:val="1D7CB3"/>
                <w:spacing w:val="16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sz w:val="15"/>
              </w:rPr>
              <w:t>de</w:t>
            </w:r>
            <w:r>
              <w:rPr>
                <w:rFonts w:ascii="Arial"/>
                <w:b/>
                <w:color w:val="1D7CB3"/>
                <w:spacing w:val="13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sz w:val="15"/>
              </w:rPr>
              <w:t>Cobertura</w:t>
            </w:r>
          </w:p>
        </w:tc>
        <w:tc>
          <w:tcPr>
            <w:tcW w:w="1080" w:type="dxa"/>
          </w:tcPr>
          <w:p>
            <w:pPr>
              <w:pStyle w:val="TableParagraph"/>
              <w:spacing w:before="116"/>
              <w:ind w:left="2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99,64%</w:t>
            </w:r>
          </w:p>
        </w:tc>
        <w:tc>
          <w:tcPr>
            <w:tcW w:w="1080" w:type="dxa"/>
          </w:tcPr>
          <w:p>
            <w:pPr>
              <w:pStyle w:val="TableParagraph"/>
              <w:spacing w:before="116"/>
              <w:ind w:right="224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108,51%</w:t>
            </w:r>
          </w:p>
        </w:tc>
        <w:tc>
          <w:tcPr>
            <w:tcW w:w="1079" w:type="dxa"/>
          </w:tcPr>
          <w:p>
            <w:pPr>
              <w:pStyle w:val="TableParagraph"/>
              <w:spacing w:before="116"/>
              <w:ind w:left="290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94,27%</w:t>
            </w:r>
          </w:p>
        </w:tc>
        <w:tc>
          <w:tcPr>
            <w:tcW w:w="1388" w:type="dxa"/>
            <w:tcBorders>
              <w:right w:val="nil"/>
            </w:tcBorders>
          </w:tcPr>
          <w:p>
            <w:pPr>
              <w:pStyle w:val="TableParagraph"/>
              <w:spacing w:before="116"/>
              <w:ind w:left="105" w:right="9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44,02%</w:t>
            </w:r>
          </w:p>
        </w:tc>
      </w:tr>
      <w:tr>
        <w:trPr>
          <w:trHeight w:val="445" w:hRule="atLeast"/>
        </w:trPr>
        <w:tc>
          <w:tcPr>
            <w:tcW w:w="108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shd w:val="clear" w:color="auto" w:fill="DAEDF3"/>
          </w:tcPr>
          <w:p>
            <w:pPr>
              <w:pStyle w:val="TableParagraph"/>
              <w:spacing w:before="132"/>
              <w:ind w:left="391" w:right="42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1D7CB3"/>
                <w:spacing w:val="-2"/>
                <w:sz w:val="15"/>
              </w:rPr>
              <w:t>Ta</w:t>
            </w:r>
            <w:r>
              <w:rPr>
                <w:rFonts w:ascii="Arial"/>
                <w:b/>
                <w:color w:val="1D7CB3"/>
                <w:spacing w:val="-27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5"/>
              </w:rPr>
              <w:t>sa</w:t>
            </w:r>
            <w:r>
              <w:rPr>
                <w:rFonts w:ascii="Arial"/>
                <w:b/>
                <w:color w:val="1D7CB3"/>
                <w:spacing w:val="1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5"/>
              </w:rPr>
              <w:t>Neta</w:t>
            </w:r>
            <w:r>
              <w:rPr>
                <w:rFonts w:ascii="Arial"/>
                <w:b/>
                <w:color w:val="1D7CB3"/>
                <w:spacing w:val="1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5"/>
              </w:rPr>
              <w:t>de</w:t>
            </w:r>
            <w:r>
              <w:rPr>
                <w:rFonts w:ascii="Arial"/>
                <w:b/>
                <w:color w:val="1D7CB3"/>
                <w:spacing w:val="13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sz w:val="15"/>
              </w:rPr>
              <w:t>Cobertura</w:t>
            </w:r>
          </w:p>
        </w:tc>
        <w:tc>
          <w:tcPr>
            <w:tcW w:w="1080" w:type="dxa"/>
            <w:shd w:val="clear" w:color="auto" w:fill="DAEDF3"/>
          </w:tcPr>
          <w:p>
            <w:pPr>
              <w:pStyle w:val="TableParagraph"/>
              <w:spacing w:before="115"/>
              <w:ind w:left="2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71,26%</w:t>
            </w:r>
          </w:p>
        </w:tc>
        <w:tc>
          <w:tcPr>
            <w:tcW w:w="1080" w:type="dxa"/>
            <w:shd w:val="clear" w:color="auto" w:fill="DAEDF3"/>
          </w:tcPr>
          <w:p>
            <w:pPr>
              <w:pStyle w:val="TableParagraph"/>
              <w:spacing w:before="115"/>
              <w:ind w:right="258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96,24%</w:t>
            </w:r>
          </w:p>
        </w:tc>
        <w:tc>
          <w:tcPr>
            <w:tcW w:w="1079" w:type="dxa"/>
            <w:shd w:val="clear" w:color="auto" w:fill="DAEDF3"/>
          </w:tcPr>
          <w:p>
            <w:pPr>
              <w:pStyle w:val="TableParagraph"/>
              <w:spacing w:before="115"/>
              <w:ind w:left="290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63,84%</w:t>
            </w:r>
          </w:p>
        </w:tc>
        <w:tc>
          <w:tcPr>
            <w:tcW w:w="1388" w:type="dxa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spacing w:before="115"/>
              <w:ind w:left="105" w:right="9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30,77%</w:t>
            </w:r>
          </w:p>
        </w:tc>
      </w:tr>
      <w:tr>
        <w:trPr>
          <w:trHeight w:val="445" w:hRule="atLeast"/>
        </w:trPr>
        <w:tc>
          <w:tcPr>
            <w:tcW w:w="1080" w:type="dxa"/>
            <w:vMerge w:val="restart"/>
            <w:shd w:val="clear" w:color="auto" w:fill="F1F1F1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339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2018</w:t>
            </w:r>
          </w:p>
        </w:tc>
        <w:tc>
          <w:tcPr>
            <w:tcW w:w="3122" w:type="dxa"/>
          </w:tcPr>
          <w:p>
            <w:pPr>
              <w:pStyle w:val="TableParagraph"/>
              <w:spacing w:before="132"/>
              <w:ind w:left="409" w:right="42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1D7CB3"/>
                <w:spacing w:val="-4"/>
                <w:sz w:val="15"/>
              </w:rPr>
              <w:t>Ta</w:t>
            </w:r>
            <w:r>
              <w:rPr>
                <w:rFonts w:ascii="Arial"/>
                <w:b/>
                <w:color w:val="1D7CB3"/>
                <w:spacing w:val="-27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sz w:val="15"/>
              </w:rPr>
              <w:t>sa</w:t>
            </w:r>
            <w:r>
              <w:rPr>
                <w:rFonts w:ascii="Arial"/>
                <w:b/>
                <w:color w:val="1D7CB3"/>
                <w:spacing w:val="16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sz w:val="15"/>
              </w:rPr>
              <w:t>Bruta</w:t>
            </w:r>
            <w:r>
              <w:rPr>
                <w:rFonts w:ascii="Arial"/>
                <w:b/>
                <w:color w:val="1D7CB3"/>
                <w:spacing w:val="16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sz w:val="15"/>
              </w:rPr>
              <w:t>de</w:t>
            </w:r>
            <w:r>
              <w:rPr>
                <w:rFonts w:ascii="Arial"/>
                <w:b/>
                <w:color w:val="1D7CB3"/>
                <w:spacing w:val="13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sz w:val="15"/>
              </w:rPr>
              <w:t>Cobertura</w:t>
            </w:r>
          </w:p>
        </w:tc>
        <w:tc>
          <w:tcPr>
            <w:tcW w:w="1080" w:type="dxa"/>
          </w:tcPr>
          <w:p>
            <w:pPr>
              <w:pStyle w:val="TableParagraph"/>
              <w:spacing w:before="116"/>
              <w:ind w:left="1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100,91%</w:t>
            </w:r>
          </w:p>
        </w:tc>
        <w:tc>
          <w:tcPr>
            <w:tcW w:w="1080" w:type="dxa"/>
          </w:tcPr>
          <w:p>
            <w:pPr>
              <w:pStyle w:val="TableParagraph"/>
              <w:spacing w:before="116"/>
              <w:ind w:right="224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109,94%</w:t>
            </w:r>
          </w:p>
        </w:tc>
        <w:tc>
          <w:tcPr>
            <w:tcW w:w="1079" w:type="dxa"/>
          </w:tcPr>
          <w:p>
            <w:pPr>
              <w:pStyle w:val="TableParagraph"/>
              <w:spacing w:before="116"/>
              <w:ind w:left="290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95,03%</w:t>
            </w:r>
          </w:p>
        </w:tc>
        <w:tc>
          <w:tcPr>
            <w:tcW w:w="1388" w:type="dxa"/>
            <w:tcBorders>
              <w:right w:val="nil"/>
            </w:tcBorders>
          </w:tcPr>
          <w:p>
            <w:pPr>
              <w:pStyle w:val="TableParagraph"/>
              <w:spacing w:before="116"/>
              <w:ind w:left="105" w:right="9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46,67%</w:t>
            </w:r>
          </w:p>
        </w:tc>
      </w:tr>
      <w:tr>
        <w:trPr>
          <w:trHeight w:val="446" w:hRule="atLeast"/>
        </w:trPr>
        <w:tc>
          <w:tcPr>
            <w:tcW w:w="108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shd w:val="clear" w:color="auto" w:fill="DAEDF3"/>
          </w:tcPr>
          <w:p>
            <w:pPr>
              <w:pStyle w:val="TableParagraph"/>
              <w:spacing w:before="132"/>
              <w:ind w:left="391" w:right="42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1D7CB3"/>
                <w:spacing w:val="-2"/>
                <w:sz w:val="15"/>
              </w:rPr>
              <w:t>Ta</w:t>
            </w:r>
            <w:r>
              <w:rPr>
                <w:rFonts w:ascii="Arial"/>
                <w:b/>
                <w:color w:val="1D7CB3"/>
                <w:spacing w:val="-27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5"/>
              </w:rPr>
              <w:t>sa</w:t>
            </w:r>
            <w:r>
              <w:rPr>
                <w:rFonts w:ascii="Arial"/>
                <w:b/>
                <w:color w:val="1D7CB3"/>
                <w:spacing w:val="1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5"/>
              </w:rPr>
              <w:t>Neta</w:t>
            </w:r>
            <w:r>
              <w:rPr>
                <w:rFonts w:ascii="Arial"/>
                <w:b/>
                <w:color w:val="1D7CB3"/>
                <w:spacing w:val="1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5"/>
              </w:rPr>
              <w:t>de</w:t>
            </w:r>
            <w:r>
              <w:rPr>
                <w:rFonts w:ascii="Arial"/>
                <w:b/>
                <w:color w:val="1D7CB3"/>
                <w:spacing w:val="13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sz w:val="15"/>
              </w:rPr>
              <w:t>Cobertura</w:t>
            </w:r>
          </w:p>
        </w:tc>
        <w:tc>
          <w:tcPr>
            <w:tcW w:w="1080" w:type="dxa"/>
            <w:shd w:val="clear" w:color="auto" w:fill="DAEDF3"/>
          </w:tcPr>
          <w:p>
            <w:pPr>
              <w:pStyle w:val="TableParagraph"/>
              <w:spacing w:before="116"/>
              <w:ind w:left="2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71,27%</w:t>
            </w:r>
          </w:p>
        </w:tc>
        <w:tc>
          <w:tcPr>
            <w:tcW w:w="1080" w:type="dxa"/>
            <w:shd w:val="clear" w:color="auto" w:fill="DAEDF3"/>
          </w:tcPr>
          <w:p>
            <w:pPr>
              <w:pStyle w:val="TableParagraph"/>
              <w:spacing w:before="116"/>
              <w:ind w:right="258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97,27%</w:t>
            </w:r>
          </w:p>
        </w:tc>
        <w:tc>
          <w:tcPr>
            <w:tcW w:w="1079" w:type="dxa"/>
            <w:shd w:val="clear" w:color="auto" w:fill="DAEDF3"/>
          </w:tcPr>
          <w:p>
            <w:pPr>
              <w:pStyle w:val="TableParagraph"/>
              <w:spacing w:before="116"/>
              <w:ind w:left="290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64,32%</w:t>
            </w:r>
          </w:p>
        </w:tc>
        <w:tc>
          <w:tcPr>
            <w:tcW w:w="1388" w:type="dxa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spacing w:before="116"/>
              <w:ind w:left="105" w:right="9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32,31%</w:t>
            </w:r>
          </w:p>
        </w:tc>
      </w:tr>
      <w:tr>
        <w:trPr>
          <w:trHeight w:val="445" w:hRule="atLeast"/>
        </w:trPr>
        <w:tc>
          <w:tcPr>
            <w:tcW w:w="1080" w:type="dxa"/>
            <w:vMerge w:val="restart"/>
            <w:shd w:val="clear" w:color="auto" w:fill="F1F1F1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339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2019</w:t>
            </w:r>
          </w:p>
        </w:tc>
        <w:tc>
          <w:tcPr>
            <w:tcW w:w="3122" w:type="dxa"/>
          </w:tcPr>
          <w:p>
            <w:pPr>
              <w:pStyle w:val="TableParagraph"/>
              <w:spacing w:before="132"/>
              <w:ind w:left="409" w:right="42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1D7CB3"/>
                <w:spacing w:val="-4"/>
                <w:sz w:val="15"/>
              </w:rPr>
              <w:t>Ta</w:t>
            </w:r>
            <w:r>
              <w:rPr>
                <w:rFonts w:ascii="Arial"/>
                <w:b/>
                <w:color w:val="1D7CB3"/>
                <w:spacing w:val="-27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sz w:val="15"/>
              </w:rPr>
              <w:t>sa</w:t>
            </w:r>
            <w:r>
              <w:rPr>
                <w:rFonts w:ascii="Arial"/>
                <w:b/>
                <w:color w:val="1D7CB3"/>
                <w:spacing w:val="16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sz w:val="15"/>
              </w:rPr>
              <w:t>Bruta</w:t>
            </w:r>
            <w:r>
              <w:rPr>
                <w:rFonts w:ascii="Arial"/>
                <w:b/>
                <w:color w:val="1D7CB3"/>
                <w:spacing w:val="16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sz w:val="15"/>
              </w:rPr>
              <w:t>de</w:t>
            </w:r>
            <w:r>
              <w:rPr>
                <w:rFonts w:ascii="Arial"/>
                <w:b/>
                <w:color w:val="1D7CB3"/>
                <w:spacing w:val="13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sz w:val="15"/>
              </w:rPr>
              <w:t>Cobertura</w:t>
            </w:r>
          </w:p>
        </w:tc>
        <w:tc>
          <w:tcPr>
            <w:tcW w:w="1080" w:type="dxa"/>
          </w:tcPr>
          <w:p>
            <w:pPr>
              <w:pStyle w:val="TableParagraph"/>
              <w:spacing w:before="115"/>
              <w:ind w:left="1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101,88%</w:t>
            </w:r>
          </w:p>
        </w:tc>
        <w:tc>
          <w:tcPr>
            <w:tcW w:w="1080" w:type="dxa"/>
          </w:tcPr>
          <w:p>
            <w:pPr>
              <w:pStyle w:val="TableParagraph"/>
              <w:spacing w:before="115"/>
              <w:ind w:right="224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109,58%</w:t>
            </w:r>
          </w:p>
        </w:tc>
        <w:tc>
          <w:tcPr>
            <w:tcW w:w="1079" w:type="dxa"/>
          </w:tcPr>
          <w:p>
            <w:pPr>
              <w:pStyle w:val="TableParagraph"/>
              <w:spacing w:before="115"/>
              <w:ind w:left="290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94,78%</w:t>
            </w:r>
          </w:p>
        </w:tc>
        <w:tc>
          <w:tcPr>
            <w:tcW w:w="1388" w:type="dxa"/>
            <w:tcBorders>
              <w:right w:val="nil"/>
            </w:tcBorders>
          </w:tcPr>
          <w:p>
            <w:pPr>
              <w:pStyle w:val="TableParagraph"/>
              <w:spacing w:before="115"/>
              <w:ind w:left="105" w:right="9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47,76%</w:t>
            </w:r>
          </w:p>
        </w:tc>
      </w:tr>
      <w:tr>
        <w:trPr>
          <w:trHeight w:val="445" w:hRule="atLeast"/>
        </w:trPr>
        <w:tc>
          <w:tcPr>
            <w:tcW w:w="108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shd w:val="clear" w:color="auto" w:fill="DAEDF3"/>
          </w:tcPr>
          <w:p>
            <w:pPr>
              <w:pStyle w:val="TableParagraph"/>
              <w:spacing w:before="132"/>
              <w:ind w:left="391" w:right="42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1D7CB3"/>
                <w:spacing w:val="-2"/>
                <w:sz w:val="15"/>
              </w:rPr>
              <w:t>Ta</w:t>
            </w:r>
            <w:r>
              <w:rPr>
                <w:rFonts w:ascii="Arial"/>
                <w:b/>
                <w:color w:val="1D7CB3"/>
                <w:spacing w:val="-27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5"/>
              </w:rPr>
              <w:t>sa</w:t>
            </w:r>
            <w:r>
              <w:rPr>
                <w:rFonts w:ascii="Arial"/>
                <w:b/>
                <w:color w:val="1D7CB3"/>
                <w:spacing w:val="1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5"/>
              </w:rPr>
              <w:t>Neta</w:t>
            </w:r>
            <w:r>
              <w:rPr>
                <w:rFonts w:ascii="Arial"/>
                <w:b/>
                <w:color w:val="1D7CB3"/>
                <w:spacing w:val="1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5"/>
              </w:rPr>
              <w:t>de</w:t>
            </w:r>
            <w:r>
              <w:rPr>
                <w:rFonts w:ascii="Arial"/>
                <w:b/>
                <w:color w:val="1D7CB3"/>
                <w:spacing w:val="13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sz w:val="15"/>
              </w:rPr>
              <w:t>Cobertura</w:t>
            </w:r>
          </w:p>
        </w:tc>
        <w:tc>
          <w:tcPr>
            <w:tcW w:w="1080" w:type="dxa"/>
            <w:shd w:val="clear" w:color="auto" w:fill="DAEDF3"/>
          </w:tcPr>
          <w:p>
            <w:pPr>
              <w:pStyle w:val="TableParagraph"/>
              <w:spacing w:before="116"/>
              <w:ind w:left="2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72,53%</w:t>
            </w:r>
          </w:p>
        </w:tc>
        <w:tc>
          <w:tcPr>
            <w:tcW w:w="1080" w:type="dxa"/>
            <w:shd w:val="clear" w:color="auto" w:fill="DAEDF3"/>
          </w:tcPr>
          <w:p>
            <w:pPr>
              <w:pStyle w:val="TableParagraph"/>
              <w:spacing w:before="116"/>
              <w:ind w:right="258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97,98%</w:t>
            </w:r>
          </w:p>
        </w:tc>
        <w:tc>
          <w:tcPr>
            <w:tcW w:w="1079" w:type="dxa"/>
            <w:shd w:val="clear" w:color="auto" w:fill="DAEDF3"/>
          </w:tcPr>
          <w:p>
            <w:pPr>
              <w:pStyle w:val="TableParagraph"/>
              <w:spacing w:before="123"/>
              <w:ind w:left="25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333333"/>
                <w:w w:val="105"/>
                <w:sz w:val="16"/>
              </w:rPr>
              <w:t>65,25%</w:t>
            </w:r>
          </w:p>
        </w:tc>
        <w:tc>
          <w:tcPr>
            <w:tcW w:w="1388" w:type="dxa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spacing w:before="116"/>
              <w:ind w:left="105" w:right="9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33,57%</w:t>
            </w:r>
          </w:p>
        </w:tc>
      </w:tr>
      <w:tr>
        <w:trPr>
          <w:trHeight w:val="446" w:hRule="atLeast"/>
        </w:trPr>
        <w:tc>
          <w:tcPr>
            <w:tcW w:w="1080" w:type="dxa"/>
            <w:vMerge w:val="restart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339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2020</w:t>
            </w:r>
          </w:p>
        </w:tc>
        <w:tc>
          <w:tcPr>
            <w:tcW w:w="3122" w:type="dxa"/>
          </w:tcPr>
          <w:p>
            <w:pPr>
              <w:pStyle w:val="TableParagraph"/>
              <w:spacing w:before="132"/>
              <w:ind w:left="409" w:right="42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1D7CB3"/>
                <w:spacing w:val="-4"/>
                <w:sz w:val="15"/>
              </w:rPr>
              <w:t>Ta</w:t>
            </w:r>
            <w:r>
              <w:rPr>
                <w:rFonts w:ascii="Arial"/>
                <w:b/>
                <w:color w:val="1D7CB3"/>
                <w:spacing w:val="-27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sz w:val="15"/>
              </w:rPr>
              <w:t>sa</w:t>
            </w:r>
            <w:r>
              <w:rPr>
                <w:rFonts w:ascii="Arial"/>
                <w:b/>
                <w:color w:val="1D7CB3"/>
                <w:spacing w:val="16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sz w:val="15"/>
              </w:rPr>
              <w:t>Bruta</w:t>
            </w:r>
            <w:r>
              <w:rPr>
                <w:rFonts w:ascii="Arial"/>
                <w:b/>
                <w:color w:val="1D7CB3"/>
                <w:spacing w:val="16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sz w:val="15"/>
              </w:rPr>
              <w:t>de</w:t>
            </w:r>
            <w:r>
              <w:rPr>
                <w:rFonts w:ascii="Arial"/>
                <w:b/>
                <w:color w:val="1D7CB3"/>
                <w:spacing w:val="13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sz w:val="15"/>
              </w:rPr>
              <w:t>Cobertura</w:t>
            </w:r>
          </w:p>
        </w:tc>
        <w:tc>
          <w:tcPr>
            <w:tcW w:w="1080" w:type="dxa"/>
          </w:tcPr>
          <w:p>
            <w:pPr>
              <w:pStyle w:val="TableParagraph"/>
              <w:spacing w:before="116"/>
              <w:ind w:left="1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100,29%</w:t>
            </w:r>
          </w:p>
        </w:tc>
        <w:tc>
          <w:tcPr>
            <w:tcW w:w="1080" w:type="dxa"/>
          </w:tcPr>
          <w:p>
            <w:pPr>
              <w:pStyle w:val="TableParagraph"/>
              <w:spacing w:before="116"/>
              <w:ind w:right="23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110,12%</w:t>
            </w:r>
          </w:p>
        </w:tc>
        <w:tc>
          <w:tcPr>
            <w:tcW w:w="1079" w:type="dxa"/>
          </w:tcPr>
          <w:p>
            <w:pPr>
              <w:pStyle w:val="TableParagraph"/>
              <w:spacing w:before="116"/>
              <w:ind w:left="290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92,37%</w:t>
            </w:r>
          </w:p>
        </w:tc>
        <w:tc>
          <w:tcPr>
            <w:tcW w:w="1388" w:type="dxa"/>
            <w:tcBorders>
              <w:right w:val="nil"/>
            </w:tcBorders>
          </w:tcPr>
          <w:p>
            <w:pPr>
              <w:pStyle w:val="TableParagraph"/>
              <w:spacing w:before="116"/>
              <w:ind w:left="105" w:right="9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49,92%</w:t>
            </w:r>
          </w:p>
        </w:tc>
      </w:tr>
      <w:tr>
        <w:trPr>
          <w:trHeight w:val="452" w:hRule="atLeast"/>
        </w:trPr>
        <w:tc>
          <w:tcPr>
            <w:tcW w:w="1080" w:type="dxa"/>
            <w:vMerge/>
            <w:tcBorders>
              <w:top w:val="nil"/>
              <w:bottom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tcBorders>
              <w:bottom w:val="nil"/>
            </w:tcBorders>
            <w:shd w:val="clear" w:color="auto" w:fill="DAEDF3"/>
          </w:tcPr>
          <w:p>
            <w:pPr>
              <w:pStyle w:val="TableParagraph"/>
              <w:spacing w:before="132"/>
              <w:ind w:left="391" w:right="42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1D7CB3"/>
                <w:spacing w:val="-2"/>
                <w:sz w:val="15"/>
              </w:rPr>
              <w:t>Ta</w:t>
            </w:r>
            <w:r>
              <w:rPr>
                <w:rFonts w:ascii="Arial"/>
                <w:b/>
                <w:color w:val="1D7CB3"/>
                <w:spacing w:val="-27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5"/>
              </w:rPr>
              <w:t>sa</w:t>
            </w:r>
            <w:r>
              <w:rPr>
                <w:rFonts w:ascii="Arial"/>
                <w:b/>
                <w:color w:val="1D7CB3"/>
                <w:spacing w:val="1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5"/>
              </w:rPr>
              <w:t>Neta</w:t>
            </w:r>
            <w:r>
              <w:rPr>
                <w:rFonts w:ascii="Arial"/>
                <w:b/>
                <w:color w:val="1D7CB3"/>
                <w:spacing w:val="15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5"/>
              </w:rPr>
              <w:t>de</w:t>
            </w:r>
            <w:r>
              <w:rPr>
                <w:rFonts w:ascii="Arial"/>
                <w:b/>
                <w:color w:val="1D7CB3"/>
                <w:spacing w:val="13"/>
                <w:sz w:val="15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sz w:val="15"/>
              </w:rPr>
              <w:t>Cobertura</w:t>
            </w:r>
          </w:p>
        </w:tc>
        <w:tc>
          <w:tcPr>
            <w:tcW w:w="1080" w:type="dxa"/>
            <w:tcBorders>
              <w:bottom w:val="nil"/>
            </w:tcBorders>
            <w:shd w:val="clear" w:color="auto" w:fill="DAEDF3"/>
          </w:tcPr>
          <w:p>
            <w:pPr>
              <w:pStyle w:val="TableParagraph"/>
              <w:spacing w:before="123"/>
              <w:ind w:lef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333333"/>
                <w:w w:val="105"/>
                <w:sz w:val="16"/>
              </w:rPr>
              <w:t>73,48%</w:t>
            </w:r>
          </w:p>
        </w:tc>
        <w:tc>
          <w:tcPr>
            <w:tcW w:w="1080" w:type="dxa"/>
            <w:tcBorders>
              <w:bottom w:val="nil"/>
            </w:tcBorders>
            <w:shd w:val="clear" w:color="auto" w:fill="DAEDF3"/>
          </w:tcPr>
          <w:p>
            <w:pPr>
              <w:pStyle w:val="TableParagraph"/>
              <w:spacing w:before="123"/>
              <w:ind w:right="23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333333"/>
                <w:w w:val="105"/>
                <w:sz w:val="16"/>
              </w:rPr>
              <w:t>98,55%</w:t>
            </w:r>
          </w:p>
        </w:tc>
        <w:tc>
          <w:tcPr>
            <w:tcW w:w="1079" w:type="dxa"/>
            <w:tcBorders>
              <w:bottom w:val="nil"/>
            </w:tcBorders>
            <w:shd w:val="clear" w:color="auto" w:fill="DAEDF3"/>
          </w:tcPr>
          <w:p>
            <w:pPr>
              <w:pStyle w:val="TableParagraph"/>
              <w:spacing w:before="115"/>
              <w:ind w:left="290"/>
              <w:rPr>
                <w:rFonts w:ascii="Arial MT"/>
                <w:sz w:val="15"/>
              </w:rPr>
            </w:pPr>
            <w:r>
              <w:rPr>
                <w:rFonts w:ascii="Arial MT"/>
                <w:color w:val="333333"/>
                <w:sz w:val="15"/>
              </w:rPr>
              <w:t>64,98%</w:t>
            </w:r>
          </w:p>
        </w:tc>
        <w:tc>
          <w:tcPr>
            <w:tcW w:w="1388" w:type="dxa"/>
            <w:tcBorders>
              <w:bottom w:val="nil"/>
              <w:right w:val="nil"/>
            </w:tcBorders>
            <w:shd w:val="clear" w:color="auto" w:fill="DAEDF3"/>
          </w:tcPr>
          <w:p>
            <w:pPr>
              <w:pStyle w:val="TableParagraph"/>
              <w:spacing w:before="123"/>
              <w:ind w:left="106" w:right="7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333333"/>
                <w:w w:val="105"/>
                <w:sz w:val="16"/>
              </w:rPr>
              <w:t>34,94%</w:t>
            </w:r>
          </w:p>
        </w:tc>
      </w:tr>
    </w:tbl>
    <w:p>
      <w:pPr>
        <w:spacing w:before="0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3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3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78" w:right="1072"/>
        <w:jc w:val="both"/>
      </w:pPr>
      <w:r>
        <w:rPr/>
        <w:t>La educación preprimaria reporta una alta cobertura durante el periodo 2017‐2020, con una TNE de</w:t>
      </w:r>
      <w:r>
        <w:rPr>
          <w:spacing w:val="1"/>
        </w:rPr>
        <w:t> </w:t>
      </w:r>
      <w:r>
        <w:rPr/>
        <w:t>(71.25%),</w:t>
      </w:r>
      <w:r>
        <w:rPr>
          <w:spacing w:val="-11"/>
        </w:rPr>
        <w:t> </w:t>
      </w:r>
      <w:r>
        <w:rPr/>
        <w:t>(71.27%),</w:t>
      </w:r>
      <w:r>
        <w:rPr>
          <w:spacing w:val="-10"/>
        </w:rPr>
        <w:t> </w:t>
      </w:r>
      <w:r>
        <w:rPr/>
        <w:t>(72.53%)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(73.48%)</w:t>
      </w:r>
      <w:r>
        <w:rPr>
          <w:spacing w:val="-8"/>
        </w:rPr>
        <w:t> </w:t>
      </w:r>
      <w:r>
        <w:rPr/>
        <w:t>respectivamente</w:t>
      </w:r>
      <w:r>
        <w:rPr>
          <w:spacing w:val="-7"/>
        </w:rPr>
        <w:t> </w:t>
      </w:r>
      <w:r>
        <w:rPr/>
        <w:t>durante</w:t>
      </w:r>
      <w:r>
        <w:rPr>
          <w:spacing w:val="-8"/>
        </w:rPr>
        <w:t> </w:t>
      </w:r>
      <w:r>
        <w:rPr/>
        <w:t>los</w:t>
      </w:r>
      <w:r>
        <w:rPr>
          <w:spacing w:val="-10"/>
        </w:rPr>
        <w:t> </w:t>
      </w:r>
      <w:r>
        <w:rPr/>
        <w:t>años</w:t>
      </w:r>
      <w:r>
        <w:rPr>
          <w:spacing w:val="-8"/>
        </w:rPr>
        <w:t> </w:t>
      </w:r>
      <w:r>
        <w:rPr/>
        <w:t>indicados.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consecuencia,</w:t>
      </w:r>
      <w:r>
        <w:rPr>
          <w:spacing w:val="-10"/>
        </w:rPr>
        <w:t> </w:t>
      </w:r>
      <w:r>
        <w:rPr/>
        <w:t>de</w:t>
      </w:r>
      <w:r>
        <w:rPr>
          <w:spacing w:val="-47"/>
        </w:rPr>
        <w:t> </w:t>
      </w:r>
      <w:r>
        <w:rPr/>
        <w:t>cada 10 niños, 7 están accediendo a este nivel. Además, de evidenciar un 25% más con respecto del TNE</w:t>
      </w:r>
      <w:r>
        <w:rPr>
          <w:spacing w:val="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(47%).</w:t>
      </w:r>
    </w:p>
    <w:p>
      <w:pPr>
        <w:pStyle w:val="BodyText"/>
        <w:spacing w:before="1"/>
      </w:pPr>
    </w:p>
    <w:p>
      <w:pPr>
        <w:pStyle w:val="BodyText"/>
        <w:ind w:left="278" w:right="1077"/>
        <w:jc w:val="both"/>
      </w:pPr>
      <w:r>
        <w:rPr/>
        <w:t>En el nivel primaria se registran mayores valores de cobertura, que van de (96.24%), (97.27%), (97.99%) y</w:t>
      </w:r>
      <w:r>
        <w:rPr>
          <w:spacing w:val="-47"/>
        </w:rPr>
        <w:t> </w:t>
      </w:r>
      <w:r>
        <w:rPr/>
        <w:t>(98.55%), registrando el valor mayor durante el 2019. El valor promedio de la TNE de Sacatepéquez es de</w:t>
      </w:r>
      <w:r>
        <w:rPr>
          <w:spacing w:val="-47"/>
        </w:rPr>
        <w:t> </w:t>
      </w:r>
      <w:r>
        <w:rPr/>
        <w:t>un (97%) durante el periodo fue mayor al TNE Nacional (77.5%) del último valor registrado en el 2019. Lo</w:t>
      </w:r>
      <w:r>
        <w:rPr>
          <w:spacing w:val="-47"/>
        </w:rPr>
        <w:t> </w:t>
      </w:r>
      <w:r>
        <w:rPr/>
        <w:t>cual</w:t>
      </w:r>
      <w:r>
        <w:rPr>
          <w:spacing w:val="-1"/>
        </w:rPr>
        <w:t> </w:t>
      </w:r>
      <w:r>
        <w:rPr/>
        <w:t>significa que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100% de</w:t>
      </w:r>
      <w:r>
        <w:rPr>
          <w:spacing w:val="1"/>
        </w:rPr>
        <w:t> </w:t>
      </w:r>
      <w:r>
        <w:rPr/>
        <w:t>los</w:t>
      </w:r>
      <w:r>
        <w:rPr>
          <w:spacing w:val="-3"/>
        </w:rPr>
        <w:t> </w:t>
      </w:r>
      <w:r>
        <w:rPr/>
        <w:t>niños</w:t>
      </w:r>
      <w:r>
        <w:rPr>
          <w:spacing w:val="-2"/>
        </w:rPr>
        <w:t> </w:t>
      </w:r>
      <w:r>
        <w:rPr/>
        <w:t>están</w:t>
      </w:r>
      <w:r>
        <w:rPr>
          <w:spacing w:val="-3"/>
        </w:rPr>
        <w:t> </w:t>
      </w:r>
      <w:r>
        <w:rPr/>
        <w:t>siendo</w:t>
      </w:r>
      <w:r>
        <w:rPr>
          <w:spacing w:val="-3"/>
        </w:rPr>
        <w:t> </w:t>
      </w:r>
      <w:r>
        <w:rPr/>
        <w:t>atendidos en</w:t>
      </w:r>
      <w:r>
        <w:rPr>
          <w:spacing w:val="-1"/>
        </w:rPr>
        <w:t> </w:t>
      </w:r>
      <w:r>
        <w:rPr/>
        <w:t>primaria.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1"/>
        <w:ind w:left="278" w:right="1074"/>
        <w:jc w:val="both"/>
      </w:pPr>
      <w:r>
        <w:rPr/>
        <w:t>En educación básica los valores promedio para el período presentan similitudes con los datos nacionales</w:t>
      </w:r>
      <w:r>
        <w:rPr>
          <w:spacing w:val="1"/>
        </w:rPr>
        <w:t> </w:t>
      </w:r>
      <w:r>
        <w:rPr/>
        <w:t>(TNE:45.49%), debido a que reportan valores que van desde (63.84%), (64.32%), (65.25%) y (64.99%),</w:t>
      </w:r>
      <w:r>
        <w:rPr>
          <w:spacing w:val="1"/>
        </w:rPr>
        <w:t> </w:t>
      </w:r>
      <w:r>
        <w:rPr/>
        <w:t>respectivamente para</w:t>
      </w:r>
      <w:r>
        <w:rPr>
          <w:spacing w:val="-4"/>
        </w:rPr>
        <w:t> </w:t>
      </w:r>
      <w:r>
        <w:rPr/>
        <w:t>el período</w:t>
      </w:r>
      <w:r>
        <w:rPr>
          <w:spacing w:val="-2"/>
        </w:rPr>
        <w:t> </w:t>
      </w:r>
      <w:r>
        <w:rPr/>
        <w:t>analizado.</w:t>
      </w:r>
      <w:r>
        <w:rPr>
          <w:spacing w:val="-1"/>
        </w:rPr>
        <w:t> </w:t>
      </w:r>
      <w:r>
        <w:rPr/>
        <w:t>Ello quiere</w:t>
      </w:r>
      <w:r>
        <w:rPr>
          <w:spacing w:val="-2"/>
        </w:rPr>
        <w:t> </w:t>
      </w:r>
      <w:r>
        <w:rPr/>
        <w:t>decir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más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50% asiste al</w:t>
      </w:r>
      <w:r>
        <w:rPr>
          <w:spacing w:val="-3"/>
        </w:rPr>
        <w:t> </w:t>
      </w:r>
      <w:r>
        <w:rPr/>
        <w:t>ciclo</w:t>
      </w:r>
      <w:r>
        <w:rPr>
          <w:spacing w:val="-2"/>
        </w:rPr>
        <w:t> </w:t>
      </w:r>
      <w:r>
        <w:rPr/>
        <w:t>básico.</w:t>
      </w:r>
    </w:p>
    <w:p>
      <w:pPr>
        <w:pStyle w:val="BodyText"/>
        <w:spacing w:before="1"/>
      </w:pPr>
    </w:p>
    <w:p>
      <w:pPr>
        <w:pStyle w:val="BodyText"/>
        <w:ind w:left="278" w:right="1071"/>
        <w:jc w:val="both"/>
      </w:pPr>
      <w:r>
        <w:rPr/>
        <w:t>Por otro lado, el nivel diversificado, presenta un incremento del 8% de cobertura con respecto del TNE</w:t>
      </w:r>
      <w:r>
        <w:rPr>
          <w:spacing w:val="1"/>
        </w:rPr>
        <w:t> </w:t>
      </w:r>
      <w:r>
        <w:rPr/>
        <w:t>Nacional (24%) ya que posee una tasa promedio del 32.4%. Estos valores podrían explicarse por una alta</w:t>
      </w:r>
      <w:r>
        <w:rPr>
          <w:spacing w:val="1"/>
        </w:rPr>
        <w:t> </w:t>
      </w:r>
      <w:r>
        <w:rPr/>
        <w:t>deserción</w:t>
      </w:r>
      <w:r>
        <w:rPr>
          <w:spacing w:val="1"/>
        </w:rPr>
        <w:t> </w:t>
      </w:r>
      <w:r>
        <w:rPr/>
        <w:t>escolar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adolescentes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entran</w:t>
      </w:r>
      <w:r>
        <w:rPr>
          <w:spacing w:val="1"/>
        </w:rPr>
        <w:t> </w:t>
      </w:r>
      <w:r>
        <w:rPr/>
        <w:t>prematuramente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laboral</w:t>
      </w:r>
      <w:r>
        <w:rPr>
          <w:spacing w:val="1"/>
        </w:rPr>
        <w:t> </w:t>
      </w:r>
      <w:r>
        <w:rPr/>
        <w:t>abandonando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>
          <w:spacing w:val="-1"/>
        </w:rPr>
        <w:t>educación.</w:t>
      </w:r>
      <w:r>
        <w:rPr>
          <w:spacing w:val="-10"/>
        </w:rPr>
        <w:t> </w:t>
      </w:r>
      <w:r>
        <w:rPr/>
        <w:t>Cabe</w:t>
      </w:r>
      <w:r>
        <w:rPr>
          <w:spacing w:val="-9"/>
        </w:rPr>
        <w:t> </w:t>
      </w:r>
      <w:r>
        <w:rPr/>
        <w:t>aclarar</w:t>
      </w:r>
      <w:r>
        <w:rPr>
          <w:spacing w:val="-12"/>
        </w:rPr>
        <w:t> </w:t>
      </w:r>
      <w:r>
        <w:rPr/>
        <w:t>que</w:t>
      </w:r>
      <w:r>
        <w:rPr>
          <w:spacing w:val="-9"/>
        </w:rPr>
        <w:t> </w:t>
      </w:r>
      <w:r>
        <w:rPr/>
        <w:t>los</w:t>
      </w:r>
      <w:r>
        <w:rPr>
          <w:spacing w:val="-12"/>
        </w:rPr>
        <w:t> </w:t>
      </w:r>
      <w:r>
        <w:rPr/>
        <w:t>motivos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retiro</w:t>
      </w:r>
      <w:r>
        <w:rPr>
          <w:spacing w:val="-11"/>
        </w:rPr>
        <w:t> </w:t>
      </w:r>
      <w:r>
        <w:rPr/>
        <w:t>más</w:t>
      </w:r>
      <w:r>
        <w:rPr>
          <w:spacing w:val="-12"/>
        </w:rPr>
        <w:t> </w:t>
      </w:r>
      <w:r>
        <w:rPr/>
        <w:t>reportados</w:t>
      </w:r>
      <w:r>
        <w:rPr>
          <w:spacing w:val="-9"/>
        </w:rPr>
        <w:t> </w:t>
      </w:r>
      <w:r>
        <w:rPr/>
        <w:t>para</w:t>
      </w:r>
      <w:r>
        <w:rPr>
          <w:spacing w:val="-12"/>
        </w:rPr>
        <w:t> </w:t>
      </w:r>
      <w:r>
        <w:rPr/>
        <w:t>este</w:t>
      </w:r>
      <w:r>
        <w:rPr>
          <w:spacing w:val="-9"/>
        </w:rPr>
        <w:t> </w:t>
      </w:r>
      <w:r>
        <w:rPr/>
        <w:t>departamento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comprenden</w:t>
      </w:r>
      <w:r>
        <w:rPr>
          <w:spacing w:val="-48"/>
        </w:rPr>
        <w:t> </w:t>
      </w:r>
      <w:r>
        <w:rPr/>
        <w:t>desde</w:t>
      </w:r>
      <w:r>
        <w:rPr>
          <w:spacing w:val="-1"/>
        </w:rPr>
        <w:t> </w:t>
      </w:r>
      <w:r>
        <w:rPr/>
        <w:t>los siguientes</w:t>
      </w:r>
      <w:r>
        <w:rPr>
          <w:spacing w:val="1"/>
        </w:rPr>
        <w:t> </w:t>
      </w:r>
      <w:r>
        <w:rPr/>
        <w:t>factores:</w:t>
      </w:r>
      <w:r>
        <w:rPr>
          <w:spacing w:val="-1"/>
        </w:rPr>
        <w:t> </w:t>
      </w:r>
      <w:r>
        <w:rPr/>
        <w:t>1.</w:t>
      </w:r>
      <w:r>
        <w:rPr>
          <w:spacing w:val="-1"/>
        </w:rPr>
        <w:t> </w:t>
      </w:r>
      <w:r>
        <w:rPr/>
        <w:t>No</w:t>
      </w:r>
      <w:r>
        <w:rPr>
          <w:spacing w:val="-3"/>
        </w:rPr>
        <w:t> </w:t>
      </w:r>
      <w:r>
        <w:rPr/>
        <w:t>le</w:t>
      </w:r>
      <w:r>
        <w:rPr>
          <w:spacing w:val="1"/>
        </w:rPr>
        <w:t> </w:t>
      </w:r>
      <w:r>
        <w:rPr/>
        <w:t>interesa.</w:t>
      </w:r>
      <w:r>
        <w:rPr>
          <w:spacing w:val="-3"/>
        </w:rPr>
        <w:t> </w:t>
      </w:r>
      <w:r>
        <w:rPr/>
        <w:t>2..</w:t>
      </w:r>
      <w:r>
        <w:rPr>
          <w:spacing w:val="-1"/>
        </w:rPr>
        <w:t> </w:t>
      </w:r>
      <w:r>
        <w:rPr/>
        <w:t>Retiro</w:t>
      </w:r>
      <w:r>
        <w:rPr>
          <w:spacing w:val="1"/>
        </w:rPr>
        <w:t> </w:t>
      </w:r>
      <w:r>
        <w:rPr/>
        <w:t>por</w:t>
      </w:r>
      <w:r>
        <w:rPr>
          <w:spacing w:val="-3"/>
        </w:rPr>
        <w:t> </w:t>
      </w:r>
      <w:r>
        <w:rPr/>
        <w:t>Traslado</w:t>
      </w:r>
      <w:r>
        <w:rPr>
          <w:spacing w:val="-2"/>
        </w:rPr>
        <w:t> </w:t>
      </w:r>
      <w:r>
        <w:rPr/>
        <w:t>y 3.</w:t>
      </w:r>
      <w:r>
        <w:rPr>
          <w:spacing w:val="-3"/>
        </w:rPr>
        <w:t> </w:t>
      </w:r>
      <w:r>
        <w:rPr/>
        <w:t>Trabajo.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  <w:r>
        <w:rPr/>
        <w:pict>
          <v:rect style="position:absolute;margin-left:563.880005pt;margin-top:17.492382pt;width:25.44pt;height:1.4399pt;mso-position-horizontal-relative:page;mso-position-vertical-relative:paragraph;z-index:-1538406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176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5881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7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52" w:after="0"/>
        <w:ind w:left="998" w:right="0" w:hanging="721"/>
        <w:jc w:val="left"/>
      </w:pPr>
      <w:bookmarkStart w:name="_bookmark218" w:id="369"/>
      <w:bookmarkEnd w:id="369"/>
      <w:r>
        <w:rPr>
          <w:b w:val="0"/>
        </w:rPr>
      </w:r>
      <w:bookmarkStart w:name="_bookmark218" w:id="370"/>
      <w:bookmarkEnd w:id="370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Cobertura:</w:t>
      </w:r>
      <w:r>
        <w:rPr>
          <w:spacing w:val="-4"/>
        </w:rPr>
        <w:t> </w:t>
      </w:r>
      <w:r>
        <w:rPr/>
        <w:t>Tasa</w:t>
      </w:r>
      <w:r>
        <w:rPr>
          <w:spacing w:val="-3"/>
        </w:rPr>
        <w:t> </w:t>
      </w:r>
      <w:r>
        <w:rPr/>
        <w:t>Bruta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Déficit</w:t>
      </w:r>
      <w:r>
        <w:rPr>
          <w:spacing w:val="-1"/>
        </w:rPr>
        <w:t> </w:t>
      </w:r>
      <w:r>
        <w:rPr/>
        <w:t>por</w:t>
      </w:r>
      <w:r>
        <w:rPr>
          <w:spacing w:val="3"/>
        </w:rPr>
        <w:t> </w:t>
      </w:r>
      <w:r>
        <w:rPr/>
        <w:t>departamento,</w:t>
      </w:r>
      <w:r>
        <w:rPr>
          <w:spacing w:val="-2"/>
        </w:rPr>
        <w:t> </w:t>
      </w:r>
      <w:r>
        <w:rPr/>
        <w:t>sexo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etnia.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8"/>
        <w:jc w:val="both"/>
      </w:pPr>
      <w:r>
        <w:rPr/>
        <w:t>Gráfico Nº. Total de población estudiantil por niveles educativos, etnia y sexo para el Departamento de</w:t>
      </w:r>
      <w:r>
        <w:rPr>
          <w:spacing w:val="1"/>
        </w:rPr>
        <w:t> </w:t>
      </w:r>
      <w:r>
        <w:rPr/>
        <w:t>Sacatepéquez</w:t>
      </w:r>
      <w:r>
        <w:rPr>
          <w:spacing w:val="-3"/>
        </w:rPr>
        <w:t> </w:t>
      </w:r>
      <w:r>
        <w:rPr/>
        <w:t>(2017-2021)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ind w:left="278" w:right="1071"/>
        <w:jc w:val="both"/>
      </w:pPr>
      <w:r>
        <w:rPr/>
        <w:t>Este gráfico muestra el total de la población estudiantil por niveles educativos, etnia y sexo durante el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2017-2021,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Sacatepéquez.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DIPLAN,</w:t>
      </w:r>
      <w:r>
        <w:rPr>
          <w:spacing w:val="1"/>
        </w:rPr>
        <w:t> </w:t>
      </w:r>
      <w:r>
        <w:rPr/>
        <w:t>(2021),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cifras</w:t>
      </w:r>
      <w:r>
        <w:rPr>
          <w:spacing w:val="1"/>
        </w:rPr>
        <w:t> </w:t>
      </w:r>
      <w:r>
        <w:rPr/>
        <w:t>anteriores,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proporción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atención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5"/>
        </w:rPr>
        <w:t> </w:t>
      </w:r>
      <w:r>
        <w:rPr/>
        <w:t>estudiantil</w:t>
      </w:r>
      <w:r>
        <w:rPr>
          <w:spacing w:val="-1"/>
        </w:rPr>
        <w:t> </w:t>
      </w:r>
      <w:r>
        <w:rPr/>
        <w:t>fue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sigue:</w:t>
      </w:r>
      <w:r>
        <w:rPr>
          <w:spacing w:val="-2"/>
        </w:rPr>
        <w:t> </w:t>
      </w:r>
      <w:r>
        <w:rPr/>
        <w:t>Ladinos:</w:t>
      </w:r>
      <w:r>
        <w:rPr>
          <w:spacing w:val="-3"/>
        </w:rPr>
        <w:t> </w:t>
      </w:r>
      <w:r>
        <w:rPr/>
        <w:t>36%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hombres</w:t>
      </w:r>
      <w:r>
        <w:rPr>
          <w:spacing w:val="-47"/>
        </w:rPr>
        <w:t> </w:t>
      </w:r>
      <w:r>
        <w:rPr/>
        <w:t>y</w:t>
      </w:r>
      <w:r>
        <w:rPr>
          <w:spacing w:val="-1"/>
        </w:rPr>
        <w:t> </w:t>
      </w:r>
      <w:r>
        <w:rPr/>
        <w:t>35%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mujeres. Mayas:</w:t>
      </w:r>
      <w:r>
        <w:rPr>
          <w:spacing w:val="-2"/>
        </w:rPr>
        <w:t> </w:t>
      </w:r>
      <w:r>
        <w:rPr/>
        <w:t>15%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hombres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13%</w:t>
      </w:r>
      <w:r>
        <w:rPr>
          <w:spacing w:val="-2"/>
        </w:rPr>
        <w:t> </w:t>
      </w:r>
      <w:r>
        <w:rPr/>
        <w:t>mujeres.</w:t>
      </w:r>
    </w:p>
    <w:p>
      <w:pPr>
        <w:pStyle w:val="BodyText"/>
        <w:spacing w:before="1"/>
      </w:pPr>
    </w:p>
    <w:p>
      <w:pPr>
        <w:pStyle w:val="BodyText"/>
        <w:ind w:left="278" w:right="1069"/>
        <w:jc w:val="both"/>
      </w:pPr>
      <w:r>
        <w:rPr>
          <w:spacing w:val="-1"/>
        </w:rPr>
        <w:t>Al</w:t>
      </w:r>
      <w:r>
        <w:rPr>
          <w:spacing w:val="-10"/>
        </w:rPr>
        <w:t> </w:t>
      </w:r>
      <w:r>
        <w:rPr>
          <w:spacing w:val="-1"/>
        </w:rPr>
        <w:t>comparar</w:t>
      </w:r>
      <w:r>
        <w:rPr>
          <w:spacing w:val="-13"/>
        </w:rPr>
        <w:t> </w:t>
      </w:r>
      <w:r>
        <w:rPr>
          <w:spacing w:val="-1"/>
        </w:rPr>
        <w:t>estos</w:t>
      </w:r>
      <w:r>
        <w:rPr>
          <w:spacing w:val="-9"/>
        </w:rPr>
        <w:t> </w:t>
      </w:r>
      <w:r>
        <w:rPr>
          <w:spacing w:val="-1"/>
        </w:rPr>
        <w:t>resultados</w:t>
      </w:r>
      <w:r>
        <w:rPr>
          <w:spacing w:val="-11"/>
        </w:rPr>
        <w:t> </w:t>
      </w:r>
      <w:r>
        <w:rPr/>
        <w:t>con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información</w:t>
      </w:r>
      <w:r>
        <w:rPr>
          <w:spacing w:val="-10"/>
        </w:rPr>
        <w:t> </w:t>
      </w:r>
      <w:r>
        <w:rPr/>
        <w:t>del</w:t>
      </w:r>
      <w:r>
        <w:rPr>
          <w:spacing w:val="-8"/>
        </w:rPr>
        <w:t> </w:t>
      </w:r>
      <w:r>
        <w:rPr/>
        <w:t>INE,</w:t>
      </w:r>
      <w:r>
        <w:rPr>
          <w:spacing w:val="-9"/>
        </w:rPr>
        <w:t> </w:t>
      </w:r>
      <w:r>
        <w:rPr/>
        <w:t>(2018),</w:t>
      </w:r>
      <w:r>
        <w:rPr>
          <w:spacing w:val="-12"/>
        </w:rPr>
        <w:t> </w:t>
      </w:r>
      <w:r>
        <w:rPr/>
        <w:t>es</w:t>
      </w:r>
      <w:r>
        <w:rPr>
          <w:spacing w:val="-11"/>
        </w:rPr>
        <w:t> </w:t>
      </w:r>
      <w:r>
        <w:rPr/>
        <w:t>posible</w:t>
      </w:r>
      <w:r>
        <w:rPr>
          <w:spacing w:val="-11"/>
        </w:rPr>
        <w:t> </w:t>
      </w:r>
      <w:r>
        <w:rPr/>
        <w:t>evidenciar</w:t>
      </w:r>
      <w:r>
        <w:rPr>
          <w:spacing w:val="-7"/>
        </w:rPr>
        <w:t> </w:t>
      </w:r>
      <w:r>
        <w:rPr/>
        <w:t>que,</w:t>
      </w:r>
      <w:r>
        <w:rPr>
          <w:spacing w:val="-11"/>
        </w:rPr>
        <w:t> </w:t>
      </w:r>
      <w:r>
        <w:rPr/>
        <w:t>si</w:t>
      </w:r>
      <w:r>
        <w:rPr>
          <w:spacing w:val="-11"/>
        </w:rPr>
        <w:t> </w:t>
      </w:r>
      <w:r>
        <w:rPr/>
        <w:t>bien</w:t>
      </w:r>
      <w:r>
        <w:rPr>
          <w:spacing w:val="-12"/>
        </w:rPr>
        <w:t> </w:t>
      </w:r>
      <w:r>
        <w:rPr/>
        <w:t>es</w:t>
      </w:r>
      <w:r>
        <w:rPr>
          <w:spacing w:val="-11"/>
        </w:rPr>
        <w:t> </w:t>
      </w:r>
      <w:r>
        <w:rPr/>
        <w:t>cierto,</w:t>
      </w:r>
      <w:r>
        <w:rPr>
          <w:spacing w:val="-47"/>
        </w:rPr>
        <w:t> </w:t>
      </w:r>
      <w:r>
        <w:rPr/>
        <w:t>si hay participación de las etnias mayoritarias (40% Maya y 60% Ladina), no hay representación. Es decir,</w:t>
      </w:r>
      <w:r>
        <w:rPr>
          <w:spacing w:val="1"/>
        </w:rPr>
        <w:t> </w:t>
      </w:r>
      <w:r>
        <w:rPr/>
        <w:t>el acceso al Sistema de Educación Nacional no llega a las poblaciones de etnia maya residentes en el</w:t>
      </w:r>
      <w:r>
        <w:rPr>
          <w:spacing w:val="1"/>
        </w:rPr>
        <w:t> </w:t>
      </w:r>
      <w:r>
        <w:rPr/>
        <w:t>departamento lo que profundiza la brecha de inequidad. Mientras que para los que pertenecen a la etnia</w:t>
      </w:r>
      <w:r>
        <w:rPr>
          <w:spacing w:val="-47"/>
        </w:rPr>
        <w:t> </w:t>
      </w:r>
      <w:r>
        <w:rPr/>
        <w:t>ladina</w:t>
      </w:r>
      <w:r>
        <w:rPr>
          <w:spacing w:val="-1"/>
        </w:rPr>
        <w:t> </w:t>
      </w:r>
      <w:r>
        <w:rPr/>
        <w:t>poseen</w:t>
      </w:r>
      <w:r>
        <w:rPr>
          <w:spacing w:val="-4"/>
        </w:rPr>
        <w:t> </w:t>
      </w:r>
      <w:r>
        <w:rPr/>
        <w:t>mayor representatividad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sistema</w:t>
      </w:r>
      <w:r>
        <w:rPr>
          <w:spacing w:val="-3"/>
        </w:rPr>
        <w:t> </w:t>
      </w:r>
      <w:r>
        <w:rPr/>
        <w:t>educativo.</w:t>
      </w:r>
    </w:p>
    <w:p>
      <w:pPr>
        <w:pStyle w:val="BodyText"/>
        <w:spacing w:before="12"/>
        <w:rPr>
          <w:sz w:val="21"/>
        </w:rPr>
      </w:pPr>
    </w:p>
    <w:p>
      <w:pPr>
        <w:pStyle w:val="BodyText"/>
        <w:ind w:left="278" w:right="1072"/>
        <w:jc w:val="both"/>
      </w:pPr>
      <w:r>
        <w:rPr/>
        <w:t>Por otra parte, respecto del sexo se sigue presentando una brecha de género, en dónde la participación</w:t>
      </w:r>
      <w:r>
        <w:rPr>
          <w:spacing w:val="1"/>
        </w:rPr>
        <w:t> </w:t>
      </w:r>
      <w:r>
        <w:rPr/>
        <w:t>del</w:t>
      </w:r>
      <w:r>
        <w:rPr>
          <w:spacing w:val="-5"/>
        </w:rPr>
        <w:t> </w:t>
      </w:r>
      <w:r>
        <w:rPr/>
        <w:t>hombre</w:t>
      </w:r>
      <w:r>
        <w:rPr>
          <w:spacing w:val="-10"/>
        </w:rPr>
        <w:t> </w:t>
      </w:r>
      <w:r>
        <w:rPr/>
        <w:t>Maya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Ladino,</w:t>
      </w:r>
      <w:r>
        <w:rPr>
          <w:spacing w:val="-7"/>
        </w:rPr>
        <w:t> </w:t>
      </w:r>
      <w:r>
        <w:rPr/>
        <w:t>es</w:t>
      </w:r>
      <w:r>
        <w:rPr>
          <w:spacing w:val="-7"/>
        </w:rPr>
        <w:t> </w:t>
      </w:r>
      <w:r>
        <w:rPr/>
        <w:t>mayor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mujer</w:t>
      </w:r>
      <w:r>
        <w:rPr>
          <w:spacing w:val="-8"/>
        </w:rPr>
        <w:t> </w:t>
      </w:r>
      <w:r>
        <w:rPr/>
        <w:t>-para</w:t>
      </w:r>
      <w:r>
        <w:rPr>
          <w:spacing w:val="-9"/>
        </w:rPr>
        <w:t> </w:t>
      </w:r>
      <w:r>
        <w:rPr/>
        <w:t>ambas</w:t>
      </w:r>
      <w:r>
        <w:rPr>
          <w:spacing w:val="-9"/>
        </w:rPr>
        <w:t> </w:t>
      </w:r>
      <w:r>
        <w:rPr/>
        <w:t>etnias-;</w:t>
      </w:r>
      <w:r>
        <w:rPr>
          <w:spacing w:val="-7"/>
        </w:rPr>
        <w:t> </w:t>
      </w:r>
      <w:r>
        <w:rPr/>
        <w:t>sobre</w:t>
      </w:r>
      <w:r>
        <w:rPr>
          <w:spacing w:val="-10"/>
        </w:rPr>
        <w:t> </w:t>
      </w:r>
      <w:r>
        <w:rPr/>
        <w:t>todo</w:t>
      </w:r>
      <w:r>
        <w:rPr>
          <w:spacing w:val="-7"/>
        </w:rPr>
        <w:t> </w:t>
      </w:r>
      <w:r>
        <w:rPr/>
        <w:t>considerando</w:t>
      </w:r>
      <w:r>
        <w:rPr>
          <w:spacing w:val="-4"/>
        </w:rPr>
        <w:t> </w:t>
      </w:r>
      <w:r>
        <w:rPr/>
        <w:t>que</w:t>
      </w:r>
      <w:r>
        <w:rPr>
          <w:spacing w:val="-47"/>
        </w:rPr>
        <w:t> </w:t>
      </w:r>
      <w:r>
        <w:rPr/>
        <w:t>en</w:t>
      </w:r>
      <w:r>
        <w:rPr>
          <w:spacing w:val="-3"/>
        </w:rPr>
        <w:t> </w:t>
      </w:r>
      <w:r>
        <w:rPr/>
        <w:t>este</w:t>
      </w:r>
      <w:r>
        <w:rPr>
          <w:spacing w:val="-3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51%</w:t>
      </w:r>
      <w:r>
        <w:rPr>
          <w:spacing w:val="-2"/>
        </w:rPr>
        <w:t> </w:t>
      </w:r>
      <w:r>
        <w:rPr/>
        <w:t>es</w:t>
      </w:r>
      <w:r>
        <w:rPr>
          <w:spacing w:val="-5"/>
        </w:rPr>
        <w:t> </w:t>
      </w:r>
      <w:r>
        <w:rPr/>
        <w:t>mujer</w:t>
      </w:r>
      <w:r>
        <w:rPr>
          <w:spacing w:val="-6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49%</w:t>
      </w:r>
      <w:r>
        <w:rPr>
          <w:spacing w:val="-3"/>
        </w:rPr>
        <w:t> </w:t>
      </w:r>
      <w:r>
        <w:rPr/>
        <w:t>es</w:t>
      </w:r>
      <w:r>
        <w:rPr>
          <w:spacing w:val="-2"/>
        </w:rPr>
        <w:t> </w:t>
      </w:r>
      <w:r>
        <w:rPr/>
        <w:t>hombre.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posibilidad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tener</w:t>
      </w:r>
      <w:r>
        <w:rPr>
          <w:spacing w:val="-3"/>
        </w:rPr>
        <w:t> </w:t>
      </w:r>
      <w:r>
        <w:rPr/>
        <w:t>acceso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en</w:t>
      </w:r>
      <w:r>
        <w:rPr>
          <w:spacing w:val="-47"/>
        </w:rPr>
        <w:t> </w:t>
      </w:r>
      <w:r>
        <w:rPr/>
        <w:t>el</w:t>
      </w:r>
      <w:r>
        <w:rPr>
          <w:spacing w:val="-1"/>
        </w:rPr>
        <w:t> </w:t>
      </w:r>
      <w:r>
        <w:rPr/>
        <w:t>sistema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reduce</w:t>
      </w:r>
      <w:r>
        <w:rPr>
          <w:spacing w:val="-2"/>
        </w:rPr>
        <w:t> </w:t>
      </w:r>
      <w:r>
        <w:rPr/>
        <w:t>si se</w:t>
      </w:r>
      <w:r>
        <w:rPr>
          <w:spacing w:val="-2"/>
        </w:rPr>
        <w:t> </w:t>
      </w:r>
      <w:r>
        <w:rPr/>
        <w:t>es mujer de la</w:t>
      </w:r>
      <w:r>
        <w:rPr>
          <w:spacing w:val="-3"/>
        </w:rPr>
        <w:t> </w:t>
      </w:r>
      <w:r>
        <w:rPr/>
        <w:t>etnia</w:t>
      </w:r>
      <w:r>
        <w:rPr>
          <w:spacing w:val="-2"/>
        </w:rPr>
        <w:t> </w:t>
      </w:r>
      <w:r>
        <w:rPr/>
        <w:t>Maya.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  <w:r>
        <w:rPr/>
        <w:pict>
          <v:rect style="position:absolute;margin-left:563.880005pt;margin-top:19.313103pt;width:25.44pt;height:1.4399pt;mso-position-horizontal-relative:page;mso-position-vertical-relative:paragraph;z-index:-1538252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177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60352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7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1"/>
          <w:numId w:val="36"/>
        </w:numPr>
        <w:tabs>
          <w:tab w:pos="855" w:val="left" w:leader="none"/>
        </w:tabs>
        <w:spacing w:line="240" w:lineRule="auto" w:before="52" w:after="0"/>
        <w:ind w:left="854" w:right="0" w:hanging="577"/>
        <w:jc w:val="left"/>
      </w:pPr>
      <w:bookmarkStart w:name="_bookmark219" w:id="371"/>
      <w:bookmarkEnd w:id="371"/>
      <w:r>
        <w:rPr>
          <w:b w:val="0"/>
        </w:rPr>
      </w:r>
      <w:bookmarkStart w:name="_bookmark219" w:id="372"/>
      <w:bookmarkEnd w:id="372"/>
      <w:r>
        <w:rPr>
          <w:color w:val="1F4E79"/>
        </w:rPr>
        <w:t>S</w:t>
      </w:r>
      <w:r>
        <w:rPr>
          <w:color w:val="1F4E79"/>
        </w:rPr>
        <w:t>an</w:t>
      </w:r>
      <w:r>
        <w:rPr>
          <w:color w:val="1F4E79"/>
          <w:spacing w:val="-4"/>
        </w:rPr>
        <w:t> </w:t>
      </w:r>
      <w:r>
        <w:rPr>
          <w:color w:val="1F4E79"/>
        </w:rPr>
        <w:t>Marcos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2"/>
          <w:numId w:val="36"/>
        </w:numPr>
        <w:tabs>
          <w:tab w:pos="999" w:val="left" w:leader="none"/>
        </w:tabs>
        <w:spacing w:line="240" w:lineRule="auto" w:before="187" w:after="0"/>
        <w:ind w:left="998" w:right="0" w:hanging="721"/>
        <w:jc w:val="left"/>
        <w:rPr>
          <w:b/>
          <w:sz w:val="24"/>
        </w:rPr>
      </w:pPr>
      <w:bookmarkStart w:name="_bookmark220" w:id="373"/>
      <w:bookmarkEnd w:id="373"/>
      <w:r>
        <w:rPr/>
      </w:r>
      <w:bookmarkStart w:name="_bookmark220" w:id="374"/>
      <w:bookmarkEnd w:id="374"/>
      <w:r>
        <w:rPr>
          <w:b/>
          <w:sz w:val="24"/>
        </w:rPr>
        <w:t>Inf</w:t>
      </w:r>
      <w:r>
        <w:rPr>
          <w:b/>
          <w:sz w:val="24"/>
        </w:rPr>
        <w:t>ormación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General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3"/>
        <w:jc w:val="both"/>
      </w:pPr>
      <w:r>
        <w:rPr/>
        <w:t>Según el INE, 2028 el total de la población en el departamento de San Marcos es de 1,032,277 con una</w:t>
      </w:r>
      <w:r>
        <w:rPr>
          <w:spacing w:val="1"/>
        </w:rPr>
        <w:t> </w:t>
      </w:r>
      <w:r>
        <w:rPr/>
        <w:t>proporción de 51% de mujeres y 49% de hombres. Cabe destacar que el 48% de la población son niños o</w:t>
      </w:r>
      <w:r>
        <w:rPr>
          <w:spacing w:val="1"/>
        </w:rPr>
        <w:t> </w:t>
      </w:r>
      <w:r>
        <w:rPr/>
        <w:t>adolescentes, debido a que se encuentran entre el rango de 0 a 19 años de edad.</w:t>
      </w:r>
      <w:r>
        <w:rPr>
          <w:spacing w:val="1"/>
        </w:rPr>
        <w:t> </w:t>
      </w:r>
      <w:r>
        <w:rPr/>
        <w:t>De este total, el 25%</w:t>
      </w:r>
      <w:r>
        <w:rPr>
          <w:spacing w:val="1"/>
        </w:rPr>
        <w:t> </w:t>
      </w:r>
      <w:r>
        <w:rPr/>
        <w:t>reside en el área urbana, mientras que el restante 75% es del área rural. De ellos, el 69% se reconoce</w:t>
      </w:r>
      <w:r>
        <w:rPr>
          <w:spacing w:val="1"/>
        </w:rPr>
        <w:t> </w:t>
      </w:r>
      <w:r>
        <w:rPr/>
        <w:t>mayoritariamente como Ladino, mientras que el 31% reconoce identidad Maya. De ello, pertenecen a la</w:t>
      </w:r>
      <w:r>
        <w:rPr>
          <w:spacing w:val="1"/>
        </w:rPr>
        <w:t> </w:t>
      </w:r>
      <w:r>
        <w:rPr/>
        <w:t>comunidad</w:t>
      </w:r>
      <w:r>
        <w:rPr>
          <w:spacing w:val="-2"/>
        </w:rPr>
        <w:t> </w:t>
      </w:r>
      <w:r>
        <w:rPr/>
        <w:t>lingüística Mam</w:t>
      </w:r>
      <w:r>
        <w:rPr>
          <w:spacing w:val="1"/>
        </w:rPr>
        <w:t> </w:t>
      </w:r>
      <w:r>
        <w:rPr/>
        <w:t>(92%)</w:t>
      </w:r>
      <w:r>
        <w:rPr>
          <w:spacing w:val="-2"/>
        </w:rPr>
        <w:t> </w:t>
      </w:r>
      <w:r>
        <w:rPr/>
        <w:t>y Sipakapense</w:t>
      </w:r>
      <w:r>
        <w:rPr>
          <w:spacing w:val="1"/>
        </w:rPr>
        <w:t> </w:t>
      </w:r>
      <w:r>
        <w:rPr/>
        <w:t>(5%).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1"/>
        <w:ind w:left="278" w:right="1070"/>
        <w:jc w:val="both"/>
      </w:pPr>
      <w:r>
        <w:rPr/>
        <w:t>De acuerdo a los datos de SESAN (2015) a través del IV Censo Nacional de talla en escolares de primer</w:t>
      </w:r>
      <w:r>
        <w:rPr>
          <w:spacing w:val="1"/>
        </w:rPr>
        <w:t> </w:t>
      </w:r>
      <w:r>
        <w:rPr/>
        <w:t>grado de educación primaria del sector público escolar, este departamento posee una alta vulnerabilidad</w:t>
      </w:r>
      <w:r>
        <w:rPr>
          <w:spacing w:val="-47"/>
        </w:rPr>
        <w:t> </w:t>
      </w:r>
      <w:r>
        <w:rPr>
          <w:spacing w:val="-1"/>
        </w:rPr>
        <w:t>nutricional</w:t>
      </w:r>
      <w:r>
        <w:rPr>
          <w:spacing w:val="-12"/>
        </w:rPr>
        <w:t> </w:t>
      </w:r>
      <w:r>
        <w:rPr>
          <w:spacing w:val="-1"/>
        </w:rPr>
        <w:t>al</w:t>
      </w:r>
      <w:r>
        <w:rPr>
          <w:spacing w:val="-12"/>
        </w:rPr>
        <w:t> </w:t>
      </w:r>
      <w:r>
        <w:rPr>
          <w:spacing w:val="-1"/>
        </w:rPr>
        <w:t>reportar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cifra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44.8%.</w:t>
      </w:r>
      <w:r>
        <w:rPr>
          <w:spacing w:val="-12"/>
        </w:rPr>
        <w:t> </w:t>
      </w:r>
      <w:r>
        <w:rPr/>
        <w:t>Aunque</w:t>
      </w:r>
      <w:r>
        <w:rPr>
          <w:spacing w:val="-11"/>
        </w:rPr>
        <w:t> </w:t>
      </w:r>
      <w:r>
        <w:rPr/>
        <w:t>esta</w:t>
      </w:r>
      <w:r>
        <w:rPr>
          <w:spacing w:val="-12"/>
        </w:rPr>
        <w:t> </w:t>
      </w:r>
      <w:r>
        <w:rPr/>
        <w:t>cantidad</w:t>
      </w:r>
      <w:r>
        <w:rPr>
          <w:spacing w:val="-13"/>
        </w:rPr>
        <w:t> </w:t>
      </w:r>
      <w:r>
        <w:rPr/>
        <w:t>es</w:t>
      </w:r>
      <w:r>
        <w:rPr>
          <w:spacing w:val="-11"/>
        </w:rPr>
        <w:t> </w:t>
      </w:r>
      <w:r>
        <w:rPr/>
        <w:t>solamente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primero</w:t>
      </w:r>
      <w:r>
        <w:rPr>
          <w:spacing w:val="-11"/>
        </w:rPr>
        <w:t> </w:t>
      </w:r>
      <w:r>
        <w:rPr/>
        <w:t>primaria,</w:t>
      </w:r>
      <w:r>
        <w:rPr>
          <w:spacing w:val="-12"/>
        </w:rPr>
        <w:t> </w:t>
      </w:r>
      <w:r>
        <w:rPr/>
        <w:t>se</w:t>
      </w:r>
      <w:r>
        <w:rPr>
          <w:spacing w:val="-11"/>
        </w:rPr>
        <w:t> </w:t>
      </w:r>
      <w:r>
        <w:rPr/>
        <w:t>puede</w:t>
      </w:r>
      <w:r>
        <w:rPr>
          <w:spacing w:val="-47"/>
        </w:rPr>
        <w:t> </w:t>
      </w:r>
      <w:r>
        <w:rPr/>
        <w:t>extrapolar la información hacia la situación nutricional de la población de la niñez y adolescencia en</w:t>
      </w:r>
      <w:r>
        <w:rPr>
          <w:spacing w:val="1"/>
        </w:rPr>
        <w:t> </w:t>
      </w:r>
      <w:r>
        <w:rPr/>
        <w:t>general, sobre todo considerando que el 48% pertenece a estos grupos. Además, de ser uno de los</w:t>
      </w:r>
      <w:r>
        <w:rPr>
          <w:spacing w:val="1"/>
        </w:rPr>
        <w:t> </w:t>
      </w:r>
      <w:r>
        <w:rPr/>
        <w:t>departamentos que mayor desnutrición crónica posee, situando a nivel departamental el 55%. </w:t>
      </w:r>
      <w:r>
        <w:rPr>
          <w:color w:val="333333"/>
        </w:rPr>
        <w:t>La tasa</w:t>
      </w:r>
      <w:r>
        <w:rPr>
          <w:color w:val="333333"/>
          <w:spacing w:val="1"/>
        </w:rPr>
        <w:t> </w:t>
      </w:r>
      <w:r>
        <w:rPr>
          <w:color w:val="333333"/>
        </w:rPr>
        <w:t>aumenta entre los niños indígenas, particularmente en el área rural. Estas altas tasas de malnutrición a</w:t>
      </w:r>
      <w:r>
        <w:rPr>
          <w:color w:val="333333"/>
          <w:spacing w:val="1"/>
        </w:rPr>
        <w:t> </w:t>
      </w:r>
      <w:r>
        <w:rPr>
          <w:color w:val="333333"/>
        </w:rPr>
        <w:t>nivel municipal están relacionadas con la pobreza y la desigualdad de género, especialmente porque las</w:t>
      </w:r>
      <w:r>
        <w:rPr>
          <w:color w:val="333333"/>
          <w:spacing w:val="1"/>
        </w:rPr>
        <w:t> </w:t>
      </w:r>
      <w:r>
        <w:rPr>
          <w:color w:val="333333"/>
        </w:rPr>
        <w:t>mujeres</w:t>
      </w:r>
      <w:r>
        <w:rPr>
          <w:color w:val="333333"/>
          <w:spacing w:val="-1"/>
        </w:rPr>
        <w:t> </w:t>
      </w:r>
      <w:r>
        <w:rPr>
          <w:color w:val="333333"/>
        </w:rPr>
        <w:t>tienen pocas</w:t>
      </w:r>
      <w:r>
        <w:rPr>
          <w:color w:val="333333"/>
          <w:spacing w:val="-2"/>
        </w:rPr>
        <w:t> </w:t>
      </w:r>
      <w:r>
        <w:rPr>
          <w:color w:val="333333"/>
        </w:rPr>
        <w:t>oportunidades para actividades</w:t>
      </w:r>
      <w:r>
        <w:rPr>
          <w:color w:val="333333"/>
          <w:spacing w:val="-4"/>
        </w:rPr>
        <w:t> </w:t>
      </w:r>
      <w:r>
        <w:rPr>
          <w:color w:val="333333"/>
        </w:rPr>
        <w:t>productivas</w:t>
      </w:r>
      <w:r>
        <w:rPr>
          <w:color w:val="333333"/>
          <w:spacing w:val="-1"/>
        </w:rPr>
        <w:t> </w:t>
      </w:r>
      <w:r>
        <w:rPr>
          <w:color w:val="333333"/>
        </w:rPr>
        <w:t>fuera del hogar.</w:t>
      </w:r>
    </w:p>
    <w:p>
      <w:pPr>
        <w:pStyle w:val="BodyText"/>
        <w:spacing w:before="7"/>
        <w:rPr>
          <w:sz w:val="15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52" w:after="0"/>
        <w:ind w:left="998" w:right="0" w:hanging="721"/>
        <w:jc w:val="left"/>
      </w:pPr>
      <w:bookmarkStart w:name="_bookmark221" w:id="375"/>
      <w:bookmarkEnd w:id="375"/>
      <w:r>
        <w:rPr>
          <w:b w:val="0"/>
        </w:rPr>
      </w:r>
      <w:bookmarkStart w:name="_bookmark221" w:id="376"/>
      <w:bookmarkEnd w:id="376"/>
      <w:r>
        <w:rPr>
          <w:shd w:fill="FFFFFF" w:color="auto" w:val="clear"/>
        </w:rPr>
        <w:t>Sit</w:t>
      </w:r>
      <w:r>
        <w:rPr>
          <w:shd w:fill="FFFFFF" w:color="auto" w:val="clear"/>
        </w:rPr>
        <w:t>uación</w:t>
      </w:r>
      <w:r>
        <w:rPr>
          <w:spacing w:val="-2"/>
          <w:shd w:fill="FFFFFF" w:color="auto" w:val="clear"/>
        </w:rPr>
        <w:t> </w:t>
      </w:r>
      <w:r>
        <w:rPr>
          <w:shd w:fill="FFFFFF" w:color="auto" w:val="clear"/>
        </w:rPr>
        <w:t>del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Sistema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-6"/>
          <w:shd w:fill="FFFFFF" w:color="auto" w:val="clear"/>
        </w:rPr>
        <w:t> </w:t>
      </w:r>
      <w:r>
        <w:rPr>
          <w:shd w:fill="FFFFFF" w:color="auto" w:val="clear"/>
        </w:rPr>
        <w:t>Educación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Nacional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278" w:right="1072"/>
        <w:jc w:val="both"/>
      </w:pPr>
      <w:r>
        <w:rPr/>
        <w:t>La temática estadística relacionada con la población estudiantil del departamento de San Marcos, han</w:t>
      </w:r>
      <w:r>
        <w:rPr>
          <w:spacing w:val="1"/>
        </w:rPr>
        <w:t> </w:t>
      </w:r>
      <w:r>
        <w:rPr/>
        <w:t>mostrado un comportamiento similar al presentado a nivel nacional. En primer lugar aparece el nivel</w:t>
      </w:r>
      <w:r>
        <w:rPr>
          <w:spacing w:val="1"/>
        </w:rPr>
        <w:t> </w:t>
      </w:r>
      <w:r>
        <w:rPr/>
        <w:t>primaria, en segundo lugar el básico y el tercer lugar, la preprimaria.</w:t>
      </w:r>
      <w:r>
        <w:rPr>
          <w:spacing w:val="1"/>
        </w:rPr>
        <w:t> </w:t>
      </w:r>
      <w:r>
        <w:rPr/>
        <w:t>Por último, el diversificado y la</w:t>
      </w:r>
      <w:r>
        <w:rPr>
          <w:spacing w:val="1"/>
        </w:rPr>
        <w:t> </w:t>
      </w:r>
      <w:r>
        <w:rPr/>
        <w:t>primaria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adultos.</w:t>
      </w:r>
      <w:r>
        <w:rPr>
          <w:spacing w:val="-3"/>
        </w:rPr>
        <w:t> </w:t>
      </w:r>
      <w:r>
        <w:rPr/>
        <w:t>Como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la siguiente</w:t>
      </w:r>
      <w:r>
        <w:rPr>
          <w:spacing w:val="1"/>
        </w:rPr>
        <w:t> </w:t>
      </w:r>
      <w:r>
        <w:rPr/>
        <w:t>tabla.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after="5"/>
        <w:ind w:left="278"/>
        <w:jc w:val="both"/>
      </w:pPr>
      <w:r>
        <w:rPr/>
        <w:t>Tabla</w:t>
      </w:r>
      <w:r>
        <w:rPr>
          <w:spacing w:val="-2"/>
        </w:rPr>
        <w:t> </w:t>
      </w:r>
      <w:r>
        <w:rPr/>
        <w:t>Nº.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 estudiantes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Nivel</w:t>
      </w:r>
      <w:r>
        <w:rPr>
          <w:spacing w:val="-1"/>
        </w:rPr>
        <w:t> </w:t>
      </w:r>
      <w:r>
        <w:rPr/>
        <w:t>Educativo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San</w:t>
      </w:r>
      <w:r>
        <w:rPr>
          <w:spacing w:val="-4"/>
        </w:rPr>
        <w:t> </w:t>
      </w:r>
      <w:r>
        <w:rPr/>
        <w:t>Marcos</w:t>
      </w:r>
      <w:r>
        <w:rPr>
          <w:spacing w:val="-1"/>
        </w:rPr>
        <w:t> </w:t>
      </w:r>
      <w:r>
        <w:rPr/>
        <w:t>(2017</w:t>
      </w:r>
      <w:r>
        <w:rPr>
          <w:spacing w:val="-3"/>
        </w:rPr>
        <w:t> </w:t>
      </w:r>
      <w:r>
        <w:rPr/>
        <w:t>al</w:t>
      </w:r>
      <w:r>
        <w:rPr>
          <w:spacing w:val="-3"/>
        </w:rPr>
        <w:t> </w:t>
      </w:r>
      <w:r>
        <w:rPr/>
        <w:t>2021)</w:t>
      </w:r>
    </w:p>
    <w:tbl>
      <w:tblPr>
        <w:tblW w:w="0" w:type="auto"/>
        <w:jc w:val="left"/>
        <w:tblInd w:w="3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9"/>
        <w:gridCol w:w="1442"/>
        <w:gridCol w:w="985"/>
        <w:gridCol w:w="1941"/>
        <w:gridCol w:w="729"/>
        <w:gridCol w:w="1361"/>
        <w:gridCol w:w="1195"/>
      </w:tblGrid>
      <w:tr>
        <w:trPr>
          <w:trHeight w:val="415" w:hRule="atLeast"/>
        </w:trPr>
        <w:tc>
          <w:tcPr>
            <w:tcW w:w="1169" w:type="dxa"/>
            <w:tcBorders>
              <w:bottom w:val="single" w:sz="8" w:space="0" w:color="8EA9DB"/>
            </w:tcBorders>
            <w:shd w:val="clear" w:color="auto" w:fill="D9E0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2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180" w:lineRule="exact" w:before="1"/>
              <w:ind w:left="149" w:right="6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PREPRIMARIA</w:t>
            </w:r>
          </w:p>
        </w:tc>
        <w:tc>
          <w:tcPr>
            <w:tcW w:w="985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180" w:lineRule="exact" w:before="1"/>
              <w:ind w:left="92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PRIMARIA</w:t>
            </w:r>
          </w:p>
        </w:tc>
        <w:tc>
          <w:tcPr>
            <w:tcW w:w="1941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180" w:lineRule="exact" w:before="1"/>
              <w:ind w:left="46" w:righ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pacing w:val="-3"/>
                <w:w w:val="95"/>
                <w:sz w:val="17"/>
              </w:rPr>
              <w:t>PRIMARIA</w:t>
            </w:r>
            <w:r>
              <w:rPr>
                <w:rFonts w:ascii="Arial"/>
                <w:b/>
                <w:color w:val="FFFFFF"/>
                <w:spacing w:val="5"/>
                <w:w w:val="95"/>
                <w:sz w:val="17"/>
              </w:rPr>
              <w:t> </w:t>
            </w:r>
            <w:r>
              <w:rPr>
                <w:rFonts w:ascii="Arial"/>
                <w:b/>
                <w:color w:val="FFFFFF"/>
                <w:spacing w:val="-3"/>
                <w:w w:val="95"/>
                <w:sz w:val="17"/>
              </w:rPr>
              <w:t>DE</w:t>
            </w:r>
            <w:r>
              <w:rPr>
                <w:rFonts w:ascii="Arial"/>
                <w:b/>
                <w:color w:val="FFFFFF"/>
                <w:spacing w:val="-23"/>
                <w:w w:val="95"/>
                <w:sz w:val="17"/>
              </w:rPr>
              <w:t> </w:t>
            </w:r>
            <w:r>
              <w:rPr>
                <w:rFonts w:ascii="Arial"/>
                <w:b/>
                <w:color w:val="FFFFFF"/>
                <w:spacing w:val="-3"/>
                <w:w w:val="95"/>
                <w:sz w:val="17"/>
              </w:rPr>
              <w:t>ADULTOS</w:t>
            </w:r>
          </w:p>
        </w:tc>
        <w:tc>
          <w:tcPr>
            <w:tcW w:w="729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180" w:lineRule="exact" w:before="1"/>
              <w:ind w:left="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BASICO</w:t>
            </w:r>
          </w:p>
        </w:tc>
        <w:tc>
          <w:tcPr>
            <w:tcW w:w="1361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180" w:lineRule="exact" w:before="1"/>
              <w:ind w:left="9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pacing w:val="-2"/>
                <w:sz w:val="17"/>
              </w:rPr>
              <w:t>DIVERSIFICADO</w:t>
            </w:r>
          </w:p>
        </w:tc>
        <w:tc>
          <w:tcPr>
            <w:tcW w:w="1195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180" w:lineRule="exact" w:before="1"/>
              <w:ind w:right="7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w w:val="95"/>
                <w:sz w:val="17"/>
              </w:rPr>
              <w:t>Tota</w:t>
            </w:r>
            <w:r>
              <w:rPr>
                <w:rFonts w:ascii="Arial"/>
                <w:b/>
                <w:color w:val="FFFFFF"/>
                <w:spacing w:val="-25"/>
                <w:w w:val="95"/>
                <w:sz w:val="17"/>
              </w:rPr>
              <w:t> </w:t>
            </w:r>
            <w:r>
              <w:rPr>
                <w:rFonts w:ascii="Arial"/>
                <w:b/>
                <w:color w:val="FFFFFF"/>
                <w:w w:val="95"/>
                <w:sz w:val="17"/>
              </w:rPr>
              <w:t>l</w:t>
            </w:r>
            <w:r>
              <w:rPr>
                <w:rFonts w:ascii="Arial"/>
                <w:b/>
                <w:color w:val="FFFFFF"/>
                <w:spacing w:val="7"/>
                <w:w w:val="95"/>
                <w:sz w:val="17"/>
              </w:rPr>
              <w:t> </w:t>
            </w:r>
            <w:r>
              <w:rPr>
                <w:rFonts w:ascii="Arial"/>
                <w:b/>
                <w:color w:val="FFFFFF"/>
                <w:w w:val="95"/>
                <w:sz w:val="17"/>
              </w:rPr>
              <w:t>general</w:t>
            </w:r>
          </w:p>
        </w:tc>
      </w:tr>
      <w:tr>
        <w:trPr>
          <w:trHeight w:val="184" w:hRule="atLeast"/>
        </w:trPr>
        <w:tc>
          <w:tcPr>
            <w:tcW w:w="1169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2" w:lineRule="exact"/>
              <w:ind w:left="418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2017</w:t>
            </w:r>
          </w:p>
        </w:tc>
        <w:tc>
          <w:tcPr>
            <w:tcW w:w="1442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2" w:lineRule="exact"/>
              <w:ind w:left="149" w:right="60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39,770</w:t>
            </w:r>
          </w:p>
        </w:tc>
        <w:tc>
          <w:tcPr>
            <w:tcW w:w="985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2" w:lineRule="exact"/>
              <w:ind w:left="131" w:right="12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171,175</w:t>
            </w:r>
          </w:p>
        </w:tc>
        <w:tc>
          <w:tcPr>
            <w:tcW w:w="1941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2" w:lineRule="exact"/>
              <w:ind w:left="35" w:right="29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521</w:t>
            </w:r>
          </w:p>
        </w:tc>
        <w:tc>
          <w:tcPr>
            <w:tcW w:w="729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2" w:lineRule="exact"/>
              <w:ind w:left="2" w:right="16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52,839</w:t>
            </w:r>
          </w:p>
        </w:tc>
        <w:tc>
          <w:tcPr>
            <w:tcW w:w="1361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2" w:lineRule="exact"/>
              <w:ind w:left="38" w:right="5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24,169</w:t>
            </w:r>
          </w:p>
        </w:tc>
        <w:tc>
          <w:tcPr>
            <w:tcW w:w="1195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2" w:lineRule="exact"/>
              <w:ind w:right="38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288,474</w:t>
            </w:r>
          </w:p>
        </w:tc>
      </w:tr>
      <w:tr>
        <w:trPr>
          <w:trHeight w:val="201" w:hRule="atLeast"/>
        </w:trPr>
        <w:tc>
          <w:tcPr>
            <w:tcW w:w="1169" w:type="dxa"/>
          </w:tcPr>
          <w:p>
            <w:pPr>
              <w:pStyle w:val="TableParagraph"/>
              <w:spacing w:line="172" w:lineRule="exact" w:before="9"/>
              <w:ind w:left="418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2018</w:t>
            </w:r>
          </w:p>
        </w:tc>
        <w:tc>
          <w:tcPr>
            <w:tcW w:w="1442" w:type="dxa"/>
          </w:tcPr>
          <w:p>
            <w:pPr>
              <w:pStyle w:val="TableParagraph"/>
              <w:spacing w:line="172" w:lineRule="exact" w:before="9"/>
              <w:ind w:left="149" w:right="60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41,366</w:t>
            </w:r>
          </w:p>
        </w:tc>
        <w:tc>
          <w:tcPr>
            <w:tcW w:w="985" w:type="dxa"/>
          </w:tcPr>
          <w:p>
            <w:pPr>
              <w:pStyle w:val="TableParagraph"/>
              <w:spacing w:line="172" w:lineRule="exact" w:before="9"/>
              <w:ind w:left="131" w:right="12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174,275</w:t>
            </w:r>
          </w:p>
        </w:tc>
        <w:tc>
          <w:tcPr>
            <w:tcW w:w="1941" w:type="dxa"/>
          </w:tcPr>
          <w:p>
            <w:pPr>
              <w:pStyle w:val="TableParagraph"/>
              <w:spacing w:line="172" w:lineRule="exact" w:before="9"/>
              <w:ind w:left="35" w:right="29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542</w:t>
            </w:r>
          </w:p>
        </w:tc>
        <w:tc>
          <w:tcPr>
            <w:tcW w:w="729" w:type="dxa"/>
          </w:tcPr>
          <w:p>
            <w:pPr>
              <w:pStyle w:val="TableParagraph"/>
              <w:spacing w:line="172" w:lineRule="exact" w:before="9"/>
              <w:ind w:left="2" w:right="16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52,646</w:t>
            </w:r>
          </w:p>
        </w:tc>
        <w:tc>
          <w:tcPr>
            <w:tcW w:w="1361" w:type="dxa"/>
          </w:tcPr>
          <w:p>
            <w:pPr>
              <w:pStyle w:val="TableParagraph"/>
              <w:spacing w:line="172" w:lineRule="exact" w:before="9"/>
              <w:ind w:left="38" w:right="5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25,111</w:t>
            </w:r>
          </w:p>
        </w:tc>
        <w:tc>
          <w:tcPr>
            <w:tcW w:w="1195" w:type="dxa"/>
          </w:tcPr>
          <w:p>
            <w:pPr>
              <w:pStyle w:val="TableParagraph"/>
              <w:spacing w:line="172" w:lineRule="exact" w:before="9"/>
              <w:ind w:right="38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293,940</w:t>
            </w:r>
          </w:p>
        </w:tc>
      </w:tr>
      <w:tr>
        <w:trPr>
          <w:trHeight w:val="201" w:hRule="atLeast"/>
        </w:trPr>
        <w:tc>
          <w:tcPr>
            <w:tcW w:w="1169" w:type="dxa"/>
          </w:tcPr>
          <w:p>
            <w:pPr>
              <w:pStyle w:val="TableParagraph"/>
              <w:spacing w:line="172" w:lineRule="exact" w:before="9"/>
              <w:ind w:left="418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2019</w:t>
            </w:r>
          </w:p>
        </w:tc>
        <w:tc>
          <w:tcPr>
            <w:tcW w:w="1442" w:type="dxa"/>
          </w:tcPr>
          <w:p>
            <w:pPr>
              <w:pStyle w:val="TableParagraph"/>
              <w:spacing w:line="172" w:lineRule="exact" w:before="9"/>
              <w:ind w:left="149" w:right="60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39,468</w:t>
            </w:r>
          </w:p>
        </w:tc>
        <w:tc>
          <w:tcPr>
            <w:tcW w:w="985" w:type="dxa"/>
          </w:tcPr>
          <w:p>
            <w:pPr>
              <w:pStyle w:val="TableParagraph"/>
              <w:spacing w:line="172" w:lineRule="exact" w:before="9"/>
              <w:ind w:left="131" w:right="12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173,989</w:t>
            </w:r>
          </w:p>
        </w:tc>
        <w:tc>
          <w:tcPr>
            <w:tcW w:w="1941" w:type="dxa"/>
          </w:tcPr>
          <w:p>
            <w:pPr>
              <w:pStyle w:val="TableParagraph"/>
              <w:spacing w:line="172" w:lineRule="exact" w:before="9"/>
              <w:ind w:left="35" w:right="29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607</w:t>
            </w:r>
          </w:p>
        </w:tc>
        <w:tc>
          <w:tcPr>
            <w:tcW w:w="729" w:type="dxa"/>
          </w:tcPr>
          <w:p>
            <w:pPr>
              <w:pStyle w:val="TableParagraph"/>
              <w:spacing w:line="172" w:lineRule="exact" w:before="9"/>
              <w:ind w:left="2" w:right="16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50,717</w:t>
            </w:r>
          </w:p>
        </w:tc>
        <w:tc>
          <w:tcPr>
            <w:tcW w:w="1361" w:type="dxa"/>
          </w:tcPr>
          <w:p>
            <w:pPr>
              <w:pStyle w:val="TableParagraph"/>
              <w:spacing w:line="172" w:lineRule="exact" w:before="9"/>
              <w:ind w:left="38" w:right="5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24,837</w:t>
            </w:r>
          </w:p>
        </w:tc>
        <w:tc>
          <w:tcPr>
            <w:tcW w:w="1195" w:type="dxa"/>
          </w:tcPr>
          <w:p>
            <w:pPr>
              <w:pStyle w:val="TableParagraph"/>
              <w:spacing w:line="172" w:lineRule="exact" w:before="9"/>
              <w:ind w:right="38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289,618</w:t>
            </w:r>
          </w:p>
        </w:tc>
      </w:tr>
      <w:tr>
        <w:trPr>
          <w:trHeight w:val="201" w:hRule="atLeast"/>
        </w:trPr>
        <w:tc>
          <w:tcPr>
            <w:tcW w:w="1169" w:type="dxa"/>
          </w:tcPr>
          <w:p>
            <w:pPr>
              <w:pStyle w:val="TableParagraph"/>
              <w:spacing w:line="172" w:lineRule="exact" w:before="10"/>
              <w:ind w:left="418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2020</w:t>
            </w:r>
          </w:p>
        </w:tc>
        <w:tc>
          <w:tcPr>
            <w:tcW w:w="1442" w:type="dxa"/>
          </w:tcPr>
          <w:p>
            <w:pPr>
              <w:pStyle w:val="TableParagraph"/>
              <w:spacing w:line="172" w:lineRule="exact" w:before="10"/>
              <w:ind w:left="149" w:right="60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38,538</w:t>
            </w:r>
          </w:p>
        </w:tc>
        <w:tc>
          <w:tcPr>
            <w:tcW w:w="985" w:type="dxa"/>
          </w:tcPr>
          <w:p>
            <w:pPr>
              <w:pStyle w:val="TableParagraph"/>
              <w:spacing w:line="172" w:lineRule="exact" w:before="10"/>
              <w:ind w:left="131" w:right="12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174,474</w:t>
            </w:r>
          </w:p>
        </w:tc>
        <w:tc>
          <w:tcPr>
            <w:tcW w:w="1941" w:type="dxa"/>
          </w:tcPr>
          <w:p>
            <w:pPr>
              <w:pStyle w:val="TableParagraph"/>
              <w:spacing w:line="172" w:lineRule="exact" w:before="10"/>
              <w:ind w:left="35" w:right="29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312</w:t>
            </w:r>
          </w:p>
        </w:tc>
        <w:tc>
          <w:tcPr>
            <w:tcW w:w="729" w:type="dxa"/>
          </w:tcPr>
          <w:p>
            <w:pPr>
              <w:pStyle w:val="TableParagraph"/>
              <w:spacing w:line="172" w:lineRule="exact" w:before="10"/>
              <w:ind w:left="2" w:right="16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48,801</w:t>
            </w:r>
          </w:p>
        </w:tc>
        <w:tc>
          <w:tcPr>
            <w:tcW w:w="1361" w:type="dxa"/>
          </w:tcPr>
          <w:p>
            <w:pPr>
              <w:pStyle w:val="TableParagraph"/>
              <w:spacing w:line="172" w:lineRule="exact" w:before="10"/>
              <w:ind w:left="38" w:right="5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24,505</w:t>
            </w:r>
          </w:p>
        </w:tc>
        <w:tc>
          <w:tcPr>
            <w:tcW w:w="1195" w:type="dxa"/>
          </w:tcPr>
          <w:p>
            <w:pPr>
              <w:pStyle w:val="TableParagraph"/>
              <w:spacing w:line="172" w:lineRule="exact" w:before="10"/>
              <w:ind w:right="38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286,630</w:t>
            </w:r>
          </w:p>
        </w:tc>
      </w:tr>
      <w:tr>
        <w:trPr>
          <w:trHeight w:val="194" w:hRule="atLeast"/>
        </w:trPr>
        <w:tc>
          <w:tcPr>
            <w:tcW w:w="1169" w:type="dxa"/>
          </w:tcPr>
          <w:p>
            <w:pPr>
              <w:pStyle w:val="TableParagraph"/>
              <w:spacing w:line="164" w:lineRule="exact" w:before="9"/>
              <w:ind w:left="418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2021</w:t>
            </w:r>
          </w:p>
        </w:tc>
        <w:tc>
          <w:tcPr>
            <w:tcW w:w="1442" w:type="dxa"/>
          </w:tcPr>
          <w:p>
            <w:pPr>
              <w:pStyle w:val="TableParagraph"/>
              <w:spacing w:line="164" w:lineRule="exact" w:before="9"/>
              <w:ind w:left="149" w:right="60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46,235</w:t>
            </w:r>
          </w:p>
        </w:tc>
        <w:tc>
          <w:tcPr>
            <w:tcW w:w="985" w:type="dxa"/>
          </w:tcPr>
          <w:p>
            <w:pPr>
              <w:pStyle w:val="TableParagraph"/>
              <w:spacing w:line="164" w:lineRule="exact" w:before="9"/>
              <w:ind w:left="131" w:right="12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179,147</w:t>
            </w:r>
          </w:p>
        </w:tc>
        <w:tc>
          <w:tcPr>
            <w:tcW w:w="1941" w:type="dxa"/>
          </w:tcPr>
          <w:p>
            <w:pPr>
              <w:pStyle w:val="TableParagraph"/>
              <w:spacing w:line="164" w:lineRule="exact" w:before="9"/>
              <w:ind w:left="35" w:right="29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227</w:t>
            </w:r>
          </w:p>
        </w:tc>
        <w:tc>
          <w:tcPr>
            <w:tcW w:w="729" w:type="dxa"/>
          </w:tcPr>
          <w:p>
            <w:pPr>
              <w:pStyle w:val="TableParagraph"/>
              <w:spacing w:line="164" w:lineRule="exact" w:before="9"/>
              <w:ind w:left="2" w:right="16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46,513</w:t>
            </w:r>
          </w:p>
        </w:tc>
        <w:tc>
          <w:tcPr>
            <w:tcW w:w="1361" w:type="dxa"/>
          </w:tcPr>
          <w:p>
            <w:pPr>
              <w:pStyle w:val="TableParagraph"/>
              <w:spacing w:line="164" w:lineRule="exact" w:before="9"/>
              <w:ind w:left="38" w:right="5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22,062</w:t>
            </w:r>
          </w:p>
        </w:tc>
        <w:tc>
          <w:tcPr>
            <w:tcW w:w="1195" w:type="dxa"/>
          </w:tcPr>
          <w:p>
            <w:pPr>
              <w:pStyle w:val="TableParagraph"/>
              <w:spacing w:line="164" w:lineRule="exact" w:before="9"/>
              <w:ind w:right="38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294,184</w:t>
            </w:r>
          </w:p>
        </w:tc>
      </w:tr>
    </w:tbl>
    <w:tbl>
      <w:tblPr>
        <w:tblW w:w="0" w:type="auto"/>
        <w:jc w:val="left"/>
        <w:tblInd w:w="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9"/>
        <w:gridCol w:w="1384"/>
        <w:gridCol w:w="1362"/>
        <w:gridCol w:w="1277"/>
        <w:gridCol w:w="1240"/>
        <w:gridCol w:w="1212"/>
        <w:gridCol w:w="1183"/>
      </w:tblGrid>
      <w:tr>
        <w:trPr>
          <w:trHeight w:val="215" w:hRule="atLeast"/>
        </w:trPr>
        <w:tc>
          <w:tcPr>
            <w:tcW w:w="1169" w:type="dxa"/>
            <w:tcBorders>
              <w:top w:val="single" w:sz="8" w:space="0" w:color="8EA9DB"/>
            </w:tcBorders>
            <w:shd w:val="clear" w:color="auto" w:fill="D9E0F1"/>
          </w:tcPr>
          <w:p>
            <w:pPr>
              <w:pStyle w:val="TableParagraph"/>
              <w:spacing w:before="16"/>
              <w:ind w:left="4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Tota</w:t>
            </w:r>
            <w:r>
              <w:rPr>
                <w:rFonts w:ascii="Arial"/>
                <w:b/>
                <w:spacing w:val="-26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l</w:t>
            </w:r>
            <w:r>
              <w:rPr>
                <w:rFonts w:ascii="Arial"/>
                <w:b/>
                <w:spacing w:val="-3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general</w:t>
            </w:r>
          </w:p>
        </w:tc>
        <w:tc>
          <w:tcPr>
            <w:tcW w:w="1384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93" w:lineRule="exact"/>
              <w:ind w:left="4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205,377</w:t>
            </w:r>
          </w:p>
        </w:tc>
        <w:tc>
          <w:tcPr>
            <w:tcW w:w="1362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93" w:lineRule="exact"/>
              <w:ind w:left="3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873,060</w:t>
            </w:r>
          </w:p>
        </w:tc>
        <w:tc>
          <w:tcPr>
            <w:tcW w:w="1277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93" w:lineRule="exact"/>
              <w:ind w:left="45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2,209</w:t>
            </w:r>
          </w:p>
        </w:tc>
        <w:tc>
          <w:tcPr>
            <w:tcW w:w="1240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93" w:lineRule="exact"/>
              <w:ind w:left="4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251,516</w:t>
            </w:r>
          </w:p>
        </w:tc>
        <w:tc>
          <w:tcPr>
            <w:tcW w:w="1212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93" w:lineRule="exact"/>
              <w:ind w:left="22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120,684</w:t>
            </w:r>
          </w:p>
        </w:tc>
        <w:tc>
          <w:tcPr>
            <w:tcW w:w="1183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93" w:lineRule="exact"/>
              <w:ind w:left="38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1,452,846</w:t>
            </w:r>
          </w:p>
        </w:tc>
      </w:tr>
    </w:tbl>
    <w:p>
      <w:pPr>
        <w:spacing w:before="16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2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2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ind w:left="278" w:right="1071"/>
        <w:jc w:val="both"/>
      </w:pPr>
      <w:r>
        <w:rPr/>
        <w:t>La tabla anterior, integra las cifras del Total de la población estudiantil por Nivel Educativo para San</w:t>
      </w:r>
      <w:r>
        <w:rPr>
          <w:spacing w:val="1"/>
        </w:rPr>
        <w:t> </w:t>
      </w:r>
      <w:r>
        <w:rPr/>
        <w:t>Marcos, durante el intervalo del 2017-2020. Durante el 2017 se tuvo una población estudiantil total de</w:t>
      </w:r>
      <w:r>
        <w:rPr>
          <w:spacing w:val="1"/>
        </w:rPr>
        <w:t> </w:t>
      </w:r>
      <w:r>
        <w:rPr/>
        <w:t>288,474. El 2018, mostró un pequeño incremento de al registrar 293,940 alumnos, lo cual representó un</w:t>
      </w:r>
      <w:r>
        <w:rPr>
          <w:spacing w:val="1"/>
        </w:rPr>
        <w:t> </w:t>
      </w:r>
      <w:r>
        <w:rPr/>
        <w:t>2% con respecto del año anterior. En el 2019, se redujo a 289,618. La tendencia continuó disminuyendo,</w:t>
      </w:r>
      <w:r>
        <w:rPr>
          <w:spacing w:val="1"/>
        </w:rPr>
        <w:t> </w:t>
      </w:r>
      <w:r>
        <w:rPr/>
        <w:t>presentando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2020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cifra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286,630,</w:t>
      </w:r>
      <w:r>
        <w:rPr>
          <w:spacing w:val="-6"/>
        </w:rPr>
        <w:t> </w:t>
      </w:r>
      <w:r>
        <w:rPr/>
        <w:t>registrándose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dato</w:t>
      </w:r>
      <w:r>
        <w:rPr>
          <w:spacing w:val="-4"/>
        </w:rPr>
        <w:t> </w:t>
      </w:r>
      <w:r>
        <w:rPr/>
        <w:t>más</w:t>
      </w:r>
      <w:r>
        <w:rPr>
          <w:spacing w:val="-6"/>
        </w:rPr>
        <w:t> </w:t>
      </w:r>
      <w:r>
        <w:rPr/>
        <w:t>bajo</w:t>
      </w:r>
      <w:r>
        <w:rPr>
          <w:spacing w:val="-4"/>
        </w:rPr>
        <w:t> </w:t>
      </w:r>
      <w:r>
        <w:rPr/>
        <w:t>durante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2021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294,184</w:t>
      </w:r>
      <w:r>
        <w:rPr>
          <w:spacing w:val="-47"/>
        </w:rPr>
        <w:t> </w:t>
      </w:r>
      <w:r>
        <w:rPr/>
        <w:t>durante</w:t>
      </w:r>
      <w:r>
        <w:rPr>
          <w:spacing w:val="-1"/>
        </w:rPr>
        <w:t> </w:t>
      </w:r>
      <w:r>
        <w:rPr/>
        <w:t>el período</w:t>
      </w:r>
      <w:r>
        <w:rPr>
          <w:spacing w:val="1"/>
        </w:rPr>
        <w:t> </w:t>
      </w:r>
      <w:r>
        <w:rPr/>
        <w:t>evaluado.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pict>
          <v:rect style="position:absolute;margin-left:563.880005pt;margin-top:19.760017pt;width:25.44pt;height:1.4399pt;mso-position-horizontal-relative:page;mso-position-vertical-relative:paragraph;z-index:-1538099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178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61888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7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5"/>
        <w:jc w:val="both"/>
      </w:pPr>
      <w:r>
        <w:rPr/>
        <w:t>Como se muestra, el nivel que presentó más crecimiento fue la Primaria representando el 60% de la</w:t>
      </w:r>
      <w:r>
        <w:rPr>
          <w:spacing w:val="1"/>
        </w:rPr>
        <w:t> </w:t>
      </w:r>
      <w:r>
        <w:rPr/>
        <w:t>población para este período, seguido del básico con el 17% y finalmente el nivel Preprimaria con un 14%.</w:t>
      </w:r>
      <w:r>
        <w:rPr>
          <w:spacing w:val="-47"/>
        </w:rPr>
        <w:t> </w:t>
      </w:r>
      <w:r>
        <w:rPr/>
        <w:t>La participación de alumnos en el Nivel Diversificado se mantuvo constante durante el período analizado</w:t>
      </w:r>
      <w:r>
        <w:rPr>
          <w:spacing w:val="1"/>
        </w:rPr>
        <w:t> </w:t>
      </w:r>
      <w:r>
        <w:rPr/>
        <w:t>reportando un</w:t>
      </w:r>
      <w:r>
        <w:rPr>
          <w:spacing w:val="-1"/>
        </w:rPr>
        <w:t> </w:t>
      </w:r>
      <w:r>
        <w:rPr/>
        <w:t>8%. Y</w:t>
      </w:r>
      <w:r>
        <w:rPr>
          <w:spacing w:val="-2"/>
        </w:rPr>
        <w:t> </w:t>
      </w:r>
      <w:r>
        <w:rPr/>
        <w:t>finalizando, con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Primaria para</w:t>
      </w:r>
      <w:r>
        <w:rPr>
          <w:spacing w:val="-2"/>
        </w:rPr>
        <w:t> </w:t>
      </w:r>
      <w:r>
        <w:rPr/>
        <w:t>Adultos.</w:t>
      </w:r>
    </w:p>
    <w:p>
      <w:pPr>
        <w:pStyle w:val="BodyText"/>
        <w:spacing w:before="9"/>
        <w:rPr>
          <w:sz w:val="19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222" w:id="377"/>
      <w:bookmarkEnd w:id="377"/>
      <w:r>
        <w:rPr>
          <w:b w:val="0"/>
        </w:rPr>
      </w:r>
      <w:bookmarkStart w:name="_bookmark222" w:id="378"/>
      <w:bookmarkEnd w:id="378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Cobertura:</w:t>
      </w:r>
      <w:r>
        <w:rPr>
          <w:spacing w:val="-4"/>
        </w:rPr>
        <w:t> </w:t>
      </w:r>
      <w:r>
        <w:rPr/>
        <w:t>Tasa</w:t>
      </w:r>
      <w:r>
        <w:rPr>
          <w:spacing w:val="-3"/>
        </w:rPr>
        <w:t> </w:t>
      </w:r>
      <w:r>
        <w:rPr/>
        <w:t>Neta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Cobertura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278" w:right="1066"/>
        <w:jc w:val="both"/>
      </w:pPr>
      <w:r>
        <w:rPr/>
        <w:t>La cobertura educativa medida a través del (TNE) para San Marcos durante el período del 2017 al 2020,</w:t>
      </w:r>
      <w:r>
        <w:rPr>
          <w:spacing w:val="1"/>
        </w:rPr>
        <w:t> </w:t>
      </w:r>
      <w:r>
        <w:rPr/>
        <w:t>evidencia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aumento</w:t>
      </w:r>
      <w:r>
        <w:rPr>
          <w:spacing w:val="-8"/>
        </w:rPr>
        <w:t> </w:t>
      </w:r>
      <w:r>
        <w:rPr/>
        <w:t>promedio</w:t>
      </w:r>
      <w:r>
        <w:rPr>
          <w:spacing w:val="-9"/>
        </w:rPr>
        <w:t> </w:t>
      </w:r>
      <w:r>
        <w:rPr/>
        <w:t>considerable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cobertura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nivel</w:t>
      </w:r>
      <w:r>
        <w:rPr>
          <w:spacing w:val="-9"/>
        </w:rPr>
        <w:t> </w:t>
      </w:r>
      <w:r>
        <w:rPr/>
        <w:t>primaria</w:t>
      </w:r>
      <w:r>
        <w:rPr>
          <w:spacing w:val="-11"/>
        </w:rPr>
        <w:t> </w:t>
      </w:r>
      <w:r>
        <w:rPr/>
        <w:t>(89.97%),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contraste</w:t>
      </w:r>
      <w:r>
        <w:rPr>
          <w:spacing w:val="-10"/>
        </w:rPr>
        <w:t> </w:t>
      </w:r>
      <w:r>
        <w:rPr/>
        <w:t>con</w:t>
      </w:r>
      <w:r>
        <w:rPr>
          <w:spacing w:val="-47"/>
        </w:rPr>
        <w:t> </w:t>
      </w:r>
      <w:r>
        <w:rPr/>
        <w:t>la</w:t>
      </w:r>
      <w:r>
        <w:rPr>
          <w:spacing w:val="1"/>
        </w:rPr>
        <w:t> </w:t>
      </w:r>
      <w:r>
        <w:rPr/>
        <w:t>TNE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77.5%.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sucede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departamentos,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reducidas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 participación de</w:t>
      </w:r>
      <w:r>
        <w:rPr>
          <w:spacing w:val="1"/>
        </w:rPr>
        <w:t> </w:t>
      </w:r>
      <w:r>
        <w:rPr/>
        <w:t>los</w:t>
      </w:r>
      <w:r>
        <w:rPr>
          <w:spacing w:val="-4"/>
        </w:rPr>
        <w:t> </w:t>
      </w:r>
      <w:r>
        <w:rPr/>
        <w:t>jóvenes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el ciclo</w:t>
      </w:r>
      <w:r>
        <w:rPr>
          <w:spacing w:val="-1"/>
        </w:rPr>
        <w:t> </w:t>
      </w:r>
      <w:r>
        <w:rPr/>
        <w:t>básico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diversificado.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ind w:left="278" w:right="1075"/>
        <w:jc w:val="both"/>
      </w:pPr>
      <w:r>
        <w:rPr/>
        <w:t>Tabla</w:t>
      </w:r>
      <w:r>
        <w:rPr>
          <w:spacing w:val="1"/>
        </w:rPr>
        <w:t> </w:t>
      </w:r>
      <w:r>
        <w:rPr/>
        <w:t>Nº.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Cobertura: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Bruta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Académico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47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de San</w:t>
      </w:r>
      <w:r>
        <w:rPr>
          <w:spacing w:val="-3"/>
        </w:rPr>
        <w:t> </w:t>
      </w:r>
      <w:r>
        <w:rPr/>
        <w:t>Marcos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8"/>
        </w:rPr>
      </w:pPr>
    </w:p>
    <w:p>
      <w:pPr>
        <w:spacing w:before="0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3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2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2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2"/>
          <w:sz w:val="14"/>
        </w:rPr>
        <w:t> </w:t>
      </w:r>
      <w:r>
        <w:rPr>
          <w:sz w:val="14"/>
        </w:rPr>
        <w:t>la</w:t>
      </w:r>
      <w:r>
        <w:rPr>
          <w:spacing w:val="-3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5"/>
          <w:sz w:val="14"/>
        </w:rPr>
        <w:t> </w:t>
      </w:r>
      <w:r>
        <w:rPr>
          <w:sz w:val="14"/>
        </w:rPr>
        <w:t>del</w:t>
      </w:r>
      <w:r>
        <w:rPr>
          <w:spacing w:val="-3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Educación</w:t>
      </w:r>
      <w:r>
        <w:rPr>
          <w:spacing w:val="-4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278" w:right="1076"/>
        <w:jc w:val="both"/>
      </w:pPr>
      <w:r>
        <w:rPr/>
        <w:t>La tabla anterior, engloba los principales indicadores de cobertura para San Marcos. Para Preprimaria,</w:t>
      </w:r>
      <w:r>
        <w:rPr>
          <w:spacing w:val="1"/>
        </w:rPr>
        <w:t> </w:t>
      </w:r>
      <w:r>
        <w:rPr/>
        <w:t>muestra un leve aumento en la cobertura durante el periodo 2017‐2020, con una TNE de (55.35%),</w:t>
      </w:r>
      <w:r>
        <w:rPr>
          <w:spacing w:val="1"/>
        </w:rPr>
        <w:t> </w:t>
      </w:r>
      <w:r>
        <w:rPr/>
        <w:t>(57.56%), (55.53%) y (53.81%) respectivamente durante los años indicados. Lo cual, significa que uno (1)</w:t>
      </w:r>
      <w:r>
        <w:rPr>
          <w:spacing w:val="1"/>
        </w:rPr>
        <w:t> </w:t>
      </w:r>
      <w:r>
        <w:rPr/>
        <w:t>de cada dos (2) niños asiste</w:t>
      </w:r>
      <w:r>
        <w:rPr>
          <w:spacing w:val="-2"/>
        </w:rPr>
        <w:t> </w:t>
      </w:r>
      <w:r>
        <w:rPr/>
        <w:t>a este nivel (TNE:</w:t>
      </w:r>
      <w:r>
        <w:rPr>
          <w:spacing w:val="-2"/>
        </w:rPr>
        <w:t> </w:t>
      </w:r>
      <w:r>
        <w:rPr/>
        <w:t>45.25%).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3"/>
        <w:jc w:val="both"/>
      </w:pPr>
      <w:r>
        <w:rPr/>
        <w:t>En primaria se</w:t>
      </w:r>
      <w:r>
        <w:rPr>
          <w:spacing w:val="1"/>
        </w:rPr>
        <w:t> </w:t>
      </w:r>
      <w:r>
        <w:rPr/>
        <w:t>registran mayores valores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van de</w:t>
      </w:r>
      <w:r>
        <w:rPr>
          <w:spacing w:val="1"/>
        </w:rPr>
        <w:t> </w:t>
      </w:r>
      <w:r>
        <w:rPr/>
        <w:t>(87.88%), (89.86%),</w:t>
      </w:r>
      <w:r>
        <w:rPr>
          <w:spacing w:val="1"/>
        </w:rPr>
        <w:t> </w:t>
      </w:r>
      <w:r>
        <w:rPr/>
        <w:t>(90.75%) y</w:t>
      </w:r>
      <w:r>
        <w:rPr>
          <w:spacing w:val="1"/>
        </w:rPr>
        <w:t> </w:t>
      </w:r>
      <w:r>
        <w:rPr/>
        <w:t>(91.29%), registrando el mayor dato durante el 2018. De acuerdo con dato promedio de la TNE de San</w:t>
      </w:r>
      <w:r>
        <w:rPr>
          <w:spacing w:val="1"/>
        </w:rPr>
        <w:t> </w:t>
      </w:r>
      <w:r>
        <w:rPr/>
        <w:t>Marcos</w:t>
      </w:r>
      <w:r>
        <w:rPr>
          <w:spacing w:val="1"/>
        </w:rPr>
        <w:t> </w:t>
      </w:r>
      <w:r>
        <w:rPr/>
        <w:t>(89,4%)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comparación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TNE</w:t>
      </w:r>
      <w:r>
        <w:rPr>
          <w:spacing w:val="1"/>
        </w:rPr>
        <w:t> </w:t>
      </w:r>
      <w:r>
        <w:rPr/>
        <w:t>Nacional,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departamento registró un valor por arriba con 16%. En otras palabras, nueve (9) de cada diez (10) asiste</w:t>
      </w:r>
      <w:r>
        <w:rPr>
          <w:spacing w:val="1"/>
        </w:rPr>
        <w:t> </w:t>
      </w:r>
      <w:r>
        <w:rPr>
          <w:spacing w:val="-1"/>
        </w:rPr>
        <w:t>al</w:t>
      </w:r>
      <w:r>
        <w:rPr>
          <w:spacing w:val="-10"/>
        </w:rPr>
        <w:t> </w:t>
      </w:r>
      <w:r>
        <w:rPr>
          <w:spacing w:val="-1"/>
        </w:rPr>
        <w:t>nivel</w:t>
      </w:r>
      <w:r>
        <w:rPr>
          <w:spacing w:val="-10"/>
        </w:rPr>
        <w:t> </w:t>
      </w:r>
      <w:r>
        <w:rPr>
          <w:spacing w:val="-1"/>
        </w:rPr>
        <w:t>primario.</w:t>
      </w:r>
      <w:r>
        <w:rPr>
          <w:spacing w:val="-12"/>
        </w:rPr>
        <w:t> </w:t>
      </w:r>
      <w:r>
        <w:rPr>
          <w:spacing w:val="-1"/>
        </w:rPr>
        <w:t>Lo</w:t>
      </w:r>
      <w:r>
        <w:rPr>
          <w:spacing w:val="-8"/>
        </w:rPr>
        <w:t> </w:t>
      </w:r>
      <w:r>
        <w:rPr/>
        <w:t>interesante</w:t>
      </w:r>
      <w:r>
        <w:rPr>
          <w:spacing w:val="-9"/>
        </w:rPr>
        <w:t> </w:t>
      </w:r>
      <w:r>
        <w:rPr/>
        <w:t>aquí</w:t>
      </w:r>
      <w:r>
        <w:rPr>
          <w:spacing w:val="-10"/>
        </w:rPr>
        <w:t> </w:t>
      </w:r>
      <w:r>
        <w:rPr/>
        <w:t>será</w:t>
      </w:r>
      <w:r>
        <w:rPr>
          <w:spacing w:val="-12"/>
        </w:rPr>
        <w:t> </w:t>
      </w:r>
      <w:r>
        <w:rPr/>
        <w:t>determinar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tasa</w:t>
      </w:r>
      <w:r>
        <w:rPr>
          <w:spacing w:val="-9"/>
        </w:rPr>
        <w:t> </w:t>
      </w:r>
      <w:r>
        <w:rPr/>
        <w:t>neta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nivel</w:t>
      </w:r>
      <w:r>
        <w:rPr>
          <w:spacing w:val="-12"/>
        </w:rPr>
        <w:t> </w:t>
      </w:r>
      <w:r>
        <w:rPr/>
        <w:t>municipal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identificar</w:t>
      </w:r>
      <w:r>
        <w:rPr>
          <w:spacing w:val="-10"/>
        </w:rPr>
        <w:t> </w:t>
      </w:r>
      <w:r>
        <w:rPr/>
        <w:t>brechas</w:t>
      </w:r>
      <w:r>
        <w:rPr>
          <w:spacing w:val="-47"/>
        </w:rPr>
        <w:t> </w:t>
      </w:r>
      <w:r>
        <w:rPr/>
        <w:t>o desigualdades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sistema.</w:t>
      </w:r>
    </w:p>
    <w:p>
      <w:pPr>
        <w:pStyle w:val="BodyText"/>
        <w:rPr>
          <w:sz w:val="20"/>
        </w:rPr>
      </w:pPr>
    </w:p>
    <w:p>
      <w:pPr>
        <w:pStyle w:val="BodyText"/>
        <w:ind w:left="278" w:right="1072"/>
        <w:jc w:val="both"/>
      </w:pPr>
      <w:r>
        <w:rPr/>
        <w:t>Los valores en el Ciclo básico reportan una tendencia a la baja, por debajo de la tasa promedio neta</w:t>
      </w:r>
      <w:r>
        <w:rPr>
          <w:spacing w:val="1"/>
        </w:rPr>
        <w:t> </w:t>
      </w:r>
      <w:r>
        <w:rPr/>
        <w:t>(TNE:34%).</w:t>
      </w:r>
      <w:r>
        <w:rPr>
          <w:spacing w:val="1"/>
        </w:rPr>
        <w:t> </w:t>
      </w:r>
      <w:r>
        <w:rPr/>
        <w:t>Para el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analizado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cantidades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(42.78%),</w:t>
      </w:r>
      <w:r>
        <w:rPr>
          <w:spacing w:val="1"/>
        </w:rPr>
        <w:t> </w:t>
      </w:r>
      <w:r>
        <w:rPr/>
        <w:t>(43.73%),</w:t>
      </w:r>
      <w:r>
        <w:rPr>
          <w:spacing w:val="1"/>
        </w:rPr>
        <w:t> </w:t>
      </w:r>
      <w:r>
        <w:rPr/>
        <w:t>(43.25%)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(43.23%).</w:t>
      </w:r>
      <w:r>
        <w:rPr>
          <w:spacing w:val="1"/>
        </w:rPr>
        <w:t> </w:t>
      </w:r>
      <w:r>
        <w:rPr/>
        <w:t>Mostrando, que está un 9% por debajo del TNE de referencia para este nivel. Lo que significa</w:t>
      </w:r>
      <w:r>
        <w:rPr>
          <w:spacing w:val="1"/>
        </w:rPr>
        <w:t> </w:t>
      </w:r>
      <w:r>
        <w:rPr/>
        <w:t>que una tercera parte</w:t>
      </w:r>
      <w:r>
        <w:rPr>
          <w:spacing w:val="1"/>
        </w:rPr>
        <w:t> </w:t>
      </w:r>
      <w:r>
        <w:rPr/>
        <w:t>asiste al ciclo</w:t>
      </w:r>
      <w:r>
        <w:rPr>
          <w:spacing w:val="1"/>
        </w:rPr>
        <w:t> </w:t>
      </w:r>
      <w:r>
        <w:rPr/>
        <w:t>básico</w:t>
      </w:r>
      <w:r>
        <w:rPr>
          <w:spacing w:val="-1"/>
        </w:rPr>
        <w:t> </w:t>
      </w:r>
      <w:r>
        <w:rPr/>
        <w:t>(TNE:</w:t>
      </w:r>
      <w:r>
        <w:rPr>
          <w:spacing w:val="-1"/>
        </w:rPr>
        <w:t> </w:t>
      </w:r>
      <w:r>
        <w:rPr/>
        <w:t>34%).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pict>
          <v:rect style="position:absolute;margin-left:563.880005pt;margin-top:18.773453pt;width:25.44pt;height:1.4399pt;mso-position-horizontal-relative:page;mso-position-vertical-relative:paragraph;z-index:-1537945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179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63424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7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2"/>
        <w:jc w:val="both"/>
      </w:pPr>
      <w:r>
        <w:rPr/>
        <w:t>De modo similar a los datos nacionales, el nivel más bajo de participación en el Sistema Nacional de</w:t>
      </w:r>
      <w:r>
        <w:rPr>
          <w:spacing w:val="1"/>
        </w:rPr>
        <w:t> </w:t>
      </w:r>
      <w:r>
        <w:rPr/>
        <w:t>Educación, lo representa el diversificado. Incluso en San Marcos solamente 2 de cada 10 adolescentes</w:t>
      </w:r>
      <w:r>
        <w:rPr>
          <w:spacing w:val="1"/>
        </w:rPr>
        <w:t> </w:t>
      </w:r>
      <w:r>
        <w:rPr/>
        <w:t>tiene acceso a educación en este nivel, hallándose por debajo de la TNE a nivel nacional cuya tasa de</w:t>
      </w:r>
      <w:r>
        <w:rPr>
          <w:spacing w:val="1"/>
        </w:rPr>
        <w:t> </w:t>
      </w:r>
      <w:r>
        <w:rPr/>
        <w:t>cobertura en educación media es del 24.57%, mientras que la tasa promedio del departamento se sitúa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20.70%.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0"/>
        <w:jc w:val="both"/>
      </w:pPr>
      <w:r>
        <w:rPr/>
        <w:t>A 2018, según estadísticas del INE las razones de deserción más reportadas fueron por:1. Falta de dinero</w:t>
      </w:r>
      <w:r>
        <w:rPr>
          <w:spacing w:val="1"/>
        </w:rPr>
        <w:t> </w:t>
      </w:r>
      <w:r>
        <w:rPr/>
        <w:t>(29%). 2. No le interesa (15%) y 3. Porque tiene que trabajar (10%). Mientras que, dentro de los motivos</w:t>
      </w:r>
      <w:r>
        <w:rPr>
          <w:spacing w:val="1"/>
        </w:rPr>
        <w:t> </w:t>
      </w:r>
      <w:r>
        <w:rPr/>
        <w:t>de deserción identificados en el 2020, están los siguientes: 1. No le interesa. 2. Retiro por Traslado y 3.</w:t>
      </w:r>
      <w:r>
        <w:rPr>
          <w:spacing w:val="1"/>
        </w:rPr>
        <w:t> </w:t>
      </w:r>
      <w:r>
        <w:rPr/>
        <w:t>Migración</w:t>
      </w:r>
      <w:r>
        <w:rPr>
          <w:spacing w:val="-3"/>
        </w:rPr>
        <w:t> </w:t>
      </w:r>
      <w:r>
        <w:rPr/>
        <w:t>Temporal.</w:t>
      </w:r>
    </w:p>
    <w:p>
      <w:pPr>
        <w:pStyle w:val="BodyText"/>
        <w:spacing w:before="10"/>
        <w:rPr>
          <w:sz w:val="19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223" w:id="379"/>
      <w:bookmarkEnd w:id="379"/>
      <w:r>
        <w:rPr>
          <w:b w:val="0"/>
        </w:rPr>
      </w:r>
      <w:bookmarkStart w:name="_bookmark223" w:id="380"/>
      <w:bookmarkEnd w:id="380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Cobertura:</w:t>
      </w:r>
      <w:r>
        <w:rPr>
          <w:spacing w:val="-3"/>
        </w:rPr>
        <w:t> </w:t>
      </w:r>
      <w:r>
        <w:rPr/>
        <w:t>Tasa</w:t>
      </w:r>
      <w:r>
        <w:rPr>
          <w:spacing w:val="-3"/>
        </w:rPr>
        <w:t> </w:t>
      </w:r>
      <w:r>
        <w:rPr/>
        <w:t>Bruta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Déficit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departamento,</w:t>
      </w:r>
      <w:r>
        <w:rPr>
          <w:spacing w:val="-1"/>
        </w:rPr>
        <w:t> </w:t>
      </w:r>
      <w:r>
        <w:rPr/>
        <w:t>sexo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etnia.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8"/>
        <w:jc w:val="both"/>
      </w:pPr>
      <w:r>
        <w:rPr/>
        <w:t>Gráfico Nº. Total de población estudiantil por niveles educativos, etnia y sexo para el Departamento de</w:t>
      </w:r>
      <w:r>
        <w:rPr>
          <w:spacing w:val="1"/>
        </w:rPr>
        <w:t> </w:t>
      </w:r>
      <w:r>
        <w:rPr/>
        <w:t>San</w:t>
      </w:r>
      <w:r>
        <w:rPr>
          <w:spacing w:val="-2"/>
        </w:rPr>
        <w:t> </w:t>
      </w:r>
      <w:r>
        <w:rPr/>
        <w:t>Marcos (2017-2021)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78" w:right="1075"/>
        <w:jc w:val="both"/>
      </w:pPr>
      <w:r>
        <w:rPr/>
        <w:t>Este gráfico muestra el total de la población estudiantil por niveles educativos, etnia y sexo durante el</w:t>
      </w:r>
      <w:r>
        <w:rPr>
          <w:spacing w:val="1"/>
        </w:rPr>
        <w:t> </w:t>
      </w:r>
      <w:r>
        <w:rPr/>
        <w:t>período 2017-2021, para el Departamento de San Marcos. Según DIPLAN, (2021), de las cifras anteriores,</w:t>
      </w:r>
      <w:r>
        <w:rPr>
          <w:spacing w:val="-47"/>
        </w:rPr>
        <w:t> </w:t>
      </w:r>
      <w:r>
        <w:rPr/>
        <w:t>la proporción de atención a la población estudiantil fue como sigue: Ladinos: 40% de hombres y 38% de</w:t>
      </w:r>
      <w:r>
        <w:rPr>
          <w:spacing w:val="1"/>
        </w:rPr>
        <w:t> </w:t>
      </w:r>
      <w:r>
        <w:rPr/>
        <w:t>mujeres.</w:t>
      </w:r>
      <w:r>
        <w:rPr>
          <w:spacing w:val="-1"/>
        </w:rPr>
        <w:t> </w:t>
      </w:r>
      <w:r>
        <w:rPr/>
        <w:t>Mayas: 11%</w:t>
      </w:r>
      <w:r>
        <w:rPr>
          <w:spacing w:val="-2"/>
        </w:rPr>
        <w:t> </w:t>
      </w:r>
      <w:r>
        <w:rPr/>
        <w:t>de hombres</w:t>
      </w:r>
      <w:r>
        <w:rPr>
          <w:spacing w:val="-1"/>
        </w:rPr>
        <w:t> </w:t>
      </w:r>
      <w:r>
        <w:rPr/>
        <w:t>y 11%</w:t>
      </w:r>
      <w:r>
        <w:rPr>
          <w:spacing w:val="-2"/>
        </w:rPr>
        <w:t> </w:t>
      </w:r>
      <w:r>
        <w:rPr/>
        <w:t>mujeres.</w:t>
      </w:r>
    </w:p>
    <w:p>
      <w:pPr>
        <w:pStyle w:val="BodyText"/>
        <w:spacing w:before="1"/>
      </w:pPr>
    </w:p>
    <w:p>
      <w:pPr>
        <w:pStyle w:val="BodyText"/>
        <w:ind w:left="278" w:right="1069"/>
        <w:jc w:val="both"/>
      </w:pPr>
      <w:r>
        <w:rPr>
          <w:spacing w:val="-1"/>
        </w:rPr>
        <w:t>Al</w:t>
      </w:r>
      <w:r>
        <w:rPr>
          <w:spacing w:val="-10"/>
        </w:rPr>
        <w:t> </w:t>
      </w:r>
      <w:r>
        <w:rPr>
          <w:spacing w:val="-1"/>
        </w:rPr>
        <w:t>comparar</w:t>
      </w:r>
      <w:r>
        <w:rPr>
          <w:spacing w:val="-13"/>
        </w:rPr>
        <w:t> </w:t>
      </w:r>
      <w:r>
        <w:rPr>
          <w:spacing w:val="-1"/>
        </w:rPr>
        <w:t>estos</w:t>
      </w:r>
      <w:r>
        <w:rPr>
          <w:spacing w:val="-9"/>
        </w:rPr>
        <w:t> </w:t>
      </w:r>
      <w:r>
        <w:rPr>
          <w:spacing w:val="-1"/>
        </w:rPr>
        <w:t>resultados</w:t>
      </w:r>
      <w:r>
        <w:rPr>
          <w:spacing w:val="-11"/>
        </w:rPr>
        <w:t> </w:t>
      </w:r>
      <w:r>
        <w:rPr/>
        <w:t>con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información</w:t>
      </w:r>
      <w:r>
        <w:rPr>
          <w:spacing w:val="-10"/>
        </w:rPr>
        <w:t> </w:t>
      </w:r>
      <w:r>
        <w:rPr/>
        <w:t>del</w:t>
      </w:r>
      <w:r>
        <w:rPr>
          <w:spacing w:val="-8"/>
        </w:rPr>
        <w:t> </w:t>
      </w:r>
      <w:r>
        <w:rPr/>
        <w:t>INE,</w:t>
      </w:r>
      <w:r>
        <w:rPr>
          <w:spacing w:val="-9"/>
        </w:rPr>
        <w:t> </w:t>
      </w:r>
      <w:r>
        <w:rPr/>
        <w:t>(2018),</w:t>
      </w:r>
      <w:r>
        <w:rPr>
          <w:spacing w:val="-12"/>
        </w:rPr>
        <w:t> </w:t>
      </w:r>
      <w:r>
        <w:rPr/>
        <w:t>es</w:t>
      </w:r>
      <w:r>
        <w:rPr>
          <w:spacing w:val="-11"/>
        </w:rPr>
        <w:t> </w:t>
      </w:r>
      <w:r>
        <w:rPr/>
        <w:t>posible</w:t>
      </w:r>
      <w:r>
        <w:rPr>
          <w:spacing w:val="-11"/>
        </w:rPr>
        <w:t> </w:t>
      </w:r>
      <w:r>
        <w:rPr/>
        <w:t>evidenciar</w:t>
      </w:r>
      <w:r>
        <w:rPr>
          <w:spacing w:val="-7"/>
        </w:rPr>
        <w:t> </w:t>
      </w:r>
      <w:r>
        <w:rPr/>
        <w:t>que,</w:t>
      </w:r>
      <w:r>
        <w:rPr>
          <w:spacing w:val="-11"/>
        </w:rPr>
        <w:t> </w:t>
      </w:r>
      <w:r>
        <w:rPr/>
        <w:t>si</w:t>
      </w:r>
      <w:r>
        <w:rPr>
          <w:spacing w:val="-11"/>
        </w:rPr>
        <w:t> </w:t>
      </w:r>
      <w:r>
        <w:rPr/>
        <w:t>bien</w:t>
      </w:r>
      <w:r>
        <w:rPr>
          <w:spacing w:val="-12"/>
        </w:rPr>
        <w:t> </w:t>
      </w:r>
      <w:r>
        <w:rPr/>
        <w:t>es</w:t>
      </w:r>
      <w:r>
        <w:rPr>
          <w:spacing w:val="-11"/>
        </w:rPr>
        <w:t> </w:t>
      </w:r>
      <w:r>
        <w:rPr/>
        <w:t>cierto,</w:t>
      </w:r>
      <w:r>
        <w:rPr>
          <w:spacing w:val="-47"/>
        </w:rPr>
        <w:t> </w:t>
      </w:r>
      <w:r>
        <w:rPr/>
        <w:t>si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etnias</w:t>
      </w:r>
      <w:r>
        <w:rPr>
          <w:spacing w:val="1"/>
        </w:rPr>
        <w:t> </w:t>
      </w:r>
      <w:r>
        <w:rPr/>
        <w:t>mayoritarias</w:t>
      </w:r>
      <w:r>
        <w:rPr>
          <w:spacing w:val="1"/>
        </w:rPr>
        <w:t> </w:t>
      </w:r>
      <w:r>
        <w:rPr/>
        <w:t>(31%</w:t>
      </w:r>
      <w:r>
        <w:rPr>
          <w:spacing w:val="1"/>
        </w:rPr>
        <w:t> </w:t>
      </w:r>
      <w:r>
        <w:rPr/>
        <w:t>Maya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69%</w:t>
      </w:r>
      <w:r>
        <w:rPr>
          <w:spacing w:val="1"/>
        </w:rPr>
        <w:t> </w:t>
      </w:r>
      <w:r>
        <w:rPr/>
        <w:t>Ladina),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representación.</w:t>
      </w:r>
      <w:r>
        <w:rPr>
          <w:spacing w:val="1"/>
        </w:rPr>
        <w:t> </w:t>
      </w:r>
      <w:r>
        <w:rPr>
          <w:spacing w:val="-1"/>
        </w:rPr>
        <w:t>Considerando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75%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la</w:t>
      </w:r>
      <w:r>
        <w:rPr>
          <w:spacing w:val="-9"/>
        </w:rPr>
        <w:t> </w:t>
      </w:r>
      <w:r>
        <w:rPr>
          <w:spacing w:val="-1"/>
        </w:rPr>
        <w:t>población</w:t>
      </w:r>
      <w:r>
        <w:rPr>
          <w:spacing w:val="-10"/>
        </w:rPr>
        <w:t> </w:t>
      </w:r>
      <w:r>
        <w:rPr/>
        <w:t>del</w:t>
      </w:r>
      <w:r>
        <w:rPr>
          <w:spacing w:val="-12"/>
        </w:rPr>
        <w:t> </w:t>
      </w:r>
      <w:r>
        <w:rPr/>
        <w:t>departamento</w:t>
      </w:r>
      <w:r>
        <w:rPr>
          <w:spacing w:val="-7"/>
        </w:rPr>
        <w:t> </w:t>
      </w:r>
      <w:r>
        <w:rPr/>
        <w:t>se</w:t>
      </w:r>
      <w:r>
        <w:rPr>
          <w:spacing w:val="-9"/>
        </w:rPr>
        <w:t> </w:t>
      </w:r>
      <w:r>
        <w:rPr/>
        <w:t>ubica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9"/>
        </w:rPr>
        <w:t> </w:t>
      </w:r>
      <w:r>
        <w:rPr/>
        <w:t>área</w:t>
      </w:r>
      <w:r>
        <w:rPr>
          <w:spacing w:val="-9"/>
        </w:rPr>
        <w:t> </w:t>
      </w:r>
      <w:r>
        <w:rPr/>
        <w:t>rural,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alcance</w:t>
      </w:r>
      <w:r>
        <w:rPr>
          <w:spacing w:val="-9"/>
        </w:rPr>
        <w:t> </w:t>
      </w:r>
      <w:r>
        <w:rPr/>
        <w:t>del</w:t>
      </w:r>
      <w:r>
        <w:rPr>
          <w:spacing w:val="-8"/>
        </w:rPr>
        <w:t> </w:t>
      </w:r>
      <w:r>
        <w:rPr/>
        <w:t>sistema</w:t>
      </w:r>
      <w:r>
        <w:rPr>
          <w:spacing w:val="-48"/>
        </w:rPr>
        <w:t> </w:t>
      </w:r>
      <w:r>
        <w:rPr/>
        <w:t>es</w:t>
      </w:r>
      <w:r>
        <w:rPr>
          <w:spacing w:val="-2"/>
        </w:rPr>
        <w:t> </w:t>
      </w:r>
      <w:r>
        <w:rPr/>
        <w:t>mínimo</w:t>
      </w:r>
      <w:r>
        <w:rPr>
          <w:spacing w:val="1"/>
        </w:rPr>
        <w:t> </w:t>
      </w:r>
      <w:r>
        <w:rPr/>
        <w:t>por lo</w:t>
      </w:r>
      <w:r>
        <w:rPr>
          <w:spacing w:val="-2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hay equidad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el acceso</w:t>
      </w:r>
      <w:r>
        <w:rPr>
          <w:spacing w:val="1"/>
        </w:rPr>
        <w:t> </w:t>
      </w:r>
      <w:r>
        <w:rPr/>
        <w:t>a la</w:t>
      </w:r>
      <w:r>
        <w:rPr>
          <w:spacing w:val="-5"/>
        </w:rPr>
        <w:t> </w:t>
      </w:r>
      <w:r>
        <w:rPr/>
        <w:t>educación.</w:t>
      </w:r>
    </w:p>
    <w:p>
      <w:pPr>
        <w:pStyle w:val="BodyText"/>
        <w:spacing w:before="12"/>
        <w:rPr>
          <w:sz w:val="21"/>
        </w:rPr>
      </w:pPr>
    </w:p>
    <w:p>
      <w:pPr>
        <w:pStyle w:val="BodyText"/>
        <w:ind w:left="278" w:right="1072"/>
        <w:jc w:val="both"/>
      </w:pPr>
      <w:r>
        <w:rPr/>
        <w:t>Por otra parte, respecto del sexo se sigue presentando una brecha de género, en dónde la participación</w:t>
      </w:r>
      <w:r>
        <w:rPr>
          <w:spacing w:val="1"/>
        </w:rPr>
        <w:t> </w:t>
      </w:r>
      <w:r>
        <w:rPr/>
        <w:t>del</w:t>
      </w:r>
      <w:r>
        <w:rPr>
          <w:spacing w:val="-5"/>
        </w:rPr>
        <w:t> </w:t>
      </w:r>
      <w:r>
        <w:rPr/>
        <w:t>hombre</w:t>
      </w:r>
      <w:r>
        <w:rPr>
          <w:spacing w:val="-10"/>
        </w:rPr>
        <w:t> </w:t>
      </w:r>
      <w:r>
        <w:rPr/>
        <w:t>Maya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Ladino,</w:t>
      </w:r>
      <w:r>
        <w:rPr>
          <w:spacing w:val="-7"/>
        </w:rPr>
        <w:t> </w:t>
      </w:r>
      <w:r>
        <w:rPr/>
        <w:t>es</w:t>
      </w:r>
      <w:r>
        <w:rPr>
          <w:spacing w:val="-7"/>
        </w:rPr>
        <w:t> </w:t>
      </w:r>
      <w:r>
        <w:rPr/>
        <w:t>mayor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mujer</w:t>
      </w:r>
      <w:r>
        <w:rPr>
          <w:spacing w:val="-8"/>
        </w:rPr>
        <w:t> </w:t>
      </w:r>
      <w:r>
        <w:rPr/>
        <w:t>-para</w:t>
      </w:r>
      <w:r>
        <w:rPr>
          <w:spacing w:val="-9"/>
        </w:rPr>
        <w:t> </w:t>
      </w:r>
      <w:r>
        <w:rPr/>
        <w:t>ambas</w:t>
      </w:r>
      <w:r>
        <w:rPr>
          <w:spacing w:val="-9"/>
        </w:rPr>
        <w:t> </w:t>
      </w:r>
      <w:r>
        <w:rPr/>
        <w:t>etnias-;</w:t>
      </w:r>
      <w:r>
        <w:rPr>
          <w:spacing w:val="-7"/>
        </w:rPr>
        <w:t> </w:t>
      </w:r>
      <w:r>
        <w:rPr/>
        <w:t>sobre</w:t>
      </w:r>
      <w:r>
        <w:rPr>
          <w:spacing w:val="-10"/>
        </w:rPr>
        <w:t> </w:t>
      </w:r>
      <w:r>
        <w:rPr/>
        <w:t>todo</w:t>
      </w:r>
      <w:r>
        <w:rPr>
          <w:spacing w:val="-7"/>
        </w:rPr>
        <w:t> </w:t>
      </w:r>
      <w:r>
        <w:rPr/>
        <w:t>considerando</w:t>
      </w:r>
      <w:r>
        <w:rPr>
          <w:spacing w:val="-4"/>
        </w:rPr>
        <w:t> </w:t>
      </w:r>
      <w:r>
        <w:rPr/>
        <w:t>que</w:t>
      </w:r>
      <w:r>
        <w:rPr>
          <w:spacing w:val="-47"/>
        </w:rPr>
        <w:t> </w:t>
      </w:r>
      <w:r>
        <w:rPr/>
        <w:t>en</w:t>
      </w:r>
      <w:r>
        <w:rPr>
          <w:spacing w:val="-3"/>
        </w:rPr>
        <w:t> </w:t>
      </w:r>
      <w:r>
        <w:rPr/>
        <w:t>este</w:t>
      </w:r>
      <w:r>
        <w:rPr>
          <w:spacing w:val="-3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51%</w:t>
      </w:r>
      <w:r>
        <w:rPr>
          <w:spacing w:val="-2"/>
        </w:rPr>
        <w:t> </w:t>
      </w:r>
      <w:r>
        <w:rPr/>
        <w:t>es</w:t>
      </w:r>
      <w:r>
        <w:rPr>
          <w:spacing w:val="-5"/>
        </w:rPr>
        <w:t> </w:t>
      </w:r>
      <w:r>
        <w:rPr/>
        <w:t>mujer</w:t>
      </w:r>
      <w:r>
        <w:rPr>
          <w:spacing w:val="-6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49%</w:t>
      </w:r>
      <w:r>
        <w:rPr>
          <w:spacing w:val="-3"/>
        </w:rPr>
        <w:t> </w:t>
      </w:r>
      <w:r>
        <w:rPr/>
        <w:t>es</w:t>
      </w:r>
      <w:r>
        <w:rPr>
          <w:spacing w:val="-2"/>
        </w:rPr>
        <w:t> </w:t>
      </w:r>
      <w:r>
        <w:rPr/>
        <w:t>hombre.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posibilidad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tener</w:t>
      </w:r>
      <w:r>
        <w:rPr>
          <w:spacing w:val="-3"/>
        </w:rPr>
        <w:t> </w:t>
      </w:r>
      <w:r>
        <w:rPr/>
        <w:t>acceso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en</w:t>
      </w:r>
      <w:r>
        <w:rPr>
          <w:spacing w:val="-47"/>
        </w:rPr>
        <w:t> </w:t>
      </w:r>
      <w:r>
        <w:rPr/>
        <w:t>el</w:t>
      </w:r>
      <w:r>
        <w:rPr>
          <w:spacing w:val="-1"/>
        </w:rPr>
        <w:t> </w:t>
      </w:r>
      <w:r>
        <w:rPr/>
        <w:t>sistema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reduce</w:t>
      </w:r>
      <w:r>
        <w:rPr>
          <w:spacing w:val="-2"/>
        </w:rPr>
        <w:t> </w:t>
      </w:r>
      <w:r>
        <w:rPr/>
        <w:t>si se</w:t>
      </w:r>
      <w:r>
        <w:rPr>
          <w:spacing w:val="-3"/>
        </w:rPr>
        <w:t> </w:t>
      </w:r>
      <w:r>
        <w:rPr/>
        <w:t>es</w:t>
      </w:r>
      <w:r>
        <w:rPr>
          <w:spacing w:val="2"/>
        </w:rPr>
        <w:t> </w:t>
      </w:r>
      <w:r>
        <w:rPr/>
        <w:t>mujer, y</w:t>
      </w:r>
      <w:r>
        <w:rPr>
          <w:spacing w:val="-2"/>
        </w:rPr>
        <w:t> </w:t>
      </w:r>
      <w:r>
        <w:rPr/>
        <w:t>además se pertenece</w:t>
      </w:r>
      <w:r>
        <w:rPr>
          <w:spacing w:val="1"/>
        </w:rPr>
        <w:t> </w:t>
      </w:r>
      <w:r>
        <w:rPr/>
        <w:t>a la etnia</w:t>
      </w:r>
      <w:r>
        <w:rPr>
          <w:spacing w:val="-3"/>
        </w:rPr>
        <w:t> </w:t>
      </w:r>
      <w:r>
        <w:rPr/>
        <w:t>Maya.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  <w:r>
        <w:rPr/>
        <w:pict>
          <v:rect style="position:absolute;margin-left:563.880005pt;margin-top:14.100992pt;width:25.44pt;height:1.4399pt;mso-position-horizontal-relative:page;mso-position-vertical-relative:paragraph;z-index:-1537792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180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64960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7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1"/>
          <w:numId w:val="36"/>
        </w:numPr>
        <w:tabs>
          <w:tab w:pos="855" w:val="left" w:leader="none"/>
        </w:tabs>
        <w:spacing w:line="240" w:lineRule="auto" w:before="52" w:after="0"/>
        <w:ind w:left="854" w:right="0" w:hanging="577"/>
        <w:jc w:val="left"/>
      </w:pPr>
      <w:bookmarkStart w:name="_bookmark224" w:id="381"/>
      <w:bookmarkEnd w:id="381"/>
      <w:r>
        <w:rPr>
          <w:b w:val="0"/>
        </w:rPr>
      </w:r>
      <w:bookmarkStart w:name="_bookmark224" w:id="382"/>
      <w:bookmarkEnd w:id="382"/>
      <w:r>
        <w:rPr>
          <w:color w:val="1F4E79"/>
        </w:rPr>
        <w:t>S</w:t>
      </w:r>
      <w:r>
        <w:rPr>
          <w:color w:val="1F4E79"/>
        </w:rPr>
        <w:t>anta</w:t>
      </w:r>
      <w:r>
        <w:rPr>
          <w:color w:val="1F4E79"/>
          <w:spacing w:val="-3"/>
        </w:rPr>
        <w:t> </w:t>
      </w:r>
      <w:r>
        <w:rPr>
          <w:color w:val="1F4E79"/>
        </w:rPr>
        <w:t>Rosa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2"/>
          <w:numId w:val="36"/>
        </w:numPr>
        <w:tabs>
          <w:tab w:pos="999" w:val="left" w:leader="none"/>
        </w:tabs>
        <w:spacing w:line="240" w:lineRule="auto" w:before="187" w:after="0"/>
        <w:ind w:left="998" w:right="0" w:hanging="721"/>
        <w:jc w:val="left"/>
        <w:rPr>
          <w:b/>
          <w:sz w:val="24"/>
        </w:rPr>
      </w:pPr>
      <w:bookmarkStart w:name="_bookmark225" w:id="383"/>
      <w:bookmarkEnd w:id="383"/>
      <w:r>
        <w:rPr/>
      </w:r>
      <w:bookmarkStart w:name="_bookmark225" w:id="384"/>
      <w:bookmarkEnd w:id="384"/>
      <w:r>
        <w:rPr>
          <w:b/>
          <w:sz w:val="24"/>
        </w:rPr>
        <w:t>Inf</w:t>
      </w:r>
      <w:r>
        <w:rPr>
          <w:b/>
          <w:sz w:val="24"/>
        </w:rPr>
        <w:t>ormación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General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69"/>
        <w:jc w:val="both"/>
      </w:pPr>
      <w:r>
        <w:rPr/>
        <w:t>De</w:t>
      </w:r>
      <w:r>
        <w:rPr>
          <w:spacing w:val="-11"/>
        </w:rPr>
        <w:t> </w:t>
      </w:r>
      <w:r>
        <w:rPr/>
        <w:t>acuerdo</w:t>
      </w:r>
      <w:r>
        <w:rPr>
          <w:spacing w:val="-7"/>
        </w:rPr>
        <w:t> </w:t>
      </w:r>
      <w:r>
        <w:rPr/>
        <w:t>con</w:t>
      </w:r>
      <w:r>
        <w:rPr>
          <w:spacing w:val="-11"/>
        </w:rPr>
        <w:t> </w:t>
      </w:r>
      <w:r>
        <w:rPr/>
        <w:t>el</w:t>
      </w:r>
      <w:r>
        <w:rPr>
          <w:spacing w:val="-8"/>
        </w:rPr>
        <w:t> </w:t>
      </w:r>
      <w:r>
        <w:rPr/>
        <w:t>INE,</w:t>
      </w:r>
      <w:r>
        <w:rPr>
          <w:spacing w:val="-10"/>
        </w:rPr>
        <w:t> </w:t>
      </w:r>
      <w:r>
        <w:rPr/>
        <w:t>2018,</w:t>
      </w:r>
      <w:r>
        <w:rPr>
          <w:spacing w:val="-9"/>
        </w:rPr>
        <w:t> </w:t>
      </w:r>
      <w:r>
        <w:rPr/>
        <w:t>Santa</w:t>
      </w:r>
      <w:r>
        <w:rPr>
          <w:spacing w:val="-10"/>
        </w:rPr>
        <w:t> </w:t>
      </w:r>
      <w:r>
        <w:rPr/>
        <w:t>Rosa</w:t>
      </w:r>
      <w:r>
        <w:rPr>
          <w:spacing w:val="-10"/>
        </w:rPr>
        <w:t> </w:t>
      </w:r>
      <w:r>
        <w:rPr/>
        <w:t>posee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total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396,607</w:t>
      </w:r>
      <w:r>
        <w:rPr>
          <w:spacing w:val="-7"/>
        </w:rPr>
        <w:t> </w:t>
      </w:r>
      <w:r>
        <w:rPr/>
        <w:t>habitantes,</w:t>
      </w:r>
      <w:r>
        <w:rPr>
          <w:spacing w:val="-10"/>
        </w:rPr>
        <w:t> </w:t>
      </w:r>
      <w:r>
        <w:rPr/>
        <w:t>con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proporción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51%</w:t>
      </w:r>
      <w:r>
        <w:rPr>
          <w:spacing w:val="-47"/>
        </w:rPr>
        <w:t> </w:t>
      </w:r>
      <w:r>
        <w:rPr/>
        <w:t>de</w:t>
      </w:r>
      <w:r>
        <w:rPr>
          <w:spacing w:val="-5"/>
        </w:rPr>
        <w:t> </w:t>
      </w:r>
      <w:r>
        <w:rPr/>
        <w:t>mujeres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49%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hombres.</w:t>
      </w:r>
      <w:r>
        <w:rPr>
          <w:spacing w:val="-6"/>
        </w:rPr>
        <w:t> </w:t>
      </w:r>
      <w:r>
        <w:rPr/>
        <w:t>Cabe</w:t>
      </w:r>
      <w:r>
        <w:rPr>
          <w:spacing w:val="-4"/>
        </w:rPr>
        <w:t> </w:t>
      </w:r>
      <w:r>
        <w:rPr/>
        <w:t>destacar</w:t>
      </w:r>
      <w:r>
        <w:rPr>
          <w:spacing w:val="-8"/>
        </w:rPr>
        <w:t> </w:t>
      </w:r>
      <w:r>
        <w:rPr/>
        <w:t>que</w:t>
      </w:r>
      <w:r>
        <w:rPr>
          <w:spacing w:val="-5"/>
        </w:rPr>
        <w:t> </w:t>
      </w:r>
      <w:r>
        <w:rPr/>
        <w:t>el</w:t>
      </w:r>
      <w:r>
        <w:rPr>
          <w:spacing w:val="-8"/>
        </w:rPr>
        <w:t> </w:t>
      </w:r>
      <w:r>
        <w:rPr/>
        <w:t>43%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población</w:t>
      </w:r>
      <w:r>
        <w:rPr>
          <w:spacing w:val="-5"/>
        </w:rPr>
        <w:t> </w:t>
      </w:r>
      <w:r>
        <w:rPr/>
        <w:t>son</w:t>
      </w:r>
      <w:r>
        <w:rPr>
          <w:spacing w:val="-6"/>
        </w:rPr>
        <w:t> </w:t>
      </w:r>
      <w:r>
        <w:rPr/>
        <w:t>niños</w:t>
      </w:r>
      <w:r>
        <w:rPr>
          <w:spacing w:val="-8"/>
        </w:rPr>
        <w:t> </w:t>
      </w:r>
      <w:r>
        <w:rPr/>
        <w:t>o</w:t>
      </w:r>
      <w:r>
        <w:rPr>
          <w:spacing w:val="-3"/>
        </w:rPr>
        <w:t> </w:t>
      </w:r>
      <w:r>
        <w:rPr/>
        <w:t>adolescentes,</w:t>
      </w:r>
      <w:r>
        <w:rPr>
          <w:spacing w:val="-8"/>
        </w:rPr>
        <w:t> </w:t>
      </w:r>
      <w:r>
        <w:rPr/>
        <w:t>ya</w:t>
      </w:r>
      <w:r>
        <w:rPr>
          <w:spacing w:val="-6"/>
        </w:rPr>
        <w:t> </w:t>
      </w:r>
      <w:r>
        <w:rPr/>
        <w:t>que</w:t>
      </w:r>
      <w:r>
        <w:rPr>
          <w:spacing w:val="-47"/>
        </w:rPr>
        <w:t> </w:t>
      </w:r>
      <w:r>
        <w:rPr/>
        <w:t>se encuentran</w:t>
      </w:r>
      <w:r>
        <w:rPr>
          <w:spacing w:val="-3"/>
        </w:rPr>
        <w:t> </w:t>
      </w:r>
      <w:r>
        <w:rPr/>
        <w:t>entre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rango de</w:t>
      </w:r>
      <w:r>
        <w:rPr>
          <w:spacing w:val="-3"/>
        </w:rPr>
        <w:t> </w:t>
      </w:r>
      <w:r>
        <w:rPr/>
        <w:t>0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19</w:t>
      </w:r>
      <w:r>
        <w:rPr>
          <w:spacing w:val="-2"/>
        </w:rPr>
        <w:t> </w:t>
      </w:r>
      <w:r>
        <w:rPr/>
        <w:t>años.</w:t>
      </w:r>
      <w:r>
        <w:rPr>
          <w:spacing w:val="47"/>
        </w:rPr>
        <w:t> </w:t>
      </w:r>
      <w:r>
        <w:rPr/>
        <w:t>De</w:t>
      </w:r>
      <w:r>
        <w:rPr>
          <w:spacing w:val="-2"/>
        </w:rPr>
        <w:t> </w:t>
      </w:r>
      <w:r>
        <w:rPr/>
        <w:t>este</w:t>
      </w:r>
      <w:r>
        <w:rPr>
          <w:spacing w:val="-4"/>
        </w:rPr>
        <w:t> </w:t>
      </w:r>
      <w:r>
        <w:rPr/>
        <w:t>total,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44%</w:t>
      </w:r>
      <w:r>
        <w:rPr>
          <w:spacing w:val="-3"/>
        </w:rPr>
        <w:t> </w:t>
      </w:r>
      <w:r>
        <w:rPr/>
        <w:t>reside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área urbana,</w:t>
      </w:r>
      <w:r>
        <w:rPr>
          <w:spacing w:val="-2"/>
        </w:rPr>
        <w:t> </w:t>
      </w:r>
      <w:r>
        <w:rPr/>
        <w:t>mientras que</w:t>
      </w:r>
      <w:r>
        <w:rPr>
          <w:spacing w:val="-48"/>
        </w:rPr>
        <w:t> </w:t>
      </w:r>
      <w:r>
        <w:rPr/>
        <w:t>el restante 56% es del área rural. De ellos, el 85% se reconoce mayoritariamente como etnia Ladina, 14%</w:t>
      </w:r>
      <w:r>
        <w:rPr>
          <w:spacing w:val="1"/>
        </w:rPr>
        <w:t> </w:t>
      </w:r>
      <w:r>
        <w:rPr/>
        <w:t>Xinca y 5% de etnia Maya. Por otro lado, la comunidad maya lingüística dominante es el K’iché’ (42%),</w:t>
      </w:r>
      <w:r>
        <w:rPr>
          <w:spacing w:val="1"/>
        </w:rPr>
        <w:t> </w:t>
      </w:r>
      <w:r>
        <w:rPr/>
        <w:t>Kaqchikel</w:t>
      </w:r>
      <w:r>
        <w:rPr>
          <w:spacing w:val="-1"/>
        </w:rPr>
        <w:t> </w:t>
      </w:r>
      <w:r>
        <w:rPr/>
        <w:t>(23%),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Mam</w:t>
      </w:r>
      <w:r>
        <w:rPr>
          <w:spacing w:val="1"/>
        </w:rPr>
        <w:t> </w:t>
      </w:r>
      <w:r>
        <w:rPr/>
        <w:t>(7%).</w:t>
      </w:r>
    </w:p>
    <w:p>
      <w:pPr>
        <w:pStyle w:val="BodyText"/>
        <w:spacing w:before="10"/>
        <w:rPr>
          <w:sz w:val="19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226" w:id="385"/>
      <w:bookmarkEnd w:id="385"/>
      <w:r>
        <w:rPr>
          <w:b w:val="0"/>
        </w:rPr>
      </w:r>
      <w:bookmarkStart w:name="_bookmark226" w:id="386"/>
      <w:bookmarkEnd w:id="386"/>
      <w:r>
        <w:rPr/>
        <w:t>Situ</w:t>
      </w:r>
      <w:r>
        <w:rPr/>
        <w:t>ación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Sistema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Nacional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1"/>
        <w:jc w:val="both"/>
      </w:pP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comportamiento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12"/>
        </w:rPr>
        <w:t> </w:t>
      </w:r>
      <w:r>
        <w:rPr/>
        <w:t>cifras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cantidad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población</w:t>
      </w:r>
      <w:r>
        <w:rPr>
          <w:spacing w:val="-10"/>
        </w:rPr>
        <w:t> </w:t>
      </w:r>
      <w:r>
        <w:rPr/>
        <w:t>estudiantil</w:t>
      </w:r>
      <w:r>
        <w:rPr>
          <w:spacing w:val="-11"/>
        </w:rPr>
        <w:t> </w:t>
      </w:r>
      <w:r>
        <w:rPr/>
        <w:t>del</w:t>
      </w:r>
      <w:r>
        <w:rPr>
          <w:spacing w:val="-9"/>
        </w:rPr>
        <w:t> </w:t>
      </w:r>
      <w:r>
        <w:rPr/>
        <w:t>departamento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Santa</w:t>
      </w:r>
      <w:r>
        <w:rPr>
          <w:spacing w:val="-9"/>
        </w:rPr>
        <w:t> </w:t>
      </w:r>
      <w:r>
        <w:rPr/>
        <w:t>Rosa,</w:t>
      </w:r>
      <w:r>
        <w:rPr>
          <w:spacing w:val="-48"/>
        </w:rPr>
        <w:t> </w:t>
      </w:r>
      <w:r>
        <w:rPr/>
        <w:t>es similar al presentado a nivel nacional. En primer lugar, aparece el nivel primaria, en segundo lugar el</w:t>
      </w:r>
      <w:r>
        <w:rPr>
          <w:spacing w:val="1"/>
        </w:rPr>
        <w:t> </w:t>
      </w:r>
      <w:r>
        <w:rPr/>
        <w:t>básico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tercer</w:t>
      </w:r>
      <w:r>
        <w:rPr>
          <w:spacing w:val="-4"/>
        </w:rPr>
        <w:t> </w:t>
      </w:r>
      <w:r>
        <w:rPr/>
        <w:t>lugar,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preprimaria.</w:t>
      </w:r>
      <w:r>
        <w:rPr>
          <w:spacing w:val="37"/>
        </w:rPr>
        <w:t> </w:t>
      </w:r>
      <w:r>
        <w:rPr/>
        <w:t>Por</w:t>
      </w:r>
      <w:r>
        <w:rPr>
          <w:spacing w:val="-5"/>
        </w:rPr>
        <w:t> </w:t>
      </w:r>
      <w:r>
        <w:rPr/>
        <w:t>último,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diversificado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primaria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adultos.</w:t>
      </w:r>
      <w:r>
        <w:rPr>
          <w:spacing w:val="-5"/>
        </w:rPr>
        <w:t> </w:t>
      </w:r>
      <w:r>
        <w:rPr/>
        <w:t>Como</w:t>
      </w:r>
      <w:r>
        <w:rPr>
          <w:spacing w:val="-4"/>
        </w:rPr>
        <w:t> </w:t>
      </w:r>
      <w:r>
        <w:rPr/>
        <w:t>se</w:t>
      </w:r>
      <w:r>
        <w:rPr>
          <w:spacing w:val="-7"/>
        </w:rPr>
        <w:t> </w:t>
      </w:r>
      <w:r>
        <w:rPr/>
        <w:t>ve</w:t>
      </w:r>
      <w:r>
        <w:rPr>
          <w:spacing w:val="-7"/>
        </w:rPr>
        <w:t> </w:t>
      </w:r>
      <w:r>
        <w:rPr/>
        <w:t>en</w:t>
      </w:r>
      <w:r>
        <w:rPr>
          <w:spacing w:val="-47"/>
        </w:rPr>
        <w:t> </w:t>
      </w:r>
      <w:r>
        <w:rPr/>
        <w:t>la</w:t>
      </w:r>
      <w:r>
        <w:rPr>
          <w:spacing w:val="-1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tabla.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after="5"/>
        <w:ind w:left="278"/>
        <w:jc w:val="both"/>
      </w:pPr>
      <w:r>
        <w:rPr/>
        <w:t>Tabla</w:t>
      </w:r>
      <w:r>
        <w:rPr>
          <w:spacing w:val="-2"/>
        </w:rPr>
        <w:t> </w:t>
      </w:r>
      <w:r>
        <w:rPr/>
        <w:t>Nº.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estudiantes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Nivel</w:t>
      </w:r>
      <w:r>
        <w:rPr>
          <w:spacing w:val="-1"/>
        </w:rPr>
        <w:t> </w:t>
      </w:r>
      <w:r>
        <w:rPr/>
        <w:t>Educativo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Santa</w:t>
      </w:r>
      <w:r>
        <w:rPr>
          <w:spacing w:val="-2"/>
        </w:rPr>
        <w:t> </w:t>
      </w:r>
      <w:r>
        <w:rPr/>
        <w:t>Rosa</w:t>
      </w:r>
      <w:r>
        <w:rPr>
          <w:spacing w:val="-4"/>
        </w:rPr>
        <w:t> </w:t>
      </w:r>
      <w:r>
        <w:rPr/>
        <w:t>(2017</w:t>
      </w:r>
      <w:r>
        <w:rPr>
          <w:spacing w:val="-1"/>
        </w:rPr>
        <w:t> </w:t>
      </w:r>
      <w:r>
        <w:rPr/>
        <w:t>al</w:t>
      </w:r>
      <w:r>
        <w:rPr>
          <w:spacing w:val="-4"/>
        </w:rPr>
        <w:t> </w:t>
      </w:r>
      <w:r>
        <w:rPr/>
        <w:t>2021)</w:t>
      </w:r>
    </w:p>
    <w:tbl>
      <w:tblPr>
        <w:tblW w:w="0" w:type="auto"/>
        <w:jc w:val="left"/>
        <w:tblInd w:w="3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8"/>
        <w:gridCol w:w="1403"/>
        <w:gridCol w:w="976"/>
        <w:gridCol w:w="1955"/>
        <w:gridCol w:w="736"/>
        <w:gridCol w:w="1371"/>
        <w:gridCol w:w="1200"/>
      </w:tblGrid>
      <w:tr>
        <w:trPr>
          <w:trHeight w:val="418" w:hRule="atLeast"/>
        </w:trPr>
        <w:tc>
          <w:tcPr>
            <w:tcW w:w="1178" w:type="dxa"/>
            <w:tcBorders>
              <w:bottom w:val="single" w:sz="8" w:space="0" w:color="8EA9DB"/>
            </w:tcBorders>
            <w:shd w:val="clear" w:color="auto" w:fill="D9E0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3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line="180" w:lineRule="exact"/>
              <w:ind w:left="122" w:right="5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PREPRIMARIA</w:t>
            </w:r>
          </w:p>
        </w:tc>
        <w:tc>
          <w:tcPr>
            <w:tcW w:w="976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line="180" w:lineRule="exact"/>
              <w:ind w:left="79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PRIMARIA</w:t>
            </w:r>
          </w:p>
        </w:tc>
        <w:tc>
          <w:tcPr>
            <w:tcW w:w="1955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line="180" w:lineRule="exact"/>
              <w:ind w:left="47" w:righ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pacing w:val="-8"/>
                <w:sz w:val="17"/>
              </w:rPr>
              <w:t>PRIMARIA</w:t>
            </w:r>
            <w:r>
              <w:rPr>
                <w:rFonts w:ascii="Arial"/>
                <w:b/>
                <w:color w:val="FFFFFF"/>
                <w:spacing w:val="4"/>
                <w:sz w:val="17"/>
              </w:rPr>
              <w:t> </w:t>
            </w:r>
            <w:r>
              <w:rPr>
                <w:rFonts w:ascii="Arial"/>
                <w:b/>
                <w:color w:val="FFFFFF"/>
                <w:spacing w:val="-8"/>
                <w:sz w:val="17"/>
              </w:rPr>
              <w:t>DE</w:t>
            </w:r>
            <w:r>
              <w:rPr>
                <w:rFonts w:ascii="Arial"/>
                <w:b/>
                <w:color w:val="FFFFFF"/>
                <w:spacing w:val="-25"/>
                <w:sz w:val="17"/>
              </w:rPr>
              <w:t> </w:t>
            </w:r>
            <w:r>
              <w:rPr>
                <w:rFonts w:ascii="Arial"/>
                <w:b/>
                <w:color w:val="FFFFFF"/>
                <w:spacing w:val="-8"/>
                <w:sz w:val="17"/>
              </w:rPr>
              <w:t>ADULTOS</w:t>
            </w:r>
          </w:p>
        </w:tc>
        <w:tc>
          <w:tcPr>
            <w:tcW w:w="736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line="180" w:lineRule="exact"/>
              <w:ind w:left="5" w:righ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BASICO</w:t>
            </w:r>
          </w:p>
        </w:tc>
        <w:tc>
          <w:tcPr>
            <w:tcW w:w="1371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line="180" w:lineRule="exact"/>
              <w:ind w:left="7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pacing w:val="-1"/>
                <w:sz w:val="17"/>
              </w:rPr>
              <w:t>DIVERSIFICADO</w:t>
            </w:r>
          </w:p>
        </w:tc>
        <w:tc>
          <w:tcPr>
            <w:tcW w:w="1200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line="180" w:lineRule="exact"/>
              <w:ind w:right="7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pacing w:val="-1"/>
                <w:sz w:val="17"/>
              </w:rPr>
              <w:t>Tota</w:t>
            </w:r>
            <w:r>
              <w:rPr>
                <w:rFonts w:ascii="Arial"/>
                <w:b/>
                <w:color w:val="FFFFFF"/>
                <w:spacing w:val="-32"/>
                <w:sz w:val="17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7"/>
              </w:rPr>
              <w:t>l</w:t>
            </w:r>
            <w:r>
              <w:rPr>
                <w:rFonts w:ascii="Arial"/>
                <w:b/>
                <w:color w:val="FFFFFF"/>
                <w:spacing w:val="-8"/>
                <w:sz w:val="17"/>
              </w:rPr>
              <w:t> </w:t>
            </w:r>
            <w:r>
              <w:rPr>
                <w:rFonts w:ascii="Arial"/>
                <w:b/>
                <w:color w:val="FFFFFF"/>
                <w:sz w:val="17"/>
              </w:rPr>
              <w:t>general</w:t>
            </w:r>
          </w:p>
        </w:tc>
      </w:tr>
      <w:tr>
        <w:trPr>
          <w:trHeight w:val="185" w:hRule="atLeast"/>
        </w:trPr>
        <w:tc>
          <w:tcPr>
            <w:tcW w:w="1178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3" w:lineRule="exact"/>
              <w:ind w:left="421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2017</w:t>
            </w:r>
          </w:p>
        </w:tc>
        <w:tc>
          <w:tcPr>
            <w:tcW w:w="1403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3" w:lineRule="exact"/>
              <w:ind w:left="122" w:right="48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18,102</w:t>
            </w:r>
          </w:p>
        </w:tc>
        <w:tc>
          <w:tcPr>
            <w:tcW w:w="976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3" w:lineRule="exact"/>
              <w:ind w:left="99" w:right="15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57,465</w:t>
            </w:r>
          </w:p>
        </w:tc>
        <w:tc>
          <w:tcPr>
            <w:tcW w:w="1955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3" w:lineRule="exact"/>
              <w:ind w:left="37" w:right="31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125</w:t>
            </w:r>
          </w:p>
        </w:tc>
        <w:tc>
          <w:tcPr>
            <w:tcW w:w="736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3" w:lineRule="exact"/>
              <w:ind w:left="5" w:right="18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21,398</w:t>
            </w:r>
          </w:p>
        </w:tc>
        <w:tc>
          <w:tcPr>
            <w:tcW w:w="1371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3" w:lineRule="exact"/>
              <w:ind w:left="35" w:right="4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11,290</w:t>
            </w:r>
          </w:p>
        </w:tc>
        <w:tc>
          <w:tcPr>
            <w:tcW w:w="1200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3" w:lineRule="exact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108,380</w:t>
            </w:r>
          </w:p>
        </w:tc>
      </w:tr>
      <w:tr>
        <w:trPr>
          <w:trHeight w:val="202" w:hRule="atLeast"/>
        </w:trPr>
        <w:tc>
          <w:tcPr>
            <w:tcW w:w="1178" w:type="dxa"/>
          </w:tcPr>
          <w:p>
            <w:pPr>
              <w:pStyle w:val="TableParagraph"/>
              <w:spacing w:line="172" w:lineRule="exact" w:before="11"/>
              <w:ind w:left="421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2018</w:t>
            </w:r>
          </w:p>
        </w:tc>
        <w:tc>
          <w:tcPr>
            <w:tcW w:w="1403" w:type="dxa"/>
          </w:tcPr>
          <w:p>
            <w:pPr>
              <w:pStyle w:val="TableParagraph"/>
              <w:spacing w:line="172" w:lineRule="exact" w:before="11"/>
              <w:ind w:left="122" w:right="48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19,336</w:t>
            </w:r>
          </w:p>
        </w:tc>
        <w:tc>
          <w:tcPr>
            <w:tcW w:w="976" w:type="dxa"/>
          </w:tcPr>
          <w:p>
            <w:pPr>
              <w:pStyle w:val="TableParagraph"/>
              <w:spacing w:line="172" w:lineRule="exact" w:before="11"/>
              <w:ind w:left="99" w:right="15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57,387</w:t>
            </w:r>
          </w:p>
        </w:tc>
        <w:tc>
          <w:tcPr>
            <w:tcW w:w="1955" w:type="dxa"/>
          </w:tcPr>
          <w:p>
            <w:pPr>
              <w:pStyle w:val="TableParagraph"/>
              <w:spacing w:line="172" w:lineRule="exact" w:before="11"/>
              <w:ind w:left="37" w:right="31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117</w:t>
            </w:r>
          </w:p>
        </w:tc>
        <w:tc>
          <w:tcPr>
            <w:tcW w:w="736" w:type="dxa"/>
          </w:tcPr>
          <w:p>
            <w:pPr>
              <w:pStyle w:val="TableParagraph"/>
              <w:spacing w:line="172" w:lineRule="exact" w:before="11"/>
              <w:ind w:left="5" w:right="18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21,484</w:t>
            </w:r>
          </w:p>
        </w:tc>
        <w:tc>
          <w:tcPr>
            <w:tcW w:w="1371" w:type="dxa"/>
          </w:tcPr>
          <w:p>
            <w:pPr>
              <w:pStyle w:val="TableParagraph"/>
              <w:spacing w:line="172" w:lineRule="exact" w:before="11"/>
              <w:ind w:left="35" w:right="4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11,281</w:t>
            </w:r>
          </w:p>
        </w:tc>
        <w:tc>
          <w:tcPr>
            <w:tcW w:w="1200" w:type="dxa"/>
          </w:tcPr>
          <w:p>
            <w:pPr>
              <w:pStyle w:val="TableParagraph"/>
              <w:spacing w:line="172" w:lineRule="exact" w:before="11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109,605</w:t>
            </w:r>
          </w:p>
        </w:tc>
      </w:tr>
      <w:tr>
        <w:trPr>
          <w:trHeight w:val="202" w:hRule="atLeast"/>
        </w:trPr>
        <w:tc>
          <w:tcPr>
            <w:tcW w:w="1178" w:type="dxa"/>
          </w:tcPr>
          <w:p>
            <w:pPr>
              <w:pStyle w:val="TableParagraph"/>
              <w:spacing w:line="172" w:lineRule="exact" w:before="11"/>
              <w:ind w:left="421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2019</w:t>
            </w:r>
          </w:p>
        </w:tc>
        <w:tc>
          <w:tcPr>
            <w:tcW w:w="1403" w:type="dxa"/>
          </w:tcPr>
          <w:p>
            <w:pPr>
              <w:pStyle w:val="TableParagraph"/>
              <w:spacing w:line="172" w:lineRule="exact" w:before="11"/>
              <w:ind w:left="122" w:right="48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18,943</w:t>
            </w:r>
          </w:p>
        </w:tc>
        <w:tc>
          <w:tcPr>
            <w:tcW w:w="976" w:type="dxa"/>
          </w:tcPr>
          <w:p>
            <w:pPr>
              <w:pStyle w:val="TableParagraph"/>
              <w:spacing w:line="172" w:lineRule="exact" w:before="11"/>
              <w:ind w:left="99" w:right="15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57,526</w:t>
            </w:r>
          </w:p>
        </w:tc>
        <w:tc>
          <w:tcPr>
            <w:tcW w:w="1955" w:type="dxa"/>
          </w:tcPr>
          <w:p>
            <w:pPr>
              <w:pStyle w:val="TableParagraph"/>
              <w:spacing w:line="172" w:lineRule="exact" w:before="11"/>
              <w:ind w:left="37" w:right="31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118</w:t>
            </w:r>
          </w:p>
        </w:tc>
        <w:tc>
          <w:tcPr>
            <w:tcW w:w="736" w:type="dxa"/>
          </w:tcPr>
          <w:p>
            <w:pPr>
              <w:pStyle w:val="TableParagraph"/>
              <w:spacing w:line="172" w:lineRule="exact" w:before="11"/>
              <w:ind w:left="5" w:right="18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21,060</w:t>
            </w:r>
          </w:p>
        </w:tc>
        <w:tc>
          <w:tcPr>
            <w:tcW w:w="1371" w:type="dxa"/>
          </w:tcPr>
          <w:p>
            <w:pPr>
              <w:pStyle w:val="TableParagraph"/>
              <w:spacing w:line="172" w:lineRule="exact" w:before="11"/>
              <w:ind w:left="35" w:right="4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11,293</w:t>
            </w:r>
          </w:p>
        </w:tc>
        <w:tc>
          <w:tcPr>
            <w:tcW w:w="1200" w:type="dxa"/>
          </w:tcPr>
          <w:p>
            <w:pPr>
              <w:pStyle w:val="TableParagraph"/>
              <w:spacing w:line="172" w:lineRule="exact" w:before="11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108,940</w:t>
            </w:r>
          </w:p>
        </w:tc>
      </w:tr>
      <w:tr>
        <w:trPr>
          <w:trHeight w:val="202" w:hRule="atLeast"/>
        </w:trPr>
        <w:tc>
          <w:tcPr>
            <w:tcW w:w="1178" w:type="dxa"/>
          </w:tcPr>
          <w:p>
            <w:pPr>
              <w:pStyle w:val="TableParagraph"/>
              <w:spacing w:line="172" w:lineRule="exact" w:before="11"/>
              <w:ind w:left="421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2020</w:t>
            </w:r>
          </w:p>
        </w:tc>
        <w:tc>
          <w:tcPr>
            <w:tcW w:w="1403" w:type="dxa"/>
          </w:tcPr>
          <w:p>
            <w:pPr>
              <w:pStyle w:val="TableParagraph"/>
              <w:spacing w:line="172" w:lineRule="exact" w:before="11"/>
              <w:ind w:left="122" w:right="48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17,892</w:t>
            </w:r>
          </w:p>
        </w:tc>
        <w:tc>
          <w:tcPr>
            <w:tcW w:w="976" w:type="dxa"/>
          </w:tcPr>
          <w:p>
            <w:pPr>
              <w:pStyle w:val="TableParagraph"/>
              <w:spacing w:line="172" w:lineRule="exact" w:before="11"/>
              <w:ind w:left="99" w:right="15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57,862</w:t>
            </w:r>
          </w:p>
        </w:tc>
        <w:tc>
          <w:tcPr>
            <w:tcW w:w="1955" w:type="dxa"/>
          </w:tcPr>
          <w:p>
            <w:pPr>
              <w:pStyle w:val="TableParagraph"/>
              <w:spacing w:line="172" w:lineRule="exact" w:before="11"/>
              <w:ind w:left="22" w:right="31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90</w:t>
            </w:r>
          </w:p>
        </w:tc>
        <w:tc>
          <w:tcPr>
            <w:tcW w:w="736" w:type="dxa"/>
          </w:tcPr>
          <w:p>
            <w:pPr>
              <w:pStyle w:val="TableParagraph"/>
              <w:spacing w:line="172" w:lineRule="exact" w:before="11"/>
              <w:ind w:left="5" w:right="18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21,003</w:t>
            </w:r>
          </w:p>
        </w:tc>
        <w:tc>
          <w:tcPr>
            <w:tcW w:w="1371" w:type="dxa"/>
          </w:tcPr>
          <w:p>
            <w:pPr>
              <w:pStyle w:val="TableParagraph"/>
              <w:spacing w:line="172" w:lineRule="exact" w:before="11"/>
              <w:ind w:left="35" w:right="4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11,299</w:t>
            </w:r>
          </w:p>
        </w:tc>
        <w:tc>
          <w:tcPr>
            <w:tcW w:w="1200" w:type="dxa"/>
          </w:tcPr>
          <w:p>
            <w:pPr>
              <w:pStyle w:val="TableParagraph"/>
              <w:spacing w:line="172" w:lineRule="exact" w:before="11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108,146</w:t>
            </w:r>
          </w:p>
        </w:tc>
      </w:tr>
      <w:tr>
        <w:trPr>
          <w:trHeight w:val="195" w:hRule="atLeast"/>
        </w:trPr>
        <w:tc>
          <w:tcPr>
            <w:tcW w:w="1178" w:type="dxa"/>
          </w:tcPr>
          <w:p>
            <w:pPr>
              <w:pStyle w:val="TableParagraph"/>
              <w:spacing w:line="165" w:lineRule="exact" w:before="11"/>
              <w:ind w:left="421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2021</w:t>
            </w:r>
          </w:p>
        </w:tc>
        <w:tc>
          <w:tcPr>
            <w:tcW w:w="1403" w:type="dxa"/>
          </w:tcPr>
          <w:p>
            <w:pPr>
              <w:pStyle w:val="TableParagraph"/>
              <w:spacing w:line="165" w:lineRule="exact" w:before="11"/>
              <w:ind w:left="122" w:right="48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19,862</w:t>
            </w:r>
          </w:p>
        </w:tc>
        <w:tc>
          <w:tcPr>
            <w:tcW w:w="976" w:type="dxa"/>
          </w:tcPr>
          <w:p>
            <w:pPr>
              <w:pStyle w:val="TableParagraph"/>
              <w:spacing w:line="165" w:lineRule="exact" w:before="11"/>
              <w:ind w:left="99" w:right="15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58,633</w:t>
            </w:r>
          </w:p>
        </w:tc>
        <w:tc>
          <w:tcPr>
            <w:tcW w:w="1955" w:type="dxa"/>
          </w:tcPr>
          <w:p>
            <w:pPr>
              <w:pStyle w:val="TableParagraph"/>
              <w:spacing w:line="165" w:lineRule="exact" w:before="11"/>
              <w:ind w:left="22" w:right="31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51</w:t>
            </w:r>
          </w:p>
        </w:tc>
        <w:tc>
          <w:tcPr>
            <w:tcW w:w="736" w:type="dxa"/>
          </w:tcPr>
          <w:p>
            <w:pPr>
              <w:pStyle w:val="TableParagraph"/>
              <w:spacing w:line="165" w:lineRule="exact" w:before="11"/>
              <w:ind w:left="5" w:right="18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20,313</w:t>
            </w:r>
          </w:p>
        </w:tc>
        <w:tc>
          <w:tcPr>
            <w:tcW w:w="1371" w:type="dxa"/>
          </w:tcPr>
          <w:p>
            <w:pPr>
              <w:pStyle w:val="TableParagraph"/>
              <w:spacing w:line="165" w:lineRule="exact" w:before="11"/>
              <w:ind w:left="35" w:right="4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10,624</w:t>
            </w:r>
          </w:p>
        </w:tc>
        <w:tc>
          <w:tcPr>
            <w:tcW w:w="1200" w:type="dxa"/>
          </w:tcPr>
          <w:p>
            <w:pPr>
              <w:pStyle w:val="TableParagraph"/>
              <w:spacing w:line="165" w:lineRule="exact" w:before="11"/>
              <w:ind w:right="3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109,483</w:t>
            </w:r>
          </w:p>
        </w:tc>
      </w:tr>
    </w:tbl>
    <w:tbl>
      <w:tblPr>
        <w:tblW w:w="0" w:type="auto"/>
        <w:jc w:val="left"/>
        <w:tblInd w:w="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8"/>
        <w:gridCol w:w="1313"/>
        <w:gridCol w:w="1419"/>
        <w:gridCol w:w="1215"/>
        <w:gridCol w:w="1311"/>
        <w:gridCol w:w="1249"/>
        <w:gridCol w:w="1133"/>
      </w:tblGrid>
      <w:tr>
        <w:trPr>
          <w:trHeight w:val="217" w:hRule="atLeast"/>
        </w:trPr>
        <w:tc>
          <w:tcPr>
            <w:tcW w:w="1178" w:type="dxa"/>
            <w:tcBorders>
              <w:top w:val="single" w:sz="8" w:space="0" w:color="8EA9DB"/>
            </w:tcBorders>
            <w:shd w:val="clear" w:color="auto" w:fill="D9E0F1"/>
          </w:tcPr>
          <w:p>
            <w:pPr>
              <w:pStyle w:val="TableParagraph"/>
              <w:spacing w:before="18"/>
              <w:ind w:left="4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Tota</w:t>
            </w:r>
            <w:r>
              <w:rPr>
                <w:rFonts w:ascii="Arial"/>
                <w:b/>
                <w:spacing w:val="-25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l general</w:t>
            </w:r>
          </w:p>
        </w:tc>
        <w:tc>
          <w:tcPr>
            <w:tcW w:w="1313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95" w:lineRule="exact"/>
              <w:ind w:left="4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94,135</w:t>
            </w:r>
          </w:p>
        </w:tc>
        <w:tc>
          <w:tcPr>
            <w:tcW w:w="1419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95" w:lineRule="exact"/>
              <w:ind w:left="32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288,873</w:t>
            </w:r>
          </w:p>
        </w:tc>
        <w:tc>
          <w:tcPr>
            <w:tcW w:w="1215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95" w:lineRule="exact"/>
              <w:ind w:left="396" w:right="3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501</w:t>
            </w:r>
          </w:p>
        </w:tc>
        <w:tc>
          <w:tcPr>
            <w:tcW w:w="1311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95" w:lineRule="exact"/>
              <w:ind w:left="45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105,258</w:t>
            </w:r>
          </w:p>
        </w:tc>
        <w:tc>
          <w:tcPr>
            <w:tcW w:w="1249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95" w:lineRule="exact"/>
              <w:ind w:left="25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55,787</w:t>
            </w:r>
          </w:p>
        </w:tc>
        <w:tc>
          <w:tcPr>
            <w:tcW w:w="1133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line="195" w:lineRule="exact"/>
              <w:ind w:left="48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544,554</w:t>
            </w:r>
          </w:p>
        </w:tc>
      </w:tr>
    </w:tbl>
    <w:p>
      <w:pPr>
        <w:spacing w:before="3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2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2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ind w:left="278" w:right="1072"/>
        <w:jc w:val="both"/>
      </w:pPr>
      <w:r>
        <w:rPr/>
        <w:t>De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muestran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cifras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estudiantil por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Departamento de Santa Rosa, durante el período del 2017-2020. Durante el 2017 se tuvo una población</w:t>
      </w:r>
      <w:r>
        <w:rPr>
          <w:spacing w:val="1"/>
        </w:rPr>
        <w:t> </w:t>
      </w:r>
      <w:r>
        <w:rPr/>
        <w:t>estudiantil total de 108,380. El 2018, registró 109,605. En el 2019, se redujo a108,940. La tendencia se</w:t>
      </w:r>
      <w:r>
        <w:rPr>
          <w:spacing w:val="1"/>
        </w:rPr>
        <w:t> </w:t>
      </w:r>
      <w:r>
        <w:rPr/>
        <w:t>continuó</w:t>
      </w:r>
      <w:r>
        <w:rPr>
          <w:spacing w:val="-8"/>
        </w:rPr>
        <w:t> </w:t>
      </w:r>
      <w:r>
        <w:rPr/>
        <w:t>reduciendo,</w:t>
      </w:r>
      <w:r>
        <w:rPr>
          <w:spacing w:val="-5"/>
        </w:rPr>
        <w:t> </w:t>
      </w:r>
      <w:r>
        <w:rPr/>
        <w:t>presentando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el</w:t>
      </w:r>
      <w:r>
        <w:rPr>
          <w:spacing w:val="-9"/>
        </w:rPr>
        <w:t> </w:t>
      </w:r>
      <w:r>
        <w:rPr/>
        <w:t>2020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cifra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108,146</w:t>
      </w:r>
      <w:r>
        <w:rPr>
          <w:spacing w:val="-7"/>
        </w:rPr>
        <w:t> </w:t>
      </w:r>
      <w:r>
        <w:rPr/>
        <w:t>estudiantes,</w:t>
      </w:r>
      <w:r>
        <w:rPr>
          <w:spacing w:val="-5"/>
        </w:rPr>
        <w:t> </w:t>
      </w:r>
      <w:r>
        <w:rPr/>
        <w:t>registrándose</w:t>
      </w:r>
      <w:r>
        <w:rPr>
          <w:spacing w:val="-8"/>
        </w:rPr>
        <w:t> </w:t>
      </w:r>
      <w:r>
        <w:rPr/>
        <w:t>el</w:t>
      </w:r>
      <w:r>
        <w:rPr>
          <w:spacing w:val="-5"/>
        </w:rPr>
        <w:t> </w:t>
      </w:r>
      <w:r>
        <w:rPr/>
        <w:t>dato</w:t>
      </w:r>
      <w:r>
        <w:rPr>
          <w:spacing w:val="-8"/>
        </w:rPr>
        <w:t> </w:t>
      </w:r>
      <w:r>
        <w:rPr/>
        <w:t>más</w:t>
      </w:r>
      <w:r>
        <w:rPr>
          <w:spacing w:val="-47"/>
        </w:rPr>
        <w:t> </w:t>
      </w:r>
      <w:r>
        <w:rPr/>
        <w:t>bajo del</w:t>
      </w:r>
      <w:r>
        <w:rPr>
          <w:spacing w:val="-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evaluado.</w:t>
      </w:r>
      <w:r>
        <w:rPr>
          <w:spacing w:val="-6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2021, se presentó</w:t>
      </w:r>
      <w:r>
        <w:rPr>
          <w:spacing w:val="1"/>
        </w:rPr>
        <w:t> </w:t>
      </w:r>
      <w:r>
        <w:rPr/>
        <w:t>un</w:t>
      </w:r>
      <w:r>
        <w:rPr>
          <w:spacing w:val="-2"/>
        </w:rPr>
        <w:t> </w:t>
      </w:r>
      <w:r>
        <w:rPr/>
        <w:t>incremento registrando</w:t>
      </w:r>
      <w:r>
        <w:rPr>
          <w:spacing w:val="-1"/>
        </w:rPr>
        <w:t> </w:t>
      </w:r>
      <w:r>
        <w:rPr/>
        <w:t>109,483.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5"/>
        <w:jc w:val="both"/>
      </w:pPr>
      <w:r>
        <w:rPr/>
        <w:t>Como se muestra, el nivel que presentó más crecimiento fue la Primaria representando el 53% de la</w:t>
      </w:r>
      <w:r>
        <w:rPr>
          <w:spacing w:val="1"/>
        </w:rPr>
        <w:t> </w:t>
      </w:r>
      <w:r>
        <w:rPr/>
        <w:t>población para este período, seguido del básico con el 19% y finalmente el nivel Preprimaria con un 17%.</w:t>
      </w:r>
      <w:r>
        <w:rPr>
          <w:spacing w:val="-47"/>
        </w:rPr>
        <w:t> </w:t>
      </w:r>
      <w:r>
        <w:rPr/>
        <w:t>La participación de alumnos en el Nivel Diversificado se mantuvo constante durante el período analizado</w:t>
      </w:r>
      <w:r>
        <w:rPr>
          <w:spacing w:val="1"/>
        </w:rPr>
        <w:t> </w:t>
      </w:r>
      <w:r>
        <w:rPr/>
        <w:t>reportando un</w:t>
      </w:r>
      <w:r>
        <w:rPr>
          <w:spacing w:val="-1"/>
        </w:rPr>
        <w:t> </w:t>
      </w:r>
      <w:r>
        <w:rPr/>
        <w:t>10%.</w:t>
      </w:r>
      <w:r>
        <w:rPr>
          <w:spacing w:val="-2"/>
        </w:rPr>
        <w:t> </w:t>
      </w:r>
      <w:r>
        <w:rPr/>
        <w:t>Y finalizando, con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Primaria para</w:t>
      </w:r>
      <w:r>
        <w:rPr>
          <w:spacing w:val="-3"/>
        </w:rPr>
        <w:t> </w:t>
      </w:r>
      <w:r>
        <w:rPr/>
        <w:t>Adultos.</w:t>
      </w:r>
    </w:p>
    <w:p>
      <w:pPr>
        <w:pStyle w:val="BodyText"/>
        <w:spacing w:before="7"/>
        <w:rPr>
          <w:sz w:val="15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51" w:after="0"/>
        <w:ind w:left="998" w:right="0" w:hanging="721"/>
        <w:jc w:val="left"/>
      </w:pPr>
      <w:bookmarkStart w:name="_bookmark227" w:id="387"/>
      <w:bookmarkEnd w:id="387"/>
      <w:r>
        <w:rPr>
          <w:b w:val="0"/>
        </w:rPr>
      </w:r>
      <w:bookmarkStart w:name="_bookmark227" w:id="388"/>
      <w:bookmarkEnd w:id="388"/>
      <w:r>
        <w:rPr>
          <w:shd w:fill="FFFFFF" w:color="auto" w:val="clear"/>
        </w:rPr>
        <w:t>I</w:t>
      </w:r>
      <w:r>
        <w:rPr>
          <w:shd w:fill="FFFFFF" w:color="auto" w:val="clear"/>
        </w:rPr>
        <w:t>ndicador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Cobertura: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Tasa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Neta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Cobertura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278" w:right="1061"/>
      </w:pPr>
      <w:r>
        <w:rPr/>
        <w:t>La</w:t>
      </w:r>
      <w:r>
        <w:rPr>
          <w:spacing w:val="27"/>
        </w:rPr>
        <w:t> </w:t>
      </w:r>
      <w:r>
        <w:rPr/>
        <w:t>temática</w:t>
      </w:r>
      <w:r>
        <w:rPr>
          <w:spacing w:val="25"/>
        </w:rPr>
        <w:t> </w:t>
      </w:r>
      <w:r>
        <w:rPr/>
        <w:t>estadística</w:t>
      </w:r>
      <w:r>
        <w:rPr>
          <w:spacing w:val="26"/>
        </w:rPr>
        <w:t> </w:t>
      </w:r>
      <w:r>
        <w:rPr/>
        <w:t>relacionada</w:t>
      </w:r>
      <w:r>
        <w:rPr>
          <w:spacing w:val="24"/>
        </w:rPr>
        <w:t> </w:t>
      </w:r>
      <w:r>
        <w:rPr/>
        <w:t>con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población</w:t>
      </w:r>
      <w:r>
        <w:rPr>
          <w:spacing w:val="25"/>
        </w:rPr>
        <w:t> </w:t>
      </w:r>
      <w:r>
        <w:rPr/>
        <w:t>estudiantil</w:t>
      </w:r>
      <w:r>
        <w:rPr>
          <w:spacing w:val="24"/>
        </w:rPr>
        <w:t> </w:t>
      </w:r>
      <w:r>
        <w:rPr/>
        <w:t>del</w:t>
      </w:r>
      <w:r>
        <w:rPr>
          <w:spacing w:val="26"/>
        </w:rPr>
        <w:t> </w:t>
      </w:r>
      <w:r>
        <w:rPr/>
        <w:t>departamento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Santa</w:t>
      </w:r>
      <w:r>
        <w:rPr>
          <w:spacing w:val="28"/>
        </w:rPr>
        <w:t> </w:t>
      </w:r>
      <w:r>
        <w:rPr/>
        <w:t>Rosa,</w:t>
      </w:r>
      <w:r>
        <w:rPr>
          <w:spacing w:val="25"/>
        </w:rPr>
        <w:t> </w:t>
      </w:r>
      <w:r>
        <w:rPr/>
        <w:t>han</w:t>
      </w:r>
      <w:r>
        <w:rPr>
          <w:spacing w:val="-47"/>
        </w:rPr>
        <w:t> </w:t>
      </w:r>
      <w:r>
        <w:rPr/>
        <w:t>mostrado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comportamiento</w:t>
      </w:r>
      <w:r>
        <w:rPr>
          <w:spacing w:val="24"/>
        </w:rPr>
        <w:t> </w:t>
      </w:r>
      <w:r>
        <w:rPr/>
        <w:t>similar</w:t>
      </w:r>
      <w:r>
        <w:rPr>
          <w:spacing w:val="23"/>
        </w:rPr>
        <w:t> </w:t>
      </w:r>
      <w:r>
        <w:rPr/>
        <w:t>al</w:t>
      </w:r>
      <w:r>
        <w:rPr>
          <w:spacing w:val="23"/>
        </w:rPr>
        <w:t> </w:t>
      </w:r>
      <w:r>
        <w:rPr/>
        <w:t>presentado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/>
        <w:t>nivel</w:t>
      </w:r>
      <w:r>
        <w:rPr>
          <w:spacing w:val="23"/>
        </w:rPr>
        <w:t> </w:t>
      </w:r>
      <w:r>
        <w:rPr/>
        <w:t>nacional.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primer</w:t>
      </w:r>
      <w:r>
        <w:rPr>
          <w:spacing w:val="29"/>
        </w:rPr>
        <w:t> </w:t>
      </w:r>
      <w:r>
        <w:rPr/>
        <w:t>lugar,</w:t>
      </w:r>
      <w:r>
        <w:rPr>
          <w:spacing w:val="23"/>
        </w:rPr>
        <w:t> </w:t>
      </w:r>
      <w:r>
        <w:rPr/>
        <w:t>aparece</w:t>
      </w:r>
      <w:r>
        <w:rPr>
          <w:spacing w:val="24"/>
        </w:rPr>
        <w:t> </w:t>
      </w:r>
      <w:r>
        <w:rPr/>
        <w:t>el</w:t>
      </w:r>
      <w:r>
        <w:rPr>
          <w:spacing w:val="23"/>
        </w:rPr>
        <w:t> </w:t>
      </w:r>
      <w:r>
        <w:rPr/>
        <w:t>nivel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pict>
          <v:rect style="position:absolute;margin-left:563.880005pt;margin-top:10.40977pt;width:25.44pt;height:1.4399pt;mso-position-horizontal-relative:page;mso-position-vertical-relative:paragraph;z-index:-1537638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181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6649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8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2"/>
        <w:jc w:val="both"/>
      </w:pPr>
      <w:r>
        <w:rPr/>
        <w:t>primaria, en segundo lugar el básico y el tercer lugar, la preprimaria.</w:t>
      </w:r>
      <w:r>
        <w:rPr>
          <w:spacing w:val="1"/>
        </w:rPr>
        <w:t> </w:t>
      </w:r>
      <w:r>
        <w:rPr/>
        <w:t>Por último, el diversificado y la</w:t>
      </w:r>
      <w:r>
        <w:rPr>
          <w:spacing w:val="1"/>
        </w:rPr>
        <w:t> </w:t>
      </w:r>
      <w:r>
        <w:rPr/>
        <w:t>primaria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adultos.</w:t>
      </w:r>
      <w:r>
        <w:rPr>
          <w:spacing w:val="-3"/>
        </w:rPr>
        <w:t> </w:t>
      </w:r>
      <w:r>
        <w:rPr/>
        <w:t>Tal</w:t>
      </w:r>
      <w:r>
        <w:rPr>
          <w:spacing w:val="-3"/>
        </w:rPr>
        <w:t> </w:t>
      </w:r>
      <w:r>
        <w:rPr/>
        <w:t>y como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muestra en la tabla.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237" w:lineRule="auto"/>
        <w:ind w:left="278" w:right="1075"/>
        <w:jc w:val="both"/>
      </w:pPr>
      <w:r>
        <w:rPr/>
        <w:t>Tabla</w:t>
      </w:r>
      <w:r>
        <w:rPr>
          <w:spacing w:val="1"/>
        </w:rPr>
        <w:t> </w:t>
      </w:r>
      <w:r>
        <w:rPr/>
        <w:t>Nº.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Cobertura: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Bruta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Académico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47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de Santa</w:t>
      </w:r>
      <w:r>
        <w:rPr>
          <w:spacing w:val="-2"/>
        </w:rPr>
        <w:t> </w:t>
      </w:r>
      <w:r>
        <w:rPr/>
        <w:t>Rosa</w:t>
      </w:r>
    </w:p>
    <w:tbl>
      <w:tblPr>
        <w:tblW w:w="0" w:type="auto"/>
        <w:jc w:val="left"/>
        <w:tblInd w:w="2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4"/>
        <w:gridCol w:w="2353"/>
        <w:gridCol w:w="1431"/>
        <w:gridCol w:w="1750"/>
        <w:gridCol w:w="1033"/>
        <w:gridCol w:w="1229"/>
      </w:tblGrid>
      <w:tr>
        <w:trPr>
          <w:trHeight w:val="425" w:hRule="atLeast"/>
        </w:trPr>
        <w:tc>
          <w:tcPr>
            <w:tcW w:w="8830" w:type="dxa"/>
            <w:gridSpan w:val="6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before="86"/>
              <w:ind w:left="2824" w:right="283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Departamento</w:t>
            </w:r>
            <w:r>
              <w:rPr>
                <w:rFonts w:ascii="Arial"/>
                <w:b/>
                <w:spacing w:val="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1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Sa</w:t>
            </w:r>
            <w:r>
              <w:rPr>
                <w:rFonts w:ascii="Arial"/>
                <w:b/>
                <w:spacing w:val="-3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nta</w:t>
            </w:r>
            <w:r>
              <w:rPr>
                <w:rFonts w:ascii="Arial"/>
                <w:b/>
                <w:spacing w:val="26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Rosa</w:t>
            </w:r>
          </w:p>
        </w:tc>
      </w:tr>
      <w:tr>
        <w:trPr>
          <w:trHeight w:val="425" w:hRule="atLeast"/>
        </w:trPr>
        <w:tc>
          <w:tcPr>
            <w:tcW w:w="1034" w:type="dxa"/>
            <w:shd w:val="clear" w:color="auto" w:fill="F1F1F1"/>
          </w:tcPr>
          <w:p>
            <w:pPr>
              <w:pStyle w:val="TableParagraph"/>
              <w:spacing w:before="105"/>
              <w:ind w:left="309"/>
              <w:rPr>
                <w:rFonts w:ascii="Verdana" w:hAnsi="Verdana"/>
                <w:sz w:val="17"/>
              </w:rPr>
            </w:pPr>
            <w:r>
              <w:rPr>
                <w:rFonts w:ascii="Verdana" w:hAnsi="Verdana"/>
                <w:sz w:val="17"/>
              </w:rPr>
              <w:t>Años</w:t>
            </w:r>
          </w:p>
        </w:tc>
        <w:tc>
          <w:tcPr>
            <w:tcW w:w="2353" w:type="dxa"/>
            <w:shd w:val="clear" w:color="auto" w:fill="F1F1F1"/>
          </w:tcPr>
          <w:p>
            <w:pPr>
              <w:pStyle w:val="TableParagraph"/>
              <w:spacing w:before="117"/>
              <w:ind w:left="72" w:right="8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Indica</w:t>
            </w:r>
            <w:r>
              <w:rPr>
                <w:rFonts w:ascii="Arial"/>
                <w:b/>
                <w:spacing w:val="-19"/>
                <w:sz w:val="17"/>
              </w:rPr>
              <w:t> </w:t>
            </w:r>
            <w:r>
              <w:rPr>
                <w:rFonts w:ascii="Arial"/>
                <w:b/>
                <w:sz w:val="17"/>
              </w:rPr>
              <w:t>dores</w:t>
            </w:r>
            <w:r>
              <w:rPr>
                <w:rFonts w:ascii="Arial"/>
                <w:b/>
                <w:spacing w:val="-4"/>
                <w:sz w:val="17"/>
              </w:rPr>
              <w:t> </w:t>
            </w:r>
            <w:r>
              <w:rPr>
                <w:rFonts w:ascii="Arial"/>
                <w:b/>
                <w:sz w:val="17"/>
              </w:rPr>
              <w:t>de</w:t>
            </w:r>
            <w:r>
              <w:rPr>
                <w:rFonts w:ascii="Arial"/>
                <w:b/>
                <w:spacing w:val="50"/>
                <w:sz w:val="17"/>
              </w:rPr>
              <w:t> </w:t>
            </w:r>
            <w:r>
              <w:rPr>
                <w:rFonts w:ascii="Arial"/>
                <w:b/>
                <w:sz w:val="17"/>
              </w:rPr>
              <w:t>Cobertura</w:t>
            </w:r>
          </w:p>
        </w:tc>
        <w:tc>
          <w:tcPr>
            <w:tcW w:w="1431" w:type="dxa"/>
            <w:shd w:val="clear" w:color="auto" w:fill="F1F1F1"/>
          </w:tcPr>
          <w:p>
            <w:pPr>
              <w:pStyle w:val="TableParagraph"/>
              <w:spacing w:before="117"/>
              <w:ind w:left="206" w:right="17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Preprimaria</w:t>
            </w:r>
          </w:p>
        </w:tc>
        <w:tc>
          <w:tcPr>
            <w:tcW w:w="1750" w:type="dxa"/>
            <w:shd w:val="clear" w:color="auto" w:fill="F1F1F1"/>
          </w:tcPr>
          <w:p>
            <w:pPr>
              <w:pStyle w:val="TableParagraph"/>
              <w:spacing w:before="117"/>
              <w:ind w:left="489" w:right="48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Primaria</w:t>
            </w:r>
          </w:p>
        </w:tc>
        <w:tc>
          <w:tcPr>
            <w:tcW w:w="1033" w:type="dxa"/>
            <w:shd w:val="clear" w:color="auto" w:fill="F1F1F1"/>
          </w:tcPr>
          <w:p>
            <w:pPr>
              <w:pStyle w:val="TableParagraph"/>
              <w:spacing w:before="117"/>
              <w:ind w:left="211" w:right="211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Bá</w:t>
            </w:r>
            <w:r>
              <w:rPr>
                <w:rFonts w:ascii="Arial" w:hAnsi="Arial"/>
                <w:b/>
                <w:spacing w:val="-30"/>
                <w:sz w:val="17"/>
              </w:rPr>
              <w:t> </w:t>
            </w:r>
            <w:r>
              <w:rPr>
                <w:rFonts w:ascii="Arial" w:hAnsi="Arial"/>
                <w:b/>
                <w:spacing w:val="-4"/>
                <w:sz w:val="17"/>
              </w:rPr>
              <w:t>sico</w:t>
            </w:r>
          </w:p>
        </w:tc>
        <w:tc>
          <w:tcPr>
            <w:tcW w:w="1229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before="117"/>
              <w:ind w:left="53" w:right="3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Diversifica</w:t>
            </w:r>
            <w:r>
              <w:rPr>
                <w:rFonts w:ascii="Arial"/>
                <w:b/>
                <w:spacing w:val="-29"/>
                <w:sz w:val="17"/>
              </w:rPr>
              <w:t> </w:t>
            </w:r>
            <w:r>
              <w:rPr>
                <w:rFonts w:ascii="Arial"/>
                <w:b/>
                <w:sz w:val="17"/>
              </w:rPr>
              <w:t>do</w:t>
            </w:r>
          </w:p>
        </w:tc>
      </w:tr>
      <w:tr>
        <w:trPr>
          <w:trHeight w:val="426" w:hRule="atLeast"/>
        </w:trPr>
        <w:tc>
          <w:tcPr>
            <w:tcW w:w="1034" w:type="dxa"/>
            <w:vMerge w:val="restart"/>
            <w:shd w:val="clear" w:color="auto" w:fill="F1F1F1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spacing w:before="1"/>
              <w:ind w:left="324"/>
              <w:rPr>
                <w:rFonts w:ascii="Verdana"/>
                <w:sz w:val="17"/>
              </w:rPr>
            </w:pPr>
            <w:r>
              <w:rPr>
                <w:rFonts w:ascii="Verdana"/>
                <w:sz w:val="17"/>
              </w:rPr>
              <w:t>2017</w:t>
            </w:r>
          </w:p>
        </w:tc>
        <w:tc>
          <w:tcPr>
            <w:tcW w:w="2353" w:type="dxa"/>
          </w:tcPr>
          <w:p>
            <w:pPr>
              <w:pStyle w:val="TableParagraph"/>
              <w:spacing w:before="130"/>
              <w:ind w:left="70" w:right="8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D7CB3"/>
                <w:spacing w:val="-2"/>
                <w:sz w:val="14"/>
              </w:rPr>
              <w:t>Ta</w:t>
            </w:r>
            <w:r>
              <w:rPr>
                <w:rFonts w:ascii="Arial"/>
                <w:b/>
                <w:color w:val="1D7CB3"/>
                <w:spacing w:val="-2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4"/>
              </w:rPr>
              <w:t>sa</w:t>
            </w:r>
            <w:r>
              <w:rPr>
                <w:rFonts w:ascii="Arial"/>
                <w:b/>
                <w:color w:val="1D7CB3"/>
                <w:spacing w:val="18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4"/>
              </w:rPr>
              <w:t>Bruta</w:t>
            </w:r>
            <w:r>
              <w:rPr>
                <w:rFonts w:ascii="Arial"/>
                <w:b/>
                <w:color w:val="1D7CB3"/>
                <w:spacing w:val="17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4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4"/>
              </w:rPr>
              <w:t>Cobertura</w:t>
            </w:r>
          </w:p>
        </w:tc>
        <w:tc>
          <w:tcPr>
            <w:tcW w:w="1431" w:type="dxa"/>
          </w:tcPr>
          <w:p>
            <w:pPr>
              <w:pStyle w:val="TableParagraph"/>
              <w:spacing w:before="114"/>
              <w:ind w:left="199" w:right="17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05"/>
                <w:sz w:val="14"/>
              </w:rPr>
              <w:t>104,09%</w:t>
            </w:r>
          </w:p>
        </w:tc>
        <w:tc>
          <w:tcPr>
            <w:tcW w:w="1750" w:type="dxa"/>
          </w:tcPr>
          <w:p>
            <w:pPr>
              <w:pStyle w:val="TableParagraph"/>
              <w:spacing w:before="114"/>
              <w:ind w:left="489" w:right="46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05"/>
                <w:sz w:val="14"/>
              </w:rPr>
              <w:t>112,86%</w:t>
            </w:r>
          </w:p>
        </w:tc>
        <w:tc>
          <w:tcPr>
            <w:tcW w:w="1033" w:type="dxa"/>
          </w:tcPr>
          <w:p>
            <w:pPr>
              <w:pStyle w:val="TableParagraph"/>
              <w:spacing w:before="114"/>
              <w:ind w:left="211" w:right="183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05"/>
                <w:sz w:val="14"/>
              </w:rPr>
              <w:t>80,64%</w:t>
            </w:r>
          </w:p>
        </w:tc>
        <w:tc>
          <w:tcPr>
            <w:tcW w:w="1229" w:type="dxa"/>
            <w:tcBorders>
              <w:right w:val="nil"/>
            </w:tcBorders>
          </w:tcPr>
          <w:p>
            <w:pPr>
              <w:pStyle w:val="TableParagraph"/>
              <w:spacing w:before="114"/>
              <w:ind w:left="51" w:right="39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05"/>
                <w:sz w:val="14"/>
              </w:rPr>
              <w:t>39,88%</w:t>
            </w:r>
          </w:p>
        </w:tc>
      </w:tr>
      <w:tr>
        <w:trPr>
          <w:trHeight w:val="425" w:hRule="atLeast"/>
        </w:trPr>
        <w:tc>
          <w:tcPr>
            <w:tcW w:w="103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shd w:val="clear" w:color="auto" w:fill="DAEDF3"/>
          </w:tcPr>
          <w:p>
            <w:pPr>
              <w:pStyle w:val="TableParagraph"/>
              <w:spacing w:before="130"/>
              <w:ind w:left="53" w:right="8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D7CB3"/>
                <w:sz w:val="14"/>
              </w:rPr>
              <w:t>Ta</w:t>
            </w:r>
            <w:r>
              <w:rPr>
                <w:rFonts w:ascii="Arial"/>
                <w:b/>
                <w:color w:val="1D7CB3"/>
                <w:spacing w:val="-25"/>
                <w:sz w:val="14"/>
              </w:rPr>
              <w:t> </w:t>
            </w:r>
            <w:r>
              <w:rPr>
                <w:rFonts w:ascii="Arial"/>
                <w:b/>
                <w:color w:val="1D7CB3"/>
                <w:sz w:val="14"/>
              </w:rPr>
              <w:t>sa</w:t>
            </w:r>
            <w:r>
              <w:rPr>
                <w:rFonts w:ascii="Arial"/>
                <w:b/>
                <w:color w:val="1D7CB3"/>
                <w:spacing w:val="19"/>
                <w:sz w:val="14"/>
              </w:rPr>
              <w:t> </w:t>
            </w:r>
            <w:r>
              <w:rPr>
                <w:rFonts w:ascii="Arial"/>
                <w:b/>
                <w:color w:val="1D7CB3"/>
                <w:sz w:val="14"/>
              </w:rPr>
              <w:t>Neta</w:t>
            </w:r>
            <w:r>
              <w:rPr>
                <w:rFonts w:ascii="Arial"/>
                <w:b/>
                <w:color w:val="1D7CB3"/>
                <w:spacing w:val="19"/>
                <w:sz w:val="14"/>
              </w:rPr>
              <w:t> </w:t>
            </w:r>
            <w:r>
              <w:rPr>
                <w:rFonts w:ascii="Arial"/>
                <w:b/>
                <w:color w:val="1D7CB3"/>
                <w:sz w:val="14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sz w:val="14"/>
              </w:rPr>
              <w:t> </w:t>
            </w:r>
            <w:r>
              <w:rPr>
                <w:rFonts w:ascii="Arial"/>
                <w:b/>
                <w:color w:val="1D7CB3"/>
                <w:sz w:val="14"/>
              </w:rPr>
              <w:t>Cobertura</w:t>
            </w:r>
          </w:p>
        </w:tc>
        <w:tc>
          <w:tcPr>
            <w:tcW w:w="1431" w:type="dxa"/>
            <w:shd w:val="clear" w:color="auto" w:fill="DAEDF3"/>
          </w:tcPr>
          <w:p>
            <w:pPr>
              <w:pStyle w:val="TableParagraph"/>
              <w:spacing w:before="113"/>
              <w:ind w:left="183" w:right="17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05"/>
                <w:sz w:val="14"/>
              </w:rPr>
              <w:t>70,77%</w:t>
            </w:r>
          </w:p>
        </w:tc>
        <w:tc>
          <w:tcPr>
            <w:tcW w:w="1750" w:type="dxa"/>
            <w:shd w:val="clear" w:color="auto" w:fill="DAEDF3"/>
          </w:tcPr>
          <w:p>
            <w:pPr>
              <w:pStyle w:val="TableParagraph"/>
              <w:spacing w:before="113"/>
              <w:ind w:left="489" w:right="47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05"/>
                <w:sz w:val="14"/>
              </w:rPr>
              <w:t>96,17%</w:t>
            </w:r>
          </w:p>
        </w:tc>
        <w:tc>
          <w:tcPr>
            <w:tcW w:w="1033" w:type="dxa"/>
            <w:shd w:val="clear" w:color="auto" w:fill="DAEDF3"/>
          </w:tcPr>
          <w:p>
            <w:pPr>
              <w:pStyle w:val="TableParagraph"/>
              <w:spacing w:before="113"/>
              <w:ind w:left="211" w:right="183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05"/>
                <w:sz w:val="14"/>
              </w:rPr>
              <w:t>53,54%</w:t>
            </w:r>
          </w:p>
        </w:tc>
        <w:tc>
          <w:tcPr>
            <w:tcW w:w="1229" w:type="dxa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spacing w:before="113"/>
              <w:ind w:left="51" w:right="39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05"/>
                <w:sz w:val="14"/>
              </w:rPr>
              <w:t>27,81%</w:t>
            </w:r>
          </w:p>
        </w:tc>
      </w:tr>
      <w:tr>
        <w:trPr>
          <w:trHeight w:val="425" w:hRule="atLeast"/>
        </w:trPr>
        <w:tc>
          <w:tcPr>
            <w:tcW w:w="1034" w:type="dxa"/>
            <w:vMerge w:val="restart"/>
            <w:shd w:val="clear" w:color="auto" w:fill="F1F1F1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324"/>
              <w:rPr>
                <w:rFonts w:ascii="Verdana"/>
                <w:sz w:val="17"/>
              </w:rPr>
            </w:pPr>
            <w:r>
              <w:rPr>
                <w:rFonts w:ascii="Verdana"/>
                <w:sz w:val="17"/>
              </w:rPr>
              <w:t>2018</w:t>
            </w:r>
          </w:p>
        </w:tc>
        <w:tc>
          <w:tcPr>
            <w:tcW w:w="2353" w:type="dxa"/>
          </w:tcPr>
          <w:p>
            <w:pPr>
              <w:pStyle w:val="TableParagraph"/>
              <w:spacing w:before="130"/>
              <w:ind w:left="70" w:right="8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D7CB3"/>
                <w:spacing w:val="-2"/>
                <w:sz w:val="14"/>
              </w:rPr>
              <w:t>Ta</w:t>
            </w:r>
            <w:r>
              <w:rPr>
                <w:rFonts w:ascii="Arial"/>
                <w:b/>
                <w:color w:val="1D7CB3"/>
                <w:spacing w:val="-2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4"/>
              </w:rPr>
              <w:t>sa</w:t>
            </w:r>
            <w:r>
              <w:rPr>
                <w:rFonts w:ascii="Arial"/>
                <w:b/>
                <w:color w:val="1D7CB3"/>
                <w:spacing w:val="18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4"/>
              </w:rPr>
              <w:t>Bruta</w:t>
            </w:r>
            <w:r>
              <w:rPr>
                <w:rFonts w:ascii="Arial"/>
                <w:b/>
                <w:color w:val="1D7CB3"/>
                <w:spacing w:val="17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4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4"/>
              </w:rPr>
              <w:t>Cobertura</w:t>
            </w:r>
          </w:p>
        </w:tc>
        <w:tc>
          <w:tcPr>
            <w:tcW w:w="1431" w:type="dxa"/>
          </w:tcPr>
          <w:p>
            <w:pPr>
              <w:pStyle w:val="TableParagraph"/>
              <w:spacing w:before="114"/>
              <w:ind w:left="199" w:right="17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05"/>
                <w:sz w:val="14"/>
              </w:rPr>
              <w:t>108,10%</w:t>
            </w:r>
          </w:p>
        </w:tc>
        <w:tc>
          <w:tcPr>
            <w:tcW w:w="1750" w:type="dxa"/>
          </w:tcPr>
          <w:p>
            <w:pPr>
              <w:pStyle w:val="TableParagraph"/>
              <w:spacing w:before="114"/>
              <w:ind w:left="489" w:right="46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05"/>
                <w:sz w:val="14"/>
              </w:rPr>
              <w:t>112,60%</w:t>
            </w:r>
          </w:p>
        </w:tc>
        <w:tc>
          <w:tcPr>
            <w:tcW w:w="1033" w:type="dxa"/>
          </w:tcPr>
          <w:p>
            <w:pPr>
              <w:pStyle w:val="TableParagraph"/>
              <w:spacing w:before="114"/>
              <w:ind w:left="211" w:right="183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05"/>
                <w:sz w:val="14"/>
              </w:rPr>
              <w:t>83,10%</w:t>
            </w:r>
          </w:p>
        </w:tc>
        <w:tc>
          <w:tcPr>
            <w:tcW w:w="1229" w:type="dxa"/>
            <w:tcBorders>
              <w:right w:val="nil"/>
            </w:tcBorders>
          </w:tcPr>
          <w:p>
            <w:pPr>
              <w:pStyle w:val="TableParagraph"/>
              <w:spacing w:before="114"/>
              <w:ind w:left="51" w:right="39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05"/>
                <w:sz w:val="14"/>
              </w:rPr>
              <w:t>40,08%</w:t>
            </w:r>
          </w:p>
        </w:tc>
      </w:tr>
      <w:tr>
        <w:trPr>
          <w:trHeight w:val="426" w:hRule="atLeast"/>
        </w:trPr>
        <w:tc>
          <w:tcPr>
            <w:tcW w:w="103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shd w:val="clear" w:color="auto" w:fill="DAEDF3"/>
          </w:tcPr>
          <w:p>
            <w:pPr>
              <w:pStyle w:val="TableParagraph"/>
              <w:spacing w:before="130"/>
              <w:ind w:left="53" w:right="8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D7CB3"/>
                <w:sz w:val="14"/>
              </w:rPr>
              <w:t>Ta</w:t>
            </w:r>
            <w:r>
              <w:rPr>
                <w:rFonts w:ascii="Arial"/>
                <w:b/>
                <w:color w:val="1D7CB3"/>
                <w:spacing w:val="-25"/>
                <w:sz w:val="14"/>
              </w:rPr>
              <w:t> </w:t>
            </w:r>
            <w:r>
              <w:rPr>
                <w:rFonts w:ascii="Arial"/>
                <w:b/>
                <w:color w:val="1D7CB3"/>
                <w:sz w:val="14"/>
              </w:rPr>
              <w:t>sa</w:t>
            </w:r>
            <w:r>
              <w:rPr>
                <w:rFonts w:ascii="Arial"/>
                <w:b/>
                <w:color w:val="1D7CB3"/>
                <w:spacing w:val="19"/>
                <w:sz w:val="14"/>
              </w:rPr>
              <w:t> </w:t>
            </w:r>
            <w:r>
              <w:rPr>
                <w:rFonts w:ascii="Arial"/>
                <w:b/>
                <w:color w:val="1D7CB3"/>
                <w:sz w:val="14"/>
              </w:rPr>
              <w:t>Neta</w:t>
            </w:r>
            <w:r>
              <w:rPr>
                <w:rFonts w:ascii="Arial"/>
                <w:b/>
                <w:color w:val="1D7CB3"/>
                <w:spacing w:val="19"/>
                <w:sz w:val="14"/>
              </w:rPr>
              <w:t> </w:t>
            </w:r>
            <w:r>
              <w:rPr>
                <w:rFonts w:ascii="Arial"/>
                <w:b/>
                <w:color w:val="1D7CB3"/>
                <w:sz w:val="14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sz w:val="14"/>
              </w:rPr>
              <w:t> </w:t>
            </w:r>
            <w:r>
              <w:rPr>
                <w:rFonts w:ascii="Arial"/>
                <w:b/>
                <w:color w:val="1D7CB3"/>
                <w:sz w:val="14"/>
              </w:rPr>
              <w:t>Cobertura</w:t>
            </w:r>
          </w:p>
        </w:tc>
        <w:tc>
          <w:tcPr>
            <w:tcW w:w="1431" w:type="dxa"/>
            <w:shd w:val="clear" w:color="auto" w:fill="DAEDF3"/>
          </w:tcPr>
          <w:p>
            <w:pPr>
              <w:pStyle w:val="TableParagraph"/>
              <w:spacing w:before="111"/>
              <w:ind w:left="203" w:right="17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333333"/>
                <w:sz w:val="16"/>
              </w:rPr>
              <w:t>76,13%</w:t>
            </w:r>
          </w:p>
        </w:tc>
        <w:tc>
          <w:tcPr>
            <w:tcW w:w="1750" w:type="dxa"/>
            <w:shd w:val="clear" w:color="auto" w:fill="DAEDF3"/>
          </w:tcPr>
          <w:p>
            <w:pPr>
              <w:pStyle w:val="TableParagraph"/>
              <w:spacing w:before="114"/>
              <w:ind w:left="489" w:right="47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05"/>
                <w:sz w:val="14"/>
              </w:rPr>
              <w:t>95,92%</w:t>
            </w:r>
          </w:p>
        </w:tc>
        <w:tc>
          <w:tcPr>
            <w:tcW w:w="1033" w:type="dxa"/>
            <w:shd w:val="clear" w:color="auto" w:fill="DAEDF3"/>
          </w:tcPr>
          <w:p>
            <w:pPr>
              <w:pStyle w:val="TableParagraph"/>
              <w:spacing w:before="114"/>
              <w:ind w:left="211" w:right="183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05"/>
                <w:sz w:val="14"/>
              </w:rPr>
              <w:t>55,61%</w:t>
            </w:r>
          </w:p>
        </w:tc>
        <w:tc>
          <w:tcPr>
            <w:tcW w:w="1229" w:type="dxa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spacing w:before="114"/>
              <w:ind w:left="51" w:right="39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05"/>
                <w:sz w:val="14"/>
              </w:rPr>
              <w:t>28,35%</w:t>
            </w:r>
          </w:p>
        </w:tc>
      </w:tr>
      <w:tr>
        <w:trPr>
          <w:trHeight w:val="425" w:hRule="atLeast"/>
        </w:trPr>
        <w:tc>
          <w:tcPr>
            <w:tcW w:w="1034" w:type="dxa"/>
            <w:vMerge w:val="restart"/>
            <w:shd w:val="clear" w:color="auto" w:fill="F1F1F1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324"/>
              <w:rPr>
                <w:rFonts w:ascii="Verdana"/>
                <w:sz w:val="17"/>
              </w:rPr>
            </w:pPr>
            <w:r>
              <w:rPr>
                <w:rFonts w:ascii="Verdana"/>
                <w:sz w:val="17"/>
              </w:rPr>
              <w:t>2019</w:t>
            </w:r>
          </w:p>
        </w:tc>
        <w:tc>
          <w:tcPr>
            <w:tcW w:w="2353" w:type="dxa"/>
          </w:tcPr>
          <w:p>
            <w:pPr>
              <w:pStyle w:val="TableParagraph"/>
              <w:spacing w:before="130"/>
              <w:ind w:left="70" w:right="8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D7CB3"/>
                <w:spacing w:val="-2"/>
                <w:sz w:val="14"/>
              </w:rPr>
              <w:t>Ta</w:t>
            </w:r>
            <w:r>
              <w:rPr>
                <w:rFonts w:ascii="Arial"/>
                <w:b/>
                <w:color w:val="1D7CB3"/>
                <w:spacing w:val="-2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4"/>
              </w:rPr>
              <w:t>sa</w:t>
            </w:r>
            <w:r>
              <w:rPr>
                <w:rFonts w:ascii="Arial"/>
                <w:b/>
                <w:color w:val="1D7CB3"/>
                <w:spacing w:val="18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4"/>
              </w:rPr>
              <w:t>Bruta</w:t>
            </w:r>
            <w:r>
              <w:rPr>
                <w:rFonts w:ascii="Arial"/>
                <w:b/>
                <w:color w:val="1D7CB3"/>
                <w:spacing w:val="17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4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4"/>
              </w:rPr>
              <w:t>Cobertura</w:t>
            </w:r>
          </w:p>
        </w:tc>
        <w:tc>
          <w:tcPr>
            <w:tcW w:w="1431" w:type="dxa"/>
          </w:tcPr>
          <w:p>
            <w:pPr>
              <w:pStyle w:val="TableParagraph"/>
              <w:spacing w:before="113"/>
              <w:ind w:left="199" w:right="17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05"/>
                <w:sz w:val="14"/>
              </w:rPr>
              <w:t>104,04%</w:t>
            </w:r>
          </w:p>
        </w:tc>
        <w:tc>
          <w:tcPr>
            <w:tcW w:w="1750" w:type="dxa"/>
          </w:tcPr>
          <w:p>
            <w:pPr>
              <w:pStyle w:val="TableParagraph"/>
              <w:spacing w:before="113"/>
              <w:ind w:left="489" w:right="46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05"/>
                <w:sz w:val="14"/>
              </w:rPr>
              <w:t>112,20%</w:t>
            </w:r>
          </w:p>
        </w:tc>
        <w:tc>
          <w:tcPr>
            <w:tcW w:w="1033" w:type="dxa"/>
          </w:tcPr>
          <w:p>
            <w:pPr>
              <w:pStyle w:val="TableParagraph"/>
              <w:spacing w:before="113"/>
              <w:ind w:left="211" w:right="183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05"/>
                <w:sz w:val="14"/>
              </w:rPr>
              <w:t>82,03%</w:t>
            </w:r>
          </w:p>
        </w:tc>
        <w:tc>
          <w:tcPr>
            <w:tcW w:w="1229" w:type="dxa"/>
            <w:tcBorders>
              <w:right w:val="nil"/>
            </w:tcBorders>
          </w:tcPr>
          <w:p>
            <w:pPr>
              <w:pStyle w:val="TableParagraph"/>
              <w:spacing w:before="113"/>
              <w:ind w:left="51" w:right="39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05"/>
                <w:sz w:val="14"/>
              </w:rPr>
              <w:t>41,32%</w:t>
            </w:r>
          </w:p>
        </w:tc>
      </w:tr>
      <w:tr>
        <w:trPr>
          <w:trHeight w:val="425" w:hRule="atLeast"/>
        </w:trPr>
        <w:tc>
          <w:tcPr>
            <w:tcW w:w="103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shd w:val="clear" w:color="auto" w:fill="DAEDF3"/>
          </w:tcPr>
          <w:p>
            <w:pPr>
              <w:pStyle w:val="TableParagraph"/>
              <w:spacing w:before="130"/>
              <w:ind w:left="53" w:right="8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D7CB3"/>
                <w:sz w:val="14"/>
              </w:rPr>
              <w:t>Ta</w:t>
            </w:r>
            <w:r>
              <w:rPr>
                <w:rFonts w:ascii="Arial"/>
                <w:b/>
                <w:color w:val="1D7CB3"/>
                <w:spacing w:val="-25"/>
                <w:sz w:val="14"/>
              </w:rPr>
              <w:t> </w:t>
            </w:r>
            <w:r>
              <w:rPr>
                <w:rFonts w:ascii="Arial"/>
                <w:b/>
                <w:color w:val="1D7CB3"/>
                <w:sz w:val="14"/>
              </w:rPr>
              <w:t>sa</w:t>
            </w:r>
            <w:r>
              <w:rPr>
                <w:rFonts w:ascii="Arial"/>
                <w:b/>
                <w:color w:val="1D7CB3"/>
                <w:spacing w:val="19"/>
                <w:sz w:val="14"/>
              </w:rPr>
              <w:t> </w:t>
            </w:r>
            <w:r>
              <w:rPr>
                <w:rFonts w:ascii="Arial"/>
                <w:b/>
                <w:color w:val="1D7CB3"/>
                <w:sz w:val="14"/>
              </w:rPr>
              <w:t>Neta</w:t>
            </w:r>
            <w:r>
              <w:rPr>
                <w:rFonts w:ascii="Arial"/>
                <w:b/>
                <w:color w:val="1D7CB3"/>
                <w:spacing w:val="19"/>
                <w:sz w:val="14"/>
              </w:rPr>
              <w:t> </w:t>
            </w:r>
            <w:r>
              <w:rPr>
                <w:rFonts w:ascii="Arial"/>
                <w:b/>
                <w:color w:val="1D7CB3"/>
                <w:sz w:val="14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sz w:val="14"/>
              </w:rPr>
              <w:t> </w:t>
            </w:r>
            <w:r>
              <w:rPr>
                <w:rFonts w:ascii="Arial"/>
                <w:b/>
                <w:color w:val="1D7CB3"/>
                <w:sz w:val="14"/>
              </w:rPr>
              <w:t>Cobertura</w:t>
            </w:r>
          </w:p>
        </w:tc>
        <w:tc>
          <w:tcPr>
            <w:tcW w:w="1431" w:type="dxa"/>
            <w:shd w:val="clear" w:color="auto" w:fill="DAEDF3"/>
          </w:tcPr>
          <w:p>
            <w:pPr>
              <w:pStyle w:val="TableParagraph"/>
              <w:spacing w:before="114"/>
              <w:ind w:left="183" w:right="17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05"/>
                <w:sz w:val="14"/>
              </w:rPr>
              <w:t>73,38%</w:t>
            </w:r>
          </w:p>
        </w:tc>
        <w:tc>
          <w:tcPr>
            <w:tcW w:w="1750" w:type="dxa"/>
            <w:shd w:val="clear" w:color="auto" w:fill="DAEDF3"/>
          </w:tcPr>
          <w:p>
            <w:pPr>
              <w:pStyle w:val="TableParagraph"/>
              <w:spacing w:before="114"/>
              <w:ind w:left="489" w:right="47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05"/>
                <w:sz w:val="14"/>
              </w:rPr>
              <w:t>96,60%</w:t>
            </w:r>
          </w:p>
        </w:tc>
        <w:tc>
          <w:tcPr>
            <w:tcW w:w="1033" w:type="dxa"/>
            <w:shd w:val="clear" w:color="auto" w:fill="DAEDF3"/>
          </w:tcPr>
          <w:p>
            <w:pPr>
              <w:pStyle w:val="TableParagraph"/>
              <w:spacing w:before="114"/>
              <w:ind w:left="211" w:right="183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05"/>
                <w:sz w:val="14"/>
              </w:rPr>
              <w:t>56,67%</w:t>
            </w:r>
          </w:p>
        </w:tc>
        <w:tc>
          <w:tcPr>
            <w:tcW w:w="1229" w:type="dxa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spacing w:before="114"/>
              <w:ind w:left="51" w:right="39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05"/>
                <w:sz w:val="14"/>
              </w:rPr>
              <w:t>29,29%</w:t>
            </w:r>
          </w:p>
        </w:tc>
      </w:tr>
      <w:tr>
        <w:trPr>
          <w:trHeight w:val="426" w:hRule="atLeast"/>
        </w:trPr>
        <w:tc>
          <w:tcPr>
            <w:tcW w:w="1034" w:type="dxa"/>
            <w:vMerge w:val="restart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324"/>
              <w:rPr>
                <w:rFonts w:ascii="Verdana"/>
                <w:sz w:val="17"/>
              </w:rPr>
            </w:pPr>
            <w:r>
              <w:rPr>
                <w:rFonts w:ascii="Verdana"/>
                <w:sz w:val="17"/>
              </w:rPr>
              <w:t>2020</w:t>
            </w:r>
          </w:p>
        </w:tc>
        <w:tc>
          <w:tcPr>
            <w:tcW w:w="2353" w:type="dxa"/>
          </w:tcPr>
          <w:p>
            <w:pPr>
              <w:pStyle w:val="TableParagraph"/>
              <w:spacing w:before="130"/>
              <w:ind w:left="70" w:right="8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D7CB3"/>
                <w:spacing w:val="-2"/>
                <w:sz w:val="14"/>
              </w:rPr>
              <w:t>Ta</w:t>
            </w:r>
            <w:r>
              <w:rPr>
                <w:rFonts w:ascii="Arial"/>
                <w:b/>
                <w:color w:val="1D7CB3"/>
                <w:spacing w:val="-2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4"/>
              </w:rPr>
              <w:t>sa</w:t>
            </w:r>
            <w:r>
              <w:rPr>
                <w:rFonts w:ascii="Arial"/>
                <w:b/>
                <w:color w:val="1D7CB3"/>
                <w:spacing w:val="18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4"/>
              </w:rPr>
              <w:t>Bruta</w:t>
            </w:r>
            <w:r>
              <w:rPr>
                <w:rFonts w:ascii="Arial"/>
                <w:b/>
                <w:color w:val="1D7CB3"/>
                <w:spacing w:val="17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4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sz w:val="14"/>
              </w:rPr>
              <w:t>Cobertura</w:t>
            </w:r>
          </w:p>
        </w:tc>
        <w:tc>
          <w:tcPr>
            <w:tcW w:w="1431" w:type="dxa"/>
          </w:tcPr>
          <w:p>
            <w:pPr>
              <w:pStyle w:val="TableParagraph"/>
              <w:spacing w:before="114"/>
              <w:ind w:left="183" w:right="17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05"/>
                <w:sz w:val="14"/>
              </w:rPr>
              <w:t>99,49%</w:t>
            </w:r>
          </w:p>
        </w:tc>
        <w:tc>
          <w:tcPr>
            <w:tcW w:w="1750" w:type="dxa"/>
          </w:tcPr>
          <w:p>
            <w:pPr>
              <w:pStyle w:val="TableParagraph"/>
              <w:spacing w:before="114"/>
              <w:ind w:left="489" w:right="479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05"/>
                <w:sz w:val="14"/>
              </w:rPr>
              <w:t>111,57%</w:t>
            </w:r>
          </w:p>
        </w:tc>
        <w:tc>
          <w:tcPr>
            <w:tcW w:w="1033" w:type="dxa"/>
          </w:tcPr>
          <w:p>
            <w:pPr>
              <w:pStyle w:val="TableParagraph"/>
              <w:spacing w:before="114"/>
              <w:ind w:left="211" w:right="183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05"/>
                <w:sz w:val="14"/>
              </w:rPr>
              <w:t>82,05%</w:t>
            </w:r>
          </w:p>
        </w:tc>
        <w:tc>
          <w:tcPr>
            <w:tcW w:w="1229" w:type="dxa"/>
            <w:tcBorders>
              <w:right w:val="nil"/>
            </w:tcBorders>
          </w:tcPr>
          <w:p>
            <w:pPr>
              <w:pStyle w:val="TableParagraph"/>
              <w:spacing w:before="114"/>
              <w:ind w:left="51" w:right="39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05"/>
                <w:sz w:val="14"/>
              </w:rPr>
              <w:t>42,74%</w:t>
            </w:r>
          </w:p>
        </w:tc>
      </w:tr>
      <w:tr>
        <w:trPr>
          <w:trHeight w:val="432" w:hRule="atLeast"/>
        </w:trPr>
        <w:tc>
          <w:tcPr>
            <w:tcW w:w="1034" w:type="dxa"/>
            <w:vMerge/>
            <w:tcBorders>
              <w:top w:val="nil"/>
              <w:bottom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tcBorders>
              <w:bottom w:val="nil"/>
            </w:tcBorders>
            <w:shd w:val="clear" w:color="auto" w:fill="DAEDF3"/>
          </w:tcPr>
          <w:p>
            <w:pPr>
              <w:pStyle w:val="TableParagraph"/>
              <w:spacing w:before="130"/>
              <w:ind w:left="53" w:right="8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D7CB3"/>
                <w:sz w:val="14"/>
              </w:rPr>
              <w:t>Ta</w:t>
            </w:r>
            <w:r>
              <w:rPr>
                <w:rFonts w:ascii="Arial"/>
                <w:b/>
                <w:color w:val="1D7CB3"/>
                <w:spacing w:val="-25"/>
                <w:sz w:val="14"/>
              </w:rPr>
              <w:t> </w:t>
            </w:r>
            <w:r>
              <w:rPr>
                <w:rFonts w:ascii="Arial"/>
                <w:b/>
                <w:color w:val="1D7CB3"/>
                <w:sz w:val="14"/>
              </w:rPr>
              <w:t>sa</w:t>
            </w:r>
            <w:r>
              <w:rPr>
                <w:rFonts w:ascii="Arial"/>
                <w:b/>
                <w:color w:val="1D7CB3"/>
                <w:spacing w:val="19"/>
                <w:sz w:val="14"/>
              </w:rPr>
              <w:t> </w:t>
            </w:r>
            <w:r>
              <w:rPr>
                <w:rFonts w:ascii="Arial"/>
                <w:b/>
                <w:color w:val="1D7CB3"/>
                <w:sz w:val="14"/>
              </w:rPr>
              <w:t>Neta</w:t>
            </w:r>
            <w:r>
              <w:rPr>
                <w:rFonts w:ascii="Arial"/>
                <w:b/>
                <w:color w:val="1D7CB3"/>
                <w:spacing w:val="19"/>
                <w:sz w:val="14"/>
              </w:rPr>
              <w:t> </w:t>
            </w:r>
            <w:r>
              <w:rPr>
                <w:rFonts w:ascii="Arial"/>
                <w:b/>
                <w:color w:val="1D7CB3"/>
                <w:sz w:val="14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sz w:val="14"/>
              </w:rPr>
              <w:t> </w:t>
            </w:r>
            <w:r>
              <w:rPr>
                <w:rFonts w:ascii="Arial"/>
                <w:b/>
                <w:color w:val="1D7CB3"/>
                <w:sz w:val="14"/>
              </w:rPr>
              <w:t>Cobertura</w:t>
            </w:r>
          </w:p>
        </w:tc>
        <w:tc>
          <w:tcPr>
            <w:tcW w:w="1431" w:type="dxa"/>
            <w:tcBorders>
              <w:bottom w:val="nil"/>
            </w:tcBorders>
            <w:shd w:val="clear" w:color="auto" w:fill="DAEDF3"/>
          </w:tcPr>
          <w:p>
            <w:pPr>
              <w:pStyle w:val="TableParagraph"/>
              <w:spacing w:before="113"/>
              <w:ind w:left="183" w:right="17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05"/>
                <w:sz w:val="14"/>
              </w:rPr>
              <w:t>71,80%</w:t>
            </w:r>
          </w:p>
        </w:tc>
        <w:tc>
          <w:tcPr>
            <w:tcW w:w="1750" w:type="dxa"/>
            <w:tcBorders>
              <w:bottom w:val="nil"/>
            </w:tcBorders>
            <w:shd w:val="clear" w:color="auto" w:fill="DAEDF3"/>
          </w:tcPr>
          <w:p>
            <w:pPr>
              <w:pStyle w:val="TableParagraph"/>
              <w:spacing w:before="113"/>
              <w:ind w:left="489" w:right="47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333333"/>
                <w:w w:val="105"/>
                <w:sz w:val="14"/>
              </w:rPr>
              <w:t>96,82%</w:t>
            </w:r>
          </w:p>
        </w:tc>
        <w:tc>
          <w:tcPr>
            <w:tcW w:w="1033" w:type="dxa"/>
            <w:tcBorders>
              <w:bottom w:val="nil"/>
            </w:tcBorders>
            <w:shd w:val="clear" w:color="auto" w:fill="DAEDF3"/>
          </w:tcPr>
          <w:p>
            <w:pPr>
              <w:pStyle w:val="TableParagraph"/>
              <w:spacing w:before="113"/>
              <w:ind w:left="211" w:right="18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333333"/>
                <w:w w:val="105"/>
                <w:sz w:val="14"/>
              </w:rPr>
              <w:t>57,81%</w:t>
            </w:r>
          </w:p>
        </w:tc>
        <w:tc>
          <w:tcPr>
            <w:tcW w:w="1229" w:type="dxa"/>
            <w:tcBorders>
              <w:bottom w:val="nil"/>
              <w:right w:val="nil"/>
            </w:tcBorders>
            <w:shd w:val="clear" w:color="auto" w:fill="DAEDF3"/>
          </w:tcPr>
          <w:p>
            <w:pPr>
              <w:pStyle w:val="TableParagraph"/>
              <w:spacing w:before="111"/>
              <w:ind w:left="53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333333"/>
                <w:sz w:val="16"/>
              </w:rPr>
              <w:t>29,84%</w:t>
            </w:r>
          </w:p>
        </w:tc>
      </w:tr>
    </w:tbl>
    <w:p>
      <w:pPr>
        <w:spacing w:before="0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3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2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4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4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2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7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Educación</w:t>
      </w:r>
      <w:r>
        <w:rPr>
          <w:spacing w:val="-4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ind w:left="278" w:right="1070"/>
        <w:jc w:val="both"/>
      </w:pPr>
      <w:r>
        <w:rPr/>
        <w:t>La educación preprimaria reporta una alta cobertura durante el periodo 2017‐2020, con una TNE de</w:t>
      </w:r>
      <w:r>
        <w:rPr>
          <w:spacing w:val="1"/>
        </w:rPr>
        <w:t> </w:t>
      </w:r>
      <w:r>
        <w:rPr/>
        <w:t>(70.77%), (76.13%), (73.38%) y (71.8%) respectivamente durante los años indicados. En consecuencia, de</w:t>
      </w:r>
      <w:r>
        <w:rPr>
          <w:spacing w:val="-47"/>
        </w:rPr>
        <w:t> </w:t>
      </w:r>
      <w:r>
        <w:rPr/>
        <w:t>cada 10 niños, 7 están accediendo a este nivel. Además, de evidenciar un 26% más con respecto del TNE</w:t>
      </w:r>
      <w:r>
        <w:rPr>
          <w:spacing w:val="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(47%).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1"/>
        <w:jc w:val="both"/>
      </w:pPr>
      <w:r>
        <w:rPr/>
        <w:t>En el nivel primaria se registran mayores valores de cobertura, que van de (96.17%), (95.92%), (96.60%) y</w:t>
      </w:r>
      <w:r>
        <w:rPr>
          <w:spacing w:val="-47"/>
        </w:rPr>
        <w:t> </w:t>
      </w:r>
      <w:r>
        <w:rPr/>
        <w:t>(96.82%), registrando el valor mayor durante el 2020. El valor promedio de la TNE de Santa Rosa es de un</w:t>
      </w:r>
      <w:r>
        <w:rPr>
          <w:spacing w:val="-47"/>
        </w:rPr>
        <w:t> </w:t>
      </w:r>
      <w:r>
        <w:rPr/>
        <w:t>(96.22%) durante el periodo fue mayor al TNE Nacional (77.5%) del último valor registrado en el 2019. Lo</w:t>
      </w:r>
      <w:r>
        <w:rPr>
          <w:spacing w:val="1"/>
        </w:rPr>
        <w:t> </w:t>
      </w:r>
      <w:r>
        <w:rPr/>
        <w:t>cual</w:t>
      </w:r>
      <w:r>
        <w:rPr>
          <w:spacing w:val="-1"/>
        </w:rPr>
        <w:t> </w:t>
      </w:r>
      <w:r>
        <w:rPr/>
        <w:t>significa que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100% de</w:t>
      </w:r>
      <w:r>
        <w:rPr>
          <w:spacing w:val="1"/>
        </w:rPr>
        <w:t> </w:t>
      </w:r>
      <w:r>
        <w:rPr/>
        <w:t>los</w:t>
      </w:r>
      <w:r>
        <w:rPr>
          <w:spacing w:val="-3"/>
        </w:rPr>
        <w:t> </w:t>
      </w:r>
      <w:r>
        <w:rPr/>
        <w:t>niños</w:t>
      </w:r>
      <w:r>
        <w:rPr>
          <w:spacing w:val="-2"/>
        </w:rPr>
        <w:t> </w:t>
      </w:r>
      <w:r>
        <w:rPr/>
        <w:t>están</w:t>
      </w:r>
      <w:r>
        <w:rPr>
          <w:spacing w:val="-3"/>
        </w:rPr>
        <w:t> </w:t>
      </w:r>
      <w:r>
        <w:rPr/>
        <w:t>siendo</w:t>
      </w:r>
      <w:r>
        <w:rPr>
          <w:spacing w:val="-3"/>
        </w:rPr>
        <w:t> </w:t>
      </w:r>
      <w:r>
        <w:rPr/>
        <w:t>atendidos en</w:t>
      </w:r>
      <w:r>
        <w:rPr>
          <w:spacing w:val="-1"/>
        </w:rPr>
        <w:t> </w:t>
      </w:r>
      <w:r>
        <w:rPr/>
        <w:t>primaria.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before="1"/>
        <w:ind w:left="278" w:right="1076"/>
        <w:jc w:val="both"/>
      </w:pPr>
      <w:r>
        <w:rPr/>
        <w:t>En educación básica los valores promedio para el período presentan similitudes con los datos nacionales</w:t>
      </w:r>
      <w:r>
        <w:rPr>
          <w:spacing w:val="1"/>
        </w:rPr>
        <w:t> </w:t>
      </w:r>
      <w:r>
        <w:rPr/>
        <w:t>(TNE:45.49%), debido a que reportan valores que van desde (53.54%), (55.61%), (56.67%) y (57.81%),</w:t>
      </w:r>
      <w:r>
        <w:rPr>
          <w:spacing w:val="1"/>
        </w:rPr>
        <w:t> </w:t>
      </w:r>
      <w:r>
        <w:rPr/>
        <w:t>respectivamente para</w:t>
      </w:r>
      <w:r>
        <w:rPr>
          <w:spacing w:val="-4"/>
        </w:rPr>
        <w:t> </w:t>
      </w:r>
      <w:r>
        <w:rPr/>
        <w:t>el período</w:t>
      </w:r>
      <w:r>
        <w:rPr>
          <w:spacing w:val="-2"/>
        </w:rPr>
        <w:t> </w:t>
      </w:r>
      <w:r>
        <w:rPr/>
        <w:t>analizado.</w:t>
      </w:r>
      <w:r>
        <w:rPr>
          <w:spacing w:val="-1"/>
        </w:rPr>
        <w:t> </w:t>
      </w:r>
      <w:r>
        <w:rPr/>
        <w:t>Ello quiere</w:t>
      </w:r>
      <w:r>
        <w:rPr>
          <w:spacing w:val="-2"/>
        </w:rPr>
        <w:t> </w:t>
      </w:r>
      <w:r>
        <w:rPr/>
        <w:t>decir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más</w:t>
      </w:r>
      <w:r>
        <w:rPr>
          <w:spacing w:val="-4"/>
        </w:rPr>
        <w:t> </w:t>
      </w:r>
      <w:r>
        <w:rPr/>
        <w:t>del</w:t>
      </w:r>
      <w:r>
        <w:rPr>
          <w:spacing w:val="1"/>
        </w:rPr>
        <w:t> </w:t>
      </w:r>
      <w:r>
        <w:rPr/>
        <w:t>50% asiste al</w:t>
      </w:r>
      <w:r>
        <w:rPr>
          <w:spacing w:val="-3"/>
        </w:rPr>
        <w:t> </w:t>
      </w:r>
      <w:r>
        <w:rPr/>
        <w:t>ciclo</w:t>
      </w:r>
      <w:r>
        <w:rPr>
          <w:spacing w:val="-2"/>
        </w:rPr>
        <w:t> </w:t>
      </w:r>
      <w:r>
        <w:rPr/>
        <w:t>básico.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5"/>
        <w:jc w:val="both"/>
      </w:pPr>
      <w:r>
        <w:rPr/>
        <w:t>Por otro lado, el nivel diversificado, presenta un incremento del 4% de cobertura con respecto del TNE</w:t>
      </w:r>
      <w:r>
        <w:rPr>
          <w:spacing w:val="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(24%)</w:t>
      </w:r>
      <w:r>
        <w:rPr>
          <w:spacing w:val="-2"/>
        </w:rPr>
        <w:t> </w:t>
      </w:r>
      <w:r>
        <w:rPr/>
        <w:t>ya que</w:t>
      </w:r>
      <w:r>
        <w:rPr>
          <w:spacing w:val="1"/>
        </w:rPr>
        <w:t> </w:t>
      </w:r>
      <w:r>
        <w:rPr/>
        <w:t>posee una</w:t>
      </w:r>
      <w:r>
        <w:rPr>
          <w:spacing w:val="-1"/>
        </w:rPr>
        <w:t> </w:t>
      </w:r>
      <w:r>
        <w:rPr/>
        <w:t>tasa promedio</w:t>
      </w:r>
      <w:r>
        <w:rPr>
          <w:spacing w:val="1"/>
        </w:rPr>
        <w:t> </w:t>
      </w:r>
      <w:r>
        <w:rPr/>
        <w:t>del 28.83%.</w:t>
      </w:r>
    </w:p>
    <w:p>
      <w:pPr>
        <w:pStyle w:val="BodyText"/>
        <w:spacing w:before="1"/>
      </w:pPr>
    </w:p>
    <w:p>
      <w:pPr>
        <w:pStyle w:val="BodyText"/>
        <w:ind w:left="278" w:right="1069"/>
        <w:jc w:val="both"/>
      </w:pPr>
      <w:r>
        <w:rPr>
          <w:spacing w:val="-1"/>
        </w:rPr>
        <w:t>Estas</w:t>
      </w:r>
      <w:r>
        <w:rPr>
          <w:spacing w:val="-10"/>
        </w:rPr>
        <w:t> </w:t>
      </w:r>
      <w:r>
        <w:rPr>
          <w:spacing w:val="-1"/>
        </w:rPr>
        <w:t>cifras</w:t>
      </w:r>
      <w:r>
        <w:rPr>
          <w:spacing w:val="-10"/>
        </w:rPr>
        <w:t> </w:t>
      </w:r>
      <w:r>
        <w:rPr>
          <w:spacing w:val="-1"/>
        </w:rPr>
        <w:t>podrían</w:t>
      </w:r>
      <w:r>
        <w:rPr>
          <w:spacing w:val="-10"/>
        </w:rPr>
        <w:t> </w:t>
      </w:r>
      <w:r>
        <w:rPr/>
        <w:t>explicarse</w:t>
      </w:r>
      <w:r>
        <w:rPr>
          <w:spacing w:val="-9"/>
        </w:rPr>
        <w:t> </w:t>
      </w:r>
      <w:r>
        <w:rPr/>
        <w:t>por</w:t>
      </w:r>
      <w:r>
        <w:rPr>
          <w:spacing w:val="-11"/>
        </w:rPr>
        <w:t> </w:t>
      </w:r>
      <w:r>
        <w:rPr/>
        <w:t>una</w:t>
      </w:r>
      <w:r>
        <w:rPr>
          <w:spacing w:val="-10"/>
        </w:rPr>
        <w:t> </w:t>
      </w:r>
      <w:r>
        <w:rPr/>
        <w:t>alta</w:t>
      </w:r>
      <w:r>
        <w:rPr>
          <w:spacing w:val="-12"/>
        </w:rPr>
        <w:t> </w:t>
      </w:r>
      <w:r>
        <w:rPr/>
        <w:t>deserción</w:t>
      </w:r>
      <w:r>
        <w:rPr>
          <w:spacing w:val="-13"/>
        </w:rPr>
        <w:t> </w:t>
      </w:r>
      <w:r>
        <w:rPr/>
        <w:t>escolar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adolescentes</w:t>
      </w:r>
      <w:r>
        <w:rPr>
          <w:spacing w:val="-11"/>
        </w:rPr>
        <w:t> </w:t>
      </w:r>
      <w:r>
        <w:rPr/>
        <w:t>que</w:t>
      </w:r>
      <w:r>
        <w:rPr>
          <w:spacing w:val="-9"/>
        </w:rPr>
        <w:t> </w:t>
      </w:r>
      <w:r>
        <w:rPr/>
        <w:t>entran</w:t>
      </w:r>
      <w:r>
        <w:rPr>
          <w:spacing w:val="-9"/>
        </w:rPr>
        <w:t> </w:t>
      </w:r>
      <w:r>
        <w:rPr/>
        <w:t>prematuramente</w:t>
      </w:r>
      <w:r>
        <w:rPr>
          <w:spacing w:val="-48"/>
        </w:rPr>
        <w:t> </w:t>
      </w:r>
      <w:r>
        <w:rPr/>
        <w:t>a la vida laboral abandonando su educación. En el 2018, el INE registraba para Santa Rosa razones de</w:t>
      </w:r>
      <w:r>
        <w:rPr>
          <w:spacing w:val="1"/>
        </w:rPr>
        <w:t> </w:t>
      </w:r>
      <w:r>
        <w:rPr/>
        <w:t>deserción</w:t>
      </w:r>
      <w:r>
        <w:rPr>
          <w:spacing w:val="-5"/>
        </w:rPr>
        <w:t> </w:t>
      </w:r>
      <w:r>
        <w:rPr/>
        <w:t>como,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ejemplo:</w:t>
      </w:r>
      <w:r>
        <w:rPr>
          <w:spacing w:val="-4"/>
        </w:rPr>
        <w:t> </w:t>
      </w:r>
      <w:r>
        <w:rPr/>
        <w:t>Falta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dinero</w:t>
      </w:r>
      <w:r>
        <w:rPr>
          <w:spacing w:val="-2"/>
        </w:rPr>
        <w:t> </w:t>
      </w:r>
      <w:r>
        <w:rPr/>
        <w:t>(29%),</w:t>
      </w:r>
      <w:r>
        <w:rPr>
          <w:spacing w:val="-4"/>
        </w:rPr>
        <w:t> </w:t>
      </w:r>
      <w:r>
        <w:rPr/>
        <w:t>Tiene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Trabajar</w:t>
      </w:r>
      <w:r>
        <w:rPr>
          <w:spacing w:val="-6"/>
        </w:rPr>
        <w:t> </w:t>
      </w:r>
      <w:r>
        <w:rPr/>
        <w:t>(20%),</w:t>
      </w:r>
      <w:r>
        <w:rPr>
          <w:spacing w:val="-4"/>
        </w:rPr>
        <w:t> </w:t>
      </w:r>
      <w:r>
        <w:rPr/>
        <w:t>entre</w:t>
      </w:r>
      <w:r>
        <w:rPr>
          <w:spacing w:val="-3"/>
        </w:rPr>
        <w:t> </w:t>
      </w:r>
      <w:r>
        <w:rPr/>
        <w:t>otros.</w:t>
      </w:r>
      <w:r>
        <w:rPr>
          <w:spacing w:val="43"/>
        </w:rPr>
        <w:t> </w:t>
      </w:r>
      <w:r>
        <w:rPr/>
        <w:t>Mientras</w:t>
      </w:r>
      <w:r>
        <w:rPr>
          <w:spacing w:val="-4"/>
        </w:rPr>
        <w:t> </w:t>
      </w:r>
      <w:r>
        <w:rPr/>
        <w:t>que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  <w:r>
        <w:rPr/>
        <w:pict>
          <v:rect style="position:absolute;margin-left:563.880005pt;margin-top:14.08543pt;width:25.44pt;height:1.4399pt;mso-position-horizontal-relative:page;mso-position-vertical-relative:paragraph;z-index:-1537484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182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68032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8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9"/>
        <w:jc w:val="both"/>
      </w:pPr>
      <w:r>
        <w:rPr/>
        <w:t>para el 2020, DIPLAN identificó los motivos de retiro más reportados para este departamento: 1. No le</w:t>
      </w:r>
      <w:r>
        <w:rPr>
          <w:spacing w:val="1"/>
        </w:rPr>
        <w:t> </w:t>
      </w:r>
      <w:r>
        <w:rPr/>
        <w:t>interesa.</w:t>
      </w:r>
      <w:r>
        <w:rPr>
          <w:spacing w:val="-3"/>
        </w:rPr>
        <w:t> </w:t>
      </w:r>
      <w:r>
        <w:rPr/>
        <w:t>2.</w:t>
      </w:r>
      <w:r>
        <w:rPr>
          <w:spacing w:val="-1"/>
        </w:rPr>
        <w:t> </w:t>
      </w:r>
      <w:r>
        <w:rPr/>
        <w:t>Retiro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Traslado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3.</w:t>
      </w:r>
      <w:r>
        <w:rPr>
          <w:spacing w:val="-3"/>
        </w:rPr>
        <w:t> </w:t>
      </w:r>
      <w:r>
        <w:rPr/>
        <w:t>Trabajo, entre</w:t>
      </w:r>
      <w:r>
        <w:rPr>
          <w:spacing w:val="-2"/>
        </w:rPr>
        <w:t> </w:t>
      </w:r>
      <w:r>
        <w:rPr/>
        <w:t>otros.</w:t>
      </w:r>
    </w:p>
    <w:p>
      <w:pPr>
        <w:pStyle w:val="BodyText"/>
        <w:spacing w:before="8"/>
        <w:rPr>
          <w:sz w:val="19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228" w:id="389"/>
      <w:bookmarkEnd w:id="389"/>
      <w:r>
        <w:rPr>
          <w:b w:val="0"/>
        </w:rPr>
      </w:r>
      <w:bookmarkStart w:name="_bookmark228" w:id="390"/>
      <w:bookmarkEnd w:id="390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Cobertura:</w:t>
      </w:r>
      <w:r>
        <w:rPr>
          <w:spacing w:val="-3"/>
        </w:rPr>
        <w:t> </w:t>
      </w:r>
      <w:r>
        <w:rPr/>
        <w:t>Tasa</w:t>
      </w:r>
      <w:r>
        <w:rPr>
          <w:spacing w:val="-3"/>
        </w:rPr>
        <w:t> </w:t>
      </w:r>
      <w:r>
        <w:rPr/>
        <w:t>Bruta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Déficit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departamento,</w:t>
      </w:r>
      <w:r>
        <w:rPr>
          <w:spacing w:val="-1"/>
        </w:rPr>
        <w:t> </w:t>
      </w:r>
      <w:r>
        <w:rPr/>
        <w:t>sexo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etnia.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278" w:right="1076"/>
        <w:jc w:val="both"/>
      </w:pPr>
      <w:r>
        <w:rPr/>
        <w:t>Gráfico Nº. Total de población estudiantil por niveles educativos, etnia y sexo para el Departamento de</w:t>
      </w:r>
      <w:r>
        <w:rPr>
          <w:spacing w:val="1"/>
        </w:rPr>
        <w:t> </w:t>
      </w:r>
      <w:r>
        <w:rPr/>
        <w:t>Santa</w:t>
      </w:r>
      <w:r>
        <w:rPr>
          <w:spacing w:val="-1"/>
        </w:rPr>
        <w:t> </w:t>
      </w:r>
      <w:r>
        <w:rPr/>
        <w:t>Rosa (2017-2021)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30"/>
        </w:rPr>
      </w:pPr>
    </w:p>
    <w:p>
      <w:pPr>
        <w:pStyle w:val="BodyText"/>
        <w:ind w:left="278" w:right="1072"/>
        <w:jc w:val="both"/>
      </w:pPr>
      <w:r>
        <w:rPr/>
        <w:t>Este gráfico muestra el total de la población estudiantil por niveles educativos, etnia y sexo durante el</w:t>
      </w:r>
      <w:r>
        <w:rPr>
          <w:spacing w:val="1"/>
        </w:rPr>
        <w:t> </w:t>
      </w:r>
      <w:r>
        <w:rPr/>
        <w:t>período</w:t>
      </w:r>
      <w:r>
        <w:rPr>
          <w:spacing w:val="-8"/>
        </w:rPr>
        <w:t> </w:t>
      </w:r>
      <w:r>
        <w:rPr/>
        <w:t>2017-2021,</w:t>
      </w:r>
      <w:r>
        <w:rPr>
          <w:spacing w:val="-5"/>
        </w:rPr>
        <w:t> </w:t>
      </w:r>
      <w:r>
        <w:rPr/>
        <w:t>para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Departamento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Santa</w:t>
      </w:r>
      <w:r>
        <w:rPr>
          <w:spacing w:val="-6"/>
        </w:rPr>
        <w:t> </w:t>
      </w:r>
      <w:r>
        <w:rPr/>
        <w:t>Rosa.</w:t>
      </w:r>
      <w:r>
        <w:rPr>
          <w:spacing w:val="-6"/>
        </w:rPr>
        <w:t> </w:t>
      </w:r>
      <w:r>
        <w:rPr/>
        <w:t>Según</w:t>
      </w:r>
      <w:r>
        <w:rPr>
          <w:spacing w:val="-7"/>
        </w:rPr>
        <w:t> </w:t>
      </w:r>
      <w:r>
        <w:rPr/>
        <w:t>DIPLAN</w:t>
      </w:r>
      <w:r>
        <w:rPr>
          <w:spacing w:val="-7"/>
        </w:rPr>
        <w:t> </w:t>
      </w:r>
      <w:r>
        <w:rPr/>
        <w:t>(2021),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7"/>
        </w:rPr>
        <w:t> </w:t>
      </w:r>
      <w:r>
        <w:rPr/>
        <w:t>cifras</w:t>
      </w:r>
      <w:r>
        <w:rPr>
          <w:spacing w:val="-6"/>
        </w:rPr>
        <w:t> </w:t>
      </w:r>
      <w:r>
        <w:rPr/>
        <w:t>anteriores,</w:t>
      </w:r>
      <w:r>
        <w:rPr>
          <w:spacing w:val="-5"/>
        </w:rPr>
        <w:t> </w:t>
      </w:r>
      <w:r>
        <w:rPr/>
        <w:t>la</w:t>
      </w:r>
      <w:r>
        <w:rPr>
          <w:spacing w:val="-48"/>
        </w:rPr>
        <w:t> </w:t>
      </w:r>
      <w:r>
        <w:rPr/>
        <w:t>proporción de atención a la población estudiantil fue como sigue: Ladino: 51% de hombres y 49% de</w:t>
      </w:r>
      <w:r>
        <w:rPr>
          <w:spacing w:val="1"/>
        </w:rPr>
        <w:t> </w:t>
      </w:r>
      <w:r>
        <w:rPr/>
        <w:t>mujeres.</w:t>
      </w:r>
    </w:p>
    <w:p>
      <w:pPr>
        <w:pStyle w:val="BodyText"/>
        <w:spacing w:before="1"/>
      </w:pPr>
    </w:p>
    <w:p>
      <w:pPr>
        <w:pStyle w:val="BodyText"/>
        <w:spacing w:before="1"/>
        <w:ind w:left="278" w:right="1072"/>
        <w:jc w:val="both"/>
      </w:pPr>
      <w:r>
        <w:rPr/>
        <w:t>Xinca: 0.0% de hombres y mujeres. Maya: 0% de hombres y mujeres. Al comparar estos resultados con la</w:t>
      </w:r>
      <w:r>
        <w:rPr>
          <w:spacing w:val="-47"/>
        </w:rPr>
        <w:t> </w:t>
      </w:r>
      <w:r>
        <w:rPr/>
        <w:t>información</w:t>
      </w:r>
      <w:r>
        <w:rPr>
          <w:spacing w:val="-10"/>
        </w:rPr>
        <w:t> </w:t>
      </w:r>
      <w:r>
        <w:rPr/>
        <w:t>del</w:t>
      </w:r>
      <w:r>
        <w:rPr>
          <w:spacing w:val="-8"/>
        </w:rPr>
        <w:t> </w:t>
      </w:r>
      <w:r>
        <w:rPr/>
        <w:t>INE,</w:t>
      </w:r>
      <w:r>
        <w:rPr>
          <w:spacing w:val="-8"/>
        </w:rPr>
        <w:t> </w:t>
      </w:r>
      <w:r>
        <w:rPr/>
        <w:t>(2018),</w:t>
      </w:r>
      <w:r>
        <w:rPr>
          <w:spacing w:val="-8"/>
        </w:rPr>
        <w:t> </w:t>
      </w:r>
      <w:r>
        <w:rPr/>
        <w:t>es</w:t>
      </w:r>
      <w:r>
        <w:rPr>
          <w:spacing w:val="-8"/>
        </w:rPr>
        <w:t> </w:t>
      </w:r>
      <w:r>
        <w:rPr/>
        <w:t>posible</w:t>
      </w:r>
      <w:r>
        <w:rPr>
          <w:spacing w:val="-10"/>
        </w:rPr>
        <w:t> </w:t>
      </w:r>
      <w:r>
        <w:rPr/>
        <w:t>evidenciar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falta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equidad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10"/>
        </w:rPr>
        <w:t> </w:t>
      </w:r>
      <w:r>
        <w:rPr/>
        <w:t>acceso</w:t>
      </w:r>
      <w:r>
        <w:rPr>
          <w:spacing w:val="-12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educación</w:t>
      </w:r>
      <w:r>
        <w:rPr>
          <w:spacing w:val="-9"/>
        </w:rPr>
        <w:t> </w:t>
      </w:r>
      <w:r>
        <w:rPr/>
        <w:t>por</w:t>
      </w:r>
      <w:r>
        <w:rPr>
          <w:spacing w:val="-8"/>
        </w:rPr>
        <w:t> </w:t>
      </w:r>
      <w:r>
        <w:rPr/>
        <w:t>etnias</w:t>
      </w:r>
      <w:r>
        <w:rPr>
          <w:spacing w:val="-47"/>
        </w:rPr>
        <w:t> </w:t>
      </w:r>
      <w:r>
        <w:rPr/>
        <w:t>mayoritarias.</w:t>
      </w:r>
      <w:r>
        <w:rPr>
          <w:spacing w:val="-4"/>
        </w:rPr>
        <w:t> </w:t>
      </w:r>
      <w:r>
        <w:rPr/>
        <w:t>(Ladina</w:t>
      </w:r>
      <w:r>
        <w:rPr>
          <w:spacing w:val="-3"/>
        </w:rPr>
        <w:t> </w:t>
      </w:r>
      <w:r>
        <w:rPr/>
        <w:t>83%,</w:t>
      </w:r>
      <w:r>
        <w:rPr>
          <w:spacing w:val="-5"/>
        </w:rPr>
        <w:t> </w:t>
      </w:r>
      <w:r>
        <w:rPr/>
        <w:t>Xinca</w:t>
      </w:r>
      <w:r>
        <w:rPr>
          <w:spacing w:val="-3"/>
        </w:rPr>
        <w:t> </w:t>
      </w:r>
      <w:r>
        <w:rPr/>
        <w:t>14%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Maya</w:t>
      </w:r>
      <w:r>
        <w:rPr>
          <w:spacing w:val="-4"/>
        </w:rPr>
        <w:t> </w:t>
      </w:r>
      <w:r>
        <w:rPr/>
        <w:t>2%).</w:t>
      </w:r>
      <w:r>
        <w:rPr>
          <w:spacing w:val="-3"/>
        </w:rPr>
        <w:t> </w:t>
      </w:r>
      <w:r>
        <w:rPr/>
        <w:t>Es</w:t>
      </w:r>
      <w:r>
        <w:rPr>
          <w:spacing w:val="-3"/>
        </w:rPr>
        <w:t> </w:t>
      </w:r>
      <w:r>
        <w:rPr/>
        <w:t>decir,</w:t>
      </w:r>
      <w:r>
        <w:rPr>
          <w:spacing w:val="-2"/>
        </w:rPr>
        <w:t> </w:t>
      </w:r>
      <w:r>
        <w:rPr/>
        <w:t>un</w:t>
      </w:r>
      <w:r>
        <w:rPr>
          <w:spacing w:val="-4"/>
        </w:rPr>
        <w:t> </w:t>
      </w:r>
      <w:r>
        <w:rPr/>
        <w:t>niño</w:t>
      </w:r>
      <w:r>
        <w:rPr>
          <w:spacing w:val="-2"/>
        </w:rPr>
        <w:t> </w:t>
      </w:r>
      <w:r>
        <w:rPr/>
        <w:t>o adolescente</w:t>
      </w:r>
      <w:r>
        <w:rPr>
          <w:spacing w:val="-5"/>
        </w:rPr>
        <w:t> </w:t>
      </w:r>
      <w:r>
        <w:rPr/>
        <w:t>Xinca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Maya,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posee</w:t>
      </w:r>
      <w:r>
        <w:rPr>
          <w:spacing w:val="-47"/>
        </w:rPr>
        <w:t> </w:t>
      </w:r>
      <w:r>
        <w:rPr/>
        <w:t>oportunidad de entrar al sistema educativo nacional. Solamente si se es ladino, se tendrán posibilidades</w:t>
      </w:r>
      <w:r>
        <w:rPr>
          <w:spacing w:val="1"/>
        </w:rPr>
        <w:t> </w:t>
      </w:r>
      <w:r>
        <w:rPr/>
        <w:t>educativas. Esto quiere decir que, en este departamento el sistema educativo carece de inclusión y</w:t>
      </w:r>
      <w:r>
        <w:rPr>
          <w:spacing w:val="1"/>
        </w:rPr>
        <w:t> </w:t>
      </w:r>
      <w:r>
        <w:rPr/>
        <w:t>pertinencia cultural.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2"/>
        <w:jc w:val="both"/>
      </w:pPr>
      <w:r>
        <w:rPr/>
        <w:t>Por otra parte, respecto del sexo se sigue presentando una brecha de atención en dónde la participación</w:t>
      </w:r>
      <w:r>
        <w:rPr>
          <w:spacing w:val="1"/>
        </w:rPr>
        <w:t> </w:t>
      </w:r>
      <w:r>
        <w:rPr/>
        <w:t>del hombre Ladino, es mayor que la de la mujer sobre todo considerando que en este departamento el</w:t>
      </w:r>
      <w:r>
        <w:rPr>
          <w:spacing w:val="1"/>
        </w:rPr>
        <w:t> </w:t>
      </w:r>
      <w:r>
        <w:rPr/>
        <w:t>51% es mujer y el 49% es hombre. Es decir, –ser mujer- es un factor desfavorable para ingresar y</w:t>
      </w:r>
      <w:r>
        <w:rPr>
          <w:spacing w:val="1"/>
        </w:rPr>
        <w:t> </w:t>
      </w:r>
      <w:r>
        <w:rPr/>
        <w:t>permanecer en el sistema. Adicionalmente, para la mujer Xinca existe nula o escasa oportunidad de</w:t>
      </w:r>
      <w:r>
        <w:rPr>
          <w:spacing w:val="1"/>
        </w:rPr>
        <w:t> </w:t>
      </w:r>
      <w:r>
        <w:rPr/>
        <w:t>ingresar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el sistema educativo</w:t>
      </w:r>
      <w:r>
        <w:rPr>
          <w:spacing w:val="1"/>
        </w:rPr>
        <w:t> </w:t>
      </w:r>
      <w:r>
        <w:rPr/>
        <w:t>del departamento.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  <w:r>
        <w:rPr/>
        <w:pict>
          <v:rect style="position:absolute;margin-left:563.880005pt;margin-top:17.242399pt;width:25.44pt;height:1.4399pt;mso-position-horizontal-relative:page;mso-position-vertical-relative:paragraph;z-index:-1537331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183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69568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8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1"/>
          <w:numId w:val="36"/>
        </w:numPr>
        <w:tabs>
          <w:tab w:pos="855" w:val="left" w:leader="none"/>
        </w:tabs>
        <w:spacing w:line="240" w:lineRule="auto" w:before="52" w:after="0"/>
        <w:ind w:left="854" w:right="0" w:hanging="577"/>
        <w:jc w:val="left"/>
      </w:pPr>
      <w:bookmarkStart w:name="_bookmark229" w:id="391"/>
      <w:bookmarkEnd w:id="391"/>
      <w:r>
        <w:rPr>
          <w:b w:val="0"/>
        </w:rPr>
      </w:r>
      <w:bookmarkStart w:name="_bookmark229" w:id="392"/>
      <w:bookmarkEnd w:id="392"/>
      <w:r>
        <w:rPr>
          <w:color w:val="1F4E79"/>
        </w:rPr>
        <w:t>Solo</w:t>
      </w:r>
      <w:r>
        <w:rPr>
          <w:color w:val="1F4E79"/>
        </w:rPr>
        <w:t>lá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2"/>
          <w:numId w:val="36"/>
        </w:numPr>
        <w:tabs>
          <w:tab w:pos="999" w:val="left" w:leader="none"/>
        </w:tabs>
        <w:spacing w:line="240" w:lineRule="auto" w:before="187" w:after="0"/>
        <w:ind w:left="998" w:right="0" w:hanging="721"/>
        <w:jc w:val="left"/>
        <w:rPr>
          <w:b/>
          <w:sz w:val="24"/>
        </w:rPr>
      </w:pPr>
      <w:bookmarkStart w:name="_bookmark230" w:id="393"/>
      <w:bookmarkEnd w:id="393"/>
      <w:r>
        <w:rPr/>
      </w:r>
      <w:bookmarkStart w:name="_bookmark230" w:id="394"/>
      <w:bookmarkEnd w:id="394"/>
      <w:r>
        <w:rPr>
          <w:b/>
          <w:sz w:val="24"/>
        </w:rPr>
        <w:t>Inf</w:t>
      </w:r>
      <w:r>
        <w:rPr>
          <w:b/>
          <w:sz w:val="24"/>
        </w:rPr>
        <w:t>ormación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General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4577"/>
        <w:jc w:val="both"/>
      </w:pPr>
      <w:r>
        <w:rPr/>
        <w:drawing>
          <wp:anchor distT="0" distB="0" distL="0" distR="0" allowOverlap="1" layoutInCell="1" locked="0" behindDoc="0" simplePos="0" relativeHeight="16087040">
            <wp:simplePos x="0" y="0"/>
            <wp:positionH relativeFrom="page">
              <wp:posOffset>4761229</wp:posOffset>
            </wp:positionH>
            <wp:positionV relativeFrom="paragraph">
              <wp:posOffset>5634</wp:posOffset>
            </wp:positionV>
            <wp:extent cx="1827526" cy="1828489"/>
            <wp:effectExtent l="0" t="0" r="0" b="0"/>
            <wp:wrapNone/>
            <wp:docPr id="487" name="image1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124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526" cy="1828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Según el INE (2018), Sololá posee un total de 421,583 habitantes,</w:t>
      </w:r>
      <w:r>
        <w:rPr>
          <w:spacing w:val="1"/>
        </w:rPr>
        <w:t> </w:t>
      </w:r>
      <w:r>
        <w:rPr/>
        <w:t>integrado</w:t>
      </w:r>
      <w:r>
        <w:rPr>
          <w:spacing w:val="-8"/>
        </w:rPr>
        <w:t> </w:t>
      </w:r>
      <w:r>
        <w:rPr/>
        <w:t>por</w:t>
      </w:r>
      <w:r>
        <w:rPr>
          <w:spacing w:val="-10"/>
        </w:rPr>
        <w:t> </w:t>
      </w:r>
      <w:r>
        <w:rPr/>
        <w:t>el</w:t>
      </w:r>
      <w:r>
        <w:rPr>
          <w:spacing w:val="-8"/>
        </w:rPr>
        <w:t> </w:t>
      </w:r>
      <w:r>
        <w:rPr/>
        <w:t>52%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mujeres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48%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hombres.</w:t>
      </w:r>
      <w:r>
        <w:rPr>
          <w:spacing w:val="-12"/>
        </w:rPr>
        <w:t> </w:t>
      </w:r>
      <w:r>
        <w:rPr/>
        <w:t>Cabe</w:t>
      </w:r>
      <w:r>
        <w:rPr>
          <w:spacing w:val="-7"/>
        </w:rPr>
        <w:t> </w:t>
      </w:r>
      <w:r>
        <w:rPr/>
        <w:t>destacar</w:t>
      </w:r>
      <w:r>
        <w:rPr>
          <w:spacing w:val="-47"/>
        </w:rPr>
        <w:t> </w:t>
      </w:r>
      <w:r>
        <w:rPr/>
        <w:t>que</w:t>
      </w:r>
      <w:r>
        <w:rPr>
          <w:spacing w:val="1"/>
        </w:rPr>
        <w:t> </w:t>
      </w:r>
      <w:r>
        <w:rPr/>
        <w:t>el 46%</w:t>
      </w:r>
      <w:r>
        <w:rPr>
          <w:spacing w:val="1"/>
        </w:rPr>
        <w:t> </w:t>
      </w:r>
      <w:r>
        <w:rPr/>
        <w:t>de 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es niño o</w:t>
      </w:r>
      <w:r>
        <w:rPr>
          <w:spacing w:val="1"/>
        </w:rPr>
        <w:t> </w:t>
      </w:r>
      <w:r>
        <w:rPr/>
        <w:t>adolescente,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 se</w:t>
      </w:r>
      <w:r>
        <w:rPr>
          <w:spacing w:val="1"/>
        </w:rPr>
        <w:t> </w:t>
      </w:r>
      <w:r>
        <w:rPr/>
        <w:t>encuentran entre el rango de 0 a 19 años.</w:t>
      </w:r>
      <w:r>
        <w:rPr>
          <w:spacing w:val="1"/>
        </w:rPr>
        <w:t> </w:t>
      </w:r>
      <w:r>
        <w:rPr/>
        <w:t>De este total, el 62%</w:t>
      </w:r>
      <w:r>
        <w:rPr>
          <w:spacing w:val="1"/>
        </w:rPr>
        <w:t> </w:t>
      </w:r>
      <w:r>
        <w:rPr/>
        <w:t>reside</w:t>
      </w:r>
      <w:r>
        <w:rPr>
          <w:spacing w:val="-3"/>
        </w:rPr>
        <w:t> </w:t>
      </w:r>
      <w:r>
        <w:rPr/>
        <w:t>en el</w:t>
      </w:r>
      <w:r>
        <w:rPr>
          <w:spacing w:val="-4"/>
        </w:rPr>
        <w:t> </w:t>
      </w:r>
      <w:r>
        <w:rPr/>
        <w:t>área urbana,</w:t>
      </w:r>
      <w:r>
        <w:rPr>
          <w:spacing w:val="-3"/>
        </w:rPr>
        <w:t> </w:t>
      </w:r>
      <w:r>
        <w:rPr/>
        <w:t>mientras que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restante</w:t>
      </w:r>
      <w:r>
        <w:rPr>
          <w:spacing w:val="-3"/>
        </w:rPr>
        <w:t> </w:t>
      </w:r>
      <w:r>
        <w:rPr/>
        <w:t>38%</w:t>
      </w:r>
      <w:r>
        <w:rPr>
          <w:spacing w:val="-2"/>
        </w:rPr>
        <w:t> </w:t>
      </w:r>
      <w:r>
        <w:rPr/>
        <w:t>es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área</w:t>
      </w:r>
      <w:r>
        <w:rPr>
          <w:spacing w:val="-47"/>
        </w:rPr>
        <w:t> </w:t>
      </w:r>
      <w:r>
        <w:rPr/>
        <w:t>rural.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ellos,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96%</w:t>
      </w:r>
      <w:r>
        <w:rPr>
          <w:spacing w:val="-4"/>
        </w:rPr>
        <w:t> </w:t>
      </w:r>
      <w:r>
        <w:rPr/>
        <w:t>se</w:t>
      </w:r>
      <w:r>
        <w:rPr>
          <w:spacing w:val="-7"/>
        </w:rPr>
        <w:t> </w:t>
      </w:r>
      <w:r>
        <w:rPr/>
        <w:t>reconoce</w:t>
      </w:r>
      <w:r>
        <w:rPr>
          <w:spacing w:val="-6"/>
        </w:rPr>
        <w:t> </w:t>
      </w:r>
      <w:r>
        <w:rPr/>
        <w:t>mayoritariamente</w:t>
      </w:r>
      <w:r>
        <w:rPr>
          <w:spacing w:val="-9"/>
        </w:rPr>
        <w:t> </w:t>
      </w:r>
      <w:r>
        <w:rPr/>
        <w:t>Maya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/>
        <w:t>el</w:t>
      </w:r>
      <w:r>
        <w:rPr>
          <w:spacing w:val="-4"/>
        </w:rPr>
        <w:t> </w:t>
      </w:r>
      <w:r>
        <w:rPr/>
        <w:t>3%</w:t>
      </w:r>
      <w:r>
        <w:rPr>
          <w:spacing w:val="-47"/>
        </w:rPr>
        <w:t> </w:t>
      </w:r>
      <w:r>
        <w:rPr/>
        <w:t>como</w:t>
      </w:r>
      <w:r>
        <w:rPr>
          <w:spacing w:val="-2"/>
        </w:rPr>
        <w:t> </w:t>
      </w:r>
      <w:r>
        <w:rPr/>
        <w:t>etnia</w:t>
      </w:r>
      <w:r>
        <w:rPr>
          <w:spacing w:val="-2"/>
        </w:rPr>
        <w:t> </w:t>
      </w:r>
      <w:r>
        <w:rPr/>
        <w:t>Ladina.</w:t>
      </w:r>
    </w:p>
    <w:p>
      <w:pPr>
        <w:pStyle w:val="BodyText"/>
        <w:spacing w:before="12"/>
        <w:rPr>
          <w:sz w:val="21"/>
        </w:rPr>
      </w:pPr>
    </w:p>
    <w:p>
      <w:pPr>
        <w:pStyle w:val="BodyText"/>
        <w:ind w:left="278"/>
        <w:jc w:val="both"/>
      </w:pPr>
      <w:r>
        <w:rPr/>
        <w:t>Por</w:t>
      </w:r>
      <w:r>
        <w:rPr>
          <w:spacing w:val="45"/>
        </w:rPr>
        <w:t> </w:t>
      </w:r>
      <w:r>
        <w:rPr/>
        <w:t>otro</w:t>
      </w:r>
      <w:r>
        <w:rPr>
          <w:spacing w:val="49"/>
        </w:rPr>
        <w:t> </w:t>
      </w:r>
      <w:r>
        <w:rPr/>
        <w:t>lado,</w:t>
      </w:r>
      <w:r>
        <w:rPr>
          <w:spacing w:val="1"/>
        </w:rPr>
        <w:t> </w:t>
      </w:r>
      <w:r>
        <w:rPr/>
        <w:t>la</w:t>
      </w:r>
      <w:r>
        <w:rPr>
          <w:spacing w:val="47"/>
        </w:rPr>
        <w:t> </w:t>
      </w:r>
      <w:r>
        <w:rPr/>
        <w:t>comunidad  maya</w:t>
      </w:r>
      <w:r>
        <w:rPr>
          <w:spacing w:val="51"/>
        </w:rPr>
        <w:t> </w:t>
      </w:r>
      <w:r>
        <w:rPr/>
        <w:t>lingüística</w:t>
      </w:r>
      <w:r>
        <w:rPr>
          <w:spacing w:val="47"/>
        </w:rPr>
        <w:t> </w:t>
      </w:r>
      <w:r>
        <w:rPr/>
        <w:t>dominante</w:t>
      </w:r>
      <w:r>
        <w:rPr>
          <w:spacing w:val="50"/>
        </w:rPr>
        <w:t> </w:t>
      </w:r>
      <w:r>
        <w:rPr/>
        <w:t>es</w:t>
      </w:r>
      <w:r>
        <w:rPr>
          <w:spacing w:val="49"/>
        </w:rPr>
        <w:t> </w:t>
      </w:r>
      <w:r>
        <w:rPr/>
        <w:t>el</w:t>
      </w:r>
    </w:p>
    <w:p>
      <w:pPr>
        <w:pStyle w:val="BodyText"/>
        <w:ind w:left="278"/>
        <w:jc w:val="both"/>
      </w:pPr>
      <w:r>
        <w:rPr/>
        <w:t>K’iche’</w:t>
      </w:r>
      <w:r>
        <w:rPr>
          <w:spacing w:val="-3"/>
        </w:rPr>
        <w:t> </w:t>
      </w:r>
      <w:r>
        <w:rPr/>
        <w:t>(44%),</w:t>
      </w:r>
      <w:r>
        <w:rPr>
          <w:spacing w:val="-4"/>
        </w:rPr>
        <w:t> </w:t>
      </w:r>
      <w:r>
        <w:rPr/>
        <w:t>Kaqchiquel (39%)</w:t>
      </w:r>
      <w:r>
        <w:rPr>
          <w:spacing w:val="-3"/>
        </w:rPr>
        <w:t> </w:t>
      </w:r>
      <w:r>
        <w:rPr/>
        <w:t>y Tz’tutujil</w:t>
      </w:r>
      <w:r>
        <w:rPr>
          <w:spacing w:val="-4"/>
        </w:rPr>
        <w:t> </w:t>
      </w:r>
      <w:r>
        <w:rPr/>
        <w:t>(16%).</w:t>
      </w:r>
    </w:p>
    <w:p>
      <w:pPr>
        <w:pStyle w:val="BodyText"/>
      </w:pPr>
    </w:p>
    <w:p>
      <w:pPr>
        <w:pStyle w:val="BodyText"/>
        <w:spacing w:before="1"/>
        <w:ind w:left="278" w:right="1072"/>
        <w:jc w:val="both"/>
      </w:pPr>
      <w:r>
        <w:rPr/>
        <w:t>De</w:t>
      </w:r>
      <w:r>
        <w:rPr>
          <w:spacing w:val="-7"/>
        </w:rPr>
        <w:t> </w:t>
      </w:r>
      <w:r>
        <w:rPr/>
        <w:t>acuerdo</w:t>
      </w:r>
      <w:r>
        <w:rPr>
          <w:spacing w:val="-10"/>
        </w:rPr>
        <w:t> </w:t>
      </w:r>
      <w:r>
        <w:rPr/>
        <w:t>con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datos</w:t>
      </w:r>
      <w:r>
        <w:rPr>
          <w:spacing w:val="-10"/>
        </w:rPr>
        <w:t> </w:t>
      </w:r>
      <w:r>
        <w:rPr/>
        <w:t>obtenidos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SESAN</w:t>
      </w:r>
      <w:r>
        <w:rPr>
          <w:spacing w:val="-10"/>
        </w:rPr>
        <w:t> </w:t>
      </w:r>
      <w:r>
        <w:rPr/>
        <w:t>(2015)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través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/>
        <w:t>IV</w:t>
      </w:r>
      <w:r>
        <w:rPr>
          <w:spacing w:val="-9"/>
        </w:rPr>
        <w:t> </w:t>
      </w:r>
      <w:r>
        <w:rPr/>
        <w:t>Censo</w:t>
      </w:r>
      <w:r>
        <w:rPr>
          <w:spacing w:val="-7"/>
        </w:rPr>
        <w:t> </w:t>
      </w:r>
      <w:r>
        <w:rPr/>
        <w:t>Nacional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talla</w:t>
      </w:r>
      <w:r>
        <w:rPr>
          <w:spacing w:val="-10"/>
        </w:rPr>
        <w:t> </w:t>
      </w:r>
      <w:r>
        <w:rPr/>
        <w:t>en</w:t>
      </w:r>
      <w:r>
        <w:rPr>
          <w:spacing w:val="-8"/>
        </w:rPr>
        <w:t> </w:t>
      </w:r>
      <w:r>
        <w:rPr/>
        <w:t>escolares</w:t>
      </w:r>
      <w:r>
        <w:rPr>
          <w:spacing w:val="-48"/>
        </w:rPr>
        <w:t> </w:t>
      </w:r>
      <w:r>
        <w:rPr/>
        <w:t>de primer grado de educación primaria del sector público escolar, este departamento posee una alta</w:t>
      </w:r>
      <w:r>
        <w:rPr>
          <w:spacing w:val="1"/>
        </w:rPr>
        <w:t> </w:t>
      </w:r>
      <w:r>
        <w:rPr/>
        <w:t>vulnerabilidad nutricional al reportar la cifra del 50.2%. Tal y como se observa en el mapa de situación de</w:t>
      </w:r>
      <w:r>
        <w:rPr>
          <w:spacing w:val="-47"/>
        </w:rPr>
        <w:t> </w:t>
      </w:r>
      <w:r>
        <w:rPr/>
        <w:t>vulnerabilidad alta, debido a que está en color rojo – el máximo nivel de alerta y gravedad-. Es una</w:t>
      </w:r>
      <w:r>
        <w:rPr>
          <w:spacing w:val="1"/>
        </w:rPr>
        <w:t> </w:t>
      </w:r>
      <w:r>
        <w:rPr/>
        <w:t>situación</w:t>
      </w:r>
      <w:r>
        <w:rPr>
          <w:spacing w:val="-6"/>
        </w:rPr>
        <w:t> </w:t>
      </w:r>
      <w:r>
        <w:rPr/>
        <w:t>alarmante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preocupante</w:t>
      </w:r>
      <w:r>
        <w:rPr>
          <w:spacing w:val="-1"/>
        </w:rPr>
        <w:t> </w:t>
      </w:r>
      <w:r>
        <w:rPr/>
        <w:t>porque</w:t>
      </w:r>
      <w:r>
        <w:rPr>
          <w:spacing w:val="-1"/>
        </w:rPr>
        <w:t> </w:t>
      </w:r>
      <w:r>
        <w:rPr/>
        <w:t>compromete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calidad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5"/>
        </w:rPr>
        <w:t> </w:t>
      </w:r>
      <w:r>
        <w:rPr/>
        <w:t>salud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/>
        <w:t>solo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niños,</w:t>
      </w:r>
      <w:r>
        <w:rPr>
          <w:spacing w:val="-2"/>
        </w:rPr>
        <w:t> </w:t>
      </w:r>
      <w:r>
        <w:rPr/>
        <w:t>sino</w:t>
      </w:r>
      <w:r>
        <w:rPr>
          <w:spacing w:val="-3"/>
        </w:rPr>
        <w:t> </w:t>
      </w:r>
      <w:r>
        <w:rPr/>
        <w:t>el</w:t>
      </w:r>
      <w:r>
        <w:rPr>
          <w:spacing w:val="-47"/>
        </w:rPr>
        <w:t> </w:t>
      </w:r>
      <w:r>
        <w:rPr/>
        <w:t>futuro</w:t>
      </w:r>
      <w:r>
        <w:rPr>
          <w:spacing w:val="-1"/>
        </w:rPr>
        <w:t> </w:t>
      </w:r>
      <w:r>
        <w:rPr/>
        <w:t>de la población.</w:t>
      </w:r>
    </w:p>
    <w:p>
      <w:pPr>
        <w:pStyle w:val="BodyText"/>
        <w:spacing w:before="4"/>
        <w:rPr>
          <w:sz w:val="15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52" w:after="0"/>
        <w:ind w:left="998" w:right="0" w:hanging="721"/>
        <w:jc w:val="left"/>
      </w:pPr>
      <w:bookmarkStart w:name="_bookmark231" w:id="395"/>
      <w:bookmarkEnd w:id="395"/>
      <w:r>
        <w:rPr>
          <w:b w:val="0"/>
        </w:rPr>
      </w:r>
      <w:bookmarkStart w:name="_bookmark231" w:id="396"/>
      <w:bookmarkEnd w:id="396"/>
      <w:r>
        <w:rPr>
          <w:shd w:fill="FFFFFF" w:color="auto" w:val="clear"/>
        </w:rPr>
        <w:t>Sit</w:t>
      </w:r>
      <w:r>
        <w:rPr>
          <w:shd w:fill="FFFFFF" w:color="auto" w:val="clear"/>
        </w:rPr>
        <w:t>uación</w:t>
      </w:r>
      <w:r>
        <w:rPr>
          <w:spacing w:val="-2"/>
          <w:shd w:fill="FFFFFF" w:color="auto" w:val="clear"/>
        </w:rPr>
        <w:t> </w:t>
      </w:r>
      <w:r>
        <w:rPr>
          <w:shd w:fill="FFFFFF" w:color="auto" w:val="clear"/>
        </w:rPr>
        <w:t>del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Sistema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-6"/>
          <w:shd w:fill="FFFFFF" w:color="auto" w:val="clear"/>
        </w:rPr>
        <w:t> </w:t>
      </w:r>
      <w:r>
        <w:rPr>
          <w:shd w:fill="FFFFFF" w:color="auto" w:val="clear"/>
        </w:rPr>
        <w:t>Educación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Nacional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278" w:right="1071"/>
        <w:jc w:val="both"/>
      </w:pPr>
      <w:r>
        <w:rPr/>
        <w:t>Respecto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población</w:t>
      </w:r>
      <w:r>
        <w:rPr>
          <w:spacing w:val="-9"/>
        </w:rPr>
        <w:t> </w:t>
      </w:r>
      <w:r>
        <w:rPr/>
        <w:t>estudiantil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departamento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Sololá,</w:t>
      </w:r>
      <w:r>
        <w:rPr>
          <w:spacing w:val="-9"/>
        </w:rPr>
        <w:t> </w:t>
      </w:r>
      <w:r>
        <w:rPr/>
        <w:t>ha</w:t>
      </w:r>
      <w:r>
        <w:rPr>
          <w:spacing w:val="-9"/>
        </w:rPr>
        <w:t> </w:t>
      </w:r>
      <w:r>
        <w:rPr/>
        <w:t>mostrado</w:t>
      </w:r>
      <w:r>
        <w:rPr>
          <w:spacing w:val="-7"/>
        </w:rPr>
        <w:t> </w:t>
      </w:r>
      <w:r>
        <w:rPr/>
        <w:t>un</w:t>
      </w:r>
      <w:r>
        <w:rPr>
          <w:spacing w:val="-10"/>
        </w:rPr>
        <w:t> </w:t>
      </w:r>
      <w:r>
        <w:rPr/>
        <w:t>comportamiento</w:t>
      </w:r>
      <w:r>
        <w:rPr>
          <w:spacing w:val="-7"/>
        </w:rPr>
        <w:t> </w:t>
      </w:r>
      <w:r>
        <w:rPr/>
        <w:t>similar</w:t>
      </w:r>
      <w:r>
        <w:rPr>
          <w:spacing w:val="-47"/>
        </w:rPr>
        <w:t> </w:t>
      </w:r>
      <w:r>
        <w:rPr/>
        <w:t>al presentado a nivel nacional. En primer lugar, aparece el nivel primaria, en segundo lugar el básico y el</w:t>
      </w:r>
      <w:r>
        <w:rPr>
          <w:spacing w:val="1"/>
        </w:rPr>
        <w:t> </w:t>
      </w:r>
      <w:r>
        <w:rPr/>
        <w:t>tercer</w:t>
      </w:r>
      <w:r>
        <w:rPr>
          <w:spacing w:val="-9"/>
        </w:rPr>
        <w:t> </w:t>
      </w:r>
      <w:r>
        <w:rPr/>
        <w:t>lugar,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preprimaria.</w:t>
      </w:r>
      <w:r>
        <w:rPr>
          <w:spacing w:val="29"/>
        </w:rPr>
        <w:t> </w:t>
      </w:r>
      <w:r>
        <w:rPr/>
        <w:t>Por</w:t>
      </w:r>
      <w:r>
        <w:rPr>
          <w:spacing w:val="-9"/>
        </w:rPr>
        <w:t> </w:t>
      </w:r>
      <w:r>
        <w:rPr/>
        <w:t>último,</w:t>
      </w:r>
      <w:r>
        <w:rPr>
          <w:spacing w:val="-12"/>
        </w:rPr>
        <w:t> </w:t>
      </w:r>
      <w:r>
        <w:rPr/>
        <w:t>el</w:t>
      </w:r>
      <w:r>
        <w:rPr>
          <w:spacing w:val="-9"/>
        </w:rPr>
        <w:t> </w:t>
      </w:r>
      <w:r>
        <w:rPr/>
        <w:t>diversificado</w:t>
      </w:r>
      <w:r>
        <w:rPr>
          <w:spacing w:val="-11"/>
        </w:rPr>
        <w:t> </w:t>
      </w:r>
      <w:r>
        <w:rPr/>
        <w:t>y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primaria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adultos.</w:t>
      </w:r>
      <w:r>
        <w:rPr>
          <w:spacing w:val="31"/>
        </w:rPr>
        <w:t> </w:t>
      </w:r>
      <w:r>
        <w:rPr/>
        <w:t>La</w:t>
      </w:r>
      <w:r>
        <w:rPr>
          <w:spacing w:val="-12"/>
        </w:rPr>
        <w:t> </w:t>
      </w:r>
      <w:r>
        <w:rPr/>
        <w:t>siguiente</w:t>
      </w:r>
      <w:r>
        <w:rPr>
          <w:spacing w:val="-9"/>
        </w:rPr>
        <w:t> </w:t>
      </w:r>
      <w:r>
        <w:rPr/>
        <w:t>tabla,</w:t>
      </w:r>
      <w:r>
        <w:rPr>
          <w:spacing w:val="-10"/>
        </w:rPr>
        <w:t> </w:t>
      </w:r>
      <w:r>
        <w:rPr/>
        <w:t>integra</w:t>
      </w:r>
      <w:r>
        <w:rPr>
          <w:spacing w:val="-47"/>
        </w:rPr>
        <w:t> </w:t>
      </w:r>
      <w:r>
        <w:rPr/>
        <w:t>estas</w:t>
      </w:r>
      <w:r>
        <w:rPr>
          <w:spacing w:val="-2"/>
        </w:rPr>
        <w:t> </w:t>
      </w:r>
      <w:r>
        <w:rPr/>
        <w:t>cifras.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before="1"/>
        <w:ind w:left="278"/>
        <w:jc w:val="both"/>
      </w:pPr>
      <w:r>
        <w:rPr/>
        <w:t>Tabla</w:t>
      </w:r>
      <w:r>
        <w:rPr>
          <w:spacing w:val="-2"/>
        </w:rPr>
        <w:t> </w:t>
      </w:r>
      <w:r>
        <w:rPr/>
        <w:t>Nº.</w:t>
      </w:r>
      <w:r>
        <w:rPr>
          <w:spacing w:val="-1"/>
        </w:rPr>
        <w:t> </w:t>
      </w:r>
      <w:r>
        <w:rPr/>
        <w:t>Total</w:t>
      </w:r>
      <w:r>
        <w:rPr>
          <w:spacing w:val="-2"/>
        </w:rPr>
        <w:t> </w:t>
      </w:r>
      <w:r>
        <w:rPr/>
        <w:t>de estudiantes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Nivel</w:t>
      </w:r>
      <w:r>
        <w:rPr>
          <w:spacing w:val="-2"/>
        </w:rPr>
        <w:t> </w:t>
      </w:r>
      <w:r>
        <w:rPr/>
        <w:t>Educativo para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Sololá</w:t>
      </w:r>
      <w:r>
        <w:rPr>
          <w:spacing w:val="-2"/>
        </w:rPr>
        <w:t> </w:t>
      </w:r>
      <w:r>
        <w:rPr/>
        <w:t>(2017</w:t>
      </w:r>
      <w:r>
        <w:rPr>
          <w:spacing w:val="-1"/>
        </w:rPr>
        <w:t> </w:t>
      </w:r>
      <w:r>
        <w:rPr/>
        <w:t>al</w:t>
      </w:r>
      <w:r>
        <w:rPr>
          <w:spacing w:val="-3"/>
        </w:rPr>
        <w:t> </w:t>
      </w:r>
      <w:r>
        <w:rPr/>
        <w:t>2021)</w:t>
      </w:r>
    </w:p>
    <w:p>
      <w:pPr>
        <w:pStyle w:val="BodyText"/>
        <w:spacing w:before="3" w:after="1"/>
        <w:rPr>
          <w:sz w:val="20"/>
        </w:rPr>
      </w:pPr>
    </w:p>
    <w:tbl>
      <w:tblPr>
        <w:tblW w:w="0" w:type="auto"/>
        <w:jc w:val="left"/>
        <w:tblInd w:w="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5"/>
        <w:gridCol w:w="1238"/>
        <w:gridCol w:w="936"/>
        <w:gridCol w:w="2015"/>
        <w:gridCol w:w="758"/>
        <w:gridCol w:w="1414"/>
        <w:gridCol w:w="1239"/>
      </w:tblGrid>
      <w:tr>
        <w:trPr>
          <w:trHeight w:val="432" w:hRule="atLeast"/>
        </w:trPr>
        <w:tc>
          <w:tcPr>
            <w:tcW w:w="1215" w:type="dxa"/>
            <w:tcBorders>
              <w:bottom w:val="single" w:sz="8" w:space="0" w:color="8EA9DB"/>
            </w:tcBorders>
            <w:shd w:val="clear" w:color="auto" w:fill="D9E0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8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182" w:lineRule="exact"/>
              <w:ind w:left="1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pacing w:val="-6"/>
                <w:w w:val="105"/>
                <w:sz w:val="17"/>
              </w:rPr>
              <w:t>PREPRIMARIA</w:t>
            </w:r>
          </w:p>
        </w:tc>
        <w:tc>
          <w:tcPr>
            <w:tcW w:w="936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182" w:lineRule="exact"/>
              <w:ind w:left="7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w w:val="105"/>
                <w:sz w:val="17"/>
              </w:rPr>
              <w:t>PRIMARIA</w:t>
            </w:r>
          </w:p>
        </w:tc>
        <w:tc>
          <w:tcPr>
            <w:tcW w:w="2015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182" w:lineRule="exact"/>
              <w:ind w:left="51" w:right="2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pacing w:val="-5"/>
                <w:sz w:val="17"/>
              </w:rPr>
              <w:t>PRIMARIA</w:t>
            </w:r>
            <w:r>
              <w:rPr>
                <w:rFonts w:ascii="Arial"/>
                <w:b/>
                <w:color w:val="FFFFFF"/>
                <w:spacing w:val="4"/>
                <w:sz w:val="17"/>
              </w:rPr>
              <w:t> </w:t>
            </w:r>
            <w:r>
              <w:rPr>
                <w:rFonts w:ascii="Arial"/>
                <w:b/>
                <w:color w:val="FFFFFF"/>
                <w:spacing w:val="-4"/>
                <w:sz w:val="17"/>
              </w:rPr>
              <w:t>DE</w:t>
            </w:r>
            <w:r>
              <w:rPr>
                <w:rFonts w:ascii="Arial"/>
                <w:b/>
                <w:color w:val="FFFFFF"/>
                <w:spacing w:val="-25"/>
                <w:sz w:val="17"/>
              </w:rPr>
              <w:t> </w:t>
            </w:r>
            <w:r>
              <w:rPr>
                <w:rFonts w:ascii="Arial"/>
                <w:b/>
                <w:color w:val="FFFFFF"/>
                <w:spacing w:val="-4"/>
                <w:sz w:val="17"/>
              </w:rPr>
              <w:t>ADULTOS</w:t>
            </w:r>
          </w:p>
        </w:tc>
        <w:tc>
          <w:tcPr>
            <w:tcW w:w="758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182" w:lineRule="exact"/>
              <w:ind w:left="4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w w:val="105"/>
                <w:sz w:val="17"/>
              </w:rPr>
              <w:t>BASICO</w:t>
            </w:r>
          </w:p>
        </w:tc>
        <w:tc>
          <w:tcPr>
            <w:tcW w:w="1414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182" w:lineRule="exact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pacing w:val="-3"/>
                <w:w w:val="105"/>
                <w:sz w:val="17"/>
              </w:rPr>
              <w:t>DIVERSIFICADO</w:t>
            </w:r>
          </w:p>
        </w:tc>
        <w:tc>
          <w:tcPr>
            <w:tcW w:w="1239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182" w:lineRule="exact"/>
              <w:ind w:right="7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Tota</w:t>
            </w:r>
            <w:r>
              <w:rPr>
                <w:rFonts w:ascii="Arial"/>
                <w:b/>
                <w:color w:val="FFFFFF"/>
                <w:spacing w:val="-27"/>
                <w:sz w:val="17"/>
              </w:rPr>
              <w:t> </w:t>
            </w:r>
            <w:r>
              <w:rPr>
                <w:rFonts w:ascii="Arial"/>
                <w:b/>
                <w:color w:val="FFFFFF"/>
                <w:sz w:val="17"/>
              </w:rPr>
              <w:t>l</w:t>
            </w:r>
            <w:r>
              <w:rPr>
                <w:rFonts w:ascii="Arial"/>
                <w:b/>
                <w:color w:val="FFFFFF"/>
                <w:spacing w:val="4"/>
                <w:sz w:val="17"/>
              </w:rPr>
              <w:t> </w:t>
            </w:r>
            <w:r>
              <w:rPr>
                <w:rFonts w:ascii="Arial"/>
                <w:b/>
                <w:color w:val="FFFFFF"/>
                <w:sz w:val="17"/>
              </w:rPr>
              <w:t>general</w:t>
            </w:r>
          </w:p>
        </w:tc>
      </w:tr>
      <w:tr>
        <w:trPr>
          <w:trHeight w:val="191" w:hRule="atLeast"/>
        </w:trPr>
        <w:tc>
          <w:tcPr>
            <w:tcW w:w="1215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9" w:lineRule="exact"/>
              <w:ind w:left="396" w:right="39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2017</w:t>
            </w:r>
          </w:p>
        </w:tc>
        <w:tc>
          <w:tcPr>
            <w:tcW w:w="1238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9" w:lineRule="exact"/>
              <w:ind w:left="10" w:right="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19,039</w:t>
            </w:r>
          </w:p>
        </w:tc>
        <w:tc>
          <w:tcPr>
            <w:tcW w:w="936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9" w:lineRule="exact"/>
              <w:ind w:left="27" w:right="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63,514</w:t>
            </w:r>
          </w:p>
        </w:tc>
        <w:tc>
          <w:tcPr>
            <w:tcW w:w="2015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9" w:lineRule="exact"/>
              <w:ind w:left="39" w:right="28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478</w:t>
            </w:r>
          </w:p>
        </w:tc>
        <w:tc>
          <w:tcPr>
            <w:tcW w:w="758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9" w:lineRule="exact"/>
              <w:ind w:left="4" w:right="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21,924</w:t>
            </w:r>
          </w:p>
        </w:tc>
        <w:tc>
          <w:tcPr>
            <w:tcW w:w="1414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9" w:lineRule="exact"/>
              <w:ind w:left="111" w:right="8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9,373</w:t>
            </w:r>
          </w:p>
        </w:tc>
        <w:tc>
          <w:tcPr>
            <w:tcW w:w="1239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9" w:lineRule="exact"/>
              <w:ind w:right="3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114,328</w:t>
            </w:r>
          </w:p>
        </w:tc>
      </w:tr>
      <w:tr>
        <w:trPr>
          <w:trHeight w:val="209" w:hRule="atLeast"/>
        </w:trPr>
        <w:tc>
          <w:tcPr>
            <w:tcW w:w="1215" w:type="dxa"/>
          </w:tcPr>
          <w:p>
            <w:pPr>
              <w:pStyle w:val="TableParagraph"/>
              <w:spacing w:line="183" w:lineRule="exact" w:before="6"/>
              <w:ind w:left="396" w:right="39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2018</w:t>
            </w:r>
          </w:p>
        </w:tc>
        <w:tc>
          <w:tcPr>
            <w:tcW w:w="1238" w:type="dxa"/>
          </w:tcPr>
          <w:p>
            <w:pPr>
              <w:pStyle w:val="TableParagraph"/>
              <w:spacing w:line="183" w:lineRule="exact" w:before="6"/>
              <w:ind w:left="10" w:right="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19,780</w:t>
            </w:r>
          </w:p>
        </w:tc>
        <w:tc>
          <w:tcPr>
            <w:tcW w:w="936" w:type="dxa"/>
          </w:tcPr>
          <w:p>
            <w:pPr>
              <w:pStyle w:val="TableParagraph"/>
              <w:spacing w:line="183" w:lineRule="exact" w:before="6"/>
              <w:ind w:left="27" w:right="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63,473</w:t>
            </w:r>
          </w:p>
        </w:tc>
        <w:tc>
          <w:tcPr>
            <w:tcW w:w="2015" w:type="dxa"/>
          </w:tcPr>
          <w:p>
            <w:pPr>
              <w:pStyle w:val="TableParagraph"/>
              <w:spacing w:line="183" w:lineRule="exact" w:before="6"/>
              <w:ind w:left="39" w:right="28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381</w:t>
            </w:r>
          </w:p>
        </w:tc>
        <w:tc>
          <w:tcPr>
            <w:tcW w:w="758" w:type="dxa"/>
          </w:tcPr>
          <w:p>
            <w:pPr>
              <w:pStyle w:val="TableParagraph"/>
              <w:spacing w:line="183" w:lineRule="exact" w:before="6"/>
              <w:ind w:left="4" w:right="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21,073</w:t>
            </w:r>
          </w:p>
        </w:tc>
        <w:tc>
          <w:tcPr>
            <w:tcW w:w="1414" w:type="dxa"/>
          </w:tcPr>
          <w:p>
            <w:pPr>
              <w:pStyle w:val="TableParagraph"/>
              <w:spacing w:line="183" w:lineRule="exact" w:before="6"/>
              <w:ind w:left="111" w:right="8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9,342</w:t>
            </w:r>
          </w:p>
        </w:tc>
        <w:tc>
          <w:tcPr>
            <w:tcW w:w="1239" w:type="dxa"/>
          </w:tcPr>
          <w:p>
            <w:pPr>
              <w:pStyle w:val="TableParagraph"/>
              <w:spacing w:line="183" w:lineRule="exact" w:before="6"/>
              <w:ind w:right="3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114,049</w:t>
            </w:r>
          </w:p>
        </w:tc>
      </w:tr>
      <w:tr>
        <w:trPr>
          <w:trHeight w:val="209" w:hRule="atLeast"/>
        </w:trPr>
        <w:tc>
          <w:tcPr>
            <w:tcW w:w="1215" w:type="dxa"/>
          </w:tcPr>
          <w:p>
            <w:pPr>
              <w:pStyle w:val="TableParagraph"/>
              <w:spacing w:line="183" w:lineRule="exact" w:before="6"/>
              <w:ind w:left="396" w:right="39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2019</w:t>
            </w:r>
          </w:p>
        </w:tc>
        <w:tc>
          <w:tcPr>
            <w:tcW w:w="1238" w:type="dxa"/>
          </w:tcPr>
          <w:p>
            <w:pPr>
              <w:pStyle w:val="TableParagraph"/>
              <w:spacing w:line="183" w:lineRule="exact" w:before="6"/>
              <w:ind w:left="10" w:right="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19,540</w:t>
            </w:r>
          </w:p>
        </w:tc>
        <w:tc>
          <w:tcPr>
            <w:tcW w:w="936" w:type="dxa"/>
          </w:tcPr>
          <w:p>
            <w:pPr>
              <w:pStyle w:val="TableParagraph"/>
              <w:spacing w:line="183" w:lineRule="exact" w:before="6"/>
              <w:ind w:left="27" w:right="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63,330</w:t>
            </w:r>
          </w:p>
        </w:tc>
        <w:tc>
          <w:tcPr>
            <w:tcW w:w="2015" w:type="dxa"/>
          </w:tcPr>
          <w:p>
            <w:pPr>
              <w:pStyle w:val="TableParagraph"/>
              <w:spacing w:line="183" w:lineRule="exact" w:before="6"/>
              <w:ind w:left="39" w:right="28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271</w:t>
            </w:r>
          </w:p>
        </w:tc>
        <w:tc>
          <w:tcPr>
            <w:tcW w:w="758" w:type="dxa"/>
          </w:tcPr>
          <w:p>
            <w:pPr>
              <w:pStyle w:val="TableParagraph"/>
              <w:spacing w:line="183" w:lineRule="exact" w:before="6"/>
              <w:ind w:left="4" w:right="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19,692</w:t>
            </w:r>
          </w:p>
        </w:tc>
        <w:tc>
          <w:tcPr>
            <w:tcW w:w="1414" w:type="dxa"/>
          </w:tcPr>
          <w:p>
            <w:pPr>
              <w:pStyle w:val="TableParagraph"/>
              <w:spacing w:line="183" w:lineRule="exact" w:before="6"/>
              <w:ind w:left="111" w:right="8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8,979</w:t>
            </w:r>
          </w:p>
        </w:tc>
        <w:tc>
          <w:tcPr>
            <w:tcW w:w="1239" w:type="dxa"/>
          </w:tcPr>
          <w:p>
            <w:pPr>
              <w:pStyle w:val="TableParagraph"/>
              <w:spacing w:line="183" w:lineRule="exact" w:before="6"/>
              <w:ind w:right="3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111,812</w:t>
            </w:r>
          </w:p>
        </w:tc>
      </w:tr>
      <w:tr>
        <w:trPr>
          <w:trHeight w:val="209" w:hRule="atLeast"/>
        </w:trPr>
        <w:tc>
          <w:tcPr>
            <w:tcW w:w="1215" w:type="dxa"/>
          </w:tcPr>
          <w:p>
            <w:pPr>
              <w:pStyle w:val="TableParagraph"/>
              <w:spacing w:line="183" w:lineRule="exact" w:before="6"/>
              <w:ind w:left="396" w:right="39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2020</w:t>
            </w:r>
          </w:p>
        </w:tc>
        <w:tc>
          <w:tcPr>
            <w:tcW w:w="1238" w:type="dxa"/>
          </w:tcPr>
          <w:p>
            <w:pPr>
              <w:pStyle w:val="TableParagraph"/>
              <w:spacing w:line="183" w:lineRule="exact" w:before="6"/>
              <w:ind w:left="10" w:right="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19,529</w:t>
            </w:r>
          </w:p>
        </w:tc>
        <w:tc>
          <w:tcPr>
            <w:tcW w:w="936" w:type="dxa"/>
          </w:tcPr>
          <w:p>
            <w:pPr>
              <w:pStyle w:val="TableParagraph"/>
              <w:spacing w:line="183" w:lineRule="exact" w:before="6"/>
              <w:ind w:left="27" w:right="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63,024</w:t>
            </w:r>
          </w:p>
        </w:tc>
        <w:tc>
          <w:tcPr>
            <w:tcW w:w="2015" w:type="dxa"/>
          </w:tcPr>
          <w:p>
            <w:pPr>
              <w:pStyle w:val="TableParagraph"/>
              <w:spacing w:line="183" w:lineRule="exact" w:before="6"/>
              <w:ind w:left="39" w:right="28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237</w:t>
            </w:r>
          </w:p>
        </w:tc>
        <w:tc>
          <w:tcPr>
            <w:tcW w:w="758" w:type="dxa"/>
          </w:tcPr>
          <w:p>
            <w:pPr>
              <w:pStyle w:val="TableParagraph"/>
              <w:spacing w:line="183" w:lineRule="exact" w:before="6"/>
              <w:ind w:left="4" w:right="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19,104</w:t>
            </w:r>
          </w:p>
        </w:tc>
        <w:tc>
          <w:tcPr>
            <w:tcW w:w="1414" w:type="dxa"/>
          </w:tcPr>
          <w:p>
            <w:pPr>
              <w:pStyle w:val="TableParagraph"/>
              <w:spacing w:line="183" w:lineRule="exact" w:before="6"/>
              <w:ind w:left="111" w:right="8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8,837</w:t>
            </w:r>
          </w:p>
        </w:tc>
        <w:tc>
          <w:tcPr>
            <w:tcW w:w="1239" w:type="dxa"/>
          </w:tcPr>
          <w:p>
            <w:pPr>
              <w:pStyle w:val="TableParagraph"/>
              <w:spacing w:line="183" w:lineRule="exact" w:before="6"/>
              <w:ind w:right="3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110,731</w:t>
            </w:r>
          </w:p>
        </w:tc>
      </w:tr>
      <w:tr>
        <w:trPr>
          <w:trHeight w:val="201" w:hRule="atLeast"/>
        </w:trPr>
        <w:tc>
          <w:tcPr>
            <w:tcW w:w="1215" w:type="dxa"/>
          </w:tcPr>
          <w:p>
            <w:pPr>
              <w:pStyle w:val="TableParagraph"/>
              <w:spacing w:line="176" w:lineRule="exact" w:before="6"/>
              <w:ind w:left="396" w:right="39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2021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 w:before="6"/>
              <w:ind w:left="10" w:right="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21,519</w:t>
            </w:r>
          </w:p>
        </w:tc>
        <w:tc>
          <w:tcPr>
            <w:tcW w:w="936" w:type="dxa"/>
          </w:tcPr>
          <w:p>
            <w:pPr>
              <w:pStyle w:val="TableParagraph"/>
              <w:spacing w:line="176" w:lineRule="exact" w:before="6"/>
              <w:ind w:left="27" w:right="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63,625</w:t>
            </w:r>
          </w:p>
        </w:tc>
        <w:tc>
          <w:tcPr>
            <w:tcW w:w="2015" w:type="dxa"/>
          </w:tcPr>
          <w:p>
            <w:pPr>
              <w:pStyle w:val="TableParagraph"/>
              <w:spacing w:line="176" w:lineRule="exact" w:before="6"/>
              <w:ind w:left="39" w:right="28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204</w:t>
            </w:r>
          </w:p>
        </w:tc>
        <w:tc>
          <w:tcPr>
            <w:tcW w:w="758" w:type="dxa"/>
          </w:tcPr>
          <w:p>
            <w:pPr>
              <w:pStyle w:val="TableParagraph"/>
              <w:spacing w:line="176" w:lineRule="exact" w:before="6"/>
              <w:ind w:left="4" w:right="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18,325</w:t>
            </w:r>
          </w:p>
        </w:tc>
        <w:tc>
          <w:tcPr>
            <w:tcW w:w="1414" w:type="dxa"/>
          </w:tcPr>
          <w:p>
            <w:pPr>
              <w:pStyle w:val="TableParagraph"/>
              <w:spacing w:line="176" w:lineRule="exact" w:before="6"/>
              <w:ind w:left="111" w:right="8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7,961</w:t>
            </w:r>
          </w:p>
        </w:tc>
        <w:tc>
          <w:tcPr>
            <w:tcW w:w="1239" w:type="dxa"/>
          </w:tcPr>
          <w:p>
            <w:pPr>
              <w:pStyle w:val="TableParagraph"/>
              <w:spacing w:line="176" w:lineRule="exact" w:before="6"/>
              <w:ind w:right="3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111,634</w:t>
            </w:r>
          </w:p>
        </w:tc>
      </w:tr>
    </w:tbl>
    <w:tbl>
      <w:tblPr>
        <w:tblW w:w="0" w:type="auto"/>
        <w:jc w:val="left"/>
        <w:tblInd w:w="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5"/>
        <w:gridCol w:w="1146"/>
        <w:gridCol w:w="1360"/>
        <w:gridCol w:w="1325"/>
        <w:gridCol w:w="1312"/>
        <w:gridCol w:w="1288"/>
        <w:gridCol w:w="1170"/>
      </w:tblGrid>
      <w:tr>
        <w:trPr>
          <w:trHeight w:val="224" w:hRule="atLeast"/>
        </w:trPr>
        <w:tc>
          <w:tcPr>
            <w:tcW w:w="1215" w:type="dxa"/>
            <w:tcBorders>
              <w:top w:val="single" w:sz="8" w:space="0" w:color="8EA9DB"/>
            </w:tcBorders>
            <w:shd w:val="clear" w:color="auto" w:fill="D9E0F1"/>
          </w:tcPr>
          <w:p>
            <w:pPr>
              <w:pStyle w:val="TableParagraph"/>
              <w:spacing w:before="14"/>
              <w:ind w:left="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Tota</w:t>
            </w:r>
            <w:r>
              <w:rPr>
                <w:rFonts w:ascii="Arial"/>
                <w:b/>
                <w:spacing w:val="-2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l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general</w:t>
            </w:r>
          </w:p>
        </w:tc>
        <w:tc>
          <w:tcPr>
            <w:tcW w:w="1146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4"/>
              <w:ind w:left="35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w w:val="105"/>
                <w:sz w:val="17"/>
              </w:rPr>
              <w:t>99,407</w:t>
            </w:r>
          </w:p>
        </w:tc>
        <w:tc>
          <w:tcPr>
            <w:tcW w:w="1360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4"/>
              <w:ind w:left="27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w w:val="105"/>
                <w:sz w:val="17"/>
              </w:rPr>
              <w:t>316,966</w:t>
            </w:r>
          </w:p>
        </w:tc>
        <w:tc>
          <w:tcPr>
            <w:tcW w:w="1325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4"/>
              <w:ind w:left="47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w w:val="105"/>
                <w:sz w:val="17"/>
              </w:rPr>
              <w:t>1,571</w:t>
            </w:r>
          </w:p>
        </w:tc>
        <w:tc>
          <w:tcPr>
            <w:tcW w:w="1312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4"/>
              <w:ind w:left="43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w w:val="105"/>
                <w:sz w:val="17"/>
              </w:rPr>
              <w:t>100,118</w:t>
            </w:r>
          </w:p>
        </w:tc>
        <w:tc>
          <w:tcPr>
            <w:tcW w:w="1288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4"/>
              <w:ind w:left="2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w w:val="105"/>
                <w:sz w:val="17"/>
              </w:rPr>
              <w:t>44,492</w:t>
            </w:r>
          </w:p>
        </w:tc>
        <w:tc>
          <w:tcPr>
            <w:tcW w:w="1170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4"/>
              <w:ind w:left="5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w w:val="105"/>
                <w:sz w:val="17"/>
              </w:rPr>
              <w:t>562,554</w:t>
            </w:r>
          </w:p>
        </w:tc>
      </w:tr>
    </w:tbl>
    <w:p>
      <w:pPr>
        <w:spacing w:before="2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2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2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ind w:left="278" w:right="1072"/>
        <w:jc w:val="both"/>
      </w:pPr>
      <w:r>
        <w:rPr/>
        <w:t>Para el período analizado, el total de estudiantes atendidos durante este período fue de 562,554. En el</w:t>
      </w:r>
      <w:r>
        <w:rPr>
          <w:spacing w:val="1"/>
        </w:rPr>
        <w:t> </w:t>
      </w:r>
      <w:r>
        <w:rPr/>
        <w:t>2017 se tuvo una población estudiantil total de 114,328. El 2018, mostró un leve descenso del total de la</w:t>
      </w:r>
      <w:r>
        <w:rPr>
          <w:spacing w:val="1"/>
        </w:rPr>
        <w:t> </w:t>
      </w:r>
      <w:r>
        <w:rPr/>
        <w:t>población estudiantil reportando114,049. En el 2019, registraron 111,812. El 2020, reportó una drástica</w:t>
      </w:r>
      <w:r>
        <w:rPr>
          <w:spacing w:val="1"/>
        </w:rPr>
        <w:t> </w:t>
      </w:r>
      <w:r>
        <w:rPr/>
        <w:t>caída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110,731</w:t>
      </w:r>
      <w:r>
        <w:rPr>
          <w:spacing w:val="-1"/>
        </w:rPr>
        <w:t> </w:t>
      </w:r>
      <w:r>
        <w:rPr/>
        <w:t>alumnos.</w:t>
      </w:r>
      <w:r>
        <w:rPr>
          <w:spacing w:val="-1"/>
        </w:rPr>
        <w:t> </w:t>
      </w:r>
      <w:r>
        <w:rPr/>
        <w:t>Mientras que</w:t>
      </w:r>
      <w:r>
        <w:rPr>
          <w:spacing w:val="-5"/>
        </w:rPr>
        <w:t> </w:t>
      </w:r>
      <w:r>
        <w:rPr/>
        <w:t>el 2021,</w:t>
      </w:r>
      <w:r>
        <w:rPr>
          <w:spacing w:val="-1"/>
        </w:rPr>
        <w:t> </w:t>
      </w:r>
      <w:r>
        <w:rPr/>
        <w:t>registró una cifra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111,634.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  <w:r>
        <w:rPr/>
        <w:pict>
          <v:rect style="position:absolute;margin-left:563.880005pt;margin-top:18.376873pt;width:25.44pt;height:1.4399pt;mso-position-horizontal-relative:page;mso-position-vertical-relative:paragraph;z-index:-1537177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184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7161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8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8"/>
        </w:rPr>
      </w:pPr>
    </w:p>
    <w:p>
      <w:pPr>
        <w:pStyle w:val="BodyText"/>
        <w:spacing w:before="56"/>
        <w:ind w:left="278" w:right="1070"/>
        <w:jc w:val="both"/>
      </w:pPr>
      <w:r>
        <w:rPr/>
        <w:t>Como se muestra, el nivel que presentó más crecimiento fue la Primaria representando el 56% de 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para este</w:t>
      </w:r>
      <w:r>
        <w:rPr>
          <w:spacing w:val="1"/>
        </w:rPr>
        <w:t> </w:t>
      </w:r>
      <w:r>
        <w:rPr/>
        <w:t>período.</w:t>
      </w:r>
      <w:r>
        <w:rPr>
          <w:spacing w:val="1"/>
        </w:rPr>
        <w:t> </w:t>
      </w:r>
      <w:r>
        <w:rPr/>
        <w:t>Seguido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preprimaria y</w:t>
      </w:r>
      <w:r>
        <w:rPr>
          <w:spacing w:val="1"/>
        </w:rPr>
        <w:t> </w:t>
      </w:r>
      <w:r>
        <w:rPr/>
        <w:t>básicos</w:t>
      </w:r>
      <w:r>
        <w:rPr>
          <w:spacing w:val="1"/>
        </w:rPr>
        <w:t> </w:t>
      </w:r>
      <w:r>
        <w:rPr/>
        <w:t>reportando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18% cada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respectivamente. Situando en el penúltimo sitio al diversificado con un 7%. Y finalizando, con la Primaria</w:t>
      </w:r>
      <w:r>
        <w:rPr>
          <w:spacing w:val="1"/>
        </w:rPr>
        <w:t> </w:t>
      </w:r>
      <w:r>
        <w:rPr/>
        <w:t>para Adultos. Cabe destacar que es uno de los departamentos con menor porcentaje de participación en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nivel</w:t>
      </w:r>
      <w:r>
        <w:rPr>
          <w:spacing w:val="-3"/>
        </w:rPr>
        <w:t> </w:t>
      </w:r>
      <w:r>
        <w:rPr/>
        <w:t>diversificado.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2"/>
        <w:jc w:val="both"/>
      </w:pPr>
      <w:r>
        <w:rPr/>
        <w:t>De</w:t>
      </w:r>
      <w:r>
        <w:rPr>
          <w:spacing w:val="-3"/>
        </w:rPr>
        <w:t> </w:t>
      </w:r>
      <w:r>
        <w:rPr/>
        <w:t>acuerdo</w:t>
      </w:r>
      <w:r>
        <w:rPr>
          <w:spacing w:val="-5"/>
        </w:rPr>
        <w:t> </w:t>
      </w:r>
      <w:r>
        <w:rPr/>
        <w:t>con</w:t>
      </w:r>
      <w:r>
        <w:rPr>
          <w:spacing w:val="-3"/>
        </w:rPr>
        <w:t> </w:t>
      </w:r>
      <w:r>
        <w:rPr/>
        <w:t>el</w:t>
      </w:r>
      <w:r>
        <w:rPr>
          <w:spacing w:val="-6"/>
        </w:rPr>
        <w:t> </w:t>
      </w:r>
      <w:r>
        <w:rPr/>
        <w:t>INE,</w:t>
      </w:r>
      <w:r>
        <w:rPr>
          <w:spacing w:val="-3"/>
        </w:rPr>
        <w:t> </w:t>
      </w:r>
      <w:r>
        <w:rPr/>
        <w:t>dentro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principales</w:t>
      </w:r>
      <w:r>
        <w:rPr>
          <w:spacing w:val="-7"/>
        </w:rPr>
        <w:t> </w:t>
      </w:r>
      <w:r>
        <w:rPr/>
        <w:t>motivos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deserción</w:t>
      </w:r>
      <w:r>
        <w:rPr>
          <w:spacing w:val="-5"/>
        </w:rPr>
        <w:t> </w:t>
      </w:r>
      <w:r>
        <w:rPr/>
        <w:t>escolar</w:t>
      </w:r>
      <w:r>
        <w:rPr>
          <w:spacing w:val="-7"/>
        </w:rPr>
        <w:t> </w:t>
      </w:r>
      <w:r>
        <w:rPr/>
        <w:t>entre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población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4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29</w:t>
      </w:r>
      <w:r>
        <w:rPr>
          <w:spacing w:val="-47"/>
        </w:rPr>
        <w:t> </w:t>
      </w:r>
      <w:r>
        <w:rPr/>
        <w:t>años, se encuentra: 1. La falta de dinero (31%). 2. No le gusta (19%). 3. Tiene que trabajar laboral (8%),</w:t>
      </w:r>
      <w:r>
        <w:rPr>
          <w:spacing w:val="1"/>
        </w:rPr>
        <w:t> </w:t>
      </w:r>
      <w:r>
        <w:rPr/>
        <w:t>entre</w:t>
      </w:r>
      <w:r>
        <w:rPr>
          <w:spacing w:val="-2"/>
        </w:rPr>
        <w:t> </w:t>
      </w:r>
      <w:r>
        <w:rPr/>
        <w:t>otros.</w:t>
      </w:r>
    </w:p>
    <w:p>
      <w:pPr>
        <w:pStyle w:val="BodyText"/>
        <w:spacing w:before="10"/>
        <w:rPr>
          <w:sz w:val="19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232" w:id="397"/>
      <w:bookmarkEnd w:id="397"/>
      <w:r>
        <w:rPr>
          <w:b w:val="0"/>
        </w:rPr>
      </w:r>
      <w:bookmarkStart w:name="_bookmark232" w:id="398"/>
      <w:bookmarkEnd w:id="398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Cobertura:</w:t>
      </w:r>
      <w:r>
        <w:rPr>
          <w:spacing w:val="-4"/>
        </w:rPr>
        <w:t> </w:t>
      </w:r>
      <w:r>
        <w:rPr/>
        <w:t>Tasa</w:t>
      </w:r>
      <w:r>
        <w:rPr>
          <w:spacing w:val="-3"/>
        </w:rPr>
        <w:t> </w:t>
      </w:r>
      <w:r>
        <w:rPr/>
        <w:t>Neta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Cobertura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66"/>
        <w:jc w:val="both"/>
      </w:pPr>
      <w:r>
        <w:rPr/>
        <w:t>En relación con la cobertura educativa medida a través del (TNE) para Sololá el período del 2017 al 2020,</w:t>
      </w:r>
      <w:r>
        <w:rPr>
          <w:spacing w:val="1"/>
        </w:rPr>
        <w:t> </w:t>
      </w:r>
      <w:r>
        <w:rPr/>
        <w:t>evidencia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aumento</w:t>
      </w:r>
      <w:r>
        <w:rPr>
          <w:spacing w:val="-8"/>
        </w:rPr>
        <w:t> </w:t>
      </w:r>
      <w:r>
        <w:rPr/>
        <w:t>promedio</w:t>
      </w:r>
      <w:r>
        <w:rPr>
          <w:spacing w:val="-9"/>
        </w:rPr>
        <w:t> </w:t>
      </w:r>
      <w:r>
        <w:rPr/>
        <w:t>considerable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cobertura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nivel</w:t>
      </w:r>
      <w:r>
        <w:rPr>
          <w:spacing w:val="-9"/>
        </w:rPr>
        <w:t> </w:t>
      </w:r>
      <w:r>
        <w:rPr/>
        <w:t>primaria</w:t>
      </w:r>
      <w:r>
        <w:rPr>
          <w:spacing w:val="-11"/>
        </w:rPr>
        <w:t> </w:t>
      </w:r>
      <w:r>
        <w:rPr/>
        <w:t>(89.97%),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contraste</w:t>
      </w:r>
      <w:r>
        <w:rPr>
          <w:spacing w:val="-10"/>
        </w:rPr>
        <w:t> </w:t>
      </w:r>
      <w:r>
        <w:rPr/>
        <w:t>con</w:t>
      </w:r>
      <w:r>
        <w:rPr>
          <w:spacing w:val="-47"/>
        </w:rPr>
        <w:t> </w:t>
      </w:r>
      <w:r>
        <w:rPr/>
        <w:t>la</w:t>
      </w:r>
      <w:r>
        <w:rPr>
          <w:spacing w:val="1"/>
        </w:rPr>
        <w:t> </w:t>
      </w:r>
      <w:r>
        <w:rPr/>
        <w:t>TNE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77.5%.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sucede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departamentos,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reducidas en la participación de los jóvenes en el ciclo básico y diversificado. Tal como se observa en la</w:t>
      </w:r>
      <w:r>
        <w:rPr>
          <w:spacing w:val="1"/>
        </w:rPr>
        <w:t> </w:t>
      </w:r>
      <w:r>
        <w:rPr/>
        <w:t>tabla.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2"/>
        <w:jc w:val="both"/>
      </w:pPr>
      <w:r>
        <w:rPr/>
        <w:t>Tabla</w:t>
      </w:r>
      <w:r>
        <w:rPr>
          <w:spacing w:val="1"/>
        </w:rPr>
        <w:t> </w:t>
      </w:r>
      <w:r>
        <w:rPr/>
        <w:t>Nº.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Cobertura: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Bruta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Académico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47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de Sololá</w:t>
      </w:r>
    </w:p>
    <w:tbl>
      <w:tblPr>
        <w:tblW w:w="0" w:type="auto"/>
        <w:jc w:val="left"/>
        <w:tblInd w:w="2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3"/>
        <w:gridCol w:w="2740"/>
        <w:gridCol w:w="1173"/>
        <w:gridCol w:w="1173"/>
        <w:gridCol w:w="1171"/>
        <w:gridCol w:w="1403"/>
      </w:tblGrid>
      <w:tr>
        <w:trPr>
          <w:trHeight w:val="417" w:hRule="atLeast"/>
        </w:trPr>
        <w:tc>
          <w:tcPr>
            <w:tcW w:w="8833" w:type="dxa"/>
            <w:gridSpan w:val="6"/>
            <w:tcBorders>
              <w:left w:val="single" w:sz="8" w:space="0" w:color="000000"/>
              <w:right w:val="nil"/>
            </w:tcBorders>
            <w:shd w:val="clear" w:color="auto" w:fill="F1F1F1"/>
          </w:tcPr>
          <w:p>
            <w:pPr>
              <w:pStyle w:val="TableParagraph"/>
              <w:spacing w:before="86"/>
              <w:ind w:left="2918" w:right="2931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120"/>
                <w:sz w:val="21"/>
              </w:rPr>
              <w:t>Departamento</w:t>
            </w:r>
            <w:r>
              <w:rPr>
                <w:rFonts w:ascii="Arial" w:hAnsi="Arial"/>
                <w:b/>
                <w:spacing w:val="16"/>
                <w:w w:val="120"/>
                <w:sz w:val="21"/>
              </w:rPr>
              <w:t> </w:t>
            </w:r>
            <w:r>
              <w:rPr>
                <w:rFonts w:ascii="Arial" w:hAnsi="Arial"/>
                <w:b/>
                <w:w w:val="120"/>
                <w:sz w:val="21"/>
              </w:rPr>
              <w:t>de</w:t>
            </w:r>
            <w:r>
              <w:rPr>
                <w:rFonts w:ascii="Arial" w:hAnsi="Arial"/>
                <w:b/>
                <w:spacing w:val="32"/>
                <w:w w:val="120"/>
                <w:sz w:val="21"/>
              </w:rPr>
              <w:t> </w:t>
            </w:r>
            <w:r>
              <w:rPr>
                <w:rFonts w:ascii="Arial" w:hAnsi="Arial"/>
                <w:b/>
                <w:w w:val="120"/>
                <w:sz w:val="21"/>
              </w:rPr>
              <w:t>Sololá</w:t>
            </w:r>
          </w:p>
        </w:tc>
      </w:tr>
      <w:tr>
        <w:trPr>
          <w:trHeight w:val="417" w:hRule="atLeast"/>
        </w:trPr>
        <w:tc>
          <w:tcPr>
            <w:tcW w:w="117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97"/>
              <w:ind w:left="351"/>
              <w:rPr>
                <w:rFonts w:ascii="Verdana" w:hAnsi="Verdana"/>
                <w:sz w:val="17"/>
              </w:rPr>
            </w:pPr>
            <w:r>
              <w:rPr>
                <w:rFonts w:ascii="Verdana" w:hAnsi="Verdana"/>
                <w:w w:val="115"/>
                <w:sz w:val="17"/>
              </w:rPr>
              <w:t>Años</w:t>
            </w:r>
          </w:p>
        </w:tc>
        <w:tc>
          <w:tcPr>
            <w:tcW w:w="274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108"/>
              <w:ind w:left="113" w:right="1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>Indica</w:t>
            </w:r>
            <w:r>
              <w:rPr>
                <w:rFonts w:ascii="Arial"/>
                <w:b/>
                <w:spacing w:val="-26"/>
                <w:w w:val="115"/>
                <w:sz w:val="17"/>
              </w:rPr>
              <w:t> </w:t>
            </w:r>
            <w:r>
              <w:rPr>
                <w:rFonts w:ascii="Arial"/>
                <w:b/>
                <w:w w:val="115"/>
                <w:sz w:val="17"/>
              </w:rPr>
              <w:t>dores</w:t>
            </w:r>
            <w:r>
              <w:rPr>
                <w:rFonts w:ascii="Arial"/>
                <w:b/>
                <w:spacing w:val="-9"/>
                <w:w w:val="115"/>
                <w:sz w:val="17"/>
              </w:rPr>
              <w:t> </w:t>
            </w:r>
            <w:r>
              <w:rPr>
                <w:rFonts w:ascii="Arial"/>
                <w:b/>
                <w:w w:val="115"/>
                <w:sz w:val="17"/>
              </w:rPr>
              <w:t>de</w:t>
            </w:r>
            <w:r>
              <w:rPr>
                <w:rFonts w:ascii="Arial"/>
                <w:b/>
                <w:spacing w:val="48"/>
                <w:w w:val="115"/>
                <w:sz w:val="17"/>
              </w:rPr>
              <w:t> </w:t>
            </w:r>
            <w:r>
              <w:rPr>
                <w:rFonts w:ascii="Arial"/>
                <w:b/>
                <w:w w:val="115"/>
                <w:sz w:val="17"/>
              </w:rPr>
              <w:t>Cobertura</w:t>
            </w:r>
          </w:p>
        </w:tc>
        <w:tc>
          <w:tcPr>
            <w:tcW w:w="117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108"/>
              <w:ind w:left="5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3"/>
                <w:w w:val="115"/>
                <w:sz w:val="17"/>
              </w:rPr>
              <w:t>Preprima</w:t>
            </w:r>
            <w:r>
              <w:rPr>
                <w:rFonts w:ascii="Arial"/>
                <w:b/>
                <w:spacing w:val="-33"/>
                <w:w w:val="115"/>
                <w:sz w:val="17"/>
              </w:rPr>
              <w:t> </w:t>
            </w:r>
            <w:r>
              <w:rPr>
                <w:rFonts w:ascii="Arial"/>
                <w:b/>
                <w:spacing w:val="-2"/>
                <w:w w:val="115"/>
                <w:sz w:val="17"/>
              </w:rPr>
              <w:t>ria</w:t>
            </w:r>
          </w:p>
        </w:tc>
        <w:tc>
          <w:tcPr>
            <w:tcW w:w="117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108"/>
              <w:ind w:left="56" w:right="7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6"/>
                <w:w w:val="115"/>
                <w:sz w:val="17"/>
              </w:rPr>
              <w:t>Prima</w:t>
            </w:r>
            <w:r>
              <w:rPr>
                <w:rFonts w:ascii="Arial"/>
                <w:b/>
                <w:spacing w:val="-34"/>
                <w:w w:val="115"/>
                <w:sz w:val="17"/>
              </w:rPr>
              <w:t> </w:t>
            </w:r>
            <w:r>
              <w:rPr>
                <w:rFonts w:ascii="Arial"/>
                <w:b/>
                <w:spacing w:val="-5"/>
                <w:w w:val="115"/>
                <w:sz w:val="17"/>
              </w:rPr>
              <w:t>ria</w:t>
            </w:r>
          </w:p>
        </w:tc>
        <w:tc>
          <w:tcPr>
            <w:tcW w:w="117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108"/>
              <w:ind w:left="25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6"/>
                <w:w w:val="115"/>
                <w:sz w:val="17"/>
              </w:rPr>
              <w:t>Bá</w:t>
            </w:r>
            <w:r>
              <w:rPr>
                <w:rFonts w:ascii="Arial" w:hAnsi="Arial"/>
                <w:b/>
                <w:spacing w:val="-34"/>
                <w:w w:val="115"/>
                <w:sz w:val="17"/>
              </w:rPr>
              <w:t> </w:t>
            </w:r>
            <w:r>
              <w:rPr>
                <w:rFonts w:ascii="Arial" w:hAnsi="Arial"/>
                <w:b/>
                <w:spacing w:val="-6"/>
                <w:w w:val="115"/>
                <w:sz w:val="17"/>
              </w:rPr>
              <w:t>sico</w:t>
            </w:r>
          </w:p>
        </w:tc>
        <w:tc>
          <w:tcPr>
            <w:tcW w:w="1403" w:type="dxa"/>
            <w:tcBorders>
              <w:left w:val="single" w:sz="8" w:space="0" w:color="000000"/>
              <w:right w:val="nil"/>
            </w:tcBorders>
            <w:shd w:val="clear" w:color="auto" w:fill="F1F1F1"/>
          </w:tcPr>
          <w:p>
            <w:pPr>
              <w:pStyle w:val="TableParagraph"/>
              <w:spacing w:before="108"/>
              <w:ind w:left="61" w:right="5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"/>
                <w:w w:val="115"/>
                <w:sz w:val="17"/>
              </w:rPr>
              <w:t>Diversifica</w:t>
            </w:r>
            <w:r>
              <w:rPr>
                <w:rFonts w:ascii="Arial"/>
                <w:b/>
                <w:spacing w:val="-35"/>
                <w:w w:val="115"/>
                <w:sz w:val="17"/>
              </w:rPr>
              <w:t> </w:t>
            </w:r>
            <w:r>
              <w:rPr>
                <w:rFonts w:ascii="Arial"/>
                <w:b/>
                <w:spacing w:val="-1"/>
                <w:w w:val="115"/>
                <w:sz w:val="17"/>
              </w:rPr>
              <w:t>do</w:t>
            </w:r>
          </w:p>
        </w:tc>
      </w:tr>
      <w:tr>
        <w:trPr>
          <w:trHeight w:val="419" w:hRule="atLeast"/>
        </w:trPr>
        <w:tc>
          <w:tcPr>
            <w:tcW w:w="1173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369"/>
              <w:rPr>
                <w:rFonts w:ascii="Verdana"/>
                <w:sz w:val="17"/>
              </w:rPr>
            </w:pPr>
            <w:r>
              <w:rPr>
                <w:rFonts w:ascii="Verdana"/>
                <w:sz w:val="17"/>
              </w:rPr>
              <w:t>2017</w:t>
            </w:r>
          </w:p>
        </w:tc>
        <w:tc>
          <w:tcPr>
            <w:tcW w:w="2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1"/>
              <w:ind w:left="109" w:right="13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D7CB3"/>
                <w:spacing w:val="-4"/>
                <w:w w:val="115"/>
                <w:sz w:val="14"/>
              </w:rPr>
              <w:t>Ta</w:t>
            </w:r>
            <w:r>
              <w:rPr>
                <w:rFonts w:ascii="Arial"/>
                <w:b/>
                <w:color w:val="1D7CB3"/>
                <w:spacing w:val="-29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115"/>
                <w:sz w:val="14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15"/>
                <w:sz w:val="14"/>
              </w:rPr>
              <w:t>Bruta</w:t>
            </w:r>
            <w:r>
              <w:rPr>
                <w:rFonts w:ascii="Arial"/>
                <w:b/>
                <w:color w:val="1D7CB3"/>
                <w:spacing w:val="18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15"/>
                <w:sz w:val="14"/>
              </w:rPr>
              <w:t>de</w:t>
            </w:r>
            <w:r>
              <w:rPr>
                <w:rFonts w:ascii="Arial"/>
                <w:b/>
                <w:color w:val="1D7CB3"/>
                <w:spacing w:val="13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15"/>
                <w:sz w:val="14"/>
              </w:rPr>
              <w:t>Cobertura</w:t>
            </w:r>
          </w:p>
        </w:tc>
        <w:tc>
          <w:tcPr>
            <w:tcW w:w="117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15"/>
                <w:sz w:val="14"/>
              </w:rPr>
              <w:t>100,12%</w:t>
            </w:r>
          </w:p>
        </w:tc>
        <w:tc>
          <w:tcPr>
            <w:tcW w:w="117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9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15"/>
                <w:sz w:val="14"/>
              </w:rPr>
              <w:t>102,66%</w:t>
            </w:r>
          </w:p>
        </w:tc>
        <w:tc>
          <w:tcPr>
            <w:tcW w:w="117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312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15"/>
                <w:sz w:val="14"/>
              </w:rPr>
              <w:t>70,52%</w:t>
            </w:r>
          </w:p>
        </w:tc>
        <w:tc>
          <w:tcPr>
            <w:tcW w:w="1403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106"/>
              <w:ind w:left="58" w:right="5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15"/>
                <w:sz w:val="14"/>
              </w:rPr>
              <w:t>29,05%</w:t>
            </w:r>
          </w:p>
        </w:tc>
      </w:tr>
      <w:tr>
        <w:trPr>
          <w:trHeight w:val="417" w:hRule="atLeast"/>
        </w:trPr>
        <w:tc>
          <w:tcPr>
            <w:tcW w:w="117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21"/>
              <w:ind w:left="89" w:right="13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D7CB3"/>
                <w:spacing w:val="-1"/>
                <w:w w:val="115"/>
                <w:sz w:val="14"/>
              </w:rPr>
              <w:t>Ta</w:t>
            </w:r>
            <w:r>
              <w:rPr>
                <w:rFonts w:ascii="Arial"/>
                <w:b/>
                <w:color w:val="1D7CB3"/>
                <w:spacing w:val="-29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15"/>
                <w:sz w:val="14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15"/>
                <w:sz w:val="14"/>
              </w:rPr>
              <w:t>Neta</w:t>
            </w:r>
            <w:r>
              <w:rPr>
                <w:rFonts w:ascii="Arial"/>
                <w:b/>
                <w:color w:val="1D7CB3"/>
                <w:spacing w:val="17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15"/>
                <w:sz w:val="14"/>
              </w:rPr>
              <w:t>de</w:t>
            </w:r>
            <w:r>
              <w:rPr>
                <w:rFonts w:ascii="Arial"/>
                <w:b/>
                <w:color w:val="1D7CB3"/>
                <w:spacing w:val="13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w w:val="115"/>
                <w:sz w:val="14"/>
              </w:rPr>
              <w:t>Cobertura</w:t>
            </w:r>
          </w:p>
        </w:tc>
        <w:tc>
          <w:tcPr>
            <w:tcW w:w="117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5"/>
              <w:ind w:left="2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15"/>
                <w:sz w:val="14"/>
              </w:rPr>
              <w:t>72,92%</w:t>
            </w:r>
          </w:p>
        </w:tc>
        <w:tc>
          <w:tcPr>
            <w:tcW w:w="117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5"/>
              <w:ind w:left="26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15"/>
                <w:sz w:val="14"/>
              </w:rPr>
              <w:t>89,29%</w:t>
            </w:r>
          </w:p>
        </w:tc>
        <w:tc>
          <w:tcPr>
            <w:tcW w:w="117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5"/>
              <w:ind w:left="312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15"/>
                <w:sz w:val="14"/>
              </w:rPr>
              <w:t>46,16%</w:t>
            </w:r>
          </w:p>
        </w:tc>
        <w:tc>
          <w:tcPr>
            <w:tcW w:w="1403" w:type="dxa"/>
            <w:tcBorders>
              <w:left w:val="single" w:sz="8" w:space="0" w:color="000000"/>
              <w:right w:val="nil"/>
            </w:tcBorders>
            <w:shd w:val="clear" w:color="auto" w:fill="DAEDF3"/>
          </w:tcPr>
          <w:p>
            <w:pPr>
              <w:pStyle w:val="TableParagraph"/>
              <w:spacing w:before="105"/>
              <w:ind w:left="58" w:right="5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15"/>
                <w:sz w:val="14"/>
              </w:rPr>
              <w:t>19,74%</w:t>
            </w:r>
          </w:p>
        </w:tc>
      </w:tr>
      <w:tr>
        <w:trPr>
          <w:trHeight w:val="417" w:hRule="atLeast"/>
        </w:trPr>
        <w:tc>
          <w:tcPr>
            <w:tcW w:w="1173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spacing w:before="1"/>
              <w:ind w:left="369"/>
              <w:rPr>
                <w:rFonts w:ascii="Verdana"/>
                <w:sz w:val="17"/>
              </w:rPr>
            </w:pPr>
            <w:r>
              <w:rPr>
                <w:rFonts w:ascii="Verdana"/>
                <w:sz w:val="17"/>
              </w:rPr>
              <w:t>2018</w:t>
            </w:r>
          </w:p>
        </w:tc>
        <w:tc>
          <w:tcPr>
            <w:tcW w:w="2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1"/>
              <w:ind w:left="109" w:right="13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D7CB3"/>
                <w:spacing w:val="-4"/>
                <w:w w:val="115"/>
                <w:sz w:val="14"/>
              </w:rPr>
              <w:t>Ta</w:t>
            </w:r>
            <w:r>
              <w:rPr>
                <w:rFonts w:ascii="Arial"/>
                <w:b/>
                <w:color w:val="1D7CB3"/>
                <w:spacing w:val="-29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115"/>
                <w:sz w:val="14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15"/>
                <w:sz w:val="14"/>
              </w:rPr>
              <w:t>Bruta</w:t>
            </w:r>
            <w:r>
              <w:rPr>
                <w:rFonts w:ascii="Arial"/>
                <w:b/>
                <w:color w:val="1D7CB3"/>
                <w:spacing w:val="18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15"/>
                <w:sz w:val="14"/>
              </w:rPr>
              <w:t>de</w:t>
            </w:r>
            <w:r>
              <w:rPr>
                <w:rFonts w:ascii="Arial"/>
                <w:b/>
                <w:color w:val="1D7CB3"/>
                <w:spacing w:val="13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15"/>
                <w:sz w:val="14"/>
              </w:rPr>
              <w:t>Cobertura</w:t>
            </w:r>
          </w:p>
        </w:tc>
        <w:tc>
          <w:tcPr>
            <w:tcW w:w="117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15"/>
                <w:sz w:val="14"/>
              </w:rPr>
              <w:t>104,59%</w:t>
            </w:r>
          </w:p>
        </w:tc>
        <w:tc>
          <w:tcPr>
            <w:tcW w:w="117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9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15"/>
                <w:sz w:val="14"/>
              </w:rPr>
              <w:t>104,20%</w:t>
            </w:r>
          </w:p>
        </w:tc>
        <w:tc>
          <w:tcPr>
            <w:tcW w:w="117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312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15"/>
                <w:sz w:val="14"/>
              </w:rPr>
              <w:t>68,21%</w:t>
            </w:r>
          </w:p>
        </w:tc>
        <w:tc>
          <w:tcPr>
            <w:tcW w:w="1403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106"/>
              <w:ind w:left="58" w:right="5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15"/>
                <w:sz w:val="14"/>
              </w:rPr>
              <w:t>29,23%</w:t>
            </w:r>
          </w:p>
        </w:tc>
      </w:tr>
      <w:tr>
        <w:trPr>
          <w:trHeight w:val="419" w:hRule="atLeast"/>
        </w:trPr>
        <w:tc>
          <w:tcPr>
            <w:tcW w:w="117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21"/>
              <w:ind w:left="89" w:right="13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D7CB3"/>
                <w:spacing w:val="-1"/>
                <w:w w:val="115"/>
                <w:sz w:val="14"/>
              </w:rPr>
              <w:t>Ta</w:t>
            </w:r>
            <w:r>
              <w:rPr>
                <w:rFonts w:ascii="Arial"/>
                <w:b/>
                <w:color w:val="1D7CB3"/>
                <w:spacing w:val="-29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15"/>
                <w:sz w:val="14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15"/>
                <w:sz w:val="14"/>
              </w:rPr>
              <w:t>Neta</w:t>
            </w:r>
            <w:r>
              <w:rPr>
                <w:rFonts w:ascii="Arial"/>
                <w:b/>
                <w:color w:val="1D7CB3"/>
                <w:spacing w:val="17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15"/>
                <w:sz w:val="14"/>
              </w:rPr>
              <w:t>de</w:t>
            </w:r>
            <w:r>
              <w:rPr>
                <w:rFonts w:ascii="Arial"/>
                <w:b/>
                <w:color w:val="1D7CB3"/>
                <w:spacing w:val="13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w w:val="115"/>
                <w:sz w:val="14"/>
              </w:rPr>
              <w:t>Cobertura</w:t>
            </w:r>
          </w:p>
        </w:tc>
        <w:tc>
          <w:tcPr>
            <w:tcW w:w="117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6"/>
              <w:ind w:left="2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15"/>
                <w:sz w:val="14"/>
              </w:rPr>
              <w:t>75,47%</w:t>
            </w:r>
          </w:p>
        </w:tc>
        <w:tc>
          <w:tcPr>
            <w:tcW w:w="117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6"/>
              <w:ind w:left="26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15"/>
                <w:sz w:val="14"/>
              </w:rPr>
              <w:t>90,62%</w:t>
            </w:r>
          </w:p>
        </w:tc>
        <w:tc>
          <w:tcPr>
            <w:tcW w:w="117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6"/>
              <w:ind w:left="312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15"/>
                <w:sz w:val="14"/>
              </w:rPr>
              <w:t>46,79%</w:t>
            </w:r>
          </w:p>
        </w:tc>
        <w:tc>
          <w:tcPr>
            <w:tcW w:w="1403" w:type="dxa"/>
            <w:tcBorders>
              <w:left w:val="single" w:sz="8" w:space="0" w:color="000000"/>
              <w:right w:val="nil"/>
            </w:tcBorders>
            <w:shd w:val="clear" w:color="auto" w:fill="DAEDF3"/>
          </w:tcPr>
          <w:p>
            <w:pPr>
              <w:pStyle w:val="TableParagraph"/>
              <w:spacing w:before="106"/>
              <w:ind w:left="58" w:right="5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15"/>
                <w:sz w:val="14"/>
              </w:rPr>
              <w:t>20,13%</w:t>
            </w:r>
          </w:p>
        </w:tc>
      </w:tr>
      <w:tr>
        <w:trPr>
          <w:trHeight w:val="417" w:hRule="atLeast"/>
        </w:trPr>
        <w:tc>
          <w:tcPr>
            <w:tcW w:w="1173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spacing w:before="1"/>
              <w:ind w:left="369"/>
              <w:rPr>
                <w:rFonts w:ascii="Verdana"/>
                <w:sz w:val="17"/>
              </w:rPr>
            </w:pPr>
            <w:r>
              <w:rPr>
                <w:rFonts w:ascii="Verdana"/>
                <w:sz w:val="17"/>
              </w:rPr>
              <w:t>2019</w:t>
            </w:r>
          </w:p>
        </w:tc>
        <w:tc>
          <w:tcPr>
            <w:tcW w:w="2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1"/>
              <w:ind w:left="109" w:right="13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D7CB3"/>
                <w:spacing w:val="-4"/>
                <w:w w:val="115"/>
                <w:sz w:val="14"/>
              </w:rPr>
              <w:t>Ta</w:t>
            </w:r>
            <w:r>
              <w:rPr>
                <w:rFonts w:ascii="Arial"/>
                <w:b/>
                <w:color w:val="1D7CB3"/>
                <w:spacing w:val="-29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115"/>
                <w:sz w:val="14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15"/>
                <w:sz w:val="14"/>
              </w:rPr>
              <w:t>Bruta</w:t>
            </w:r>
            <w:r>
              <w:rPr>
                <w:rFonts w:ascii="Arial"/>
                <w:b/>
                <w:color w:val="1D7CB3"/>
                <w:spacing w:val="18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15"/>
                <w:sz w:val="14"/>
              </w:rPr>
              <w:t>de</w:t>
            </w:r>
            <w:r>
              <w:rPr>
                <w:rFonts w:ascii="Arial"/>
                <w:b/>
                <w:color w:val="1D7CB3"/>
                <w:spacing w:val="13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15"/>
                <w:sz w:val="14"/>
              </w:rPr>
              <w:t>Cobertura</w:t>
            </w:r>
          </w:p>
        </w:tc>
        <w:tc>
          <w:tcPr>
            <w:tcW w:w="117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15"/>
                <w:sz w:val="14"/>
              </w:rPr>
              <w:t>102,26%</w:t>
            </w:r>
          </w:p>
        </w:tc>
        <w:tc>
          <w:tcPr>
            <w:tcW w:w="117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9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15"/>
                <w:sz w:val="14"/>
              </w:rPr>
              <w:t>105,88%</w:t>
            </w:r>
          </w:p>
        </w:tc>
        <w:tc>
          <w:tcPr>
            <w:tcW w:w="117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312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15"/>
                <w:sz w:val="14"/>
              </w:rPr>
              <w:t>63,37%</w:t>
            </w:r>
          </w:p>
        </w:tc>
        <w:tc>
          <w:tcPr>
            <w:tcW w:w="1403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105"/>
              <w:ind w:left="58" w:right="5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15"/>
                <w:sz w:val="14"/>
              </w:rPr>
              <w:t>28,90%</w:t>
            </w:r>
          </w:p>
        </w:tc>
      </w:tr>
      <w:tr>
        <w:trPr>
          <w:trHeight w:val="417" w:hRule="atLeast"/>
        </w:trPr>
        <w:tc>
          <w:tcPr>
            <w:tcW w:w="117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21"/>
              <w:ind w:left="89" w:right="13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D7CB3"/>
                <w:spacing w:val="-1"/>
                <w:w w:val="115"/>
                <w:sz w:val="14"/>
              </w:rPr>
              <w:t>Ta</w:t>
            </w:r>
            <w:r>
              <w:rPr>
                <w:rFonts w:ascii="Arial"/>
                <w:b/>
                <w:color w:val="1D7CB3"/>
                <w:spacing w:val="-29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15"/>
                <w:sz w:val="14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15"/>
                <w:sz w:val="14"/>
              </w:rPr>
              <w:t>Neta</w:t>
            </w:r>
            <w:r>
              <w:rPr>
                <w:rFonts w:ascii="Arial"/>
                <w:b/>
                <w:color w:val="1D7CB3"/>
                <w:spacing w:val="17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15"/>
                <w:sz w:val="14"/>
              </w:rPr>
              <w:t>de</w:t>
            </w:r>
            <w:r>
              <w:rPr>
                <w:rFonts w:ascii="Arial"/>
                <w:b/>
                <w:color w:val="1D7CB3"/>
                <w:spacing w:val="13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w w:val="115"/>
                <w:sz w:val="14"/>
              </w:rPr>
              <w:t>Cobertura</w:t>
            </w:r>
          </w:p>
        </w:tc>
        <w:tc>
          <w:tcPr>
            <w:tcW w:w="117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6"/>
              <w:ind w:left="2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15"/>
                <w:sz w:val="14"/>
              </w:rPr>
              <w:t>75,09%</w:t>
            </w:r>
          </w:p>
        </w:tc>
        <w:tc>
          <w:tcPr>
            <w:tcW w:w="117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6"/>
              <w:ind w:left="26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15"/>
                <w:sz w:val="14"/>
              </w:rPr>
              <w:t>92,65%</w:t>
            </w:r>
          </w:p>
        </w:tc>
        <w:tc>
          <w:tcPr>
            <w:tcW w:w="117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6"/>
              <w:ind w:left="312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15"/>
                <w:sz w:val="14"/>
              </w:rPr>
              <w:t>45,58%</w:t>
            </w:r>
          </w:p>
        </w:tc>
        <w:tc>
          <w:tcPr>
            <w:tcW w:w="1403" w:type="dxa"/>
            <w:tcBorders>
              <w:left w:val="single" w:sz="8" w:space="0" w:color="000000"/>
              <w:right w:val="nil"/>
            </w:tcBorders>
            <w:shd w:val="clear" w:color="auto" w:fill="DAEDF3"/>
          </w:tcPr>
          <w:p>
            <w:pPr>
              <w:pStyle w:val="TableParagraph"/>
              <w:spacing w:before="106"/>
              <w:ind w:left="58" w:right="5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15"/>
                <w:sz w:val="14"/>
              </w:rPr>
              <w:t>19,73%</w:t>
            </w:r>
          </w:p>
        </w:tc>
      </w:tr>
      <w:tr>
        <w:trPr>
          <w:trHeight w:val="418" w:hRule="atLeast"/>
        </w:trPr>
        <w:tc>
          <w:tcPr>
            <w:tcW w:w="1173" w:type="dxa"/>
            <w:vMerge w:val="restart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spacing w:before="1"/>
              <w:ind w:left="369"/>
              <w:rPr>
                <w:rFonts w:ascii="Verdana"/>
                <w:sz w:val="17"/>
              </w:rPr>
            </w:pPr>
            <w:r>
              <w:rPr>
                <w:rFonts w:ascii="Verdana"/>
                <w:sz w:val="17"/>
              </w:rPr>
              <w:t>2020</w:t>
            </w:r>
          </w:p>
        </w:tc>
        <w:tc>
          <w:tcPr>
            <w:tcW w:w="2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1"/>
              <w:ind w:left="109" w:right="13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D7CB3"/>
                <w:spacing w:val="-4"/>
                <w:w w:val="115"/>
                <w:sz w:val="14"/>
              </w:rPr>
              <w:t>Ta</w:t>
            </w:r>
            <w:r>
              <w:rPr>
                <w:rFonts w:ascii="Arial"/>
                <w:b/>
                <w:color w:val="1D7CB3"/>
                <w:spacing w:val="-29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115"/>
                <w:sz w:val="14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15"/>
                <w:sz w:val="14"/>
              </w:rPr>
              <w:t>Bruta</w:t>
            </w:r>
            <w:r>
              <w:rPr>
                <w:rFonts w:ascii="Arial"/>
                <w:b/>
                <w:color w:val="1D7CB3"/>
                <w:spacing w:val="18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15"/>
                <w:sz w:val="14"/>
              </w:rPr>
              <w:t>de</w:t>
            </w:r>
            <w:r>
              <w:rPr>
                <w:rFonts w:ascii="Arial"/>
                <w:b/>
                <w:color w:val="1D7CB3"/>
                <w:spacing w:val="13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3"/>
                <w:w w:val="115"/>
                <w:sz w:val="14"/>
              </w:rPr>
              <w:t>Cobertura</w:t>
            </w:r>
          </w:p>
        </w:tc>
        <w:tc>
          <w:tcPr>
            <w:tcW w:w="117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15"/>
                <w:sz w:val="14"/>
              </w:rPr>
              <w:t>100,57%</w:t>
            </w:r>
          </w:p>
        </w:tc>
        <w:tc>
          <w:tcPr>
            <w:tcW w:w="117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9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15"/>
                <w:sz w:val="14"/>
              </w:rPr>
              <w:t>107,32%</w:t>
            </w:r>
          </w:p>
        </w:tc>
        <w:tc>
          <w:tcPr>
            <w:tcW w:w="117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312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15"/>
                <w:sz w:val="14"/>
              </w:rPr>
              <w:t>61,31%</w:t>
            </w:r>
          </w:p>
        </w:tc>
        <w:tc>
          <w:tcPr>
            <w:tcW w:w="1403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106"/>
              <w:ind w:left="58" w:right="5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15"/>
                <w:sz w:val="14"/>
              </w:rPr>
              <w:t>28,81%</w:t>
            </w:r>
          </w:p>
        </w:tc>
      </w:tr>
      <w:tr>
        <w:trPr>
          <w:trHeight w:val="421" w:hRule="atLeast"/>
        </w:trPr>
        <w:tc>
          <w:tcPr>
            <w:tcW w:w="117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0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21"/>
              <w:ind w:left="89" w:right="13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D7CB3"/>
                <w:spacing w:val="-1"/>
                <w:w w:val="115"/>
                <w:sz w:val="14"/>
              </w:rPr>
              <w:t>Ta</w:t>
            </w:r>
            <w:r>
              <w:rPr>
                <w:rFonts w:ascii="Arial"/>
                <w:b/>
                <w:color w:val="1D7CB3"/>
                <w:spacing w:val="-29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15"/>
                <w:sz w:val="14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15"/>
                <w:sz w:val="14"/>
              </w:rPr>
              <w:t>Neta</w:t>
            </w:r>
            <w:r>
              <w:rPr>
                <w:rFonts w:ascii="Arial"/>
                <w:b/>
                <w:color w:val="1D7CB3"/>
                <w:spacing w:val="17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spacing w:val="-1"/>
                <w:w w:val="115"/>
                <w:sz w:val="14"/>
              </w:rPr>
              <w:t>de</w:t>
            </w:r>
            <w:r>
              <w:rPr>
                <w:rFonts w:ascii="Arial"/>
                <w:b/>
                <w:color w:val="1D7CB3"/>
                <w:spacing w:val="13"/>
                <w:w w:val="115"/>
                <w:sz w:val="14"/>
              </w:rPr>
              <w:t> </w:t>
            </w:r>
            <w:r>
              <w:rPr>
                <w:rFonts w:ascii="Arial"/>
                <w:b/>
                <w:color w:val="1D7CB3"/>
                <w:w w:val="115"/>
                <w:sz w:val="14"/>
              </w:rPr>
              <w:t>Cobertura</w:t>
            </w:r>
          </w:p>
        </w:tc>
        <w:tc>
          <w:tcPr>
            <w:tcW w:w="1173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5"/>
              <w:ind w:left="2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15"/>
                <w:sz w:val="14"/>
              </w:rPr>
              <w:t>74,08%</w:t>
            </w:r>
          </w:p>
        </w:tc>
        <w:tc>
          <w:tcPr>
            <w:tcW w:w="1173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5"/>
              <w:ind w:left="26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15"/>
                <w:sz w:val="14"/>
              </w:rPr>
              <w:t>94,24%</w:t>
            </w:r>
          </w:p>
        </w:tc>
        <w:tc>
          <w:tcPr>
            <w:tcW w:w="1171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5"/>
              <w:ind w:left="312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15"/>
                <w:sz w:val="14"/>
              </w:rPr>
              <w:t>45,70%</w:t>
            </w:r>
          </w:p>
        </w:tc>
        <w:tc>
          <w:tcPr>
            <w:tcW w:w="1403" w:type="dxa"/>
            <w:tcBorders>
              <w:left w:val="single" w:sz="8" w:space="0" w:color="000000"/>
              <w:bottom w:val="nil"/>
              <w:right w:val="nil"/>
            </w:tcBorders>
            <w:shd w:val="clear" w:color="auto" w:fill="DAEDF3"/>
          </w:tcPr>
          <w:p>
            <w:pPr>
              <w:pStyle w:val="TableParagraph"/>
              <w:spacing w:before="105"/>
              <w:ind w:left="58" w:right="5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color w:val="333333"/>
                <w:w w:val="115"/>
                <w:sz w:val="14"/>
              </w:rPr>
              <w:t>19,68%</w:t>
            </w:r>
          </w:p>
        </w:tc>
      </w:tr>
    </w:tbl>
    <w:p>
      <w:pPr>
        <w:spacing w:before="0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2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2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78" w:right="1072"/>
        <w:jc w:val="both"/>
      </w:pPr>
      <w:r>
        <w:rPr/>
        <w:t>La tabla anterior, engloba los principales indicadores de cobertura para Sololá. A nivel Preprimaria,</w:t>
      </w:r>
      <w:r>
        <w:rPr>
          <w:spacing w:val="1"/>
        </w:rPr>
        <w:t> </w:t>
      </w:r>
      <w:r>
        <w:rPr/>
        <w:t>muestra</w:t>
      </w:r>
      <w:r>
        <w:rPr>
          <w:spacing w:val="-9"/>
        </w:rPr>
        <w:t> </w:t>
      </w:r>
      <w:r>
        <w:rPr/>
        <w:t>una</w:t>
      </w:r>
      <w:r>
        <w:rPr>
          <w:spacing w:val="-8"/>
        </w:rPr>
        <w:t> </w:t>
      </w:r>
      <w:r>
        <w:rPr/>
        <w:t>reducción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cobertura</w:t>
      </w:r>
      <w:r>
        <w:rPr>
          <w:spacing w:val="-8"/>
        </w:rPr>
        <w:t> </w:t>
      </w:r>
      <w:r>
        <w:rPr/>
        <w:t>durante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periodo</w:t>
      </w:r>
      <w:r>
        <w:rPr>
          <w:spacing w:val="-9"/>
        </w:rPr>
        <w:t> </w:t>
      </w:r>
      <w:r>
        <w:rPr/>
        <w:t>2017‐2020,</w:t>
      </w:r>
      <w:r>
        <w:rPr>
          <w:spacing w:val="-8"/>
        </w:rPr>
        <w:t> </w:t>
      </w:r>
      <w:r>
        <w:rPr/>
        <w:t>con</w:t>
      </w:r>
      <w:r>
        <w:rPr>
          <w:spacing w:val="-9"/>
        </w:rPr>
        <w:t> </w:t>
      </w:r>
      <w:r>
        <w:rPr/>
        <w:t>una</w:t>
      </w:r>
      <w:r>
        <w:rPr>
          <w:spacing w:val="-8"/>
        </w:rPr>
        <w:t> </w:t>
      </w:r>
      <w:r>
        <w:rPr/>
        <w:t>TNE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(72.92%),</w:t>
      </w:r>
      <w:r>
        <w:rPr>
          <w:spacing w:val="-9"/>
        </w:rPr>
        <w:t> </w:t>
      </w:r>
      <w:r>
        <w:rPr/>
        <w:t>(75.47%),</w:t>
      </w:r>
      <w:r>
        <w:rPr>
          <w:spacing w:val="-47"/>
        </w:rPr>
        <w:t> </w:t>
      </w:r>
      <w:r>
        <w:rPr/>
        <w:t>(75.09%) y (74.08%) respectivamente durante los años indicados. Lo cual, significa que siete (7) de cada</w:t>
      </w:r>
      <w:r>
        <w:rPr>
          <w:spacing w:val="1"/>
        </w:rPr>
        <w:t> </w:t>
      </w:r>
      <w:r>
        <w:rPr/>
        <w:t>10</w:t>
      </w:r>
      <w:r>
        <w:rPr>
          <w:spacing w:val="-1"/>
        </w:rPr>
        <w:t> </w:t>
      </w:r>
      <w:r>
        <w:rPr/>
        <w:t>niños</w:t>
      </w:r>
      <w:r>
        <w:rPr>
          <w:spacing w:val="1"/>
        </w:rPr>
        <w:t> </w:t>
      </w:r>
      <w:r>
        <w:rPr/>
        <w:t>asiste a</w:t>
      </w:r>
      <w:r>
        <w:rPr>
          <w:spacing w:val="-2"/>
        </w:rPr>
        <w:t> </w:t>
      </w:r>
      <w:r>
        <w:rPr/>
        <w:t>este nivel</w:t>
      </w:r>
      <w:r>
        <w:rPr>
          <w:spacing w:val="-2"/>
        </w:rPr>
        <w:t> </w:t>
      </w:r>
      <w:r>
        <w:rPr/>
        <w:t>(TNE:</w:t>
      </w:r>
      <w:r>
        <w:rPr>
          <w:spacing w:val="-1"/>
        </w:rPr>
        <w:t> </w:t>
      </w:r>
      <w:r>
        <w:rPr/>
        <w:t>45.25%).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  <w:r>
        <w:rPr/>
        <w:pict>
          <v:rect style="position:absolute;margin-left:563.880005pt;margin-top:8.639371pt;width:25.44pt;height:1.4399pt;mso-position-horizontal-relative:page;mso-position-vertical-relative:paragraph;z-index:-1536972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185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73664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9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0"/>
        <w:jc w:val="both"/>
      </w:pPr>
      <w:r>
        <w:rPr/>
        <w:t>En primaria se</w:t>
      </w:r>
      <w:r>
        <w:rPr>
          <w:spacing w:val="1"/>
        </w:rPr>
        <w:t> </w:t>
      </w:r>
      <w:r>
        <w:rPr/>
        <w:t>registran mayores valores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van de</w:t>
      </w:r>
      <w:r>
        <w:rPr>
          <w:spacing w:val="1"/>
        </w:rPr>
        <w:t> </w:t>
      </w:r>
      <w:r>
        <w:rPr/>
        <w:t>(89.29%), (90.62%),</w:t>
      </w:r>
      <w:r>
        <w:rPr>
          <w:spacing w:val="1"/>
        </w:rPr>
        <w:t> </w:t>
      </w:r>
      <w:r>
        <w:rPr/>
        <w:t>(92.65%) y</w:t>
      </w:r>
      <w:r>
        <w:rPr>
          <w:spacing w:val="1"/>
        </w:rPr>
        <w:t> </w:t>
      </w:r>
      <w:r>
        <w:rPr/>
        <w:t>(94.24%), registrando el mayor dato durante el 2019. De acuerdo con dato promedio de la TNE de Sololá</w:t>
      </w:r>
      <w:r>
        <w:rPr>
          <w:spacing w:val="1"/>
        </w:rPr>
        <w:t> </w:t>
      </w:r>
      <w:r>
        <w:rPr/>
        <w:t>(91.7%) durante el período en comparación con el promedio de la TNE Nacional, este departamento</w:t>
      </w:r>
      <w:r>
        <w:rPr>
          <w:spacing w:val="1"/>
        </w:rPr>
        <w:t> </w:t>
      </w:r>
      <w:r>
        <w:rPr/>
        <w:t>registró un valor por arriba con 18.2%. En otras palabras, nueve (9) de cada diez (10) asiste al nivel</w:t>
      </w:r>
      <w:r>
        <w:rPr>
          <w:spacing w:val="1"/>
        </w:rPr>
        <w:t> </w:t>
      </w:r>
      <w:r>
        <w:rPr/>
        <w:t>primario. Lo interesante aquí será determinar la tasa neta a nivel municipal para identificar brechas o</w:t>
      </w:r>
      <w:r>
        <w:rPr>
          <w:spacing w:val="1"/>
        </w:rPr>
        <w:t> </w:t>
      </w:r>
      <w:r>
        <w:rPr/>
        <w:t>desigualdades en</w:t>
      </w:r>
      <w:r>
        <w:rPr>
          <w:spacing w:val="-2"/>
        </w:rPr>
        <w:t> </w:t>
      </w:r>
      <w:r>
        <w:rPr/>
        <w:t>el sistema.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ind w:left="278" w:right="1073"/>
        <w:jc w:val="both"/>
      </w:pPr>
      <w:r>
        <w:rPr/>
        <w:t>Los valores en el Ciclo básico reportan una tendencia del (12%) por encima de la tasa promedio neta</w:t>
      </w:r>
      <w:r>
        <w:rPr>
          <w:spacing w:val="1"/>
        </w:rPr>
        <w:t> </w:t>
      </w:r>
      <w:r>
        <w:rPr/>
        <w:t>(TNE:34%).</w:t>
      </w:r>
      <w:r>
        <w:rPr>
          <w:spacing w:val="1"/>
        </w:rPr>
        <w:t> </w:t>
      </w:r>
      <w:r>
        <w:rPr/>
        <w:t>Para el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analizado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cantidades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(46.16%),</w:t>
      </w:r>
      <w:r>
        <w:rPr>
          <w:spacing w:val="1"/>
        </w:rPr>
        <w:t> </w:t>
      </w:r>
      <w:r>
        <w:rPr/>
        <w:t>(46.79%),</w:t>
      </w:r>
      <w:r>
        <w:rPr>
          <w:spacing w:val="1"/>
        </w:rPr>
        <w:t> </w:t>
      </w:r>
      <w:r>
        <w:rPr/>
        <w:t>(45.58%)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(45.70%).</w:t>
      </w:r>
      <w:r>
        <w:rPr>
          <w:spacing w:val="-2"/>
        </w:rPr>
        <w:t> </w:t>
      </w:r>
      <w:r>
        <w:rPr/>
        <w:t>Esto,</w:t>
      </w:r>
      <w:r>
        <w:rPr>
          <w:spacing w:val="-4"/>
        </w:rPr>
        <w:t> </w:t>
      </w:r>
      <w:r>
        <w:rPr/>
        <w:t>quiere decir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una</w:t>
      </w:r>
      <w:r>
        <w:rPr>
          <w:spacing w:val="-1"/>
        </w:rPr>
        <w:t> </w:t>
      </w:r>
      <w:r>
        <w:rPr/>
        <w:t>tercera parte</w:t>
      </w:r>
      <w:r>
        <w:rPr>
          <w:spacing w:val="-1"/>
        </w:rPr>
        <w:t> </w:t>
      </w:r>
      <w:r>
        <w:rPr/>
        <w:t>asiste al</w:t>
      </w:r>
      <w:r>
        <w:rPr>
          <w:spacing w:val="-3"/>
        </w:rPr>
        <w:t> </w:t>
      </w:r>
      <w:r>
        <w:rPr/>
        <w:t>ciclo</w:t>
      </w:r>
      <w:r>
        <w:rPr>
          <w:spacing w:val="-3"/>
        </w:rPr>
        <w:t> </w:t>
      </w:r>
      <w:r>
        <w:rPr/>
        <w:t>básico</w:t>
      </w:r>
      <w:r>
        <w:rPr>
          <w:spacing w:val="1"/>
        </w:rPr>
        <w:t> </w:t>
      </w:r>
      <w:r>
        <w:rPr/>
        <w:t>(TNE:</w:t>
      </w:r>
      <w:r>
        <w:rPr>
          <w:spacing w:val="-3"/>
        </w:rPr>
        <w:t> </w:t>
      </w:r>
      <w:r>
        <w:rPr/>
        <w:t>34%).</w:t>
      </w:r>
    </w:p>
    <w:p>
      <w:pPr>
        <w:pStyle w:val="BodyText"/>
        <w:spacing w:before="1"/>
      </w:pPr>
    </w:p>
    <w:p>
      <w:pPr>
        <w:pStyle w:val="BodyText"/>
        <w:ind w:left="278" w:right="1072"/>
        <w:jc w:val="both"/>
      </w:pPr>
      <w:r>
        <w:rPr/>
        <w:t>De modo similar a los datos nacionales, el nivel más bajo de participación en el Sistema Nacional de</w:t>
      </w:r>
      <w:r>
        <w:rPr>
          <w:spacing w:val="1"/>
        </w:rPr>
        <w:t> </w:t>
      </w:r>
      <w:r>
        <w:rPr/>
        <w:t>Educación,</w:t>
      </w:r>
      <w:r>
        <w:rPr>
          <w:spacing w:val="-3"/>
        </w:rPr>
        <w:t> </w:t>
      </w:r>
      <w:r>
        <w:rPr/>
        <w:t>lo</w:t>
      </w:r>
      <w:r>
        <w:rPr>
          <w:spacing w:val="-2"/>
        </w:rPr>
        <w:t> </w:t>
      </w:r>
      <w:r>
        <w:rPr/>
        <w:t>representa</w:t>
      </w:r>
      <w:r>
        <w:rPr>
          <w:spacing w:val="-3"/>
        </w:rPr>
        <w:t> </w:t>
      </w:r>
      <w:r>
        <w:rPr/>
        <w:t>el</w:t>
      </w:r>
      <w:r>
        <w:rPr>
          <w:spacing w:val="-6"/>
        </w:rPr>
        <w:t> </w:t>
      </w:r>
      <w:r>
        <w:rPr/>
        <w:t>diversificado.</w:t>
      </w:r>
      <w:r>
        <w:rPr>
          <w:spacing w:val="-4"/>
        </w:rPr>
        <w:t> </w:t>
      </w:r>
      <w:r>
        <w:rPr/>
        <w:t>Incluso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Sololá</w:t>
      </w:r>
      <w:r>
        <w:rPr>
          <w:spacing w:val="-4"/>
        </w:rPr>
        <w:t> </w:t>
      </w:r>
      <w:r>
        <w:rPr/>
        <w:t>solamente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cada</w:t>
      </w:r>
      <w:r>
        <w:rPr>
          <w:spacing w:val="-6"/>
        </w:rPr>
        <w:t> </w:t>
      </w:r>
      <w:r>
        <w:rPr/>
        <w:t>10</w:t>
      </w:r>
      <w:r>
        <w:rPr>
          <w:spacing w:val="-3"/>
        </w:rPr>
        <w:t> </w:t>
      </w:r>
      <w:r>
        <w:rPr/>
        <w:t>jóvenes</w:t>
      </w:r>
      <w:r>
        <w:rPr>
          <w:spacing w:val="-3"/>
        </w:rPr>
        <w:t> </w:t>
      </w:r>
      <w:r>
        <w:rPr/>
        <w:t>tiene</w:t>
      </w:r>
      <w:r>
        <w:rPr>
          <w:spacing w:val="-3"/>
        </w:rPr>
        <w:t> </w:t>
      </w:r>
      <w:r>
        <w:rPr/>
        <w:t>acceso</w:t>
      </w:r>
      <w:r>
        <w:rPr>
          <w:spacing w:val="-3"/>
        </w:rPr>
        <w:t> </w:t>
      </w:r>
      <w:r>
        <w:rPr/>
        <w:t>a</w:t>
      </w:r>
      <w:r>
        <w:rPr>
          <w:spacing w:val="-48"/>
        </w:rPr>
        <w:t> </w:t>
      </w:r>
      <w:r>
        <w:rPr/>
        <w:t>educación en este nivel, hallándose por debajo de la TNE a nivel nacional cuya tasa de cobertura en</w:t>
      </w:r>
      <w:r>
        <w:rPr>
          <w:spacing w:val="1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media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del 24.57%,</w:t>
      </w:r>
      <w:r>
        <w:rPr>
          <w:spacing w:val="-3"/>
        </w:rPr>
        <w:t> </w:t>
      </w:r>
      <w:r>
        <w:rPr/>
        <w:t>mientras</w:t>
      </w:r>
      <w:r>
        <w:rPr>
          <w:spacing w:val="-4"/>
        </w:rPr>
        <w:t> </w:t>
      </w:r>
      <w:r>
        <w:rPr/>
        <w:t>que la</w:t>
      </w:r>
      <w:r>
        <w:rPr>
          <w:spacing w:val="-3"/>
        </w:rPr>
        <w:t> </w:t>
      </w:r>
      <w:r>
        <w:rPr/>
        <w:t>tasa</w:t>
      </w:r>
      <w:r>
        <w:rPr>
          <w:spacing w:val="-3"/>
        </w:rPr>
        <w:t> </w:t>
      </w:r>
      <w:r>
        <w:rPr/>
        <w:t>promedio del</w:t>
      </w:r>
      <w:r>
        <w:rPr>
          <w:spacing w:val="-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se</w:t>
      </w:r>
      <w:r>
        <w:rPr>
          <w:spacing w:val="-3"/>
        </w:rPr>
        <w:t> </w:t>
      </w:r>
      <w:r>
        <w:rPr/>
        <w:t>sitúa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19.20%.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4"/>
        <w:jc w:val="both"/>
      </w:pPr>
      <w:r>
        <w:rPr/>
        <w:t>Este</w:t>
      </w:r>
      <w:r>
        <w:rPr>
          <w:spacing w:val="1"/>
        </w:rPr>
        <w:t> </w:t>
      </w:r>
      <w:r>
        <w:rPr/>
        <w:t>dato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diversificado,</w:t>
      </w:r>
      <w:r>
        <w:rPr>
          <w:spacing w:val="1"/>
        </w:rPr>
        <w:t> </w:t>
      </w:r>
      <w:r>
        <w:rPr/>
        <w:t>podrían</w:t>
      </w:r>
      <w:r>
        <w:rPr>
          <w:spacing w:val="1"/>
        </w:rPr>
        <w:t> </w:t>
      </w:r>
      <w:r>
        <w:rPr/>
        <w:t>explicarse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deserción</w:t>
      </w:r>
      <w:r>
        <w:rPr>
          <w:spacing w:val="1"/>
        </w:rPr>
        <w:t> </w:t>
      </w:r>
      <w:r>
        <w:rPr/>
        <w:t>escolar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adolescentes que entran a la vida laboral abandonando su educación. En el 2018, el INE registraba para</w:t>
      </w:r>
      <w:r>
        <w:rPr>
          <w:spacing w:val="1"/>
        </w:rPr>
        <w:t> </w:t>
      </w:r>
      <w:r>
        <w:rPr/>
        <w:t>Sololá las principales razones fueron: Falta de dinero (31%), No le gusta (19%), entre otros. Mientras que</w:t>
      </w:r>
      <w:r>
        <w:rPr>
          <w:spacing w:val="1"/>
        </w:rPr>
        <w:t> </w:t>
      </w:r>
      <w:r>
        <w:rPr/>
        <w:t>para el 2020, DIPLAN identificó los motivos de retiro más reportados para este departamento: 1. No le</w:t>
      </w:r>
      <w:r>
        <w:rPr>
          <w:spacing w:val="1"/>
        </w:rPr>
        <w:t> </w:t>
      </w:r>
      <w:r>
        <w:rPr/>
        <w:t>interesa.</w:t>
      </w:r>
      <w:r>
        <w:rPr>
          <w:spacing w:val="-3"/>
        </w:rPr>
        <w:t> </w:t>
      </w:r>
      <w:r>
        <w:rPr/>
        <w:t>2.</w:t>
      </w:r>
      <w:r>
        <w:rPr>
          <w:spacing w:val="-1"/>
        </w:rPr>
        <w:t> </w:t>
      </w:r>
      <w:r>
        <w:rPr/>
        <w:t>Retiro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Traslado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3.</w:t>
      </w:r>
      <w:r>
        <w:rPr>
          <w:spacing w:val="-3"/>
        </w:rPr>
        <w:t> </w:t>
      </w:r>
      <w:r>
        <w:rPr/>
        <w:t>Trabajo, entre</w:t>
      </w:r>
      <w:r>
        <w:rPr>
          <w:spacing w:val="-2"/>
        </w:rPr>
        <w:t> </w:t>
      </w:r>
      <w:r>
        <w:rPr/>
        <w:t>otros.</w:t>
      </w:r>
    </w:p>
    <w:p>
      <w:pPr>
        <w:pStyle w:val="BodyText"/>
        <w:spacing w:before="7"/>
        <w:rPr>
          <w:sz w:val="15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52" w:after="0"/>
        <w:ind w:left="998" w:right="0" w:hanging="721"/>
        <w:jc w:val="left"/>
      </w:pPr>
      <w:bookmarkStart w:name="_bookmark233" w:id="399"/>
      <w:bookmarkEnd w:id="399"/>
      <w:r>
        <w:rPr>
          <w:b w:val="0"/>
        </w:rPr>
      </w:r>
      <w:bookmarkStart w:name="_bookmark233" w:id="400"/>
      <w:bookmarkEnd w:id="400"/>
      <w:r>
        <w:rPr>
          <w:shd w:fill="FFFFFF" w:color="auto" w:val="clear"/>
        </w:rPr>
        <w:t>I</w:t>
      </w:r>
      <w:r>
        <w:rPr>
          <w:shd w:fill="FFFFFF" w:color="auto" w:val="clear"/>
        </w:rPr>
        <w:t>ndicador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Cobertura: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Tasa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Bruta</w:t>
      </w:r>
      <w:r>
        <w:rPr>
          <w:spacing w:val="-2"/>
          <w:shd w:fill="FFFFFF" w:color="auto" w:val="clear"/>
        </w:rPr>
        <w:t> </w:t>
      </w:r>
      <w:r>
        <w:rPr>
          <w:shd w:fill="FFFFFF" w:color="auto" w:val="clear"/>
        </w:rPr>
        <w:t>y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Déficit</w:t>
      </w:r>
      <w:r>
        <w:rPr>
          <w:spacing w:val="-1"/>
          <w:shd w:fill="FFFFFF" w:color="auto" w:val="clear"/>
        </w:rPr>
        <w:t> </w:t>
      </w:r>
      <w:r>
        <w:rPr>
          <w:shd w:fill="FFFFFF" w:color="auto" w:val="clear"/>
        </w:rPr>
        <w:t>por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departamento,</w:t>
      </w:r>
      <w:r>
        <w:rPr>
          <w:spacing w:val="-1"/>
          <w:shd w:fill="FFFFFF" w:color="auto" w:val="clear"/>
        </w:rPr>
        <w:t> </w:t>
      </w:r>
      <w:r>
        <w:rPr>
          <w:shd w:fill="FFFFFF" w:color="auto" w:val="clear"/>
        </w:rPr>
        <w:t>sexo</w:t>
      </w:r>
      <w:r>
        <w:rPr>
          <w:spacing w:val="-5"/>
          <w:shd w:fill="FFFFFF" w:color="auto" w:val="clear"/>
        </w:rPr>
        <w:t> </w:t>
      </w:r>
      <w:r>
        <w:rPr>
          <w:shd w:fill="FFFFFF" w:color="auto" w:val="clear"/>
        </w:rPr>
        <w:t>y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etnia.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278" w:right="1075"/>
        <w:jc w:val="both"/>
      </w:pPr>
      <w:r>
        <w:rPr/>
        <w:pict>
          <v:group style="position:absolute;margin-left:71.251282pt;margin-top:28.075178pt;width:446.3pt;height:152.65pt;mso-position-horizontal-relative:page;mso-position-vertical-relative:paragraph;z-index:-15368192;mso-wrap-distance-left:0;mso-wrap-distance-right:0" coordorigin="1425,562" coordsize="8926,3053">
            <v:rect style="position:absolute;left:1430;top:566;width:8915;height:3043" filled="true" fillcolor="#ffffff" stroked="false">
              <v:fill type="solid"/>
            </v:rect>
            <v:shape style="position:absolute;left:1924;top:2595;width:2217;height:2" coordorigin="1925,2596" coordsize="2217,0" path="m1925,2596l2493,2596m2599,2596l2763,2596m2868,2596l2898,2596m3003,2596l4141,2596e" filled="false" stroked="true" strokeweight=".466571pt" strokecolor="#888888">
              <v:path arrowok="t"/>
              <v:stroke dashstyle="solid"/>
            </v:shape>
            <v:shape style="position:absolute;left:4245;top:2593;width:5903;height:5" coordorigin="4246,2593" coordsize="5903,5" path="m4246,2598l4411,2598m4515,2598l4546,2598m4650,2598l6059,2598m6164,2598l6178,2598m6284,2598l7692,2598m7796,2598l7826,2598m7931,2598l9340,2598m9444,2598l9475,2598m9579,2598l10149,2598m4246,2593l4411,2593m4515,2593l4546,2593m4650,2593l6059,2593m6164,2593l6178,2593m6284,2593l7692,2593m7796,2593l7826,2593m7931,2593l9340,2593m9444,2593l9475,2593m9579,2593l10149,2593e" filled="false" stroked="true" strokeweight=".233285pt" strokecolor="#888888">
              <v:path arrowok="t"/>
              <v:stroke dashstyle="solid"/>
            </v:shape>
            <v:shape style="position:absolute;left:1924;top:2440;width:8224;height:2" coordorigin="1925,2441" coordsize="8224,0" path="m1925,2441l2763,2441m2868,2441l2898,2441m3003,2441l4411,2441m4515,2441l4546,2441m4650,2441l6059,2441m6164,2441l6178,2441m6284,2441l7692,2441m7796,2441l7826,2441m7931,2441l9340,2441m9444,2441l10149,2441e" filled="false" stroked="true" strokeweight=".466571pt" strokecolor="#888888">
              <v:path arrowok="t"/>
              <v:stroke dashstyle="solid"/>
            </v:shape>
            <v:shape style="position:absolute;left:1924;top:1831;width:8224;height:455" coordorigin="1925,1832" coordsize="8224,455" path="m1925,2286l2763,2286m2868,2286l2898,2286m3003,2286l4411,2286m4515,2286l4546,2286m4650,2286l6059,2286m6164,2286l6178,2286m6284,2286l7692,2286m7796,2286l10149,2286m1925,2141l2763,2141m2868,2141l2898,2141m3003,2141l4411,2141m4515,2141l4546,2141m4650,2141l6059,2141m6164,2141l6178,2141m6284,2141l7692,2141m7796,2141l10149,2141m1925,1987l2763,1987m2868,1987l4411,1987m4515,1987l6059,1987m6164,1987l6178,1987m6284,1987l10149,1987m1925,1832l2763,1832e" filled="false" stroked="true" strokeweight=".466571pt" strokecolor="#888888">
              <v:path arrowok="t"/>
              <v:stroke dashstyle="solid"/>
            </v:shape>
            <v:shape style="position:absolute;left:2868;top:1829;width:7281;height:5" coordorigin="2868,1830" coordsize="7281,5" path="m2868,1834l6059,1834m6164,1834l10149,1834m2868,1830l6059,1830m6164,1830l10149,1830e" filled="false" stroked="true" strokeweight=".233285pt" strokecolor="#888888">
              <v:path arrowok="t"/>
              <v:stroke dashstyle="solid"/>
            </v:shape>
            <v:shape style="position:absolute;left:1924;top:1677;width:8224;height:2" coordorigin="1925,1678" coordsize="8224,0" path="m1925,1678l2763,1678m2868,1678l10149,1678e" filled="false" stroked="true" strokeweight=".466571pt" strokecolor="#888888">
              <v:path arrowok="t"/>
              <v:stroke dashstyle="solid"/>
            </v:shape>
            <v:shape style="position:absolute;left:1924;top:1378;width:8224;height:155" coordorigin="1925,1378" coordsize="8224,155" path="m1925,1533l1925,1533,10149,1533m1925,1378l1925,1378,10149,1378e" filled="false" stroked="true" strokeweight=".595388pt" strokecolor="#888888">
              <v:path arrowok="t"/>
              <v:stroke dashstyle="solid"/>
            </v:shape>
            <v:shape style="position:absolute;left:5385;top:2730;width:1753;height:11" coordorigin="5385,2730" coordsize="1753,11" path="m5490,2730l5385,2730,5385,2741,5490,2741,5490,2730xm7138,2730l7032,2730,7032,2741,7138,2741,7138,2730xe" filled="true" fillcolor="#c46627" stroked="false">
              <v:path arrowok="t"/>
              <v:fill type="solid"/>
            </v:shape>
            <v:shape style="position:absolute;left:4006;top:2730;width:1753;height:11" coordorigin="4007,2730" coordsize="1753,11" path="m4111,2730l4007,2730,4007,2741,4111,2741,4111,2730xm5759,2730l5655,2730,5655,2741,5759,2741,5759,2730xe" filled="true" fillcolor="#d29e00" stroked="false">
              <v:path arrowok="t"/>
              <v:fill type="solid"/>
            </v:shape>
            <v:shape style="position:absolute;left:2493;top:2556;width:6697;height:185" coordorigin="2493,2557" coordsize="6697,185" path="m2599,2557l2493,2557,2493,2741,2599,2741,2599,2557xm4246,2586l4141,2586,4141,2741,4246,2741,4246,2586xm5894,2605l5790,2605,5790,2741,5894,2741,5894,2605xm7542,2596l7436,2596,7436,2741,7542,2741,7542,2596xm9189,2634l9070,2634,9070,2741,9189,2741,9189,2634xe" filled="true" fillcolor="#497eaf" stroked="false">
              <v:path arrowok="t"/>
              <v:fill type="solid"/>
            </v:shape>
            <v:shape style="position:absolute;left:2627;top:2605;width:6682;height:136" coordorigin="2628,2605" coordsize="6682,136" path="m2733,2663l2628,2663,2628,2741,2733,2741,2733,2663xm4380,2634l4276,2634,4276,2741,4380,2741,4380,2634xm6029,2673l5924,2673,5924,2741,6029,2741,6029,2673xm7677,2605l7557,2605,7557,2741,7677,2741,7677,2605xm9309,2644l9205,2644,9205,2741,9309,2741,9309,2644xe" filled="true" fillcolor="#5b8e39" stroked="false">
              <v:path arrowok="t"/>
              <v:fill type="solid"/>
            </v:shape>
            <v:shape style="position:absolute;left:2762;top:1561;width:6682;height:1179" coordorigin="2763,1562" coordsize="6682,1179" path="m2868,1562l2763,1562,2763,2741,2868,2741,2868,1562xm4515,1832l4411,1832,4411,2741,4515,2741,4515,1832xm6164,1803l6059,1803,6059,2741,6164,2741,6164,1803xm7796,2103l7692,2103,7692,2741,7796,2741,7796,2103xm9444,2383l9340,2383,9340,2741,9444,2741,9444,2383xe" filled="true" fillcolor="#4471c4" stroked="false">
              <v:path arrowok="t"/>
              <v:fill type="solid"/>
            </v:shape>
            <v:shape style="position:absolute;left:2897;top:1948;width:6682;height:793" coordorigin="2898,1948" coordsize="6682,793" path="m3003,2006l2898,2006,2898,2741,3003,2741,3003,2006xm4650,2122l4546,2122,4546,2741,4650,2741,4650,2122xm6284,1948l6178,1948,6178,2741,6284,2741,6284,1948xm7931,2373l7826,2373,7826,2741,7931,2741,7931,2373xm9579,2499l9475,2499,9475,2741,9579,2741,9579,2499xe" filled="true" fillcolor="#ec7c30" stroked="false">
              <v:path arrowok="t"/>
              <v:fill type="solid"/>
            </v:shape>
            <v:shape style="position:absolute;left:3032;top:2730;width:5034;height:11" coordorigin="3032,2730" coordsize="5034,11" path="m3138,2730l3032,2730,3032,2741,3138,2741,3138,2730xm4785,2730l4666,2730,4666,2741,4785,2741,4785,2730xm6419,2730l6313,2730,6313,2741,6419,2741,6419,2730xm8066,2730l7961,2730,7961,2741,8066,2741,8066,2730xe" filled="true" fillcolor="#a4a4a4" stroked="false">
              <v:path arrowok="t"/>
              <v:fill type="solid"/>
            </v:shape>
            <v:rect style="position:absolute;left:6582;top:2730;width:106;height:11" filled="true" fillcolor="#5b9bd4" stroked="false">
              <v:fill type="solid"/>
            </v:rect>
            <v:shape style="position:absolute;left:1925;top:2744;width:8226;height:2" coordorigin="1926,2744" coordsize="8226,0" path="m1926,2744l1926,2744,10151,2744e" filled="false" stroked="true" strokeweight=".466571pt" strokecolor="#888888">
              <v:path arrowok="t"/>
              <v:stroke dashstyle="solid"/>
            </v:shape>
            <v:rect style="position:absolute;left:2072;top:2914;width:76;height:48" filled="true" fillcolor="#375da0" stroked="false">
              <v:fill type="solid"/>
            </v:rect>
            <v:rect style="position:absolute;left:4035;top:2914;width:74;height:48" filled="true" fillcolor="#c46627" stroked="false">
              <v:fill type="solid"/>
            </v:rect>
            <v:rect style="position:absolute;left:5998;top:2914;width:75;height:48" filled="true" fillcolor="#878787" stroked="false">
              <v:fill type="solid"/>
            </v:rect>
            <v:rect style="position:absolute;left:7961;top:2914;width:75;height:48" filled="true" fillcolor="#d29e00" stroked="false">
              <v:fill type="solid"/>
            </v:rect>
            <v:rect style="position:absolute;left:2072;top:3151;width:76;height:49" filled="true" fillcolor="#497eaf" stroked="false">
              <v:fill type="solid"/>
            </v:rect>
            <v:rect style="position:absolute;left:4035;top:3151;width:74;height:49" filled="true" fillcolor="#5b8e39" stroked="false">
              <v:fill type="solid"/>
            </v:rect>
            <v:rect style="position:absolute;left:5998;top:3151;width:75;height:49" filled="true" fillcolor="#4471c4" stroked="false">
              <v:fill type="solid"/>
            </v:rect>
            <v:rect style="position:absolute;left:7961;top:3151;width:75;height:49" filled="true" fillcolor="#ec7c30" stroked="false">
              <v:fill type="solid"/>
            </v:rect>
            <v:rect style="position:absolute;left:2072;top:3389;width:76;height:48" filled="true" fillcolor="#a4a4a4" stroked="false">
              <v:fill type="solid"/>
            </v:rect>
            <v:rect style="position:absolute;left:4035;top:3389;width:74;height:48" filled="true" fillcolor="#ffc000" stroked="false">
              <v:fill type="solid"/>
            </v:rect>
            <v:rect style="position:absolute;left:5998;top:3389;width:75;height:48" filled="true" fillcolor="#5b9bd4" stroked="false">
              <v:fill type="solid"/>
            </v:rect>
            <v:rect style="position:absolute;left:7961;top:3389;width:75;height:48" filled="true" fillcolor="#6fac46" stroked="false">
              <v:fill type="solid"/>
            </v:rect>
            <v:rect style="position:absolute;left:1430;top:566;width:8915;height:3043" filled="false" stroked="true" strokeweight=".493441pt" strokecolor="#888888">
              <v:stroke dashstyle="solid"/>
            </v:rect>
            <v:shape style="position:absolute;left:2725;top:675;width:6295;height:558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22" w:right="18" w:firstLine="0"/>
                      <w:jc w:val="center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w w:val="160"/>
                        <w:sz w:val="17"/>
                      </w:rPr>
                      <w:t>Sololá</w:t>
                    </w:r>
                  </w:p>
                  <w:p>
                    <w:pPr>
                      <w:spacing w:line="256" w:lineRule="auto" w:before="2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w w:val="155"/>
                        <w:sz w:val="15"/>
                      </w:rPr>
                      <w:t>Tota</w:t>
                    </w:r>
                    <w:r>
                      <w:rPr>
                        <w:rFonts w:ascii="Arial" w:hAnsi="Arial"/>
                        <w:b/>
                        <w:spacing w:val="-41"/>
                        <w:w w:val="15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55"/>
                        <w:sz w:val="15"/>
                      </w:rPr>
                      <w:t>l</w:t>
                    </w:r>
                    <w:r>
                      <w:rPr>
                        <w:rFonts w:ascii="Arial" w:hAnsi="Arial"/>
                        <w:b/>
                        <w:spacing w:val="-5"/>
                        <w:w w:val="15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55"/>
                        <w:sz w:val="15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24"/>
                        <w:w w:val="15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55"/>
                        <w:sz w:val="15"/>
                      </w:rPr>
                      <w:t>pobla</w:t>
                    </w:r>
                    <w:r>
                      <w:rPr>
                        <w:rFonts w:ascii="Arial" w:hAnsi="Arial"/>
                        <w:b/>
                        <w:spacing w:val="-41"/>
                        <w:w w:val="15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55"/>
                        <w:sz w:val="15"/>
                      </w:rPr>
                      <w:t>ción</w:t>
                    </w:r>
                    <w:r>
                      <w:rPr>
                        <w:rFonts w:ascii="Arial" w:hAnsi="Arial"/>
                        <w:b/>
                        <w:spacing w:val="1"/>
                        <w:w w:val="15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55"/>
                        <w:sz w:val="15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6"/>
                        <w:w w:val="15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55"/>
                        <w:sz w:val="15"/>
                      </w:rPr>
                      <w:t>studia</w:t>
                    </w:r>
                    <w:r>
                      <w:rPr>
                        <w:rFonts w:ascii="Arial" w:hAnsi="Arial"/>
                        <w:b/>
                        <w:spacing w:val="-40"/>
                        <w:w w:val="15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55"/>
                        <w:sz w:val="15"/>
                      </w:rPr>
                      <w:t>ntil</w:t>
                    </w:r>
                    <w:r>
                      <w:rPr>
                        <w:rFonts w:ascii="Arial" w:hAnsi="Arial"/>
                        <w:b/>
                        <w:spacing w:val="-6"/>
                        <w:w w:val="15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55"/>
                        <w:sz w:val="15"/>
                      </w:rPr>
                      <w:t>por</w:t>
                    </w:r>
                    <w:r>
                      <w:rPr>
                        <w:rFonts w:ascii="Arial" w:hAnsi="Arial"/>
                        <w:b/>
                        <w:spacing w:val="-13"/>
                        <w:w w:val="15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55"/>
                        <w:sz w:val="15"/>
                      </w:rPr>
                      <w:t>Nive</w:t>
                    </w:r>
                    <w:r>
                      <w:rPr>
                        <w:rFonts w:ascii="Arial" w:hAnsi="Arial"/>
                        <w:b/>
                        <w:spacing w:val="-45"/>
                        <w:w w:val="15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55"/>
                        <w:sz w:val="15"/>
                      </w:rPr>
                      <w:t>le</w:t>
                    </w:r>
                    <w:r>
                      <w:rPr>
                        <w:rFonts w:ascii="Arial" w:hAnsi="Arial"/>
                        <w:b/>
                        <w:spacing w:val="-45"/>
                        <w:w w:val="15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55"/>
                        <w:sz w:val="15"/>
                      </w:rPr>
                      <w:t>s,</w:t>
                    </w:r>
                    <w:r>
                      <w:rPr>
                        <w:rFonts w:ascii="Arial" w:hAnsi="Arial"/>
                        <w:b/>
                        <w:spacing w:val="4"/>
                        <w:w w:val="15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55"/>
                        <w:sz w:val="15"/>
                      </w:rPr>
                      <w:t>etnia</w:t>
                    </w:r>
                    <w:r>
                      <w:rPr>
                        <w:rFonts w:ascii="Arial" w:hAnsi="Arial"/>
                        <w:b/>
                        <w:spacing w:val="29"/>
                        <w:w w:val="15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55"/>
                        <w:sz w:val="15"/>
                      </w:rPr>
                      <w:t>y</w:t>
                    </w:r>
                    <w:r>
                      <w:rPr>
                        <w:rFonts w:ascii="Arial" w:hAnsi="Arial"/>
                        <w:b/>
                        <w:spacing w:val="8"/>
                        <w:w w:val="15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55"/>
                        <w:sz w:val="15"/>
                      </w:rPr>
                      <w:t>se</w:t>
                    </w:r>
                    <w:r>
                      <w:rPr>
                        <w:rFonts w:ascii="Arial" w:hAnsi="Arial"/>
                        <w:b/>
                        <w:spacing w:val="-45"/>
                        <w:w w:val="15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55"/>
                        <w:sz w:val="15"/>
                      </w:rPr>
                      <w:t>xo</w:t>
                    </w:r>
                    <w:r>
                      <w:rPr>
                        <w:rFonts w:ascii="Arial" w:hAnsi="Arial"/>
                        <w:b/>
                        <w:spacing w:val="-61"/>
                        <w:w w:val="15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60"/>
                        <w:sz w:val="15"/>
                      </w:rPr>
                      <w:t>2017-</w:t>
                    </w:r>
                    <w:r>
                      <w:rPr>
                        <w:rFonts w:ascii="Arial" w:hAnsi="Arial"/>
                        <w:b/>
                        <w:spacing w:val="-48"/>
                        <w:w w:val="16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60"/>
                        <w:sz w:val="15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1534;top:1320;width:269;height:1485" type="#_x0000_t202" filled="false" stroked="false">
              <v:textbox inset="0,0,0,0">
                <w:txbxContent>
                  <w:p>
                    <w:pPr>
                      <w:spacing w:before="6"/>
                      <w:ind w:left="0" w:right="20" w:firstLine="0"/>
                      <w:jc w:val="righ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spacing w:val="-1"/>
                        <w:w w:val="145"/>
                        <w:sz w:val="9"/>
                      </w:rPr>
                      <w:t>450</w:t>
                    </w:r>
                  </w:p>
                  <w:p>
                    <w:pPr>
                      <w:spacing w:before="42"/>
                      <w:ind w:left="0" w:right="20" w:firstLine="0"/>
                      <w:jc w:val="righ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spacing w:val="-1"/>
                        <w:w w:val="145"/>
                        <w:sz w:val="9"/>
                      </w:rPr>
                      <w:t>400</w:t>
                    </w:r>
                  </w:p>
                  <w:p>
                    <w:pPr>
                      <w:spacing w:before="43"/>
                      <w:ind w:left="0" w:right="20" w:firstLine="0"/>
                      <w:jc w:val="righ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spacing w:val="-1"/>
                        <w:w w:val="145"/>
                        <w:sz w:val="9"/>
                      </w:rPr>
                      <w:t>350</w:t>
                    </w:r>
                  </w:p>
                  <w:p>
                    <w:pPr>
                      <w:spacing w:before="42"/>
                      <w:ind w:left="0" w:right="20" w:firstLine="0"/>
                      <w:jc w:val="righ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spacing w:val="-1"/>
                        <w:w w:val="145"/>
                        <w:sz w:val="9"/>
                      </w:rPr>
                      <w:t>300</w:t>
                    </w:r>
                  </w:p>
                  <w:p>
                    <w:pPr>
                      <w:spacing w:before="43"/>
                      <w:ind w:left="0" w:right="20" w:firstLine="0"/>
                      <w:jc w:val="righ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spacing w:val="-1"/>
                        <w:w w:val="145"/>
                        <w:sz w:val="9"/>
                      </w:rPr>
                      <w:t>250</w:t>
                    </w:r>
                  </w:p>
                  <w:p>
                    <w:pPr>
                      <w:spacing w:before="42"/>
                      <w:ind w:left="0" w:right="20" w:firstLine="0"/>
                      <w:jc w:val="righ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spacing w:val="-1"/>
                        <w:w w:val="145"/>
                        <w:sz w:val="9"/>
                      </w:rPr>
                      <w:t>200</w:t>
                    </w:r>
                  </w:p>
                  <w:p>
                    <w:pPr>
                      <w:spacing w:before="43"/>
                      <w:ind w:left="0" w:right="20" w:firstLine="0"/>
                      <w:jc w:val="righ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spacing w:val="-1"/>
                        <w:w w:val="145"/>
                        <w:sz w:val="9"/>
                      </w:rPr>
                      <w:t>150</w:t>
                    </w:r>
                  </w:p>
                  <w:p>
                    <w:pPr>
                      <w:spacing w:before="42"/>
                      <w:ind w:left="0" w:right="20" w:firstLine="0"/>
                      <w:jc w:val="righ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spacing w:val="-1"/>
                        <w:w w:val="145"/>
                        <w:sz w:val="9"/>
                      </w:rPr>
                      <w:t>100</w:t>
                    </w:r>
                  </w:p>
                  <w:p>
                    <w:pPr>
                      <w:spacing w:before="43"/>
                      <w:ind w:left="0" w:right="20" w:firstLine="0"/>
                      <w:jc w:val="righ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145"/>
                        <w:sz w:val="9"/>
                      </w:rPr>
                      <w:t>50</w:t>
                    </w:r>
                  </w:p>
                  <w:p>
                    <w:pPr>
                      <w:spacing w:before="42"/>
                      <w:ind w:left="0" w:right="18" w:firstLine="0"/>
                      <w:jc w:val="righ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144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177;top:2809;width:1601;height:18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Verdana"/>
                        <w:sz w:val="8"/>
                      </w:rPr>
                    </w:pPr>
                    <w:r>
                      <w:rPr>
                        <w:rFonts w:ascii="Verdana"/>
                        <w:w w:val="145"/>
                        <w:sz w:val="8"/>
                      </w:rPr>
                      <w:t>EXTRA</w:t>
                    </w:r>
                    <w:r>
                      <w:rPr>
                        <w:rFonts w:ascii="Verdana"/>
                        <w:w w:val="145"/>
                        <w:position w:val="7"/>
                        <w:sz w:val="9"/>
                      </w:rPr>
                      <w:t>2017  </w:t>
                    </w:r>
                    <w:r>
                      <w:rPr>
                        <w:rFonts w:ascii="Verdana"/>
                        <w:spacing w:val="27"/>
                        <w:w w:val="145"/>
                        <w:position w:val="7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45"/>
                        <w:sz w:val="8"/>
                      </w:rPr>
                      <w:t>-</w:t>
                    </w:r>
                    <w:r>
                      <w:rPr>
                        <w:rFonts w:ascii="Verdana"/>
                        <w:spacing w:val="4"/>
                        <w:w w:val="145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45"/>
                        <w:sz w:val="8"/>
                      </w:rPr>
                      <w:t>HOMBRES</w:t>
                    </w:r>
                  </w:p>
                </w:txbxContent>
              </v:textbox>
              <w10:wrap type="none"/>
            </v:shape>
            <v:shape style="position:absolute;left:2570;top:2885;width:456;height:10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Verdana"/>
                        <w:sz w:val="8"/>
                      </w:rPr>
                    </w:pPr>
                    <w:r>
                      <w:rPr>
                        <w:rFonts w:ascii="Verdana"/>
                        <w:w w:val="165"/>
                        <w:sz w:val="8"/>
                      </w:rPr>
                      <w:t>NJERO</w:t>
                    </w:r>
                  </w:p>
                </w:txbxContent>
              </v:textbox>
              <w10:wrap type="none"/>
            </v:shape>
            <v:shape style="position:absolute;left:4140;top:2809;width:1539;height:18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Verdana"/>
                        <w:sz w:val="8"/>
                      </w:rPr>
                    </w:pPr>
                    <w:r>
                      <w:rPr>
                        <w:rFonts w:ascii="Verdana"/>
                        <w:w w:val="145"/>
                        <w:sz w:val="8"/>
                      </w:rPr>
                      <w:t>E</w:t>
                    </w:r>
                    <w:r>
                      <w:rPr>
                        <w:rFonts w:ascii="Verdana"/>
                        <w:spacing w:val="-22"/>
                        <w:w w:val="145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45"/>
                        <w:position w:val="7"/>
                        <w:sz w:val="9"/>
                      </w:rPr>
                      <w:t>2018 </w:t>
                    </w:r>
                    <w:r>
                      <w:rPr>
                        <w:rFonts w:ascii="Verdana"/>
                        <w:spacing w:val="4"/>
                        <w:w w:val="145"/>
                        <w:position w:val="7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45"/>
                        <w:sz w:val="8"/>
                      </w:rPr>
                      <w:t>JERO</w:t>
                    </w:r>
                    <w:r>
                      <w:rPr>
                        <w:rFonts w:ascii="Verdana"/>
                        <w:spacing w:val="4"/>
                        <w:w w:val="145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45"/>
                        <w:sz w:val="8"/>
                      </w:rPr>
                      <w:t>-</w:t>
                    </w:r>
                    <w:r>
                      <w:rPr>
                        <w:rFonts w:ascii="Verdana"/>
                        <w:spacing w:val="6"/>
                        <w:w w:val="145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45"/>
                        <w:sz w:val="8"/>
                      </w:rPr>
                      <w:t>MUJERES</w:t>
                    </w:r>
                  </w:p>
                </w:txbxContent>
              </v:textbox>
              <w10:wrap type="none"/>
            </v:shape>
            <v:shape style="position:absolute;left:4211;top:2885;width:442;height:10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Verdana"/>
                        <w:sz w:val="8"/>
                      </w:rPr>
                    </w:pPr>
                    <w:r>
                      <w:rPr>
                        <w:rFonts w:ascii="Verdana"/>
                        <w:w w:val="150"/>
                        <w:sz w:val="8"/>
                      </w:rPr>
                      <w:t>XTRAN</w:t>
                    </w:r>
                  </w:p>
                </w:txbxContent>
              </v:textbox>
              <w10:wrap type="none"/>
            </v:shape>
            <v:shape style="position:absolute;left:5873;top:2809;width:1993;height:18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spacing w:val="-1"/>
                        <w:w w:val="144"/>
                        <w:position w:val="7"/>
                        <w:sz w:val="9"/>
                      </w:rPr>
                      <w:t>201</w:t>
                    </w:r>
                    <w:r>
                      <w:rPr>
                        <w:rFonts w:ascii="Verdana"/>
                        <w:w w:val="144"/>
                        <w:position w:val="7"/>
                        <w:sz w:val="9"/>
                      </w:rPr>
                      <w:t>9</w:t>
                    </w:r>
                    <w:r>
                      <w:rPr>
                        <w:rFonts w:ascii="Verdana"/>
                        <w:spacing w:val="-15"/>
                        <w:position w:val="7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82"/>
                        <w:sz w:val="8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147"/>
                        <w:sz w:val="8"/>
                      </w:rPr>
                      <w:t>R</w:t>
                    </w:r>
                    <w:r>
                      <w:rPr>
                        <w:rFonts w:ascii="Verdana"/>
                        <w:w w:val="90"/>
                        <w:sz w:val="8"/>
                      </w:rPr>
                      <w:t>I</w:t>
                    </w:r>
                    <w:r>
                      <w:rPr>
                        <w:rFonts w:ascii="Verdana"/>
                        <w:spacing w:val="-1"/>
                        <w:w w:val="142"/>
                        <w:sz w:val="8"/>
                      </w:rPr>
                      <w:t>F</w:t>
                    </w:r>
                    <w:r>
                      <w:rPr>
                        <w:rFonts w:ascii="Verdana"/>
                        <w:w w:val="150"/>
                        <w:sz w:val="8"/>
                      </w:rPr>
                      <w:t>U</w:t>
                    </w:r>
                    <w:r>
                      <w:rPr>
                        <w:rFonts w:ascii="Verdana"/>
                        <w:w w:val="166"/>
                        <w:sz w:val="8"/>
                      </w:rPr>
                      <w:t>N</w:t>
                    </w:r>
                    <w:r>
                      <w:rPr>
                        <w:rFonts w:ascii="Verdana"/>
                        <w:w w:val="182"/>
                        <w:sz w:val="8"/>
                      </w:rPr>
                      <w:t>A</w:t>
                    </w:r>
                    <w:r>
                      <w:rPr>
                        <w:rFonts w:ascii="Verdana"/>
                        <w:spacing w:val="9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23"/>
                        <w:sz w:val="8"/>
                      </w:rPr>
                      <w:t>-</w:t>
                    </w:r>
                    <w:r>
                      <w:rPr>
                        <w:rFonts w:ascii="Verdana"/>
                        <w:spacing w:val="9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53"/>
                        <w:sz w:val="8"/>
                      </w:rPr>
                      <w:t>H</w:t>
                    </w:r>
                    <w:r>
                      <w:rPr>
                        <w:rFonts w:ascii="Verdana"/>
                        <w:spacing w:val="-1"/>
                        <w:w w:val="186"/>
                        <w:sz w:val="8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w w:val="183"/>
                        <w:sz w:val="8"/>
                      </w:rPr>
                      <w:t>M</w:t>
                    </w:r>
                    <w:r>
                      <w:rPr>
                        <w:rFonts w:ascii="Verdana"/>
                        <w:w w:val="141"/>
                        <w:sz w:val="8"/>
                      </w:rPr>
                      <w:t>B</w:t>
                    </w:r>
                    <w:r>
                      <w:rPr>
                        <w:rFonts w:ascii="Verdana"/>
                        <w:w w:val="147"/>
                        <w:sz w:val="8"/>
                      </w:rPr>
                      <w:t>R</w:t>
                    </w:r>
                    <w:r>
                      <w:rPr>
                        <w:rFonts w:ascii="Verdana"/>
                        <w:w w:val="142"/>
                        <w:sz w:val="8"/>
                      </w:rPr>
                      <w:t>E</w:t>
                    </w:r>
                    <w:r>
                      <w:rPr>
                        <w:rFonts w:ascii="Verdana"/>
                        <w:sz w:val="8"/>
                      </w:rPr>
                      <w:t> </w:t>
                    </w:r>
                    <w:r>
                      <w:rPr>
                        <w:rFonts w:ascii="Verdana"/>
                        <w:spacing w:val="-8"/>
                        <w:sz w:val="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44"/>
                        <w:position w:val="7"/>
                        <w:sz w:val="9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6103;top:2885;width:138;height:10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Verdana"/>
                        <w:sz w:val="8"/>
                      </w:rPr>
                    </w:pPr>
                    <w:r>
                      <w:rPr>
                        <w:rFonts w:ascii="Verdana"/>
                        <w:w w:val="189"/>
                        <w:sz w:val="8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7469;top:2885;width:88;height:10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Verdana"/>
                        <w:sz w:val="8"/>
                      </w:rPr>
                    </w:pPr>
                    <w:r>
                      <w:rPr>
                        <w:rFonts w:ascii="Verdana"/>
                        <w:w w:val="122"/>
                        <w:sz w:val="8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8065;top:2809;width:1446;height:18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189"/>
                        <w:sz w:val="8"/>
                      </w:rPr>
                      <w:t>G</w:t>
                    </w:r>
                    <w:r>
                      <w:rPr>
                        <w:rFonts w:ascii="Verdana"/>
                        <w:spacing w:val="-1"/>
                        <w:w w:val="182"/>
                        <w:sz w:val="8"/>
                      </w:rPr>
                      <w:t>A</w:t>
                    </w:r>
                    <w:r>
                      <w:rPr>
                        <w:rFonts w:ascii="Verdana"/>
                        <w:w w:val="147"/>
                        <w:sz w:val="8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90"/>
                        <w:sz w:val="8"/>
                      </w:rPr>
                      <w:t>I</w:t>
                    </w:r>
                    <w:r>
                      <w:rPr>
                        <w:rFonts w:ascii="Verdana"/>
                        <w:w w:val="142"/>
                        <w:sz w:val="8"/>
                      </w:rPr>
                      <w:t>F</w:t>
                    </w:r>
                    <w:r>
                      <w:rPr>
                        <w:rFonts w:ascii="Verdana"/>
                        <w:spacing w:val="-1"/>
                        <w:w w:val="150"/>
                        <w:sz w:val="8"/>
                      </w:rPr>
                      <w:t>U</w:t>
                    </w:r>
                    <w:r>
                      <w:rPr>
                        <w:rFonts w:ascii="Verdana"/>
                        <w:w w:val="166"/>
                        <w:sz w:val="8"/>
                      </w:rPr>
                      <w:t>N</w:t>
                    </w:r>
                    <w:r>
                      <w:rPr>
                        <w:rFonts w:ascii="Verdana"/>
                        <w:w w:val="182"/>
                        <w:sz w:val="8"/>
                      </w:rPr>
                      <w:t>A</w:t>
                    </w:r>
                    <w:r>
                      <w:rPr>
                        <w:rFonts w:ascii="Verdana"/>
                        <w:spacing w:val="9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23"/>
                        <w:sz w:val="8"/>
                      </w:rPr>
                      <w:t>-</w:t>
                    </w:r>
                    <w:r>
                      <w:rPr>
                        <w:rFonts w:ascii="Verdana"/>
                        <w:spacing w:val="8"/>
                        <w:sz w:val="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83"/>
                        <w:sz w:val="8"/>
                      </w:rPr>
                      <w:t>M</w:t>
                    </w:r>
                    <w:r>
                      <w:rPr>
                        <w:rFonts w:ascii="Verdana"/>
                        <w:w w:val="150"/>
                        <w:sz w:val="8"/>
                      </w:rPr>
                      <w:t>U</w:t>
                    </w:r>
                    <w:r>
                      <w:rPr>
                        <w:rFonts w:ascii="Verdana"/>
                        <w:w w:val="178"/>
                        <w:sz w:val="8"/>
                      </w:rPr>
                      <w:t>J</w:t>
                    </w:r>
                    <w:r>
                      <w:rPr>
                        <w:rFonts w:ascii="Verdana"/>
                        <w:spacing w:val="-10"/>
                        <w:sz w:val="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44"/>
                        <w:position w:val="7"/>
                        <w:sz w:val="9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9145;top:2885;width:314;height:10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Verdana"/>
                        <w:sz w:val="8"/>
                      </w:rPr>
                    </w:pPr>
                    <w:r>
                      <w:rPr>
                        <w:rFonts w:ascii="Verdana"/>
                        <w:w w:val="140"/>
                        <w:sz w:val="8"/>
                      </w:rPr>
                      <w:t>ERES</w:t>
                    </w:r>
                  </w:p>
                </w:txbxContent>
              </v:textbox>
              <w10:wrap type="none"/>
            </v:shape>
            <v:shape style="position:absolute;left:2177;top:3122;width:1281;height:10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Verdana"/>
                        <w:sz w:val="8"/>
                      </w:rPr>
                    </w:pPr>
                    <w:r>
                      <w:rPr>
                        <w:rFonts w:ascii="Verdana"/>
                        <w:spacing w:val="-1"/>
                        <w:w w:val="139"/>
                        <w:sz w:val="8"/>
                      </w:rPr>
                      <w:t>L</w:t>
                    </w:r>
                    <w:r>
                      <w:rPr>
                        <w:rFonts w:ascii="Verdana"/>
                        <w:w w:val="182"/>
                        <w:sz w:val="8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162"/>
                        <w:sz w:val="8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w w:val="90"/>
                        <w:sz w:val="8"/>
                      </w:rPr>
                      <w:t>I</w:t>
                    </w:r>
                    <w:r>
                      <w:rPr>
                        <w:rFonts w:ascii="Verdana"/>
                        <w:w w:val="166"/>
                        <w:sz w:val="8"/>
                      </w:rPr>
                      <w:t>N</w:t>
                    </w:r>
                    <w:r>
                      <w:rPr>
                        <w:rFonts w:ascii="Verdana"/>
                        <w:w w:val="186"/>
                        <w:sz w:val="8"/>
                      </w:rPr>
                      <w:t>O</w:t>
                    </w:r>
                    <w:r>
                      <w:rPr>
                        <w:rFonts w:ascii="Verdana"/>
                        <w:spacing w:val="8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23"/>
                        <w:sz w:val="8"/>
                      </w:rPr>
                      <w:t>-</w:t>
                    </w:r>
                    <w:r>
                      <w:rPr>
                        <w:rFonts w:ascii="Verdana"/>
                        <w:spacing w:val="10"/>
                        <w:sz w:val="8"/>
                      </w:rPr>
                      <w:t> </w:t>
                    </w:r>
                    <w:r>
                      <w:rPr>
                        <w:rFonts w:ascii="Verdana"/>
                        <w:spacing w:val="-2"/>
                        <w:w w:val="153"/>
                        <w:sz w:val="8"/>
                      </w:rPr>
                      <w:t>H</w:t>
                    </w:r>
                    <w:r>
                      <w:rPr>
                        <w:rFonts w:ascii="Verdana"/>
                        <w:w w:val="186"/>
                        <w:sz w:val="8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w w:val="183"/>
                        <w:sz w:val="8"/>
                      </w:rPr>
                      <w:t>M</w:t>
                    </w:r>
                    <w:r>
                      <w:rPr>
                        <w:rFonts w:ascii="Verdana"/>
                        <w:w w:val="141"/>
                        <w:sz w:val="8"/>
                      </w:rPr>
                      <w:t>B</w:t>
                    </w:r>
                    <w:r>
                      <w:rPr>
                        <w:rFonts w:ascii="Verdana"/>
                        <w:w w:val="147"/>
                        <w:sz w:val="8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42"/>
                        <w:sz w:val="8"/>
                      </w:rPr>
                      <w:t>E</w:t>
                    </w:r>
                    <w:r>
                      <w:rPr>
                        <w:rFonts w:ascii="Verdana"/>
                        <w:w w:val="122"/>
                        <w:sz w:val="8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4140;top:3122;width:1220;height:10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Verdana"/>
                        <w:sz w:val="8"/>
                      </w:rPr>
                    </w:pPr>
                    <w:r>
                      <w:rPr>
                        <w:rFonts w:ascii="Verdana"/>
                        <w:spacing w:val="-1"/>
                        <w:w w:val="139"/>
                        <w:sz w:val="8"/>
                      </w:rPr>
                      <w:t>L</w:t>
                    </w:r>
                    <w:r>
                      <w:rPr>
                        <w:rFonts w:ascii="Verdana"/>
                        <w:w w:val="182"/>
                        <w:sz w:val="8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162"/>
                        <w:sz w:val="8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w w:val="90"/>
                        <w:sz w:val="8"/>
                      </w:rPr>
                      <w:t>I</w:t>
                    </w:r>
                    <w:r>
                      <w:rPr>
                        <w:rFonts w:ascii="Verdana"/>
                        <w:w w:val="166"/>
                        <w:sz w:val="8"/>
                      </w:rPr>
                      <w:t>N</w:t>
                    </w:r>
                    <w:r>
                      <w:rPr>
                        <w:rFonts w:ascii="Verdana"/>
                        <w:w w:val="186"/>
                        <w:sz w:val="8"/>
                      </w:rPr>
                      <w:t>O</w:t>
                    </w:r>
                    <w:r>
                      <w:rPr>
                        <w:rFonts w:ascii="Verdana"/>
                        <w:spacing w:val="9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23"/>
                        <w:sz w:val="8"/>
                      </w:rPr>
                      <w:t>-</w:t>
                    </w:r>
                    <w:r>
                      <w:rPr>
                        <w:rFonts w:ascii="Verdana"/>
                        <w:spacing w:val="9"/>
                        <w:sz w:val="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83"/>
                        <w:sz w:val="8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150"/>
                        <w:sz w:val="8"/>
                      </w:rPr>
                      <w:t>U</w:t>
                    </w:r>
                    <w:r>
                      <w:rPr>
                        <w:rFonts w:ascii="Verdana"/>
                        <w:w w:val="178"/>
                        <w:sz w:val="8"/>
                      </w:rPr>
                      <w:t>J</w:t>
                    </w:r>
                    <w:r>
                      <w:rPr>
                        <w:rFonts w:ascii="Verdana"/>
                        <w:w w:val="142"/>
                        <w:sz w:val="8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w w:val="147"/>
                        <w:sz w:val="8"/>
                      </w:rPr>
                      <w:t>R</w:t>
                    </w:r>
                    <w:r>
                      <w:rPr>
                        <w:rFonts w:ascii="Verdana"/>
                        <w:w w:val="142"/>
                        <w:sz w:val="8"/>
                      </w:rPr>
                      <w:t>E</w:t>
                    </w:r>
                    <w:r>
                      <w:rPr>
                        <w:rFonts w:ascii="Verdana"/>
                        <w:w w:val="122"/>
                        <w:sz w:val="8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6103;top:3122;width:1141;height:10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Verdana"/>
                        <w:sz w:val="8"/>
                      </w:rPr>
                    </w:pPr>
                    <w:r>
                      <w:rPr>
                        <w:rFonts w:ascii="Verdana"/>
                        <w:w w:val="155"/>
                        <w:sz w:val="8"/>
                      </w:rPr>
                      <w:t>MAYA</w:t>
                    </w:r>
                    <w:r>
                      <w:rPr>
                        <w:rFonts w:ascii="Verdana"/>
                        <w:spacing w:val="-5"/>
                        <w:w w:val="155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55"/>
                        <w:sz w:val="8"/>
                      </w:rPr>
                      <w:t>-</w:t>
                    </w:r>
                    <w:r>
                      <w:rPr>
                        <w:rFonts w:ascii="Verdana"/>
                        <w:spacing w:val="-4"/>
                        <w:w w:val="155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55"/>
                        <w:sz w:val="8"/>
                      </w:rPr>
                      <w:t>HOMBRES</w:t>
                    </w:r>
                  </w:p>
                </w:txbxContent>
              </v:textbox>
              <w10:wrap type="none"/>
            </v:shape>
            <v:shape style="position:absolute;left:8065;top:3122;width:1081;height:10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Verdana"/>
                        <w:sz w:val="8"/>
                      </w:rPr>
                    </w:pPr>
                    <w:r>
                      <w:rPr>
                        <w:rFonts w:ascii="Verdana"/>
                        <w:w w:val="155"/>
                        <w:sz w:val="8"/>
                      </w:rPr>
                      <w:t>MAYA</w:t>
                    </w:r>
                    <w:r>
                      <w:rPr>
                        <w:rFonts w:ascii="Verdana"/>
                        <w:spacing w:val="-8"/>
                        <w:w w:val="155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50"/>
                        <w:sz w:val="8"/>
                      </w:rPr>
                      <w:t>-</w:t>
                    </w:r>
                    <w:r>
                      <w:rPr>
                        <w:rFonts w:ascii="Verdana"/>
                        <w:spacing w:val="-7"/>
                        <w:w w:val="150"/>
                        <w:sz w:val="8"/>
                      </w:rPr>
                      <w:t> </w:t>
                    </w:r>
                    <w:r>
                      <w:rPr>
                        <w:rFonts w:ascii="Verdana"/>
                        <w:w w:val="155"/>
                        <w:sz w:val="8"/>
                      </w:rPr>
                      <w:t>MUJERES</w:t>
                    </w:r>
                  </w:p>
                </w:txbxContent>
              </v:textbox>
              <w10:wrap type="none"/>
            </v:shape>
            <v:shape style="position:absolute;left:2177;top:3359;width:7654;height:107" type="#_x0000_t202" filled="false" stroked="false">
              <v:textbox inset="0,0,0,0">
                <w:txbxContent>
                  <w:p>
                    <w:pPr>
                      <w:tabs>
                        <w:tab w:pos="1962" w:val="left" w:leader="none"/>
                        <w:tab w:pos="3925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rFonts w:ascii="Verdana" w:hAnsi="Verdana"/>
                        <w:sz w:val="8"/>
                      </w:rPr>
                    </w:pPr>
                    <w:r>
                      <w:rPr>
                        <w:rFonts w:ascii="Verdana" w:hAnsi="Verdana"/>
                        <w:spacing w:val="-1"/>
                        <w:w w:val="149"/>
                        <w:sz w:val="8"/>
                      </w:rPr>
                      <w:t>X</w:t>
                    </w:r>
                    <w:r>
                      <w:rPr>
                        <w:rFonts w:ascii="Verdana" w:hAnsi="Verdana"/>
                        <w:spacing w:val="-1"/>
                        <w:w w:val="90"/>
                        <w:sz w:val="8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166"/>
                        <w:sz w:val="8"/>
                      </w:rPr>
                      <w:t>N</w:t>
                    </w:r>
                    <w:r>
                      <w:rPr>
                        <w:rFonts w:ascii="Verdana" w:hAnsi="Verdana"/>
                        <w:spacing w:val="-1"/>
                        <w:w w:val="189"/>
                        <w:sz w:val="8"/>
                      </w:rPr>
                      <w:t>C</w:t>
                    </w:r>
                    <w:r>
                      <w:rPr>
                        <w:rFonts w:ascii="Verdana" w:hAnsi="Verdana"/>
                        <w:w w:val="189"/>
                        <w:sz w:val="8"/>
                      </w:rPr>
                      <w:t>A</w:t>
                    </w:r>
                    <w:r>
                      <w:rPr>
                        <w:rFonts w:ascii="Verdana" w:hAnsi="Verdana"/>
                        <w:spacing w:val="10"/>
                        <w:sz w:val="8"/>
                      </w:rPr>
                      <w:t> </w:t>
                    </w:r>
                    <w:r>
                      <w:rPr>
                        <w:rFonts w:ascii="Verdana" w:hAnsi="Verdana"/>
                        <w:w w:val="123"/>
                        <w:sz w:val="8"/>
                      </w:rPr>
                      <w:t>-</w:t>
                    </w:r>
                    <w:r>
                      <w:rPr>
                        <w:rFonts w:ascii="Verdana" w:hAnsi="Verdana"/>
                        <w:spacing w:val="9"/>
                        <w:sz w:val="8"/>
                      </w:rPr>
                      <w:t> </w:t>
                    </w:r>
                    <w:r>
                      <w:rPr>
                        <w:rFonts w:ascii="Verdana" w:hAnsi="Verdana"/>
                        <w:w w:val="153"/>
                        <w:sz w:val="8"/>
                      </w:rPr>
                      <w:t>H</w:t>
                    </w:r>
                    <w:r>
                      <w:rPr>
                        <w:rFonts w:ascii="Verdana" w:hAnsi="Verdana"/>
                        <w:spacing w:val="-1"/>
                        <w:w w:val="186"/>
                        <w:sz w:val="8"/>
                      </w:rPr>
                      <w:t>O</w:t>
                    </w:r>
                    <w:r>
                      <w:rPr>
                        <w:rFonts w:ascii="Verdana" w:hAnsi="Verdana"/>
                        <w:w w:val="183"/>
                        <w:sz w:val="8"/>
                      </w:rPr>
                      <w:t>M</w:t>
                    </w:r>
                    <w:r>
                      <w:rPr>
                        <w:rFonts w:ascii="Verdana" w:hAnsi="Verdana"/>
                        <w:spacing w:val="-1"/>
                        <w:w w:val="141"/>
                        <w:sz w:val="8"/>
                      </w:rPr>
                      <w:t>B</w:t>
                    </w:r>
                    <w:r>
                      <w:rPr>
                        <w:rFonts w:ascii="Verdana" w:hAnsi="Verdana"/>
                        <w:spacing w:val="-1"/>
                        <w:w w:val="147"/>
                        <w:sz w:val="8"/>
                      </w:rPr>
                      <w:t>R</w:t>
                    </w:r>
                    <w:r>
                      <w:rPr>
                        <w:rFonts w:ascii="Verdana" w:hAnsi="Verdana"/>
                        <w:w w:val="142"/>
                        <w:sz w:val="8"/>
                      </w:rPr>
                      <w:t>E</w:t>
                    </w:r>
                    <w:r>
                      <w:rPr>
                        <w:rFonts w:ascii="Verdana" w:hAnsi="Verdana"/>
                        <w:w w:val="122"/>
                        <w:sz w:val="8"/>
                      </w:rPr>
                      <w:t>S</w:t>
                    </w:r>
                    <w:r>
                      <w:rPr>
                        <w:rFonts w:ascii="Verdana" w:hAnsi="Verdana"/>
                        <w:sz w:val="8"/>
                      </w:rPr>
                      <w:tab/>
                    </w:r>
                    <w:r>
                      <w:rPr>
                        <w:rFonts w:ascii="Verdana" w:hAnsi="Verdana"/>
                        <w:w w:val="149"/>
                        <w:sz w:val="8"/>
                      </w:rPr>
                      <w:t>X</w:t>
                    </w:r>
                    <w:r>
                      <w:rPr>
                        <w:rFonts w:ascii="Verdana" w:hAnsi="Verdana"/>
                        <w:spacing w:val="-1"/>
                        <w:w w:val="90"/>
                        <w:sz w:val="8"/>
                      </w:rPr>
                      <w:t>I</w:t>
                    </w:r>
                    <w:r>
                      <w:rPr>
                        <w:rFonts w:ascii="Verdana" w:hAnsi="Verdana"/>
                        <w:w w:val="166"/>
                        <w:sz w:val="8"/>
                      </w:rPr>
                      <w:t>N</w:t>
                    </w:r>
                    <w:r>
                      <w:rPr>
                        <w:rFonts w:ascii="Verdana" w:hAnsi="Verdana"/>
                        <w:spacing w:val="-1"/>
                        <w:w w:val="189"/>
                        <w:sz w:val="8"/>
                      </w:rPr>
                      <w:t>C</w:t>
                    </w:r>
                    <w:r>
                      <w:rPr>
                        <w:rFonts w:ascii="Verdana" w:hAnsi="Verdana"/>
                        <w:w w:val="189"/>
                        <w:sz w:val="8"/>
                      </w:rPr>
                      <w:t>A</w:t>
                    </w:r>
                    <w:r>
                      <w:rPr>
                        <w:rFonts w:ascii="Verdana" w:hAnsi="Verdana"/>
                        <w:spacing w:val="9"/>
                        <w:sz w:val="8"/>
                      </w:rPr>
                      <w:t> </w:t>
                    </w:r>
                    <w:r>
                      <w:rPr>
                        <w:rFonts w:ascii="Verdana" w:hAnsi="Verdana"/>
                        <w:w w:val="123"/>
                        <w:sz w:val="8"/>
                      </w:rPr>
                      <w:t>-</w:t>
                    </w:r>
                    <w:r>
                      <w:rPr>
                        <w:rFonts w:ascii="Verdana" w:hAnsi="Verdana"/>
                        <w:spacing w:val="9"/>
                        <w:sz w:val="8"/>
                      </w:rPr>
                      <w:t> </w:t>
                    </w:r>
                    <w:r>
                      <w:rPr>
                        <w:rFonts w:ascii="Verdana" w:hAnsi="Verdana"/>
                        <w:w w:val="183"/>
                        <w:sz w:val="8"/>
                      </w:rPr>
                      <w:t>M</w:t>
                    </w:r>
                    <w:r>
                      <w:rPr>
                        <w:rFonts w:ascii="Verdana" w:hAnsi="Verdana"/>
                        <w:spacing w:val="-1"/>
                        <w:w w:val="150"/>
                        <w:sz w:val="8"/>
                      </w:rPr>
                      <w:t>U</w:t>
                    </w:r>
                    <w:r>
                      <w:rPr>
                        <w:rFonts w:ascii="Verdana" w:hAnsi="Verdana"/>
                        <w:w w:val="178"/>
                        <w:sz w:val="8"/>
                      </w:rPr>
                      <w:t>J</w:t>
                    </w:r>
                    <w:r>
                      <w:rPr>
                        <w:rFonts w:ascii="Verdana" w:hAnsi="Verdana"/>
                        <w:spacing w:val="-1"/>
                        <w:w w:val="142"/>
                        <w:sz w:val="8"/>
                      </w:rPr>
                      <w:t>E</w:t>
                    </w:r>
                    <w:r>
                      <w:rPr>
                        <w:rFonts w:ascii="Verdana" w:hAnsi="Verdana"/>
                        <w:w w:val="147"/>
                        <w:sz w:val="8"/>
                      </w:rPr>
                      <w:t>R</w:t>
                    </w:r>
                    <w:r>
                      <w:rPr>
                        <w:rFonts w:ascii="Verdana" w:hAnsi="Verdana"/>
                        <w:spacing w:val="-1"/>
                        <w:w w:val="142"/>
                        <w:sz w:val="8"/>
                      </w:rPr>
                      <w:t>E</w:t>
                    </w:r>
                    <w:r>
                      <w:rPr>
                        <w:rFonts w:ascii="Verdana" w:hAnsi="Verdana"/>
                        <w:w w:val="122"/>
                        <w:sz w:val="8"/>
                      </w:rPr>
                      <w:t>S</w:t>
                    </w:r>
                    <w:r>
                      <w:rPr>
                        <w:rFonts w:ascii="Verdana" w:hAnsi="Verdana"/>
                        <w:sz w:val="8"/>
                      </w:rPr>
                      <w:tab/>
                    </w:r>
                    <w:r>
                      <w:rPr>
                        <w:rFonts w:ascii="Verdana" w:hAnsi="Verdana"/>
                        <w:spacing w:val="-1"/>
                        <w:w w:val="122"/>
                        <w:sz w:val="8"/>
                      </w:rPr>
                      <w:t>S</w:t>
                    </w:r>
                    <w:r>
                      <w:rPr>
                        <w:rFonts w:ascii="Verdana" w:hAnsi="Verdana"/>
                        <w:w w:val="122"/>
                        <w:sz w:val="8"/>
                      </w:rPr>
                      <w:t>i</w:t>
                    </w:r>
                    <w:r>
                      <w:rPr>
                        <w:rFonts w:ascii="Verdana" w:hAnsi="Verdana"/>
                        <w:w w:val="162"/>
                        <w:sz w:val="8"/>
                      </w:rPr>
                      <w:t>n</w:t>
                    </w:r>
                    <w:r>
                      <w:rPr>
                        <w:rFonts w:ascii="Verdana" w:hAnsi="Verdana"/>
                        <w:spacing w:val="8"/>
                        <w:sz w:val="8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175"/>
                        <w:sz w:val="8"/>
                      </w:rPr>
                      <w:t>C</w:t>
                    </w:r>
                    <w:r>
                      <w:rPr>
                        <w:rFonts w:ascii="Verdana" w:hAnsi="Verdana"/>
                        <w:spacing w:val="1"/>
                        <w:w w:val="175"/>
                        <w:sz w:val="8"/>
                      </w:rPr>
                      <w:t>l</w:t>
                    </w:r>
                    <w:r>
                      <w:rPr>
                        <w:rFonts w:ascii="Verdana" w:hAnsi="Verdana"/>
                        <w:spacing w:val="-1"/>
                        <w:w w:val="191"/>
                        <w:sz w:val="8"/>
                      </w:rPr>
                      <w:t>a</w:t>
                    </w:r>
                    <w:r>
                      <w:rPr>
                        <w:rFonts w:ascii="Verdana" w:hAnsi="Verdana"/>
                        <w:spacing w:val="-1"/>
                        <w:w w:val="125"/>
                        <w:sz w:val="8"/>
                      </w:rPr>
                      <w:t>s</w:t>
                    </w:r>
                    <w:r>
                      <w:rPr>
                        <w:rFonts w:ascii="Verdana" w:hAnsi="Verdana"/>
                        <w:spacing w:val="-1"/>
                        <w:w w:val="122"/>
                        <w:sz w:val="8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138"/>
                        <w:sz w:val="8"/>
                      </w:rPr>
                      <w:t>f</w:t>
                    </w:r>
                    <w:r>
                      <w:rPr>
                        <w:rFonts w:ascii="Verdana" w:hAnsi="Verdana"/>
                        <w:spacing w:val="1"/>
                        <w:w w:val="138"/>
                        <w:sz w:val="8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199"/>
                        <w:sz w:val="8"/>
                      </w:rPr>
                      <w:t>c</w:t>
                    </w:r>
                    <w:r>
                      <w:rPr>
                        <w:rFonts w:ascii="Verdana" w:hAnsi="Verdana"/>
                        <w:spacing w:val="1"/>
                        <w:w w:val="199"/>
                        <w:sz w:val="8"/>
                      </w:rPr>
                      <w:t>a</w:t>
                    </w:r>
                    <w:r>
                      <w:rPr>
                        <w:rFonts w:ascii="Verdana" w:hAnsi="Verdana"/>
                        <w:spacing w:val="-1"/>
                        <w:w w:val="179"/>
                        <w:sz w:val="8"/>
                      </w:rPr>
                      <w:t>ci</w:t>
                    </w:r>
                    <w:r>
                      <w:rPr>
                        <w:rFonts w:ascii="Verdana" w:hAnsi="Verdana"/>
                        <w:w w:val="181"/>
                        <w:sz w:val="8"/>
                      </w:rPr>
                      <w:t>ó</w:t>
                    </w:r>
                    <w:r>
                      <w:rPr>
                        <w:rFonts w:ascii="Verdana" w:hAnsi="Verdana"/>
                        <w:w w:val="162"/>
                        <w:sz w:val="8"/>
                      </w:rPr>
                      <w:t>n</w:t>
                    </w:r>
                    <w:r>
                      <w:rPr>
                        <w:rFonts w:ascii="Verdana" w:hAnsi="Verdana"/>
                        <w:spacing w:val="8"/>
                        <w:sz w:val="8"/>
                      </w:rPr>
                      <w:t> </w:t>
                    </w:r>
                    <w:r>
                      <w:rPr>
                        <w:rFonts w:ascii="Verdana" w:hAnsi="Verdana"/>
                        <w:w w:val="123"/>
                        <w:sz w:val="8"/>
                      </w:rPr>
                      <w:t>-</w:t>
                    </w:r>
                    <w:r>
                      <w:rPr>
                        <w:rFonts w:ascii="Verdana" w:hAnsi="Verdana"/>
                        <w:spacing w:val="9"/>
                        <w:sz w:val="8"/>
                      </w:rPr>
                      <w:t> </w:t>
                    </w:r>
                    <w:r>
                      <w:rPr>
                        <w:rFonts w:ascii="Verdana" w:hAnsi="Verdana"/>
                        <w:w w:val="153"/>
                        <w:sz w:val="8"/>
                      </w:rPr>
                      <w:t>H</w:t>
                    </w:r>
                    <w:r>
                      <w:rPr>
                        <w:rFonts w:ascii="Verdana" w:hAnsi="Verdana"/>
                        <w:spacing w:val="-1"/>
                        <w:w w:val="186"/>
                        <w:sz w:val="8"/>
                      </w:rPr>
                      <w:t>O</w:t>
                    </w:r>
                    <w:r>
                      <w:rPr>
                        <w:rFonts w:ascii="Verdana" w:hAnsi="Verdana"/>
                        <w:w w:val="183"/>
                        <w:sz w:val="8"/>
                      </w:rPr>
                      <w:t>M</w:t>
                    </w:r>
                    <w:r>
                      <w:rPr>
                        <w:rFonts w:ascii="Verdana" w:hAnsi="Verdana"/>
                        <w:w w:val="141"/>
                        <w:sz w:val="8"/>
                      </w:rPr>
                      <w:t>B</w:t>
                    </w:r>
                    <w:r>
                      <w:rPr>
                        <w:rFonts w:ascii="Verdana" w:hAnsi="Verdana"/>
                        <w:spacing w:val="-1"/>
                        <w:w w:val="147"/>
                        <w:sz w:val="8"/>
                      </w:rPr>
                      <w:t>R</w:t>
                    </w:r>
                    <w:r>
                      <w:rPr>
                        <w:rFonts w:ascii="Verdana" w:hAnsi="Verdana"/>
                        <w:w w:val="142"/>
                        <w:sz w:val="8"/>
                      </w:rPr>
                      <w:t>E</w:t>
                    </w:r>
                    <w:r>
                      <w:rPr>
                        <w:rFonts w:ascii="Verdana" w:hAnsi="Verdana"/>
                        <w:w w:val="122"/>
                        <w:sz w:val="8"/>
                      </w:rPr>
                      <w:t>S</w:t>
                    </w:r>
                    <w:r>
                      <w:rPr>
                        <w:rFonts w:ascii="Verdana" w:hAnsi="Verdana"/>
                        <w:sz w:val="8"/>
                      </w:rPr>
                      <w:t>     </w:t>
                    </w:r>
                    <w:r>
                      <w:rPr>
                        <w:rFonts w:ascii="Verdana" w:hAnsi="Verdana"/>
                        <w:spacing w:val="-13"/>
                        <w:sz w:val="8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122"/>
                        <w:sz w:val="8"/>
                      </w:rPr>
                      <w:t>S</w:t>
                    </w:r>
                    <w:r>
                      <w:rPr>
                        <w:rFonts w:ascii="Verdana" w:hAnsi="Verdana"/>
                        <w:w w:val="122"/>
                        <w:sz w:val="8"/>
                      </w:rPr>
                      <w:t>i</w:t>
                    </w:r>
                    <w:r>
                      <w:rPr>
                        <w:rFonts w:ascii="Verdana" w:hAnsi="Verdana"/>
                        <w:w w:val="162"/>
                        <w:sz w:val="8"/>
                      </w:rPr>
                      <w:t>n</w:t>
                    </w:r>
                    <w:r>
                      <w:rPr>
                        <w:rFonts w:ascii="Verdana" w:hAnsi="Verdana"/>
                        <w:spacing w:val="8"/>
                        <w:sz w:val="8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175"/>
                        <w:sz w:val="8"/>
                      </w:rPr>
                      <w:t>C</w:t>
                    </w:r>
                    <w:r>
                      <w:rPr>
                        <w:rFonts w:ascii="Verdana" w:hAnsi="Verdana"/>
                        <w:spacing w:val="1"/>
                        <w:w w:val="175"/>
                        <w:sz w:val="8"/>
                      </w:rPr>
                      <w:t>l</w:t>
                    </w:r>
                    <w:r>
                      <w:rPr>
                        <w:rFonts w:ascii="Verdana" w:hAnsi="Verdana"/>
                        <w:spacing w:val="-1"/>
                        <w:w w:val="191"/>
                        <w:sz w:val="8"/>
                      </w:rPr>
                      <w:t>a</w:t>
                    </w:r>
                    <w:r>
                      <w:rPr>
                        <w:rFonts w:ascii="Verdana" w:hAnsi="Verdana"/>
                        <w:spacing w:val="-1"/>
                        <w:w w:val="125"/>
                        <w:sz w:val="8"/>
                      </w:rPr>
                      <w:t>s</w:t>
                    </w:r>
                    <w:r>
                      <w:rPr>
                        <w:rFonts w:ascii="Verdana" w:hAnsi="Verdana"/>
                        <w:spacing w:val="-1"/>
                        <w:w w:val="122"/>
                        <w:sz w:val="8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138"/>
                        <w:sz w:val="8"/>
                      </w:rPr>
                      <w:t>f</w:t>
                    </w:r>
                    <w:r>
                      <w:rPr>
                        <w:rFonts w:ascii="Verdana" w:hAnsi="Verdana"/>
                        <w:spacing w:val="1"/>
                        <w:w w:val="138"/>
                        <w:sz w:val="8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199"/>
                        <w:sz w:val="8"/>
                      </w:rPr>
                      <w:t>c</w:t>
                    </w:r>
                    <w:r>
                      <w:rPr>
                        <w:rFonts w:ascii="Verdana" w:hAnsi="Verdana"/>
                        <w:spacing w:val="1"/>
                        <w:w w:val="199"/>
                        <w:sz w:val="8"/>
                      </w:rPr>
                      <w:t>a</w:t>
                    </w:r>
                    <w:r>
                      <w:rPr>
                        <w:rFonts w:ascii="Verdana" w:hAnsi="Verdana"/>
                        <w:spacing w:val="-1"/>
                        <w:w w:val="179"/>
                        <w:sz w:val="8"/>
                      </w:rPr>
                      <w:t>ci</w:t>
                    </w:r>
                    <w:r>
                      <w:rPr>
                        <w:rFonts w:ascii="Verdana" w:hAnsi="Verdana"/>
                        <w:w w:val="181"/>
                        <w:sz w:val="8"/>
                      </w:rPr>
                      <w:t>ó</w:t>
                    </w:r>
                    <w:r>
                      <w:rPr>
                        <w:rFonts w:ascii="Verdana" w:hAnsi="Verdana"/>
                        <w:w w:val="162"/>
                        <w:sz w:val="8"/>
                      </w:rPr>
                      <w:t>n</w:t>
                    </w:r>
                    <w:r>
                      <w:rPr>
                        <w:rFonts w:ascii="Verdana" w:hAnsi="Verdana"/>
                        <w:spacing w:val="8"/>
                        <w:sz w:val="8"/>
                      </w:rPr>
                      <w:t> </w:t>
                    </w:r>
                    <w:r>
                      <w:rPr>
                        <w:rFonts w:ascii="Verdana" w:hAnsi="Verdana"/>
                        <w:w w:val="123"/>
                        <w:sz w:val="8"/>
                      </w:rPr>
                      <w:t>-</w:t>
                    </w:r>
                    <w:r>
                      <w:rPr>
                        <w:rFonts w:ascii="Verdana" w:hAnsi="Verdana"/>
                        <w:spacing w:val="9"/>
                        <w:sz w:val="8"/>
                      </w:rPr>
                      <w:t> </w:t>
                    </w:r>
                    <w:r>
                      <w:rPr>
                        <w:rFonts w:ascii="Verdana" w:hAnsi="Verdana"/>
                        <w:w w:val="183"/>
                        <w:sz w:val="8"/>
                      </w:rPr>
                      <w:t>M</w:t>
                    </w:r>
                    <w:r>
                      <w:rPr>
                        <w:rFonts w:ascii="Verdana" w:hAnsi="Verdana"/>
                        <w:spacing w:val="-2"/>
                        <w:w w:val="150"/>
                        <w:sz w:val="8"/>
                      </w:rPr>
                      <w:t>U</w:t>
                    </w:r>
                    <w:r>
                      <w:rPr>
                        <w:rFonts w:ascii="Verdana" w:hAnsi="Verdana"/>
                        <w:w w:val="178"/>
                        <w:sz w:val="8"/>
                      </w:rPr>
                      <w:t>J</w:t>
                    </w:r>
                    <w:r>
                      <w:rPr>
                        <w:rFonts w:ascii="Verdana" w:hAnsi="Verdana"/>
                        <w:spacing w:val="-1"/>
                        <w:w w:val="142"/>
                        <w:sz w:val="8"/>
                      </w:rPr>
                      <w:t>E</w:t>
                    </w:r>
                    <w:r>
                      <w:rPr>
                        <w:rFonts w:ascii="Verdana" w:hAnsi="Verdana"/>
                        <w:spacing w:val="-1"/>
                        <w:w w:val="147"/>
                        <w:sz w:val="8"/>
                      </w:rPr>
                      <w:t>R</w:t>
                    </w:r>
                    <w:r>
                      <w:rPr>
                        <w:rFonts w:ascii="Verdana" w:hAnsi="Verdana"/>
                        <w:w w:val="142"/>
                        <w:sz w:val="8"/>
                      </w:rPr>
                      <w:t>E</w:t>
                    </w:r>
                    <w:r>
                      <w:rPr>
                        <w:rFonts w:ascii="Verdana" w:hAnsi="Verdana"/>
                        <w:w w:val="122"/>
                        <w:sz w:val="8"/>
                      </w:rPr>
                      <w:t>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Gráfico Nº. Total de población estudiantil por niveles educativos, etnia y sexo para el Departamento de</w:t>
      </w:r>
      <w:r>
        <w:rPr>
          <w:spacing w:val="1"/>
        </w:rPr>
        <w:t> </w:t>
      </w:r>
      <w:r>
        <w:rPr/>
        <w:t>Sololá</w:t>
      </w:r>
      <w:r>
        <w:rPr>
          <w:spacing w:val="-4"/>
        </w:rPr>
        <w:t> </w:t>
      </w:r>
      <w:r>
        <w:rPr/>
        <w:t>(2017-2021)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78" w:right="1068"/>
        <w:jc w:val="both"/>
      </w:pPr>
      <w:r>
        <w:rPr/>
        <w:t>Este gráfico muestra el total de la población estudiantil por niveles educativos, etnia y sexo durante el</w:t>
      </w:r>
      <w:r>
        <w:rPr>
          <w:spacing w:val="1"/>
        </w:rPr>
        <w:t> </w:t>
      </w:r>
      <w:r>
        <w:rPr/>
        <w:t>período 2017-2021, para el Departamento de Sololá. Según DIPLAN (2021), de las cifras anteriores, la</w:t>
      </w:r>
      <w:r>
        <w:rPr>
          <w:spacing w:val="1"/>
        </w:rPr>
        <w:t> </w:t>
      </w:r>
      <w:r>
        <w:rPr>
          <w:spacing w:val="-1"/>
        </w:rPr>
        <w:t>proporción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atención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población</w:t>
      </w:r>
      <w:r>
        <w:rPr>
          <w:spacing w:val="-13"/>
        </w:rPr>
        <w:t> </w:t>
      </w:r>
      <w:r>
        <w:rPr/>
        <w:t>estudiantil</w:t>
      </w:r>
      <w:r>
        <w:rPr>
          <w:spacing w:val="-10"/>
        </w:rPr>
        <w:t> </w:t>
      </w:r>
      <w:r>
        <w:rPr/>
        <w:t>fue</w:t>
      </w:r>
      <w:r>
        <w:rPr>
          <w:spacing w:val="-11"/>
        </w:rPr>
        <w:t> </w:t>
      </w:r>
      <w:r>
        <w:rPr/>
        <w:t>como</w:t>
      </w:r>
      <w:r>
        <w:rPr>
          <w:spacing w:val="-8"/>
        </w:rPr>
        <w:t> </w:t>
      </w:r>
      <w:r>
        <w:rPr/>
        <w:t>sigue:</w:t>
      </w:r>
      <w:r>
        <w:rPr>
          <w:spacing w:val="-10"/>
        </w:rPr>
        <w:t> </w:t>
      </w:r>
      <w:r>
        <w:rPr/>
        <w:t>Ladino:</w:t>
      </w:r>
      <w:r>
        <w:rPr>
          <w:spacing w:val="-11"/>
        </w:rPr>
        <w:t> </w:t>
      </w:r>
      <w:r>
        <w:rPr/>
        <w:t>3%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hombres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3%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mujeres.</w:t>
      </w:r>
      <w:r>
        <w:rPr>
          <w:spacing w:val="-47"/>
        </w:rPr>
        <w:t> </w:t>
      </w:r>
      <w:r>
        <w:rPr>
          <w:spacing w:val="-1"/>
        </w:rPr>
        <w:t>Maya:</w:t>
      </w:r>
      <w:r>
        <w:rPr>
          <w:spacing w:val="-11"/>
        </w:rPr>
        <w:t> </w:t>
      </w:r>
      <w:r>
        <w:rPr>
          <w:spacing w:val="-1"/>
        </w:rPr>
        <w:t>48%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hombres</w:t>
      </w:r>
      <w:r>
        <w:rPr>
          <w:spacing w:val="-12"/>
        </w:rPr>
        <w:t> </w:t>
      </w:r>
      <w:r>
        <w:rPr>
          <w:spacing w:val="-1"/>
        </w:rPr>
        <w:t>y</w:t>
      </w:r>
      <w:r>
        <w:rPr>
          <w:spacing w:val="-11"/>
        </w:rPr>
        <w:t> </w:t>
      </w:r>
      <w:r>
        <w:rPr>
          <w:spacing w:val="-1"/>
        </w:rPr>
        <w:t>46%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mujeres.</w:t>
      </w:r>
      <w:r>
        <w:rPr>
          <w:spacing w:val="-10"/>
        </w:rPr>
        <w:t> </w:t>
      </w:r>
      <w:r>
        <w:rPr/>
        <w:t>Al</w:t>
      </w:r>
      <w:r>
        <w:rPr>
          <w:spacing w:val="-9"/>
        </w:rPr>
        <w:t> </w:t>
      </w:r>
      <w:r>
        <w:rPr/>
        <w:t>comparar</w:t>
      </w:r>
      <w:r>
        <w:rPr>
          <w:spacing w:val="-9"/>
        </w:rPr>
        <w:t> </w:t>
      </w:r>
      <w:r>
        <w:rPr/>
        <w:t>estos</w:t>
      </w:r>
      <w:r>
        <w:rPr>
          <w:spacing w:val="-8"/>
        </w:rPr>
        <w:t> </w:t>
      </w:r>
      <w:r>
        <w:rPr/>
        <w:t>resultados</w:t>
      </w:r>
      <w:r>
        <w:rPr>
          <w:spacing w:val="-9"/>
        </w:rPr>
        <w:t> </w:t>
      </w:r>
      <w:r>
        <w:rPr/>
        <w:t>con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información</w:t>
      </w:r>
      <w:r>
        <w:rPr>
          <w:spacing w:val="-13"/>
        </w:rPr>
        <w:t> </w:t>
      </w:r>
      <w:r>
        <w:rPr/>
        <w:t>del</w:t>
      </w:r>
      <w:r>
        <w:rPr>
          <w:spacing w:val="-9"/>
        </w:rPr>
        <w:t> </w:t>
      </w:r>
      <w:r>
        <w:rPr/>
        <w:t>INE,</w:t>
      </w:r>
      <w:r>
        <w:rPr>
          <w:spacing w:val="-11"/>
        </w:rPr>
        <w:t> </w:t>
      </w:r>
      <w:r>
        <w:rPr/>
        <w:t>(2018),</w:t>
      </w:r>
      <w:r>
        <w:rPr>
          <w:spacing w:val="-47"/>
        </w:rPr>
        <w:t> </w:t>
      </w:r>
      <w:r>
        <w:rPr/>
        <w:t>es posible</w:t>
      </w:r>
      <w:r>
        <w:rPr>
          <w:spacing w:val="-4"/>
        </w:rPr>
        <w:t> </w:t>
      </w:r>
      <w:r>
        <w:rPr/>
        <w:t>evidenciar</w:t>
      </w:r>
      <w:r>
        <w:rPr>
          <w:spacing w:val="-5"/>
        </w:rPr>
        <w:t> </w:t>
      </w:r>
      <w:r>
        <w:rPr/>
        <w:t>la</w:t>
      </w:r>
      <w:r>
        <w:rPr>
          <w:spacing w:val="-1"/>
        </w:rPr>
        <w:t> </w:t>
      </w:r>
      <w:r>
        <w:rPr/>
        <w:t>falta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equidad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acceso 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etnias</w:t>
      </w:r>
      <w:r>
        <w:rPr>
          <w:spacing w:val="-4"/>
        </w:rPr>
        <w:t> </w:t>
      </w:r>
      <w:r>
        <w:rPr/>
        <w:t>mayoritarias.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obstante,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rect style="position:absolute;margin-left:563.880005pt;margin-top:10.174659pt;width:25.44pt;height:1.4399pt;mso-position-horizontal-relative:page;mso-position-vertical-relative:paragraph;z-index:-1536768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186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75200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9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2"/>
        <w:jc w:val="both"/>
      </w:pPr>
      <w:r>
        <w:rPr/>
        <w:t>la mayoría de la población es de la etnia Maya 96%, solamente 1 de cada 2 estudiantes puede acceder al</w:t>
      </w:r>
      <w:r>
        <w:rPr>
          <w:spacing w:val="1"/>
        </w:rPr>
        <w:t> </w:t>
      </w:r>
      <w:r>
        <w:rPr/>
        <w:t>Sistema. Es decir, un niño o adolescente Maya, no posee la misma oportunidad de entrar al sistema</w:t>
      </w:r>
      <w:r>
        <w:rPr>
          <w:spacing w:val="1"/>
        </w:rPr>
        <w:t> </w:t>
      </w:r>
      <w:r>
        <w:rPr/>
        <w:t>educativo de Sololá. Mientras que siendo Ladino la proporción es más representativa de su etnia. Esto</w:t>
      </w:r>
      <w:r>
        <w:rPr>
          <w:spacing w:val="1"/>
        </w:rPr>
        <w:t> </w:t>
      </w:r>
      <w:r>
        <w:rPr/>
        <w:t>significa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Sololá</w:t>
      </w:r>
      <w:r>
        <w:rPr>
          <w:spacing w:val="-3"/>
        </w:rPr>
        <w:t> </w:t>
      </w:r>
      <w:r>
        <w:rPr/>
        <w:t>el sistema</w:t>
      </w:r>
      <w:r>
        <w:rPr>
          <w:spacing w:val="-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carece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inclusión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pertinencia</w:t>
      </w:r>
      <w:r>
        <w:rPr>
          <w:spacing w:val="-4"/>
        </w:rPr>
        <w:t> </w:t>
      </w:r>
      <w:r>
        <w:rPr/>
        <w:t>cultural.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2"/>
        <w:jc w:val="both"/>
      </w:pPr>
      <w:r>
        <w:rPr/>
        <w:t>Por otra parte, respecto del sexo se sigue presentando una brecha de atención en dónde la participación</w:t>
      </w:r>
      <w:r>
        <w:rPr>
          <w:spacing w:val="1"/>
        </w:rPr>
        <w:t> </w:t>
      </w:r>
      <w:r>
        <w:rPr/>
        <w:t>del hombre Ladino es mayor que la de la mujer sobre todo considerando que en este departamento el</w:t>
      </w:r>
      <w:r>
        <w:rPr>
          <w:spacing w:val="1"/>
        </w:rPr>
        <w:t> </w:t>
      </w:r>
      <w:r>
        <w:rPr/>
        <w:t>51% es mujer y el 49% es hombre. Es decir, –ser mujer- es un factor desfavorable para ingresar y</w:t>
      </w:r>
      <w:r>
        <w:rPr>
          <w:spacing w:val="1"/>
        </w:rPr>
        <w:t> </w:t>
      </w:r>
      <w:r>
        <w:rPr/>
        <w:t>permanecer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sistema.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  <w:r>
        <w:rPr/>
        <w:pict>
          <v:rect style="position:absolute;margin-left:563.880005pt;margin-top:18.642399pt;width:25.44pt;height:1.4399pt;mso-position-horizontal-relative:page;mso-position-vertical-relative:paragraph;z-index:-1536614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187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7673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9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1"/>
          <w:numId w:val="36"/>
        </w:numPr>
        <w:tabs>
          <w:tab w:pos="855" w:val="left" w:leader="none"/>
        </w:tabs>
        <w:spacing w:line="240" w:lineRule="auto" w:before="52" w:after="0"/>
        <w:ind w:left="854" w:right="0" w:hanging="577"/>
        <w:jc w:val="left"/>
      </w:pPr>
      <w:bookmarkStart w:name="_bookmark234" w:id="401"/>
      <w:bookmarkEnd w:id="401"/>
      <w:r>
        <w:rPr>
          <w:b w:val="0"/>
        </w:rPr>
      </w:r>
      <w:bookmarkStart w:name="_bookmark234" w:id="402"/>
      <w:bookmarkEnd w:id="402"/>
      <w:r>
        <w:rPr>
          <w:color w:val="1F4E79"/>
        </w:rPr>
        <w:t>Suc</w:t>
      </w:r>
      <w:r>
        <w:rPr>
          <w:color w:val="1F4E79"/>
        </w:rPr>
        <w:t>hitepéquez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2"/>
          <w:numId w:val="36"/>
        </w:numPr>
        <w:tabs>
          <w:tab w:pos="999" w:val="left" w:leader="none"/>
        </w:tabs>
        <w:spacing w:line="240" w:lineRule="auto" w:before="187" w:after="0"/>
        <w:ind w:left="998" w:right="0" w:hanging="721"/>
        <w:jc w:val="left"/>
        <w:rPr>
          <w:b/>
          <w:sz w:val="24"/>
        </w:rPr>
      </w:pPr>
      <w:bookmarkStart w:name="_bookmark235" w:id="403"/>
      <w:bookmarkEnd w:id="403"/>
      <w:r>
        <w:rPr/>
      </w:r>
      <w:bookmarkStart w:name="_bookmark235" w:id="404"/>
      <w:bookmarkEnd w:id="404"/>
      <w:r>
        <w:rPr>
          <w:b/>
          <w:sz w:val="24"/>
        </w:rPr>
        <w:t>Inf</w:t>
      </w:r>
      <w:r>
        <w:rPr>
          <w:b/>
          <w:sz w:val="24"/>
        </w:rPr>
        <w:t>ormación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General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2"/>
        <w:jc w:val="both"/>
      </w:pPr>
      <w:r>
        <w:rPr/>
        <w:t>Según INE, 2018, Suchitepéquez posee un total de 554,695 habitantes con una proporción del 51% de</w:t>
      </w:r>
      <w:r>
        <w:rPr>
          <w:spacing w:val="1"/>
        </w:rPr>
        <w:t> </w:t>
      </w:r>
      <w:r>
        <w:rPr/>
        <w:t>mujeres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/>
        <w:t>49%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hombres.</w:t>
      </w:r>
      <w:r>
        <w:rPr>
          <w:spacing w:val="-4"/>
        </w:rPr>
        <w:t> </w:t>
      </w:r>
      <w:r>
        <w:rPr/>
        <w:t>Cabe</w:t>
      </w:r>
      <w:r>
        <w:rPr>
          <w:spacing w:val="-3"/>
        </w:rPr>
        <w:t> </w:t>
      </w:r>
      <w:r>
        <w:rPr/>
        <w:t>destacar</w:t>
      </w:r>
      <w:r>
        <w:rPr>
          <w:spacing w:val="-3"/>
        </w:rPr>
        <w:t> </w:t>
      </w:r>
      <w:r>
        <w:rPr/>
        <w:t>que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45%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población</w:t>
      </w:r>
      <w:r>
        <w:rPr>
          <w:spacing w:val="-4"/>
        </w:rPr>
        <w:t> </w:t>
      </w:r>
      <w:r>
        <w:rPr/>
        <w:t>son</w:t>
      </w:r>
      <w:r>
        <w:rPr>
          <w:spacing w:val="-4"/>
        </w:rPr>
        <w:t> </w:t>
      </w:r>
      <w:r>
        <w:rPr/>
        <w:t>niños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/>
        <w:t>adolescentes,</w:t>
      </w:r>
      <w:r>
        <w:rPr>
          <w:spacing w:val="-5"/>
        </w:rPr>
        <w:t> </w:t>
      </w:r>
      <w:r>
        <w:rPr/>
        <w:t>ya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48"/>
        </w:rPr>
        <w:t> </w:t>
      </w:r>
      <w:r>
        <w:rPr/>
        <w:t>encuentran entre el rango de 0 a 19 años.</w:t>
      </w:r>
      <w:r>
        <w:rPr>
          <w:spacing w:val="1"/>
        </w:rPr>
        <w:t> </w:t>
      </w:r>
      <w:r>
        <w:rPr/>
        <w:t>De este total, el 48% reside en el área urbana, mientras que el</w:t>
      </w:r>
      <w:r>
        <w:rPr>
          <w:spacing w:val="-47"/>
        </w:rPr>
        <w:t> </w:t>
      </w:r>
      <w:r>
        <w:rPr/>
        <w:t>restante 52% es del área rural. De ellos, el 61% se reconoce mayoritariamente como Ladina, y el 38% de</w:t>
      </w:r>
      <w:r>
        <w:rPr>
          <w:spacing w:val="1"/>
        </w:rPr>
        <w:t> </w:t>
      </w:r>
      <w:r>
        <w:rPr/>
        <w:t>etnia Maya. Por otro lado, las comunidades Maya lingüísticas identificadas son K’iché’ (68%), Tz’utujil</w:t>
      </w:r>
      <w:r>
        <w:rPr>
          <w:spacing w:val="1"/>
        </w:rPr>
        <w:t> </w:t>
      </w:r>
      <w:r>
        <w:rPr/>
        <w:t>(18%),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el Kaqchikel (10%).</w:t>
      </w:r>
    </w:p>
    <w:p>
      <w:pPr>
        <w:pStyle w:val="BodyText"/>
        <w:spacing w:before="10"/>
        <w:rPr>
          <w:sz w:val="19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236" w:id="405"/>
      <w:bookmarkEnd w:id="405"/>
      <w:r>
        <w:rPr>
          <w:b w:val="0"/>
        </w:rPr>
      </w:r>
      <w:bookmarkStart w:name="_bookmark236" w:id="406"/>
      <w:bookmarkEnd w:id="406"/>
      <w:r>
        <w:rPr/>
        <w:t>Situ</w:t>
      </w:r>
      <w:r>
        <w:rPr/>
        <w:t>ación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Sistema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Nacional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69"/>
        <w:jc w:val="both"/>
      </w:pPr>
      <w:r>
        <w:rPr/>
        <w:t>En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estudiantil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Suchitepéquez,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mostrado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comportamiento similar al presentado a nivel nacional. En primer lugar, aparece el nivel primario, en</w:t>
      </w:r>
      <w:r>
        <w:rPr>
          <w:spacing w:val="1"/>
        </w:rPr>
        <w:t> </w:t>
      </w:r>
      <w:r>
        <w:rPr/>
        <w:t>segundo lugar, el básico y el tercer lugar, la preprimaria.</w:t>
      </w:r>
      <w:r>
        <w:rPr>
          <w:spacing w:val="1"/>
        </w:rPr>
        <w:t> </w:t>
      </w:r>
      <w:r>
        <w:rPr/>
        <w:t>Por último, el diversificado y la primaria de</w:t>
      </w:r>
      <w:r>
        <w:rPr>
          <w:spacing w:val="1"/>
        </w:rPr>
        <w:t> </w:t>
      </w:r>
      <w:r>
        <w:rPr/>
        <w:t>adultos.</w:t>
      </w:r>
      <w:r>
        <w:rPr>
          <w:spacing w:val="47"/>
        </w:rPr>
        <w:t> </w:t>
      </w:r>
      <w:r>
        <w:rPr/>
        <w:t>La siguiente</w:t>
      </w:r>
      <w:r>
        <w:rPr>
          <w:spacing w:val="1"/>
        </w:rPr>
        <w:t> </w:t>
      </w:r>
      <w:r>
        <w:rPr/>
        <w:t>tabla,</w:t>
      </w:r>
      <w:r>
        <w:rPr>
          <w:spacing w:val="-3"/>
        </w:rPr>
        <w:t> </w:t>
      </w:r>
      <w:r>
        <w:rPr/>
        <w:t>integra estas</w:t>
      </w:r>
      <w:r>
        <w:rPr>
          <w:spacing w:val="-2"/>
        </w:rPr>
        <w:t> </w:t>
      </w:r>
      <w:r>
        <w:rPr/>
        <w:t>cifras.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after="5"/>
        <w:ind w:left="278" w:right="1075"/>
        <w:jc w:val="both"/>
      </w:pPr>
      <w:r>
        <w:rPr/>
        <w:t>Tabla</w:t>
      </w:r>
      <w:r>
        <w:rPr>
          <w:spacing w:val="1"/>
        </w:rPr>
        <w:t> </w:t>
      </w:r>
      <w:r>
        <w:rPr/>
        <w:t>Nº.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Cobertura: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Bruta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Académico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47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de Suchitepéquez</w:t>
      </w:r>
    </w:p>
    <w:tbl>
      <w:tblPr>
        <w:tblW w:w="0" w:type="auto"/>
        <w:jc w:val="left"/>
        <w:tblInd w:w="3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0"/>
        <w:gridCol w:w="1612"/>
        <w:gridCol w:w="1025"/>
        <w:gridCol w:w="1877"/>
        <w:gridCol w:w="706"/>
        <w:gridCol w:w="1316"/>
        <w:gridCol w:w="1156"/>
      </w:tblGrid>
      <w:tr>
        <w:trPr>
          <w:trHeight w:val="401" w:hRule="atLeast"/>
        </w:trPr>
        <w:tc>
          <w:tcPr>
            <w:tcW w:w="1130" w:type="dxa"/>
            <w:tcBorders>
              <w:bottom w:val="single" w:sz="8" w:space="0" w:color="8EA9DB"/>
            </w:tcBorders>
            <w:shd w:val="clear" w:color="auto" w:fill="D9E0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2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line="169" w:lineRule="exact" w:before="1"/>
              <w:ind w:left="304" w:right="1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PREPRIMARIA</w:t>
            </w:r>
          </w:p>
        </w:tc>
        <w:tc>
          <w:tcPr>
            <w:tcW w:w="1025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line="169" w:lineRule="exact" w:before="1"/>
              <w:ind w:left="172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PRIMARIA</w:t>
            </w:r>
          </w:p>
        </w:tc>
        <w:tc>
          <w:tcPr>
            <w:tcW w:w="1877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line="169" w:lineRule="exact" w:before="1"/>
              <w:ind w:left="44" w:righ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6"/>
                <w:sz w:val="16"/>
              </w:rPr>
              <w:t>PRIMARIA</w:t>
            </w:r>
            <w:r>
              <w:rPr>
                <w:rFonts w:ascii="Arial"/>
                <w:b/>
                <w:color w:val="FFFFFF"/>
                <w:spacing w:val="4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DE</w:t>
            </w:r>
            <w:r>
              <w:rPr>
                <w:rFonts w:ascii="Arial"/>
                <w:b/>
                <w:color w:val="FFFFFF"/>
                <w:spacing w:val="-23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ADULTOS</w:t>
            </w:r>
          </w:p>
        </w:tc>
        <w:tc>
          <w:tcPr>
            <w:tcW w:w="706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line="169" w:lineRule="exact" w:before="1"/>
              <w:ind w:left="10" w:righ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BASICO</w:t>
            </w:r>
          </w:p>
        </w:tc>
        <w:tc>
          <w:tcPr>
            <w:tcW w:w="1316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line="169" w:lineRule="exact" w:before="1"/>
              <w:ind w:left="12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DIVERSIFICADO</w:t>
            </w:r>
          </w:p>
        </w:tc>
        <w:tc>
          <w:tcPr>
            <w:tcW w:w="1156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line="169" w:lineRule="exact" w:before="1"/>
              <w:ind w:right="7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Tota</w:t>
            </w:r>
            <w:r>
              <w:rPr>
                <w:rFonts w:ascii="Arial"/>
                <w:b/>
                <w:color w:val="FFFFFF"/>
                <w:spacing w:val="-27"/>
                <w:sz w:val="16"/>
              </w:rPr>
              <w:t> </w:t>
            </w:r>
            <w:r>
              <w:rPr>
                <w:rFonts w:ascii="Arial"/>
                <w:b/>
                <w:color w:val="FFFFFF"/>
                <w:sz w:val="16"/>
              </w:rPr>
              <w:t>l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Arial"/>
                <w:b/>
                <w:color w:val="FFFFFF"/>
                <w:sz w:val="16"/>
              </w:rPr>
              <w:t>general</w:t>
            </w:r>
          </w:p>
        </w:tc>
      </w:tr>
      <w:tr>
        <w:trPr>
          <w:trHeight w:val="177" w:hRule="atLeast"/>
        </w:trPr>
        <w:tc>
          <w:tcPr>
            <w:tcW w:w="1130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55" w:lineRule="exact"/>
              <w:ind w:left="369" w:right="365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2017</w:t>
            </w:r>
          </w:p>
        </w:tc>
        <w:tc>
          <w:tcPr>
            <w:tcW w:w="1612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55" w:lineRule="exact"/>
              <w:ind w:left="304" w:right="145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25,170</w:t>
            </w:r>
          </w:p>
        </w:tc>
        <w:tc>
          <w:tcPr>
            <w:tcW w:w="1025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55" w:lineRule="exact"/>
              <w:ind w:left="17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84,458</w:t>
            </w:r>
          </w:p>
        </w:tc>
        <w:tc>
          <w:tcPr>
            <w:tcW w:w="1877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55" w:lineRule="exact"/>
              <w:ind w:left="34" w:right="28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550</w:t>
            </w:r>
          </w:p>
        </w:tc>
        <w:tc>
          <w:tcPr>
            <w:tcW w:w="706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55" w:lineRule="exact"/>
              <w:ind w:left="10" w:right="24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29,482</w:t>
            </w:r>
          </w:p>
        </w:tc>
        <w:tc>
          <w:tcPr>
            <w:tcW w:w="1316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55" w:lineRule="exact"/>
              <w:ind w:left="40" w:right="10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15,608</w:t>
            </w:r>
          </w:p>
        </w:tc>
        <w:tc>
          <w:tcPr>
            <w:tcW w:w="1156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55" w:lineRule="exact"/>
              <w:ind w:right="38"/>
              <w:jc w:val="right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155,268</w:t>
            </w:r>
          </w:p>
        </w:tc>
      </w:tr>
      <w:tr>
        <w:trPr>
          <w:trHeight w:val="194" w:hRule="atLeast"/>
        </w:trPr>
        <w:tc>
          <w:tcPr>
            <w:tcW w:w="1130" w:type="dxa"/>
          </w:tcPr>
          <w:p>
            <w:pPr>
              <w:pStyle w:val="TableParagraph"/>
              <w:spacing w:line="160" w:lineRule="exact" w:before="14"/>
              <w:ind w:left="369" w:right="365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2018</w:t>
            </w:r>
          </w:p>
        </w:tc>
        <w:tc>
          <w:tcPr>
            <w:tcW w:w="1612" w:type="dxa"/>
          </w:tcPr>
          <w:p>
            <w:pPr>
              <w:pStyle w:val="TableParagraph"/>
              <w:spacing w:line="160" w:lineRule="exact" w:before="14"/>
              <w:ind w:left="304" w:right="145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27,124</w:t>
            </w:r>
          </w:p>
        </w:tc>
        <w:tc>
          <w:tcPr>
            <w:tcW w:w="1025" w:type="dxa"/>
          </w:tcPr>
          <w:p>
            <w:pPr>
              <w:pStyle w:val="TableParagraph"/>
              <w:spacing w:line="160" w:lineRule="exact" w:before="14"/>
              <w:ind w:left="17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85,380</w:t>
            </w:r>
          </w:p>
        </w:tc>
        <w:tc>
          <w:tcPr>
            <w:tcW w:w="1877" w:type="dxa"/>
          </w:tcPr>
          <w:p>
            <w:pPr>
              <w:pStyle w:val="TableParagraph"/>
              <w:spacing w:line="160" w:lineRule="exact" w:before="14"/>
              <w:ind w:left="34" w:right="28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425</w:t>
            </w:r>
          </w:p>
        </w:tc>
        <w:tc>
          <w:tcPr>
            <w:tcW w:w="706" w:type="dxa"/>
          </w:tcPr>
          <w:p>
            <w:pPr>
              <w:pStyle w:val="TableParagraph"/>
              <w:spacing w:line="160" w:lineRule="exact" w:before="14"/>
              <w:ind w:left="10" w:right="24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29,886</w:t>
            </w:r>
          </w:p>
        </w:tc>
        <w:tc>
          <w:tcPr>
            <w:tcW w:w="1316" w:type="dxa"/>
          </w:tcPr>
          <w:p>
            <w:pPr>
              <w:pStyle w:val="TableParagraph"/>
              <w:spacing w:line="160" w:lineRule="exact" w:before="14"/>
              <w:ind w:left="40" w:right="10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15,575</w:t>
            </w:r>
          </w:p>
        </w:tc>
        <w:tc>
          <w:tcPr>
            <w:tcW w:w="1156" w:type="dxa"/>
          </w:tcPr>
          <w:p>
            <w:pPr>
              <w:pStyle w:val="TableParagraph"/>
              <w:spacing w:line="160" w:lineRule="exact" w:before="14"/>
              <w:ind w:right="38"/>
              <w:jc w:val="right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158,390</w:t>
            </w:r>
          </w:p>
        </w:tc>
      </w:tr>
      <w:tr>
        <w:trPr>
          <w:trHeight w:val="194" w:hRule="atLeast"/>
        </w:trPr>
        <w:tc>
          <w:tcPr>
            <w:tcW w:w="1130" w:type="dxa"/>
          </w:tcPr>
          <w:p>
            <w:pPr>
              <w:pStyle w:val="TableParagraph"/>
              <w:spacing w:line="160" w:lineRule="exact" w:before="14"/>
              <w:ind w:left="369" w:right="365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2019</w:t>
            </w:r>
          </w:p>
        </w:tc>
        <w:tc>
          <w:tcPr>
            <w:tcW w:w="1612" w:type="dxa"/>
          </w:tcPr>
          <w:p>
            <w:pPr>
              <w:pStyle w:val="TableParagraph"/>
              <w:spacing w:line="160" w:lineRule="exact" w:before="14"/>
              <w:ind w:left="304" w:right="145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25,902</w:t>
            </w:r>
          </w:p>
        </w:tc>
        <w:tc>
          <w:tcPr>
            <w:tcW w:w="1025" w:type="dxa"/>
          </w:tcPr>
          <w:p>
            <w:pPr>
              <w:pStyle w:val="TableParagraph"/>
              <w:spacing w:line="160" w:lineRule="exact" w:before="14"/>
              <w:ind w:left="17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84,604</w:t>
            </w:r>
          </w:p>
        </w:tc>
        <w:tc>
          <w:tcPr>
            <w:tcW w:w="1877" w:type="dxa"/>
          </w:tcPr>
          <w:p>
            <w:pPr>
              <w:pStyle w:val="TableParagraph"/>
              <w:spacing w:line="160" w:lineRule="exact" w:before="14"/>
              <w:ind w:left="34" w:right="28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407</w:t>
            </w:r>
          </w:p>
        </w:tc>
        <w:tc>
          <w:tcPr>
            <w:tcW w:w="706" w:type="dxa"/>
          </w:tcPr>
          <w:p>
            <w:pPr>
              <w:pStyle w:val="TableParagraph"/>
              <w:spacing w:line="160" w:lineRule="exact" w:before="14"/>
              <w:ind w:left="10" w:right="24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29,977</w:t>
            </w:r>
          </w:p>
        </w:tc>
        <w:tc>
          <w:tcPr>
            <w:tcW w:w="1316" w:type="dxa"/>
          </w:tcPr>
          <w:p>
            <w:pPr>
              <w:pStyle w:val="TableParagraph"/>
              <w:spacing w:line="160" w:lineRule="exact" w:before="14"/>
              <w:ind w:left="40" w:right="10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14,686</w:t>
            </w:r>
          </w:p>
        </w:tc>
        <w:tc>
          <w:tcPr>
            <w:tcW w:w="1156" w:type="dxa"/>
          </w:tcPr>
          <w:p>
            <w:pPr>
              <w:pStyle w:val="TableParagraph"/>
              <w:spacing w:line="160" w:lineRule="exact" w:before="14"/>
              <w:ind w:right="38"/>
              <w:jc w:val="right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155,576</w:t>
            </w:r>
          </w:p>
        </w:tc>
      </w:tr>
      <w:tr>
        <w:trPr>
          <w:trHeight w:val="194" w:hRule="atLeast"/>
        </w:trPr>
        <w:tc>
          <w:tcPr>
            <w:tcW w:w="1130" w:type="dxa"/>
          </w:tcPr>
          <w:p>
            <w:pPr>
              <w:pStyle w:val="TableParagraph"/>
              <w:spacing w:line="160" w:lineRule="exact" w:before="15"/>
              <w:ind w:left="369" w:right="365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2020</w:t>
            </w:r>
          </w:p>
        </w:tc>
        <w:tc>
          <w:tcPr>
            <w:tcW w:w="1612" w:type="dxa"/>
          </w:tcPr>
          <w:p>
            <w:pPr>
              <w:pStyle w:val="TableParagraph"/>
              <w:spacing w:line="160" w:lineRule="exact" w:before="15"/>
              <w:ind w:left="304" w:right="145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25,867</w:t>
            </w:r>
          </w:p>
        </w:tc>
        <w:tc>
          <w:tcPr>
            <w:tcW w:w="1025" w:type="dxa"/>
          </w:tcPr>
          <w:p>
            <w:pPr>
              <w:pStyle w:val="TableParagraph"/>
              <w:spacing w:line="160" w:lineRule="exact" w:before="15"/>
              <w:ind w:left="17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85,019</w:t>
            </w:r>
          </w:p>
        </w:tc>
        <w:tc>
          <w:tcPr>
            <w:tcW w:w="1877" w:type="dxa"/>
          </w:tcPr>
          <w:p>
            <w:pPr>
              <w:pStyle w:val="TableParagraph"/>
              <w:spacing w:line="160" w:lineRule="exact" w:before="15"/>
              <w:ind w:left="34" w:right="28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346</w:t>
            </w:r>
          </w:p>
        </w:tc>
        <w:tc>
          <w:tcPr>
            <w:tcW w:w="706" w:type="dxa"/>
          </w:tcPr>
          <w:p>
            <w:pPr>
              <w:pStyle w:val="TableParagraph"/>
              <w:spacing w:line="160" w:lineRule="exact" w:before="15"/>
              <w:ind w:left="10" w:right="24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29,659</w:t>
            </w:r>
          </w:p>
        </w:tc>
        <w:tc>
          <w:tcPr>
            <w:tcW w:w="1316" w:type="dxa"/>
          </w:tcPr>
          <w:p>
            <w:pPr>
              <w:pStyle w:val="TableParagraph"/>
              <w:spacing w:line="160" w:lineRule="exact" w:before="15"/>
              <w:ind w:left="40" w:right="10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14,596</w:t>
            </w:r>
          </w:p>
        </w:tc>
        <w:tc>
          <w:tcPr>
            <w:tcW w:w="1156" w:type="dxa"/>
          </w:tcPr>
          <w:p>
            <w:pPr>
              <w:pStyle w:val="TableParagraph"/>
              <w:spacing w:line="160" w:lineRule="exact" w:before="15"/>
              <w:ind w:right="38"/>
              <w:jc w:val="right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155,487</w:t>
            </w:r>
          </w:p>
        </w:tc>
      </w:tr>
      <w:tr>
        <w:trPr>
          <w:trHeight w:val="187" w:hRule="atLeast"/>
        </w:trPr>
        <w:tc>
          <w:tcPr>
            <w:tcW w:w="1130" w:type="dxa"/>
          </w:tcPr>
          <w:p>
            <w:pPr>
              <w:pStyle w:val="TableParagraph"/>
              <w:spacing w:line="153" w:lineRule="exact" w:before="14"/>
              <w:ind w:left="369" w:right="365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2021</w:t>
            </w:r>
          </w:p>
        </w:tc>
        <w:tc>
          <w:tcPr>
            <w:tcW w:w="1612" w:type="dxa"/>
          </w:tcPr>
          <w:p>
            <w:pPr>
              <w:pStyle w:val="TableParagraph"/>
              <w:spacing w:line="153" w:lineRule="exact" w:before="14"/>
              <w:ind w:left="304" w:right="145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28,727</w:t>
            </w:r>
          </w:p>
        </w:tc>
        <w:tc>
          <w:tcPr>
            <w:tcW w:w="1025" w:type="dxa"/>
          </w:tcPr>
          <w:p>
            <w:pPr>
              <w:pStyle w:val="TableParagraph"/>
              <w:spacing w:line="153" w:lineRule="exact" w:before="14"/>
              <w:ind w:left="172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87,612</w:t>
            </w:r>
          </w:p>
        </w:tc>
        <w:tc>
          <w:tcPr>
            <w:tcW w:w="1877" w:type="dxa"/>
          </w:tcPr>
          <w:p>
            <w:pPr>
              <w:pStyle w:val="TableParagraph"/>
              <w:spacing w:line="153" w:lineRule="exact" w:before="14"/>
              <w:ind w:left="34" w:right="28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102</w:t>
            </w:r>
          </w:p>
        </w:tc>
        <w:tc>
          <w:tcPr>
            <w:tcW w:w="706" w:type="dxa"/>
          </w:tcPr>
          <w:p>
            <w:pPr>
              <w:pStyle w:val="TableParagraph"/>
              <w:spacing w:line="153" w:lineRule="exact" w:before="14"/>
              <w:ind w:left="10" w:right="24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27,262</w:t>
            </w:r>
          </w:p>
        </w:tc>
        <w:tc>
          <w:tcPr>
            <w:tcW w:w="1316" w:type="dxa"/>
          </w:tcPr>
          <w:p>
            <w:pPr>
              <w:pStyle w:val="TableParagraph"/>
              <w:spacing w:line="153" w:lineRule="exact" w:before="14"/>
              <w:ind w:left="40" w:right="10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13,140</w:t>
            </w:r>
          </w:p>
        </w:tc>
        <w:tc>
          <w:tcPr>
            <w:tcW w:w="1156" w:type="dxa"/>
          </w:tcPr>
          <w:p>
            <w:pPr>
              <w:pStyle w:val="TableParagraph"/>
              <w:spacing w:line="153" w:lineRule="exact" w:before="14"/>
              <w:ind w:right="38"/>
              <w:jc w:val="right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156,843</w:t>
            </w:r>
          </w:p>
        </w:tc>
      </w:tr>
    </w:tbl>
    <w:tbl>
      <w:tblPr>
        <w:tblW w:w="0" w:type="auto"/>
        <w:jc w:val="left"/>
        <w:tblInd w:w="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0"/>
        <w:gridCol w:w="1555"/>
        <w:gridCol w:w="1388"/>
        <w:gridCol w:w="1233"/>
        <w:gridCol w:w="1221"/>
        <w:gridCol w:w="1197"/>
        <w:gridCol w:w="1091"/>
      </w:tblGrid>
      <w:tr>
        <w:trPr>
          <w:trHeight w:val="207" w:hRule="atLeast"/>
        </w:trPr>
        <w:tc>
          <w:tcPr>
            <w:tcW w:w="1130" w:type="dxa"/>
            <w:tcBorders>
              <w:top w:val="single" w:sz="8" w:space="0" w:color="8EA9DB"/>
            </w:tcBorders>
            <w:shd w:val="clear" w:color="auto" w:fill="D9E0F1"/>
          </w:tcPr>
          <w:p>
            <w:pPr>
              <w:pStyle w:val="TableParagraph"/>
              <w:spacing w:before="20"/>
              <w:ind w:left="4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w w:val="105"/>
                <w:sz w:val="14"/>
              </w:rPr>
              <w:t>Tota</w:t>
            </w:r>
            <w:r>
              <w:rPr>
                <w:rFonts w:ascii="Arial"/>
                <w:b/>
                <w:spacing w:val="-27"/>
                <w:w w:val="105"/>
                <w:sz w:val="14"/>
              </w:rPr>
              <w:t> </w:t>
            </w:r>
            <w:r>
              <w:rPr>
                <w:rFonts w:ascii="Arial"/>
                <w:b/>
                <w:w w:val="105"/>
                <w:sz w:val="14"/>
              </w:rPr>
              <w:t>l</w:t>
            </w:r>
            <w:r>
              <w:rPr>
                <w:rFonts w:ascii="Arial"/>
                <w:b/>
                <w:spacing w:val="-6"/>
                <w:w w:val="105"/>
                <w:sz w:val="14"/>
              </w:rPr>
              <w:t> </w:t>
            </w:r>
            <w:r>
              <w:rPr>
                <w:rFonts w:ascii="Arial"/>
                <w:b/>
                <w:w w:val="105"/>
                <w:sz w:val="14"/>
              </w:rPr>
              <w:t>general</w:t>
            </w:r>
          </w:p>
        </w:tc>
        <w:tc>
          <w:tcPr>
            <w:tcW w:w="1555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2"/>
              <w:ind w:left="6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132,790</w:t>
            </w:r>
          </w:p>
        </w:tc>
        <w:tc>
          <w:tcPr>
            <w:tcW w:w="1388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2"/>
              <w:ind w:left="3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427,073</w:t>
            </w:r>
          </w:p>
        </w:tc>
        <w:tc>
          <w:tcPr>
            <w:tcW w:w="1233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2"/>
              <w:ind w:left="4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1,830</w:t>
            </w:r>
          </w:p>
        </w:tc>
        <w:tc>
          <w:tcPr>
            <w:tcW w:w="1221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2"/>
              <w:ind w:left="4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146,266</w:t>
            </w:r>
          </w:p>
        </w:tc>
        <w:tc>
          <w:tcPr>
            <w:tcW w:w="1197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2"/>
              <w:ind w:left="2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73,605</w:t>
            </w:r>
          </w:p>
        </w:tc>
        <w:tc>
          <w:tcPr>
            <w:tcW w:w="1091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2"/>
              <w:ind w:left="4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781,564</w:t>
            </w:r>
          </w:p>
        </w:tc>
      </w:tr>
    </w:tbl>
    <w:p>
      <w:pPr>
        <w:spacing w:before="1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2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3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4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4"/>
          <w:sz w:val="14"/>
        </w:rPr>
        <w:t> </w:t>
      </w:r>
      <w:r>
        <w:rPr>
          <w:sz w:val="14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ind w:left="278" w:right="1072"/>
        <w:jc w:val="both"/>
      </w:pPr>
      <w:r>
        <w:rPr/>
        <w:t>Para el período analizado, el total de estudiantes atendidos durante este período fue de 781,564. En el</w:t>
      </w:r>
      <w:r>
        <w:rPr>
          <w:spacing w:val="1"/>
        </w:rPr>
        <w:t> </w:t>
      </w:r>
      <w:r>
        <w:rPr/>
        <w:t>2017 se tuvo una población estudiantil total de 155,268.</w:t>
      </w:r>
      <w:r>
        <w:rPr>
          <w:spacing w:val="1"/>
        </w:rPr>
        <w:t> </w:t>
      </w:r>
      <w:r>
        <w:rPr/>
        <w:t>El 2018, mostró un incremento del total de la</w:t>
      </w:r>
      <w:r>
        <w:rPr>
          <w:spacing w:val="1"/>
        </w:rPr>
        <w:t> </w:t>
      </w:r>
      <w:r>
        <w:rPr/>
        <w:t>población estudiantil reportando 158,390. En el año 2019, registraron 155,576. El 2020, reportó una</w:t>
      </w:r>
      <w:r>
        <w:rPr>
          <w:spacing w:val="1"/>
        </w:rPr>
        <w:t> </w:t>
      </w:r>
      <w:r>
        <w:rPr/>
        <w:t>drástica</w:t>
      </w:r>
      <w:r>
        <w:rPr>
          <w:spacing w:val="-1"/>
        </w:rPr>
        <w:t> </w:t>
      </w:r>
      <w:r>
        <w:rPr/>
        <w:t>caída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total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155,487</w:t>
      </w:r>
      <w:r>
        <w:rPr>
          <w:spacing w:val="-1"/>
        </w:rPr>
        <w:t> </w:t>
      </w:r>
      <w:r>
        <w:rPr/>
        <w:t>alumnos.</w:t>
      </w:r>
      <w:r>
        <w:rPr>
          <w:spacing w:val="-3"/>
        </w:rPr>
        <w:t> </w:t>
      </w:r>
      <w:r>
        <w:rPr/>
        <w:t>Mientras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-4"/>
        </w:rPr>
        <w:t> </w:t>
      </w:r>
      <w:r>
        <w:rPr/>
        <w:t>2021, registró</w:t>
      </w:r>
      <w:r>
        <w:rPr>
          <w:spacing w:val="-2"/>
        </w:rPr>
        <w:t> </w:t>
      </w:r>
      <w:r>
        <w:rPr/>
        <w:t>una cifra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156,843.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ind w:left="278" w:right="1072"/>
        <w:jc w:val="both"/>
      </w:pPr>
      <w:r>
        <w:rPr/>
        <w:t>Como se muestra, el nivel que presentó más crecimiento fue la Primaria representando el 55% de la</w:t>
      </w:r>
      <w:r>
        <w:rPr>
          <w:spacing w:val="1"/>
        </w:rPr>
        <w:t> </w:t>
      </w:r>
      <w:r>
        <w:rPr/>
        <w:t>población para este período. Seguido del ciclo básicos reportando un 19% y el nivel preprimario del 17%,</w:t>
      </w:r>
      <w:r>
        <w:rPr>
          <w:spacing w:val="1"/>
        </w:rPr>
        <w:t> </w:t>
      </w:r>
      <w:r>
        <w:rPr/>
        <w:t>cada uno respectivamente. Situando en el penúltimo sitio al diversificado con un 9%. Y finalizando, con la</w:t>
      </w:r>
      <w:r>
        <w:rPr>
          <w:spacing w:val="-47"/>
        </w:rPr>
        <w:t> </w:t>
      </w:r>
      <w:r>
        <w:rPr/>
        <w:t>Primaria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Adultos.</w:t>
      </w:r>
      <w:r>
        <w:rPr>
          <w:spacing w:val="1"/>
        </w:rPr>
        <w:t> </w:t>
      </w:r>
      <w:r>
        <w:rPr/>
        <w:t>Cabe</w:t>
      </w:r>
      <w:r>
        <w:rPr>
          <w:spacing w:val="1"/>
        </w:rPr>
        <w:t> </w:t>
      </w:r>
      <w:r>
        <w:rPr/>
        <w:t>destacar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participación</w:t>
      </w:r>
      <w:r>
        <w:rPr>
          <w:spacing w:val="-4"/>
        </w:rPr>
        <w:t> </w:t>
      </w:r>
      <w:r>
        <w:rPr/>
        <w:t>en el nivel diversificado.</w:t>
      </w:r>
    </w:p>
    <w:p>
      <w:pPr>
        <w:pStyle w:val="BodyText"/>
        <w:spacing w:before="12"/>
        <w:rPr>
          <w:sz w:val="21"/>
        </w:rPr>
      </w:pPr>
    </w:p>
    <w:p>
      <w:pPr>
        <w:pStyle w:val="BodyText"/>
        <w:ind w:left="278" w:right="1072"/>
        <w:jc w:val="both"/>
      </w:pP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acuerdo</w:t>
      </w:r>
      <w:r>
        <w:rPr>
          <w:spacing w:val="-8"/>
        </w:rPr>
        <w:t> </w:t>
      </w:r>
      <w:r>
        <w:rPr>
          <w:spacing w:val="-1"/>
        </w:rPr>
        <w:t>con</w:t>
      </w:r>
      <w:r>
        <w:rPr>
          <w:spacing w:val="-8"/>
        </w:rPr>
        <w:t> </w:t>
      </w:r>
      <w:r>
        <w:rPr>
          <w:spacing w:val="-1"/>
        </w:rPr>
        <w:t>INE</w:t>
      </w:r>
      <w:r>
        <w:rPr>
          <w:spacing w:val="-6"/>
        </w:rPr>
        <w:t> </w:t>
      </w:r>
      <w:r>
        <w:rPr>
          <w:spacing w:val="-1"/>
        </w:rPr>
        <w:t>(2018),</w:t>
      </w:r>
      <w:r>
        <w:rPr>
          <w:spacing w:val="-9"/>
        </w:rPr>
        <w:t> </w:t>
      </w:r>
      <w:r>
        <w:rPr/>
        <w:t>dentro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7"/>
        </w:rPr>
        <w:t> </w:t>
      </w:r>
      <w:r>
        <w:rPr/>
        <w:t>principales</w:t>
      </w:r>
      <w:r>
        <w:rPr>
          <w:spacing w:val="-9"/>
        </w:rPr>
        <w:t> </w:t>
      </w:r>
      <w:r>
        <w:rPr/>
        <w:t>motivos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deserción</w:t>
      </w:r>
      <w:r>
        <w:rPr>
          <w:spacing w:val="-8"/>
        </w:rPr>
        <w:t> </w:t>
      </w:r>
      <w:r>
        <w:rPr/>
        <w:t>escolar</w:t>
      </w:r>
      <w:r>
        <w:rPr>
          <w:spacing w:val="-12"/>
        </w:rPr>
        <w:t> </w:t>
      </w:r>
      <w:r>
        <w:rPr/>
        <w:t>se</w:t>
      </w:r>
      <w:r>
        <w:rPr>
          <w:spacing w:val="-7"/>
        </w:rPr>
        <w:t> </w:t>
      </w:r>
      <w:r>
        <w:rPr/>
        <w:t>encuentra:</w:t>
      </w:r>
      <w:r>
        <w:rPr>
          <w:spacing w:val="-9"/>
        </w:rPr>
        <w:t> </w:t>
      </w:r>
      <w:r>
        <w:rPr/>
        <w:t>1.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falta</w:t>
      </w:r>
      <w:r>
        <w:rPr>
          <w:spacing w:val="-47"/>
        </w:rPr>
        <w:t> </w:t>
      </w:r>
      <w:r>
        <w:rPr/>
        <w:t>de dinero</w:t>
      </w:r>
      <w:r>
        <w:rPr>
          <w:spacing w:val="-1"/>
        </w:rPr>
        <w:t> </w:t>
      </w:r>
      <w:r>
        <w:rPr/>
        <w:t>(28%).</w:t>
      </w:r>
      <w:r>
        <w:rPr>
          <w:spacing w:val="-3"/>
        </w:rPr>
        <w:t> </w:t>
      </w:r>
      <w:r>
        <w:rPr/>
        <w:t>2.</w:t>
      </w:r>
      <w:r>
        <w:rPr>
          <w:spacing w:val="-3"/>
        </w:rPr>
        <w:t> </w:t>
      </w:r>
      <w:r>
        <w:rPr/>
        <w:t>Tiene que</w:t>
      </w:r>
      <w:r>
        <w:rPr>
          <w:spacing w:val="1"/>
        </w:rPr>
        <w:t> </w:t>
      </w:r>
      <w:r>
        <w:rPr/>
        <w:t>trabajar</w:t>
      </w:r>
      <w:r>
        <w:rPr>
          <w:spacing w:val="-3"/>
        </w:rPr>
        <w:t> </w:t>
      </w:r>
      <w:r>
        <w:rPr/>
        <w:t>(16%)</w:t>
      </w:r>
      <w:r>
        <w:rPr>
          <w:spacing w:val="-3"/>
        </w:rPr>
        <w:t> </w:t>
      </w:r>
      <w:r>
        <w:rPr/>
        <w:t>3.</w:t>
      </w:r>
      <w:r>
        <w:rPr>
          <w:spacing w:val="-1"/>
        </w:rPr>
        <w:t> </w:t>
      </w:r>
      <w:r>
        <w:rPr/>
        <w:t>No</w:t>
      </w:r>
      <w:r>
        <w:rPr>
          <w:spacing w:val="1"/>
        </w:rPr>
        <w:t> </w:t>
      </w:r>
      <w:r>
        <w:rPr/>
        <w:t>les</w:t>
      </w:r>
      <w:r>
        <w:rPr>
          <w:spacing w:val="-4"/>
        </w:rPr>
        <w:t> </w:t>
      </w:r>
      <w:r>
        <w:rPr/>
        <w:t>interesa</w:t>
      </w:r>
      <w:r>
        <w:rPr>
          <w:spacing w:val="-2"/>
        </w:rPr>
        <w:t> </w:t>
      </w:r>
      <w:r>
        <w:rPr/>
        <w:t>(12%),</w:t>
      </w:r>
      <w:r>
        <w:rPr>
          <w:spacing w:val="-3"/>
        </w:rPr>
        <w:t> </w:t>
      </w:r>
      <w:r>
        <w:rPr/>
        <w:t>entre</w:t>
      </w:r>
      <w:r>
        <w:rPr>
          <w:spacing w:val="-2"/>
        </w:rPr>
        <w:t> </w:t>
      </w:r>
      <w:r>
        <w:rPr/>
        <w:t>otros.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pict>
          <v:rect style="position:absolute;margin-left:563.880005pt;margin-top:14.624606pt;width:25.44pt;height:1.4399pt;mso-position-horizontal-relative:page;mso-position-vertical-relative:paragraph;z-index:-1536460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188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78272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9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52" w:after="0"/>
        <w:ind w:left="998" w:right="0" w:hanging="721"/>
        <w:jc w:val="left"/>
      </w:pPr>
      <w:bookmarkStart w:name="_bookmark237" w:id="407"/>
      <w:bookmarkEnd w:id="407"/>
      <w:r>
        <w:rPr>
          <w:b w:val="0"/>
        </w:rPr>
      </w:r>
      <w:bookmarkStart w:name="_bookmark237" w:id="408"/>
      <w:bookmarkEnd w:id="408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Cobertura:</w:t>
      </w:r>
      <w:r>
        <w:rPr>
          <w:spacing w:val="-4"/>
        </w:rPr>
        <w:t> </w:t>
      </w:r>
      <w:r>
        <w:rPr/>
        <w:t>Tasa</w:t>
      </w:r>
      <w:r>
        <w:rPr>
          <w:spacing w:val="-3"/>
        </w:rPr>
        <w:t> </w:t>
      </w:r>
      <w:r>
        <w:rPr/>
        <w:t>Neta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Cobertura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0"/>
        <w:jc w:val="both"/>
      </w:pPr>
      <w:r>
        <w:rPr/>
        <w:t>La</w:t>
      </w:r>
      <w:r>
        <w:rPr>
          <w:spacing w:val="-8"/>
        </w:rPr>
        <w:t> </w:t>
      </w:r>
      <w:r>
        <w:rPr/>
        <w:t>cobertura</w:t>
      </w:r>
      <w:r>
        <w:rPr>
          <w:spacing w:val="-7"/>
        </w:rPr>
        <w:t> </w:t>
      </w:r>
      <w:r>
        <w:rPr/>
        <w:t>educativa</w:t>
      </w:r>
      <w:r>
        <w:rPr>
          <w:spacing w:val="-10"/>
        </w:rPr>
        <w:t> </w:t>
      </w:r>
      <w:r>
        <w:rPr/>
        <w:t>medida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través</w:t>
      </w:r>
      <w:r>
        <w:rPr>
          <w:spacing w:val="-6"/>
        </w:rPr>
        <w:t> </w:t>
      </w:r>
      <w:r>
        <w:rPr/>
        <w:t>del</w:t>
      </w:r>
      <w:r>
        <w:rPr>
          <w:spacing w:val="-7"/>
        </w:rPr>
        <w:t> </w:t>
      </w:r>
      <w:r>
        <w:rPr/>
        <w:t>(TNE)</w:t>
      </w:r>
      <w:r>
        <w:rPr>
          <w:spacing w:val="-8"/>
        </w:rPr>
        <w:t> </w:t>
      </w:r>
      <w:r>
        <w:rPr/>
        <w:t>para</w:t>
      </w:r>
      <w:r>
        <w:rPr>
          <w:spacing w:val="-10"/>
        </w:rPr>
        <w:t> </w:t>
      </w:r>
      <w:r>
        <w:rPr/>
        <w:t>Suchitepéquez</w:t>
      </w:r>
      <w:r>
        <w:rPr>
          <w:spacing w:val="-7"/>
        </w:rPr>
        <w:t> </w:t>
      </w:r>
      <w:r>
        <w:rPr/>
        <w:t>durante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período</w:t>
      </w:r>
      <w:r>
        <w:rPr>
          <w:spacing w:val="-6"/>
        </w:rPr>
        <w:t> </w:t>
      </w:r>
      <w:r>
        <w:rPr/>
        <w:t>del</w:t>
      </w:r>
      <w:r>
        <w:rPr>
          <w:spacing w:val="-9"/>
        </w:rPr>
        <w:t> </w:t>
      </w:r>
      <w:r>
        <w:rPr/>
        <w:t>2017</w:t>
      </w:r>
      <w:r>
        <w:rPr>
          <w:spacing w:val="-7"/>
        </w:rPr>
        <w:t> </w:t>
      </w:r>
      <w:r>
        <w:rPr/>
        <w:t>al</w:t>
      </w:r>
      <w:r>
        <w:rPr>
          <w:spacing w:val="-10"/>
        </w:rPr>
        <w:t> </w:t>
      </w:r>
      <w:r>
        <w:rPr/>
        <w:t>2020,</w:t>
      </w:r>
      <w:r>
        <w:rPr>
          <w:spacing w:val="-47"/>
        </w:rPr>
        <w:t> </w:t>
      </w:r>
      <w:r>
        <w:rPr/>
        <w:t>evidencia un aumento promedio considerable en la cobertura de nivel primaria (85%), en comparación</w:t>
      </w:r>
      <w:r>
        <w:rPr>
          <w:spacing w:val="1"/>
        </w:rPr>
        <w:t> </w:t>
      </w:r>
      <w:r>
        <w:rPr/>
        <w:t>con la TNE nacional promedio del período (2017-2019) que posee el 77.50%. Como sucede con los otros</w:t>
      </w:r>
      <w:r>
        <w:rPr>
          <w:spacing w:val="1"/>
        </w:rPr>
        <w:t> </w:t>
      </w:r>
      <w:r>
        <w:rPr/>
        <w:t>departamentos, presenta cantidades reducidas en la participación de los jóvenes en el ciclo básico y</w:t>
      </w:r>
      <w:r>
        <w:rPr>
          <w:spacing w:val="1"/>
        </w:rPr>
        <w:t> </w:t>
      </w:r>
      <w:r>
        <w:rPr/>
        <w:t>diversificado.</w:t>
      </w:r>
      <w:r>
        <w:rPr>
          <w:spacing w:val="-2"/>
        </w:rPr>
        <w:t> </w:t>
      </w:r>
      <w:r>
        <w:rPr/>
        <w:t>En la</w:t>
      </w:r>
      <w:r>
        <w:rPr>
          <w:spacing w:val="-4"/>
        </w:rPr>
        <w:t> </w:t>
      </w:r>
      <w:r>
        <w:rPr/>
        <w:t>siguiente</w:t>
      </w:r>
      <w:r>
        <w:rPr>
          <w:spacing w:val="1"/>
        </w:rPr>
        <w:t> </w:t>
      </w:r>
      <w:r>
        <w:rPr/>
        <w:t>tabla, se</w:t>
      </w:r>
      <w:r>
        <w:rPr>
          <w:spacing w:val="-3"/>
        </w:rPr>
        <w:t> </w:t>
      </w:r>
      <w:r>
        <w:rPr/>
        <w:t>observan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cifras</w:t>
      </w:r>
      <w:r>
        <w:rPr>
          <w:spacing w:val="-1"/>
        </w:rPr>
        <w:t> </w:t>
      </w:r>
      <w:r>
        <w:rPr/>
        <w:t>del TNE</w:t>
      </w:r>
      <w:r>
        <w:rPr>
          <w:spacing w:val="-4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período</w:t>
      </w:r>
      <w:r>
        <w:rPr>
          <w:spacing w:val="-2"/>
        </w:rPr>
        <w:t> </w:t>
      </w:r>
      <w:r>
        <w:rPr/>
        <w:t>2017-2020.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278" w:right="1071"/>
        <w:jc w:val="both"/>
      </w:pPr>
      <w:r>
        <w:rPr/>
        <w:t>Tabla</w:t>
      </w:r>
      <w:r>
        <w:rPr>
          <w:spacing w:val="1"/>
        </w:rPr>
        <w:t> </w:t>
      </w:r>
      <w:r>
        <w:rPr/>
        <w:t>Nº.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Cobertura: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Bruta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Académico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47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de Suchitepéquez</w:t>
      </w:r>
    </w:p>
    <w:tbl>
      <w:tblPr>
        <w:tblW w:w="0" w:type="auto"/>
        <w:jc w:val="left"/>
        <w:tblInd w:w="2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7"/>
        <w:gridCol w:w="2494"/>
        <w:gridCol w:w="1382"/>
        <w:gridCol w:w="1166"/>
        <w:gridCol w:w="1167"/>
        <w:gridCol w:w="1451"/>
      </w:tblGrid>
      <w:tr>
        <w:trPr>
          <w:trHeight w:val="389" w:hRule="atLeast"/>
        </w:trPr>
        <w:tc>
          <w:tcPr>
            <w:tcW w:w="8827" w:type="dxa"/>
            <w:gridSpan w:val="6"/>
            <w:tcBorders>
              <w:left w:val="single" w:sz="8" w:space="0" w:color="000000"/>
              <w:right w:val="nil"/>
            </w:tcBorders>
            <w:shd w:val="clear" w:color="auto" w:fill="F1F1F1"/>
          </w:tcPr>
          <w:p>
            <w:pPr>
              <w:pStyle w:val="TableParagraph"/>
              <w:spacing w:before="79"/>
              <w:ind w:left="2415" w:right="240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120"/>
                <w:sz w:val="20"/>
              </w:rPr>
              <w:t>Departamento </w:t>
            </w:r>
            <w:r>
              <w:rPr>
                <w:rFonts w:ascii="Arial" w:hAnsi="Arial"/>
                <w:b/>
                <w:spacing w:val="19"/>
                <w:w w:val="120"/>
                <w:sz w:val="20"/>
              </w:rPr>
              <w:t> </w:t>
            </w:r>
            <w:r>
              <w:rPr>
                <w:rFonts w:ascii="Arial" w:hAnsi="Arial"/>
                <w:b/>
                <w:w w:val="120"/>
                <w:sz w:val="20"/>
              </w:rPr>
              <w:t>de </w:t>
            </w:r>
            <w:r>
              <w:rPr>
                <w:rFonts w:ascii="Arial" w:hAnsi="Arial"/>
                <w:b/>
                <w:spacing w:val="44"/>
                <w:w w:val="120"/>
                <w:sz w:val="20"/>
              </w:rPr>
              <w:t> </w:t>
            </w:r>
            <w:r>
              <w:rPr>
                <w:rFonts w:ascii="Arial" w:hAnsi="Arial"/>
                <w:b/>
                <w:w w:val="120"/>
                <w:sz w:val="20"/>
              </w:rPr>
              <w:t>Suc</w:t>
            </w:r>
            <w:r>
              <w:rPr>
                <w:rFonts w:ascii="Arial" w:hAnsi="Arial"/>
                <w:b/>
                <w:spacing w:val="-26"/>
                <w:w w:val="120"/>
                <w:sz w:val="20"/>
              </w:rPr>
              <w:t> </w:t>
            </w:r>
            <w:r>
              <w:rPr>
                <w:rFonts w:ascii="Arial" w:hAnsi="Arial"/>
                <w:b/>
                <w:w w:val="120"/>
                <w:sz w:val="20"/>
              </w:rPr>
              <w:t>hitepéquez</w:t>
            </w:r>
          </w:p>
        </w:tc>
      </w:tr>
      <w:tr>
        <w:trPr>
          <w:trHeight w:val="389" w:hRule="atLeast"/>
        </w:trPr>
        <w:tc>
          <w:tcPr>
            <w:tcW w:w="11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91"/>
              <w:ind w:left="350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w w:val="120"/>
                <w:sz w:val="16"/>
              </w:rPr>
              <w:t>Años</w:t>
            </w:r>
          </w:p>
        </w:tc>
        <w:tc>
          <w:tcPr>
            <w:tcW w:w="249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1"/>
              <w:ind w:left="514" w:right="5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20"/>
                <w:sz w:val="16"/>
              </w:rPr>
              <w:t>Indica</w:t>
            </w:r>
            <w:r>
              <w:rPr>
                <w:rFonts w:ascii="Arial"/>
                <w:b/>
                <w:spacing w:val="-18"/>
                <w:w w:val="120"/>
                <w:sz w:val="16"/>
              </w:rPr>
              <w:t> </w:t>
            </w:r>
            <w:r>
              <w:rPr>
                <w:rFonts w:ascii="Arial"/>
                <w:b/>
                <w:w w:val="120"/>
                <w:sz w:val="16"/>
              </w:rPr>
              <w:t>dores</w:t>
            </w:r>
            <w:r>
              <w:rPr>
                <w:rFonts w:ascii="Arial"/>
                <w:b/>
                <w:spacing w:val="1"/>
                <w:w w:val="120"/>
                <w:sz w:val="16"/>
              </w:rPr>
              <w:t> </w:t>
            </w:r>
            <w:r>
              <w:rPr>
                <w:rFonts w:ascii="Arial"/>
                <w:b/>
                <w:w w:val="120"/>
                <w:sz w:val="16"/>
              </w:rPr>
              <w:t>de</w:t>
            </w:r>
          </w:p>
          <w:p>
            <w:pPr>
              <w:pStyle w:val="TableParagraph"/>
              <w:spacing w:line="165" w:lineRule="exact" w:before="19"/>
              <w:ind w:left="514" w:right="5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25"/>
                <w:sz w:val="16"/>
              </w:rPr>
              <w:t>Cobertura</w:t>
            </w:r>
          </w:p>
        </w:tc>
        <w:tc>
          <w:tcPr>
            <w:tcW w:w="138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102"/>
              <w:ind w:left="155" w:right="9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20"/>
                <w:sz w:val="16"/>
              </w:rPr>
              <w:t>Preprima</w:t>
            </w:r>
            <w:r>
              <w:rPr>
                <w:rFonts w:ascii="Arial"/>
                <w:b/>
                <w:spacing w:val="-32"/>
                <w:w w:val="120"/>
                <w:sz w:val="16"/>
              </w:rPr>
              <w:t> </w:t>
            </w:r>
            <w:r>
              <w:rPr>
                <w:rFonts w:ascii="Arial"/>
                <w:b/>
                <w:spacing w:val="-1"/>
                <w:w w:val="120"/>
                <w:sz w:val="16"/>
              </w:rPr>
              <w:t>ria</w:t>
            </w:r>
          </w:p>
        </w:tc>
        <w:tc>
          <w:tcPr>
            <w:tcW w:w="116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102"/>
              <w:ind w:right="19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20"/>
                <w:sz w:val="16"/>
              </w:rPr>
              <w:t>Prima</w:t>
            </w:r>
            <w:r>
              <w:rPr>
                <w:rFonts w:ascii="Arial"/>
                <w:b/>
                <w:spacing w:val="-32"/>
                <w:w w:val="120"/>
                <w:sz w:val="16"/>
              </w:rPr>
              <w:t> </w:t>
            </w:r>
            <w:r>
              <w:rPr>
                <w:rFonts w:ascii="Arial"/>
                <w:b/>
                <w:spacing w:val="-4"/>
                <w:w w:val="120"/>
                <w:sz w:val="16"/>
              </w:rPr>
              <w:t>ria</w:t>
            </w:r>
          </w:p>
        </w:tc>
        <w:tc>
          <w:tcPr>
            <w:tcW w:w="11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102"/>
              <w:ind w:left="234" w:right="23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5"/>
                <w:w w:val="120"/>
                <w:sz w:val="16"/>
              </w:rPr>
              <w:t>Bá</w:t>
            </w:r>
            <w:r>
              <w:rPr>
                <w:rFonts w:ascii="Arial" w:hAnsi="Arial"/>
                <w:b/>
                <w:spacing w:val="-33"/>
                <w:w w:val="120"/>
                <w:sz w:val="16"/>
              </w:rPr>
              <w:t> </w:t>
            </w:r>
            <w:r>
              <w:rPr>
                <w:rFonts w:ascii="Arial" w:hAnsi="Arial"/>
                <w:b/>
                <w:spacing w:val="-4"/>
                <w:w w:val="120"/>
                <w:sz w:val="16"/>
              </w:rPr>
              <w:t>sico</w:t>
            </w:r>
          </w:p>
        </w:tc>
        <w:tc>
          <w:tcPr>
            <w:tcW w:w="1451" w:type="dxa"/>
            <w:tcBorders>
              <w:left w:val="single" w:sz="8" w:space="0" w:color="000000"/>
              <w:right w:val="nil"/>
            </w:tcBorders>
            <w:shd w:val="clear" w:color="auto" w:fill="F1F1F1"/>
          </w:tcPr>
          <w:p>
            <w:pPr>
              <w:pStyle w:val="TableParagraph"/>
              <w:spacing w:before="102"/>
              <w:ind w:left="83" w:right="8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20"/>
                <w:sz w:val="16"/>
              </w:rPr>
              <w:t>Diversifica</w:t>
            </w:r>
            <w:r>
              <w:rPr>
                <w:rFonts w:ascii="Arial"/>
                <w:b/>
                <w:spacing w:val="-32"/>
                <w:w w:val="120"/>
                <w:sz w:val="16"/>
              </w:rPr>
              <w:t> </w:t>
            </w:r>
            <w:r>
              <w:rPr>
                <w:rFonts w:ascii="Arial"/>
                <w:b/>
                <w:w w:val="120"/>
                <w:sz w:val="16"/>
              </w:rPr>
              <w:t>do</w:t>
            </w:r>
          </w:p>
        </w:tc>
      </w:tr>
      <w:tr>
        <w:trPr>
          <w:trHeight w:val="390" w:hRule="atLeast"/>
        </w:trPr>
        <w:tc>
          <w:tcPr>
            <w:tcW w:w="116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367"/>
              <w:rPr>
                <w:rFonts w:ascii="Verdana"/>
                <w:sz w:val="16"/>
              </w:rPr>
            </w:pPr>
            <w:r>
              <w:rPr>
                <w:rFonts w:ascii="Verdana"/>
                <w:w w:val="110"/>
                <w:sz w:val="16"/>
              </w:rPr>
              <w:t>2017</w:t>
            </w:r>
          </w:p>
        </w:tc>
        <w:tc>
          <w:tcPr>
            <w:tcW w:w="249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29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1D7CB3"/>
                <w:spacing w:val="-5"/>
                <w:w w:val="125"/>
                <w:sz w:val="13"/>
              </w:rPr>
              <w:t>Ta</w:t>
            </w:r>
            <w:r>
              <w:rPr>
                <w:rFonts w:ascii="Arial"/>
                <w:b/>
                <w:color w:val="1D7CB3"/>
                <w:spacing w:val="-29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5"/>
                <w:w w:val="125"/>
                <w:sz w:val="13"/>
              </w:rPr>
              <w:t>sa</w:t>
            </w:r>
            <w:r>
              <w:rPr>
                <w:rFonts w:ascii="Arial"/>
                <w:b/>
                <w:color w:val="1D7CB3"/>
                <w:spacing w:val="16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5"/>
                <w:w w:val="125"/>
                <w:sz w:val="13"/>
              </w:rPr>
              <w:t>Bruta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125"/>
                <w:sz w:val="13"/>
              </w:rPr>
              <w:t>de</w:t>
            </w:r>
            <w:r>
              <w:rPr>
                <w:rFonts w:ascii="Arial"/>
                <w:b/>
                <w:color w:val="1D7CB3"/>
                <w:spacing w:val="13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125"/>
                <w:sz w:val="13"/>
              </w:rPr>
              <w:t>Cobertura</w:t>
            </w:r>
          </w:p>
        </w:tc>
        <w:tc>
          <w:tcPr>
            <w:tcW w:w="13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2"/>
              <w:ind w:left="129" w:right="97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94,43%</w:t>
            </w:r>
          </w:p>
        </w:tc>
        <w:tc>
          <w:tcPr>
            <w:tcW w:w="116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2"/>
              <w:ind w:right="27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95,31%</w:t>
            </w:r>
          </w:p>
        </w:tc>
        <w:tc>
          <w:tcPr>
            <w:tcW w:w="116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2"/>
              <w:ind w:left="241" w:right="208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67,48%</w:t>
            </w:r>
          </w:p>
        </w:tc>
        <w:tc>
          <w:tcPr>
            <w:tcW w:w="1451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102"/>
              <w:ind w:left="83" w:right="56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38,70%</w:t>
            </w:r>
          </w:p>
        </w:tc>
      </w:tr>
      <w:tr>
        <w:trPr>
          <w:trHeight w:val="389" w:hRule="atLeast"/>
        </w:trPr>
        <w:tc>
          <w:tcPr>
            <w:tcW w:w="116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16"/>
              <w:ind w:left="29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1D7CB3"/>
                <w:spacing w:val="-2"/>
                <w:w w:val="125"/>
                <w:sz w:val="13"/>
              </w:rPr>
              <w:t>Ta</w:t>
            </w:r>
            <w:r>
              <w:rPr>
                <w:rFonts w:ascii="Arial"/>
                <w:b/>
                <w:color w:val="1D7CB3"/>
                <w:spacing w:val="-29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w w:val="125"/>
                <w:sz w:val="13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w w:val="125"/>
                <w:sz w:val="13"/>
              </w:rPr>
              <w:t>Neta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w w:val="125"/>
                <w:sz w:val="13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w w:val="125"/>
                <w:sz w:val="13"/>
              </w:rPr>
              <w:t>Cobertura</w:t>
            </w:r>
          </w:p>
        </w:tc>
        <w:tc>
          <w:tcPr>
            <w:tcW w:w="138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1"/>
              <w:ind w:left="129" w:right="97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67,30%</w:t>
            </w:r>
          </w:p>
        </w:tc>
        <w:tc>
          <w:tcPr>
            <w:tcW w:w="116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1"/>
              <w:ind w:right="27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81,59%</w:t>
            </w:r>
          </w:p>
        </w:tc>
        <w:tc>
          <w:tcPr>
            <w:tcW w:w="11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1"/>
              <w:ind w:left="241" w:right="208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44,12%</w:t>
            </w:r>
          </w:p>
        </w:tc>
        <w:tc>
          <w:tcPr>
            <w:tcW w:w="1451" w:type="dxa"/>
            <w:tcBorders>
              <w:left w:val="single" w:sz="8" w:space="0" w:color="000000"/>
              <w:right w:val="nil"/>
            </w:tcBorders>
            <w:shd w:val="clear" w:color="auto" w:fill="DAEDF3"/>
          </w:tcPr>
          <w:p>
            <w:pPr>
              <w:pStyle w:val="TableParagraph"/>
              <w:spacing w:before="107"/>
              <w:ind w:left="83" w:right="7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333333"/>
                <w:w w:val="130"/>
                <w:sz w:val="14"/>
              </w:rPr>
              <w:t>26,28%</w:t>
            </w:r>
          </w:p>
        </w:tc>
      </w:tr>
      <w:tr>
        <w:trPr>
          <w:trHeight w:val="389" w:hRule="atLeast"/>
        </w:trPr>
        <w:tc>
          <w:tcPr>
            <w:tcW w:w="116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367"/>
              <w:rPr>
                <w:rFonts w:ascii="Verdana"/>
                <w:sz w:val="16"/>
              </w:rPr>
            </w:pPr>
            <w:r>
              <w:rPr>
                <w:rFonts w:ascii="Verdana"/>
                <w:w w:val="110"/>
                <w:sz w:val="16"/>
              </w:rPr>
              <w:t>2018</w:t>
            </w:r>
          </w:p>
        </w:tc>
        <w:tc>
          <w:tcPr>
            <w:tcW w:w="249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29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1D7CB3"/>
                <w:spacing w:val="-5"/>
                <w:w w:val="125"/>
                <w:sz w:val="13"/>
              </w:rPr>
              <w:t>Ta</w:t>
            </w:r>
            <w:r>
              <w:rPr>
                <w:rFonts w:ascii="Arial"/>
                <w:b/>
                <w:color w:val="1D7CB3"/>
                <w:spacing w:val="-29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5"/>
                <w:w w:val="125"/>
                <w:sz w:val="13"/>
              </w:rPr>
              <w:t>sa</w:t>
            </w:r>
            <w:r>
              <w:rPr>
                <w:rFonts w:ascii="Arial"/>
                <w:b/>
                <w:color w:val="1D7CB3"/>
                <w:spacing w:val="16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5"/>
                <w:w w:val="125"/>
                <w:sz w:val="13"/>
              </w:rPr>
              <w:t>Bruta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125"/>
                <w:sz w:val="13"/>
              </w:rPr>
              <w:t>de</w:t>
            </w:r>
            <w:r>
              <w:rPr>
                <w:rFonts w:ascii="Arial"/>
                <w:b/>
                <w:color w:val="1D7CB3"/>
                <w:spacing w:val="13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125"/>
                <w:sz w:val="13"/>
              </w:rPr>
              <w:t>Cobertura</w:t>
            </w:r>
          </w:p>
        </w:tc>
        <w:tc>
          <w:tcPr>
            <w:tcW w:w="13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2"/>
              <w:ind w:left="112" w:right="97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101,16%</w:t>
            </w:r>
          </w:p>
        </w:tc>
        <w:tc>
          <w:tcPr>
            <w:tcW w:w="116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2"/>
              <w:ind w:right="27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98,34%</w:t>
            </w:r>
          </w:p>
        </w:tc>
        <w:tc>
          <w:tcPr>
            <w:tcW w:w="116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2"/>
              <w:ind w:left="241" w:right="208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68,26%</w:t>
            </w:r>
          </w:p>
        </w:tc>
        <w:tc>
          <w:tcPr>
            <w:tcW w:w="1451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102"/>
              <w:ind w:left="83" w:right="56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37,06%</w:t>
            </w:r>
          </w:p>
        </w:tc>
      </w:tr>
      <w:tr>
        <w:trPr>
          <w:trHeight w:val="390" w:hRule="atLeast"/>
        </w:trPr>
        <w:tc>
          <w:tcPr>
            <w:tcW w:w="116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16"/>
              <w:ind w:left="29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1D7CB3"/>
                <w:spacing w:val="-2"/>
                <w:w w:val="125"/>
                <w:sz w:val="13"/>
              </w:rPr>
              <w:t>Ta</w:t>
            </w:r>
            <w:r>
              <w:rPr>
                <w:rFonts w:ascii="Arial"/>
                <w:b/>
                <w:color w:val="1D7CB3"/>
                <w:spacing w:val="-29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w w:val="125"/>
                <w:sz w:val="13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w w:val="125"/>
                <w:sz w:val="13"/>
              </w:rPr>
              <w:t>Neta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w w:val="125"/>
                <w:sz w:val="13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w w:val="125"/>
                <w:sz w:val="13"/>
              </w:rPr>
              <w:t>Cobertura</w:t>
            </w:r>
          </w:p>
        </w:tc>
        <w:tc>
          <w:tcPr>
            <w:tcW w:w="138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7"/>
              <w:ind w:left="115" w:right="9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333333"/>
                <w:w w:val="130"/>
                <w:sz w:val="14"/>
              </w:rPr>
              <w:t>72,06%</w:t>
            </w:r>
          </w:p>
        </w:tc>
        <w:tc>
          <w:tcPr>
            <w:tcW w:w="116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2"/>
              <w:ind w:right="27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83,45%</w:t>
            </w:r>
          </w:p>
        </w:tc>
        <w:tc>
          <w:tcPr>
            <w:tcW w:w="11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2"/>
              <w:ind w:left="241" w:right="208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45,34%</w:t>
            </w:r>
          </w:p>
        </w:tc>
        <w:tc>
          <w:tcPr>
            <w:tcW w:w="1451" w:type="dxa"/>
            <w:tcBorders>
              <w:left w:val="single" w:sz="8" w:space="0" w:color="000000"/>
              <w:right w:val="nil"/>
            </w:tcBorders>
            <w:shd w:val="clear" w:color="auto" w:fill="DAEDF3"/>
          </w:tcPr>
          <w:p>
            <w:pPr>
              <w:pStyle w:val="TableParagraph"/>
              <w:spacing w:before="102"/>
              <w:ind w:left="83" w:right="67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25,11%</w:t>
            </w:r>
          </w:p>
        </w:tc>
      </w:tr>
      <w:tr>
        <w:trPr>
          <w:trHeight w:val="389" w:hRule="atLeast"/>
        </w:trPr>
        <w:tc>
          <w:tcPr>
            <w:tcW w:w="116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367"/>
              <w:rPr>
                <w:rFonts w:ascii="Verdana"/>
                <w:sz w:val="16"/>
              </w:rPr>
            </w:pPr>
            <w:r>
              <w:rPr>
                <w:rFonts w:ascii="Verdana"/>
                <w:w w:val="110"/>
                <w:sz w:val="16"/>
              </w:rPr>
              <w:t>2019</w:t>
            </w:r>
          </w:p>
        </w:tc>
        <w:tc>
          <w:tcPr>
            <w:tcW w:w="249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29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1D7CB3"/>
                <w:spacing w:val="-5"/>
                <w:w w:val="125"/>
                <w:sz w:val="13"/>
              </w:rPr>
              <w:t>Ta</w:t>
            </w:r>
            <w:r>
              <w:rPr>
                <w:rFonts w:ascii="Arial"/>
                <w:b/>
                <w:color w:val="1D7CB3"/>
                <w:spacing w:val="-29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5"/>
                <w:w w:val="125"/>
                <w:sz w:val="13"/>
              </w:rPr>
              <w:t>sa</w:t>
            </w:r>
            <w:r>
              <w:rPr>
                <w:rFonts w:ascii="Arial"/>
                <w:b/>
                <w:color w:val="1D7CB3"/>
                <w:spacing w:val="16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5"/>
                <w:w w:val="125"/>
                <w:sz w:val="13"/>
              </w:rPr>
              <w:t>Bruta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125"/>
                <w:sz w:val="13"/>
              </w:rPr>
              <w:t>de</w:t>
            </w:r>
            <w:r>
              <w:rPr>
                <w:rFonts w:ascii="Arial"/>
                <w:b/>
                <w:color w:val="1D7CB3"/>
                <w:spacing w:val="13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125"/>
                <w:sz w:val="13"/>
              </w:rPr>
              <w:t>Cobertura</w:t>
            </w:r>
          </w:p>
        </w:tc>
        <w:tc>
          <w:tcPr>
            <w:tcW w:w="13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1"/>
              <w:ind w:left="129" w:right="97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96,22%</w:t>
            </w:r>
          </w:p>
        </w:tc>
        <w:tc>
          <w:tcPr>
            <w:tcW w:w="116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1"/>
              <w:ind w:right="241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100,02%</w:t>
            </w:r>
          </w:p>
        </w:tc>
        <w:tc>
          <w:tcPr>
            <w:tcW w:w="116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1"/>
              <w:ind w:left="241" w:right="208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66,81%</w:t>
            </w:r>
          </w:p>
        </w:tc>
        <w:tc>
          <w:tcPr>
            <w:tcW w:w="1451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101"/>
              <w:ind w:left="83" w:right="56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34,00%</w:t>
            </w:r>
          </w:p>
        </w:tc>
      </w:tr>
      <w:tr>
        <w:trPr>
          <w:trHeight w:val="389" w:hRule="atLeast"/>
        </w:trPr>
        <w:tc>
          <w:tcPr>
            <w:tcW w:w="116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16"/>
              <w:ind w:left="29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1D7CB3"/>
                <w:spacing w:val="-2"/>
                <w:w w:val="125"/>
                <w:sz w:val="13"/>
              </w:rPr>
              <w:t>Ta</w:t>
            </w:r>
            <w:r>
              <w:rPr>
                <w:rFonts w:ascii="Arial"/>
                <w:b/>
                <w:color w:val="1D7CB3"/>
                <w:spacing w:val="-29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w w:val="125"/>
                <w:sz w:val="13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w w:val="125"/>
                <w:sz w:val="13"/>
              </w:rPr>
              <w:t>Neta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w w:val="125"/>
                <w:sz w:val="13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w w:val="125"/>
                <w:sz w:val="13"/>
              </w:rPr>
              <w:t>Cobertura</w:t>
            </w:r>
          </w:p>
        </w:tc>
        <w:tc>
          <w:tcPr>
            <w:tcW w:w="138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2"/>
              <w:ind w:left="129" w:right="97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68,71%</w:t>
            </w:r>
          </w:p>
        </w:tc>
        <w:tc>
          <w:tcPr>
            <w:tcW w:w="116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2"/>
              <w:ind w:right="27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86,02%</w:t>
            </w:r>
          </w:p>
        </w:tc>
        <w:tc>
          <w:tcPr>
            <w:tcW w:w="11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7"/>
              <w:ind w:left="241" w:right="22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333333"/>
                <w:w w:val="130"/>
                <w:sz w:val="14"/>
              </w:rPr>
              <w:t>46,05%</w:t>
            </w:r>
          </w:p>
        </w:tc>
        <w:tc>
          <w:tcPr>
            <w:tcW w:w="1451" w:type="dxa"/>
            <w:tcBorders>
              <w:left w:val="single" w:sz="8" w:space="0" w:color="000000"/>
              <w:right w:val="nil"/>
            </w:tcBorders>
            <w:shd w:val="clear" w:color="auto" w:fill="DAEDF3"/>
          </w:tcPr>
          <w:p>
            <w:pPr>
              <w:pStyle w:val="TableParagraph"/>
              <w:spacing w:before="102"/>
              <w:ind w:left="83" w:right="56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23,14%</w:t>
            </w:r>
          </w:p>
        </w:tc>
      </w:tr>
      <w:tr>
        <w:trPr>
          <w:trHeight w:val="390" w:hRule="atLeast"/>
        </w:trPr>
        <w:tc>
          <w:tcPr>
            <w:tcW w:w="1167" w:type="dxa"/>
            <w:vMerge w:val="restart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367"/>
              <w:rPr>
                <w:rFonts w:ascii="Verdana"/>
                <w:sz w:val="16"/>
              </w:rPr>
            </w:pPr>
            <w:r>
              <w:rPr>
                <w:rFonts w:ascii="Verdana"/>
                <w:w w:val="110"/>
                <w:sz w:val="16"/>
              </w:rPr>
              <w:t>2020</w:t>
            </w:r>
          </w:p>
        </w:tc>
        <w:tc>
          <w:tcPr>
            <w:tcW w:w="249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29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1D7CB3"/>
                <w:spacing w:val="-5"/>
                <w:w w:val="125"/>
                <w:sz w:val="13"/>
              </w:rPr>
              <w:t>Ta</w:t>
            </w:r>
            <w:r>
              <w:rPr>
                <w:rFonts w:ascii="Arial"/>
                <w:b/>
                <w:color w:val="1D7CB3"/>
                <w:spacing w:val="-29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5"/>
                <w:w w:val="125"/>
                <w:sz w:val="13"/>
              </w:rPr>
              <w:t>sa</w:t>
            </w:r>
            <w:r>
              <w:rPr>
                <w:rFonts w:ascii="Arial"/>
                <w:b/>
                <w:color w:val="1D7CB3"/>
                <w:spacing w:val="16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5"/>
                <w:w w:val="125"/>
                <w:sz w:val="13"/>
              </w:rPr>
              <w:t>Bruta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125"/>
                <w:sz w:val="13"/>
              </w:rPr>
              <w:t>de</w:t>
            </w:r>
            <w:r>
              <w:rPr>
                <w:rFonts w:ascii="Arial"/>
                <w:b/>
                <w:color w:val="1D7CB3"/>
                <w:spacing w:val="13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4"/>
                <w:w w:val="125"/>
                <w:sz w:val="13"/>
              </w:rPr>
              <w:t>Cobertura</w:t>
            </w:r>
          </w:p>
        </w:tc>
        <w:tc>
          <w:tcPr>
            <w:tcW w:w="13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2"/>
              <w:ind w:left="129" w:right="97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96,62%</w:t>
            </w:r>
          </w:p>
        </w:tc>
        <w:tc>
          <w:tcPr>
            <w:tcW w:w="116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2"/>
              <w:ind w:right="241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103,18%</w:t>
            </w:r>
          </w:p>
        </w:tc>
        <w:tc>
          <w:tcPr>
            <w:tcW w:w="116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2"/>
              <w:ind w:left="241" w:right="208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64,82%</w:t>
            </w:r>
          </w:p>
        </w:tc>
        <w:tc>
          <w:tcPr>
            <w:tcW w:w="1451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102"/>
              <w:ind w:left="83" w:right="56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34,18%</w:t>
            </w:r>
          </w:p>
        </w:tc>
      </w:tr>
      <w:tr>
        <w:trPr>
          <w:trHeight w:val="393" w:hRule="atLeast"/>
        </w:trPr>
        <w:tc>
          <w:tcPr>
            <w:tcW w:w="116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16"/>
              <w:ind w:left="29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1D7CB3"/>
                <w:spacing w:val="-2"/>
                <w:w w:val="125"/>
                <w:sz w:val="13"/>
              </w:rPr>
              <w:t>Ta</w:t>
            </w:r>
            <w:r>
              <w:rPr>
                <w:rFonts w:ascii="Arial"/>
                <w:b/>
                <w:color w:val="1D7CB3"/>
                <w:spacing w:val="-29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w w:val="125"/>
                <w:sz w:val="13"/>
              </w:rPr>
              <w:t>sa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w w:val="125"/>
                <w:sz w:val="13"/>
              </w:rPr>
              <w:t>Neta</w:t>
            </w:r>
            <w:r>
              <w:rPr>
                <w:rFonts w:ascii="Arial"/>
                <w:b/>
                <w:color w:val="1D7CB3"/>
                <w:spacing w:val="17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w w:val="125"/>
                <w:sz w:val="13"/>
              </w:rPr>
              <w:t>de</w:t>
            </w:r>
            <w:r>
              <w:rPr>
                <w:rFonts w:ascii="Arial"/>
                <w:b/>
                <w:color w:val="1D7CB3"/>
                <w:spacing w:val="14"/>
                <w:w w:val="125"/>
                <w:sz w:val="13"/>
              </w:rPr>
              <w:t> </w:t>
            </w:r>
            <w:r>
              <w:rPr>
                <w:rFonts w:ascii="Arial"/>
                <w:b/>
                <w:color w:val="1D7CB3"/>
                <w:spacing w:val="-2"/>
                <w:w w:val="125"/>
                <w:sz w:val="13"/>
              </w:rPr>
              <w:t>Cobertura</w:t>
            </w:r>
          </w:p>
        </w:tc>
        <w:tc>
          <w:tcPr>
            <w:tcW w:w="1382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1"/>
              <w:ind w:left="129" w:right="97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68,88%</w:t>
            </w:r>
          </w:p>
        </w:tc>
        <w:tc>
          <w:tcPr>
            <w:tcW w:w="1166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7"/>
              <w:ind w:right="25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333333"/>
                <w:w w:val="130"/>
                <w:sz w:val="14"/>
              </w:rPr>
              <w:t>89,30%</w:t>
            </w:r>
          </w:p>
        </w:tc>
        <w:tc>
          <w:tcPr>
            <w:tcW w:w="1167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DAEDF3"/>
          </w:tcPr>
          <w:p>
            <w:pPr>
              <w:pStyle w:val="TableParagraph"/>
              <w:spacing w:before="101"/>
              <w:ind w:left="241" w:right="208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45,60%</w:t>
            </w:r>
          </w:p>
        </w:tc>
        <w:tc>
          <w:tcPr>
            <w:tcW w:w="1451" w:type="dxa"/>
            <w:tcBorders>
              <w:left w:val="single" w:sz="8" w:space="0" w:color="000000"/>
              <w:bottom w:val="nil"/>
              <w:right w:val="nil"/>
            </w:tcBorders>
            <w:shd w:val="clear" w:color="auto" w:fill="DAEDF3"/>
          </w:tcPr>
          <w:p>
            <w:pPr>
              <w:pStyle w:val="TableParagraph"/>
              <w:spacing w:before="101"/>
              <w:ind w:left="83" w:right="56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color w:val="333333"/>
                <w:w w:val="125"/>
                <w:sz w:val="13"/>
              </w:rPr>
              <w:t>23,27%</w:t>
            </w:r>
          </w:p>
        </w:tc>
      </w:tr>
    </w:tbl>
    <w:p>
      <w:pPr>
        <w:spacing w:before="5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2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2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78" w:right="1074"/>
        <w:jc w:val="both"/>
      </w:pPr>
      <w:r>
        <w:rPr/>
        <w:t>A nivel Preprimaria, muestra una reducción en la cobertura durante el periodo 2017‐2020, con una TNE</w:t>
      </w:r>
      <w:r>
        <w:rPr>
          <w:spacing w:val="1"/>
        </w:rPr>
        <w:t> </w:t>
      </w:r>
      <w:r>
        <w:rPr/>
        <w:t>de (67.30%), (72.06%), (68.71%) y (68.88%) respectivamente durante los años indicados. Lo cual, significa</w:t>
      </w:r>
      <w:r>
        <w:rPr>
          <w:spacing w:val="-47"/>
        </w:rPr>
        <w:t> </w:t>
      </w:r>
      <w:r>
        <w:rPr/>
        <w:t>que siete</w:t>
      </w:r>
      <w:r>
        <w:rPr>
          <w:spacing w:val="1"/>
        </w:rPr>
        <w:t> </w:t>
      </w:r>
      <w:r>
        <w:rPr/>
        <w:t>(7) de</w:t>
      </w:r>
      <w:r>
        <w:rPr>
          <w:spacing w:val="-2"/>
        </w:rPr>
        <w:t> </w:t>
      </w:r>
      <w:r>
        <w:rPr/>
        <w:t>cada</w:t>
      </w:r>
      <w:r>
        <w:rPr>
          <w:spacing w:val="-3"/>
        </w:rPr>
        <w:t> </w:t>
      </w:r>
      <w:r>
        <w:rPr/>
        <w:t>10 niños</w:t>
      </w:r>
      <w:r>
        <w:rPr>
          <w:spacing w:val="2"/>
        </w:rPr>
        <w:t> </w:t>
      </w:r>
      <w:r>
        <w:rPr/>
        <w:t>asiste a</w:t>
      </w:r>
      <w:r>
        <w:rPr>
          <w:spacing w:val="-3"/>
        </w:rPr>
        <w:t> </w:t>
      </w:r>
      <w:r>
        <w:rPr/>
        <w:t>este</w:t>
      </w:r>
      <w:r>
        <w:rPr>
          <w:spacing w:val="1"/>
        </w:rPr>
        <w:t> </w:t>
      </w:r>
      <w:r>
        <w:rPr/>
        <w:t>nivel (TNE: 45.25%).</w:t>
      </w:r>
    </w:p>
    <w:p>
      <w:pPr>
        <w:pStyle w:val="BodyText"/>
        <w:spacing w:before="1"/>
      </w:pPr>
    </w:p>
    <w:p>
      <w:pPr>
        <w:pStyle w:val="BodyText"/>
        <w:ind w:left="278" w:right="1073"/>
        <w:jc w:val="both"/>
      </w:pPr>
      <w:r>
        <w:rPr/>
        <w:t>En primaria se</w:t>
      </w:r>
      <w:r>
        <w:rPr>
          <w:spacing w:val="1"/>
        </w:rPr>
        <w:t> </w:t>
      </w:r>
      <w:r>
        <w:rPr/>
        <w:t>registran mayores valores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van de</w:t>
      </w:r>
      <w:r>
        <w:rPr>
          <w:spacing w:val="1"/>
        </w:rPr>
        <w:t> </w:t>
      </w:r>
      <w:r>
        <w:rPr/>
        <w:t>(81.59%), (83.45%),</w:t>
      </w:r>
      <w:r>
        <w:rPr>
          <w:spacing w:val="1"/>
        </w:rPr>
        <w:t> </w:t>
      </w:r>
      <w:r>
        <w:rPr/>
        <w:t>(86.02%) y</w:t>
      </w:r>
      <w:r>
        <w:rPr>
          <w:spacing w:val="1"/>
        </w:rPr>
        <w:t> </w:t>
      </w:r>
      <w:r>
        <w:rPr/>
        <w:t>(89.30%), registrando el mayor dato durante el 2019. De acuerdo con dato promedio de la TNE de</w:t>
      </w:r>
      <w:r>
        <w:rPr>
          <w:spacing w:val="1"/>
        </w:rPr>
        <w:t> </w:t>
      </w:r>
      <w:r>
        <w:rPr/>
        <w:t>Suchitepéquez (85%) durante el período en comparación con el promedio de la TNE Nacional, este</w:t>
      </w:r>
      <w:r>
        <w:rPr>
          <w:spacing w:val="1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registró</w:t>
      </w:r>
      <w:r>
        <w:rPr>
          <w:spacing w:val="-2"/>
        </w:rPr>
        <w:t> </w:t>
      </w:r>
      <w:r>
        <w:rPr/>
        <w:t>un</w:t>
      </w:r>
      <w:r>
        <w:rPr>
          <w:spacing w:val="-5"/>
        </w:rPr>
        <w:t> </w:t>
      </w:r>
      <w:r>
        <w:rPr/>
        <w:t>valor</w:t>
      </w:r>
      <w:r>
        <w:rPr>
          <w:spacing w:val="-6"/>
        </w:rPr>
        <w:t> </w:t>
      </w:r>
      <w:r>
        <w:rPr/>
        <w:t>por</w:t>
      </w:r>
      <w:r>
        <w:rPr>
          <w:spacing w:val="-2"/>
        </w:rPr>
        <w:t> </w:t>
      </w:r>
      <w:r>
        <w:rPr/>
        <w:t>arriba</w:t>
      </w:r>
      <w:r>
        <w:rPr>
          <w:spacing w:val="-6"/>
        </w:rPr>
        <w:t> </w:t>
      </w:r>
      <w:r>
        <w:rPr/>
        <w:t>con</w:t>
      </w:r>
      <w:r>
        <w:rPr>
          <w:spacing w:val="-5"/>
        </w:rPr>
        <w:t> </w:t>
      </w:r>
      <w:r>
        <w:rPr/>
        <w:t>11.5%.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otras</w:t>
      </w:r>
      <w:r>
        <w:rPr>
          <w:spacing w:val="-6"/>
        </w:rPr>
        <w:t> </w:t>
      </w:r>
      <w:r>
        <w:rPr/>
        <w:t>palabras,</w:t>
      </w:r>
      <w:r>
        <w:rPr>
          <w:spacing w:val="-2"/>
        </w:rPr>
        <w:t> </w:t>
      </w:r>
      <w:r>
        <w:rPr/>
        <w:t>nueve</w:t>
      </w:r>
      <w:r>
        <w:rPr>
          <w:spacing w:val="-2"/>
        </w:rPr>
        <w:t> </w:t>
      </w:r>
      <w:r>
        <w:rPr/>
        <w:t>(8)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cada</w:t>
      </w:r>
      <w:r>
        <w:rPr>
          <w:spacing w:val="-3"/>
        </w:rPr>
        <w:t> </w:t>
      </w:r>
      <w:r>
        <w:rPr/>
        <w:t>diez</w:t>
      </w:r>
      <w:r>
        <w:rPr>
          <w:spacing w:val="-5"/>
        </w:rPr>
        <w:t> </w:t>
      </w:r>
      <w:r>
        <w:rPr/>
        <w:t>(10)</w:t>
      </w:r>
      <w:r>
        <w:rPr>
          <w:spacing w:val="-3"/>
        </w:rPr>
        <w:t> </w:t>
      </w:r>
      <w:r>
        <w:rPr/>
        <w:t>asiste</w:t>
      </w:r>
      <w:r>
        <w:rPr>
          <w:spacing w:val="-47"/>
        </w:rPr>
        <w:t> </w:t>
      </w:r>
      <w:r>
        <w:rPr/>
        <w:t>al</w:t>
      </w:r>
      <w:r>
        <w:rPr>
          <w:spacing w:val="-1"/>
        </w:rPr>
        <w:t> </w:t>
      </w:r>
      <w:r>
        <w:rPr/>
        <w:t>nivel primario.</w:t>
      </w:r>
    </w:p>
    <w:p>
      <w:pPr>
        <w:pStyle w:val="BodyText"/>
        <w:rPr>
          <w:sz w:val="20"/>
        </w:rPr>
      </w:pPr>
    </w:p>
    <w:p>
      <w:pPr>
        <w:pStyle w:val="BodyText"/>
        <w:ind w:left="278" w:right="1073"/>
        <w:jc w:val="both"/>
      </w:pPr>
      <w:r>
        <w:rPr/>
        <w:t>Los valores en el Ciclo básico reportan una tendencia del (12%) por encima de la tasa promedio neta</w:t>
      </w:r>
      <w:r>
        <w:rPr>
          <w:spacing w:val="1"/>
        </w:rPr>
        <w:t> </w:t>
      </w:r>
      <w:r>
        <w:rPr/>
        <w:t>(TNE:34%).</w:t>
      </w:r>
      <w:r>
        <w:rPr>
          <w:spacing w:val="1"/>
        </w:rPr>
        <w:t> </w:t>
      </w:r>
      <w:r>
        <w:rPr/>
        <w:t>Para el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analizado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cantidades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(44.12%),</w:t>
      </w:r>
      <w:r>
        <w:rPr>
          <w:spacing w:val="1"/>
        </w:rPr>
        <w:t> </w:t>
      </w:r>
      <w:r>
        <w:rPr/>
        <w:t>(45.34%),</w:t>
      </w:r>
      <w:r>
        <w:rPr>
          <w:spacing w:val="1"/>
        </w:rPr>
        <w:t> </w:t>
      </w:r>
      <w:r>
        <w:rPr/>
        <w:t>(46.05%)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(45.60%).</w:t>
      </w:r>
      <w:r>
        <w:rPr>
          <w:spacing w:val="-2"/>
        </w:rPr>
        <w:t> </w:t>
      </w:r>
      <w:r>
        <w:rPr/>
        <w:t>Esto,</w:t>
      </w:r>
      <w:r>
        <w:rPr>
          <w:spacing w:val="-4"/>
        </w:rPr>
        <w:t> </w:t>
      </w:r>
      <w:r>
        <w:rPr/>
        <w:t>quiere decir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una</w:t>
      </w:r>
      <w:r>
        <w:rPr>
          <w:spacing w:val="-1"/>
        </w:rPr>
        <w:t> </w:t>
      </w:r>
      <w:r>
        <w:rPr/>
        <w:t>tercera parte</w:t>
      </w:r>
      <w:r>
        <w:rPr>
          <w:spacing w:val="-1"/>
        </w:rPr>
        <w:t> </w:t>
      </w:r>
      <w:r>
        <w:rPr/>
        <w:t>asiste al</w:t>
      </w:r>
      <w:r>
        <w:rPr>
          <w:spacing w:val="-3"/>
        </w:rPr>
        <w:t> </w:t>
      </w:r>
      <w:r>
        <w:rPr/>
        <w:t>ciclo</w:t>
      </w:r>
      <w:r>
        <w:rPr>
          <w:spacing w:val="-3"/>
        </w:rPr>
        <w:t> </w:t>
      </w:r>
      <w:r>
        <w:rPr/>
        <w:t>básico</w:t>
      </w:r>
      <w:r>
        <w:rPr>
          <w:spacing w:val="1"/>
        </w:rPr>
        <w:t> </w:t>
      </w:r>
      <w:r>
        <w:rPr/>
        <w:t>(TNE:</w:t>
      </w:r>
      <w:r>
        <w:rPr>
          <w:spacing w:val="-3"/>
        </w:rPr>
        <w:t> </w:t>
      </w:r>
      <w:r>
        <w:rPr/>
        <w:t>34%).</w:t>
      </w:r>
    </w:p>
    <w:p>
      <w:pPr>
        <w:pStyle w:val="BodyText"/>
        <w:spacing w:before="1"/>
      </w:pPr>
    </w:p>
    <w:p>
      <w:pPr>
        <w:pStyle w:val="BodyText"/>
        <w:ind w:left="278" w:right="1073"/>
        <w:jc w:val="both"/>
      </w:pPr>
      <w:r>
        <w:rPr/>
        <w:t>De modo similar a los datos nacionales, el nivel más bajo de participación en el Sistema Nacional de</w:t>
      </w:r>
      <w:r>
        <w:rPr>
          <w:spacing w:val="1"/>
        </w:rPr>
        <w:t> </w:t>
      </w:r>
      <w:r>
        <w:rPr/>
        <w:t>Educación,</w:t>
      </w:r>
      <w:r>
        <w:rPr>
          <w:spacing w:val="-2"/>
        </w:rPr>
        <w:t> </w:t>
      </w:r>
      <w:r>
        <w:rPr/>
        <w:t>lo representa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diversificado.</w:t>
      </w:r>
      <w:r>
        <w:rPr>
          <w:spacing w:val="-2"/>
        </w:rPr>
        <w:t> </w:t>
      </w:r>
      <w:r>
        <w:rPr/>
        <w:t>Incluso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Suchitepéquez</w:t>
      </w:r>
      <w:r>
        <w:rPr>
          <w:spacing w:val="-1"/>
        </w:rPr>
        <w:t> </w:t>
      </w:r>
      <w:r>
        <w:rPr/>
        <w:t>solamente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jóvenes</w:t>
      </w:r>
      <w:r>
        <w:rPr>
          <w:spacing w:val="-1"/>
        </w:rPr>
        <w:t> </w:t>
      </w:r>
      <w:r>
        <w:rPr/>
        <w:t>tiene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rect style="position:absolute;margin-left:563.880005pt;margin-top:9.101067pt;width:25.44pt;height:1.4399pt;mso-position-horizontal-relative:page;mso-position-vertical-relative:paragraph;z-index:-1536307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189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80320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49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6"/>
        <w:jc w:val="both"/>
      </w:pPr>
      <w:r>
        <w:rPr/>
        <w:t>acceso a</w:t>
      </w:r>
      <w:r>
        <w:rPr>
          <w:spacing w:val="-2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este</w:t>
      </w:r>
      <w:r>
        <w:rPr>
          <w:spacing w:val="-3"/>
        </w:rPr>
        <w:t> </w:t>
      </w:r>
      <w:r>
        <w:rPr/>
        <w:t>nivel,</w:t>
      </w:r>
      <w:r>
        <w:rPr>
          <w:spacing w:val="-3"/>
        </w:rPr>
        <w:t> </w:t>
      </w:r>
      <w:r>
        <w:rPr/>
        <w:t>hallándose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debajo 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TNE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nivel nacional</w:t>
      </w:r>
      <w:r>
        <w:rPr>
          <w:spacing w:val="-4"/>
        </w:rPr>
        <w:t> </w:t>
      </w:r>
      <w:r>
        <w:rPr/>
        <w:t>cuya</w:t>
      </w:r>
      <w:r>
        <w:rPr>
          <w:spacing w:val="-2"/>
        </w:rPr>
        <w:t> </w:t>
      </w:r>
      <w:r>
        <w:rPr/>
        <w:t>tasa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cobertura</w:t>
      </w:r>
      <w:r>
        <w:rPr>
          <w:spacing w:val="-47"/>
        </w:rPr>
        <w:t> </w:t>
      </w:r>
      <w:r>
        <w:rPr/>
        <w:t>en</w:t>
      </w:r>
      <w:r>
        <w:rPr>
          <w:spacing w:val="-1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media</w:t>
      </w:r>
      <w:r>
        <w:rPr>
          <w:spacing w:val="-3"/>
        </w:rPr>
        <w:t> </w:t>
      </w:r>
      <w:r>
        <w:rPr/>
        <w:t>es del</w:t>
      </w:r>
      <w:r>
        <w:rPr>
          <w:spacing w:val="-2"/>
        </w:rPr>
        <w:t> </w:t>
      </w:r>
      <w:r>
        <w:rPr/>
        <w:t>24.57%,</w:t>
      </w:r>
      <w:r>
        <w:rPr>
          <w:spacing w:val="-3"/>
        </w:rPr>
        <w:t> </w:t>
      </w:r>
      <w:r>
        <w:rPr/>
        <w:t>mientras</w:t>
      </w:r>
      <w:r>
        <w:rPr>
          <w:spacing w:val="-4"/>
        </w:rPr>
        <w:t> </w:t>
      </w:r>
      <w:r>
        <w:rPr/>
        <w:t>que la</w:t>
      </w:r>
      <w:r>
        <w:rPr>
          <w:spacing w:val="-3"/>
        </w:rPr>
        <w:t> </w:t>
      </w:r>
      <w:r>
        <w:rPr/>
        <w:t>tasa</w:t>
      </w:r>
      <w:r>
        <w:rPr>
          <w:spacing w:val="-1"/>
        </w:rPr>
        <w:t> </w:t>
      </w:r>
      <w:r>
        <w:rPr/>
        <w:t>promedio del</w:t>
      </w:r>
      <w:r>
        <w:rPr>
          <w:spacing w:val="-1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se</w:t>
      </w:r>
      <w:r>
        <w:rPr>
          <w:spacing w:val="1"/>
        </w:rPr>
        <w:t> </w:t>
      </w:r>
      <w:r>
        <w:rPr/>
        <w:t>sitúa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22.24%.</w:t>
      </w:r>
    </w:p>
    <w:p>
      <w:pPr>
        <w:pStyle w:val="BodyText"/>
      </w:pPr>
    </w:p>
    <w:p>
      <w:pPr>
        <w:pStyle w:val="BodyText"/>
        <w:ind w:left="278" w:right="1071"/>
        <w:jc w:val="both"/>
      </w:pPr>
      <w:r>
        <w:rPr/>
        <w:t>Este</w:t>
      </w:r>
      <w:r>
        <w:rPr>
          <w:spacing w:val="1"/>
        </w:rPr>
        <w:t> </w:t>
      </w:r>
      <w:r>
        <w:rPr/>
        <w:t>dato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diversificado,</w:t>
      </w:r>
      <w:r>
        <w:rPr>
          <w:spacing w:val="1"/>
        </w:rPr>
        <w:t> </w:t>
      </w:r>
      <w:r>
        <w:rPr/>
        <w:t>podrían</w:t>
      </w:r>
      <w:r>
        <w:rPr>
          <w:spacing w:val="1"/>
        </w:rPr>
        <w:t> </w:t>
      </w:r>
      <w:r>
        <w:rPr/>
        <w:t>explicarse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deserción</w:t>
      </w:r>
      <w:r>
        <w:rPr>
          <w:spacing w:val="1"/>
        </w:rPr>
        <w:t> </w:t>
      </w:r>
      <w:r>
        <w:rPr/>
        <w:t>escolar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adolescentes que entran a la vida laboral abandonando su educación. En el 2018, el INE registraba para</w:t>
      </w:r>
      <w:r>
        <w:rPr>
          <w:spacing w:val="1"/>
        </w:rPr>
        <w:t> </w:t>
      </w:r>
      <w:r>
        <w:rPr/>
        <w:t>Suchitepéquez</w:t>
      </w:r>
      <w:r>
        <w:rPr>
          <w:spacing w:val="-8"/>
        </w:rPr>
        <w:t> </w:t>
      </w:r>
      <w:r>
        <w:rPr/>
        <w:t>las</w:t>
      </w:r>
      <w:r>
        <w:rPr>
          <w:spacing w:val="-9"/>
        </w:rPr>
        <w:t> </w:t>
      </w:r>
      <w:r>
        <w:rPr/>
        <w:t>principales</w:t>
      </w:r>
      <w:r>
        <w:rPr>
          <w:spacing w:val="-6"/>
        </w:rPr>
        <w:t> </w:t>
      </w:r>
      <w:r>
        <w:rPr/>
        <w:t>razones</w:t>
      </w:r>
      <w:r>
        <w:rPr>
          <w:spacing w:val="-8"/>
        </w:rPr>
        <w:t> </w:t>
      </w:r>
      <w:r>
        <w:rPr/>
        <w:t>fueron:</w:t>
      </w:r>
      <w:r>
        <w:rPr>
          <w:spacing w:val="-6"/>
        </w:rPr>
        <w:t> </w:t>
      </w:r>
      <w:r>
        <w:rPr/>
        <w:t>Falta</w:t>
      </w:r>
      <w:r>
        <w:rPr>
          <w:spacing w:val="-6"/>
        </w:rPr>
        <w:t> </w:t>
      </w:r>
      <w:r>
        <w:rPr/>
        <w:t>de</w:t>
      </w:r>
      <w:r>
        <w:rPr>
          <w:spacing w:val="-11"/>
        </w:rPr>
        <w:t> </w:t>
      </w:r>
      <w:r>
        <w:rPr/>
        <w:t>dinero</w:t>
      </w:r>
      <w:r>
        <w:rPr>
          <w:spacing w:val="-6"/>
        </w:rPr>
        <w:t> </w:t>
      </w:r>
      <w:r>
        <w:rPr/>
        <w:t>(28%),</w:t>
      </w:r>
      <w:r>
        <w:rPr>
          <w:spacing w:val="-9"/>
        </w:rPr>
        <w:t> </w:t>
      </w:r>
      <w:r>
        <w:rPr/>
        <w:t>Tiene</w:t>
      </w:r>
      <w:r>
        <w:rPr>
          <w:spacing w:val="-6"/>
        </w:rPr>
        <w:t> </w:t>
      </w:r>
      <w:r>
        <w:rPr/>
        <w:t>que</w:t>
      </w:r>
      <w:r>
        <w:rPr>
          <w:spacing w:val="-8"/>
        </w:rPr>
        <w:t> </w:t>
      </w:r>
      <w:r>
        <w:rPr/>
        <w:t>Trabajar</w:t>
      </w:r>
      <w:r>
        <w:rPr>
          <w:spacing w:val="-7"/>
        </w:rPr>
        <w:t> </w:t>
      </w:r>
      <w:r>
        <w:rPr/>
        <w:t>(16%),</w:t>
      </w:r>
      <w:r>
        <w:rPr>
          <w:spacing w:val="-7"/>
        </w:rPr>
        <w:t> </w:t>
      </w:r>
      <w:r>
        <w:rPr/>
        <w:t>No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gusta</w:t>
      </w:r>
      <w:r>
        <w:rPr>
          <w:spacing w:val="-47"/>
        </w:rPr>
        <w:t> </w:t>
      </w:r>
      <w:r>
        <w:rPr/>
        <w:t>(19%), entre otros.</w:t>
      </w:r>
      <w:r>
        <w:rPr>
          <w:spacing w:val="1"/>
        </w:rPr>
        <w:t> </w:t>
      </w:r>
      <w:r>
        <w:rPr/>
        <w:t>Mientras que para el 2020, DIPLAN identificó los motivos de retiro más reportados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este</w:t>
      </w:r>
      <w:r>
        <w:rPr>
          <w:spacing w:val="1"/>
        </w:rPr>
        <w:t> </w:t>
      </w:r>
      <w:r>
        <w:rPr/>
        <w:t>departamento:</w:t>
      </w:r>
      <w:r>
        <w:rPr>
          <w:spacing w:val="-2"/>
        </w:rPr>
        <w:t> </w:t>
      </w:r>
      <w:r>
        <w:rPr/>
        <w:t>1.</w:t>
      </w:r>
      <w:r>
        <w:rPr>
          <w:spacing w:val="-1"/>
        </w:rPr>
        <w:t> </w:t>
      </w:r>
      <w:r>
        <w:rPr/>
        <w:t>No</w:t>
      </w:r>
      <w:r>
        <w:rPr>
          <w:spacing w:val="1"/>
        </w:rPr>
        <w:t> </w:t>
      </w:r>
      <w:r>
        <w:rPr/>
        <w:t>le</w:t>
      </w:r>
      <w:r>
        <w:rPr>
          <w:spacing w:val="-3"/>
        </w:rPr>
        <w:t> </w:t>
      </w:r>
      <w:r>
        <w:rPr/>
        <w:t>interesa. 2.</w:t>
      </w:r>
      <w:r>
        <w:rPr>
          <w:spacing w:val="-3"/>
        </w:rPr>
        <w:t> </w:t>
      </w:r>
      <w:r>
        <w:rPr/>
        <w:t>Retiro</w:t>
      </w:r>
      <w:r>
        <w:rPr>
          <w:spacing w:val="1"/>
        </w:rPr>
        <w:t> </w:t>
      </w:r>
      <w:r>
        <w:rPr/>
        <w:t>por Traslado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3.</w:t>
      </w:r>
      <w:r>
        <w:rPr>
          <w:spacing w:val="-3"/>
        </w:rPr>
        <w:t> </w:t>
      </w:r>
      <w:r>
        <w:rPr/>
        <w:t>Trabajo,</w:t>
      </w:r>
      <w:r>
        <w:rPr>
          <w:spacing w:val="-3"/>
        </w:rPr>
        <w:t> </w:t>
      </w:r>
      <w:r>
        <w:rPr/>
        <w:t>entre otros.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1" w:after="0"/>
        <w:ind w:left="998" w:right="0" w:hanging="721"/>
        <w:jc w:val="left"/>
      </w:pPr>
      <w:bookmarkStart w:name="_bookmark238" w:id="409"/>
      <w:bookmarkEnd w:id="409"/>
      <w:r>
        <w:rPr>
          <w:b w:val="0"/>
        </w:rPr>
      </w:r>
      <w:bookmarkStart w:name="_bookmark238" w:id="410"/>
      <w:bookmarkEnd w:id="410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Cobertura:</w:t>
      </w:r>
      <w:r>
        <w:rPr>
          <w:spacing w:val="-3"/>
        </w:rPr>
        <w:t> </w:t>
      </w:r>
      <w:r>
        <w:rPr/>
        <w:t>Tasa</w:t>
      </w:r>
      <w:r>
        <w:rPr>
          <w:spacing w:val="-3"/>
        </w:rPr>
        <w:t> </w:t>
      </w:r>
      <w:r>
        <w:rPr/>
        <w:t>Bruta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Déficit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departamento,</w:t>
      </w:r>
      <w:r>
        <w:rPr>
          <w:spacing w:val="-1"/>
        </w:rPr>
        <w:t> </w:t>
      </w:r>
      <w:r>
        <w:rPr/>
        <w:t>sexo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etnia.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278" w:right="1078"/>
        <w:jc w:val="both"/>
      </w:pPr>
      <w:r>
        <w:rPr/>
        <w:pict>
          <v:group style="position:absolute;margin-left:74.629631pt;margin-top:32.513985pt;width:466.25pt;height:187.95pt;mso-position-horizontal-relative:page;mso-position-vertical-relative:paragraph;z-index:-15361536;mso-wrap-distance-left:0;mso-wrap-distance-right:0" coordorigin="1493,650" coordsize="9325,3759">
            <v:rect style="position:absolute;left:1498;top:656;width:9313;height:3747" filled="true" fillcolor="#ffffff" stroked="false">
              <v:fill type="solid"/>
            </v:rect>
            <v:line style="position:absolute" from="2012,3179" to="2602,3179" stroked="true" strokeweight=".57465pt" strokecolor="#888888">
              <v:stroke dashstyle="solid"/>
            </v:line>
            <v:shape style="position:absolute;left:2727;top:3178;width:1602;height:2" coordorigin="2727,3179" coordsize="1602,0" path="m2727,3179l2882,3179m2992,3179l3022,3179m3132,3179l4328,3179e" filled="false" stroked="true" strokeweight=".57465pt" strokecolor="#888888">
              <v:path arrowok="t"/>
              <v:stroke dashstyle="solid"/>
            </v:shape>
            <v:shape style="position:absolute;left:4438;top:3175;width:6170;height:6" coordorigin="4438,3176" coordsize="6170,6" path="m4438,3181l4608,3181m4718,3181l4748,3181m4858,3181l6319,3181m6428,3181l6459,3181m6568,3181l8046,3181m8154,3181l8185,3181m8294,3181l9757,3181m9880,3181l9897,3181m10005,3181l10608,3181m4438,3176l4608,3176m4718,3176l4748,3176m4858,3176l6319,3176m6428,3176l6459,3176m6568,3176l8046,3176m8154,3176l8185,3176m8294,3176l9757,3176m9880,3176l9897,3176m10005,3176l10608,3176e" filled="false" stroked="true" strokeweight=".287323pt" strokecolor="#888888">
              <v:path arrowok="t"/>
              <v:stroke dashstyle="solid"/>
            </v:shape>
            <v:line style="position:absolute" from="2012,2977" to="2882,2977" stroked="true" strokeweight=".57465pt" strokecolor="#888888">
              <v:stroke dashstyle="solid"/>
            </v:line>
            <v:shape style="position:absolute;left:2991;top:2976;width:7617;height:2" coordorigin="2992,2977" coordsize="7617,0" path="m2992,2977l3022,2977m3132,2977l4608,2977m4718,2977l4748,2977m4858,2977l6319,2977m6428,2977l6459,2977m6568,2977l8046,2977m8154,2977l8185,2977m8294,2977l9757,2977m9880,2977l10608,2977e" filled="false" stroked="true" strokeweight=".57465pt" strokecolor="#888888">
              <v:path arrowok="t"/>
              <v:stroke dashstyle="solid"/>
            </v:shape>
            <v:line style="position:absolute" from="2012,2774" to="2882,2774" stroked="true" strokeweight=".57465pt" strokecolor="#888888">
              <v:stroke dashstyle="solid"/>
            </v:line>
            <v:shape style="position:absolute;left:2011;top:2559;width:8596;height:215" coordorigin="2012,2560" coordsize="8596,215" path="m2992,2774l3022,2774m3132,2774l4608,2774m4718,2774l4748,2774m4858,2774l6319,2774m6428,2774l6459,2774m6568,2774l8046,2774m8154,2774l10608,2774m2012,2560l2882,2560m2992,2560l3022,2560m3132,2560l4608,2560m4718,2560l4748,2560m4858,2560l6319,2560m6428,2560l6459,2560m6568,2560l8046,2560m8154,2560l10608,2560e" filled="false" stroked="true" strokeweight=".57465pt" strokecolor="#888888">
              <v:path arrowok="t"/>
              <v:stroke dashstyle="solid"/>
            </v:shape>
            <v:line style="position:absolute" from="2012,2358" to="2882,2358" stroked="true" strokeweight=".57465pt" strokecolor="#888888">
              <v:stroke dashstyle="solid"/>
            </v:line>
            <v:shape style="position:absolute;left:2991;top:2357;width:7617;height:2" coordorigin="2992,2358" coordsize="7617,0" path="m2992,2358l4608,2358m4718,2358l6319,2358m6428,2358l6459,2358m6568,2358l10608,2358e" filled="false" stroked="true" strokeweight=".57465pt" strokecolor="#888888">
              <v:path arrowok="t"/>
              <v:stroke dashstyle="solid"/>
            </v:shape>
            <v:line style="position:absolute" from="2012,2156" to="2882,2156" stroked="true" strokeweight=".57465pt" strokecolor="#888888">
              <v:stroke dashstyle="solid"/>
            </v:line>
            <v:shape style="position:absolute;left:2991;top:2152;width:7617;height:6" coordorigin="2992,2153" coordsize="7617,6" path="m2992,2159l6319,2159m6428,2159l10608,2159m2992,2153l6319,2153m6428,2153l10608,2153e" filled="false" stroked="true" strokeweight=".287333pt" strokecolor="#888888">
              <v:path arrowok="t"/>
              <v:stroke dashstyle="solid"/>
            </v:shape>
            <v:shape style="position:absolute;left:2011;top:1953;width:8596;height:2" coordorigin="2012,1953" coordsize="8596,0" path="m2012,1953l2882,1953m2992,1953l10608,1953e" filled="false" stroked="true" strokeweight=".57465pt" strokecolor="#888888">
              <v:path arrowok="t"/>
              <v:stroke dashstyle="solid"/>
            </v:shape>
            <v:shape style="position:absolute;left:2011;top:1536;width:8596;height:214" coordorigin="2012,1537" coordsize="8596,214" path="m2012,1751l2012,1751,10608,1751m2012,1537l2012,1537,10608,1537e" filled="false" stroked="true" strokeweight=".663231pt" strokecolor="#888888">
              <v:path arrowok="t"/>
              <v:stroke dashstyle="solid"/>
            </v:shape>
            <v:shape style="position:absolute;left:5634;top:3369;width:1820;height:12" coordorigin="5635,3370" coordsize="1820,12" path="m5745,3370l5635,3370,5635,3381,5745,3381,5745,3370xm7454,3370l7346,3370,7346,3381,7454,3381,7454,3370xe" filled="true" fillcolor="#c46627" stroked="false">
              <v:path arrowok="t"/>
              <v:fill type="solid"/>
            </v:shape>
            <v:shape style="position:absolute;left:4188;top:3369;width:1837;height:12" coordorigin="4188,3370" coordsize="1837,12" path="m4298,3370l4188,3370,4188,3381,4298,3381,4298,3370xm6024,3370l5914,3370,5914,3381,6024,3381,6024,3370xe" filled="true" fillcolor="#d29e00" stroked="false">
              <v:path arrowok="t"/>
              <v:fill type="solid"/>
            </v:shape>
            <v:shape style="position:absolute;left:2602;top:3131;width:6999;height:250" coordorigin="2602,3131" coordsize="6999,250" path="m2727,3131l2602,3131,2602,3381,2727,3381,2727,3131xm4438,3167l4328,3167,4328,3381,4438,3381,4438,3167xm6164,3191l6055,3191,6055,3381,6164,3381,6164,3191xm7874,3179l7766,3179,7766,3381,7874,3381,7874,3179xm9601,3227l9492,3227,9492,3381,9601,3381,9601,3227xe" filled="true" fillcolor="#497eaf" stroked="false">
              <v:path arrowok="t"/>
              <v:fill type="solid"/>
            </v:shape>
            <v:shape style="position:absolute;left:2742;top:3190;width:6999;height:191" coordorigin="2742,3191" coordsize="6999,191" path="m2852,3263l2742,3263,2742,3381,2852,3381,2852,3263xm4578,3238l4468,3238,4468,3381,4578,3381,4578,3238xm6304,3274l6179,3274,6179,3381,6304,3381,6304,3274xm8014,3191l7906,3191,7906,3381,8014,3381,8014,3191xm9740,3238l9632,3238,9632,3381,9740,3381,9740,3238xe" filled="true" fillcolor="#5b8e39" stroked="false">
              <v:path arrowok="t"/>
              <v:fill type="solid"/>
            </v:shape>
            <v:shape style="position:absolute;left:2882;top:1786;width:6999;height:1595" coordorigin="2882,1786" coordsize="6999,1595" path="m2992,1786l2882,1786,2882,3381,2992,3381,2992,1786xm4718,2156l4608,2156,4608,3381,4718,3381,4718,2156xm6428,2120l6319,2120,6319,3381,6428,3381,6428,2120xm8154,2513l8046,2513,8046,3381,8154,3381,8154,2513xm9880,2893l9757,2893,9757,3381,9880,3381,9880,2893xe" filled="true" fillcolor="#4471c4" stroked="false">
              <v:path arrowok="t"/>
              <v:fill type="solid"/>
            </v:shape>
            <v:shape style="position:absolute;left:3022;top:2310;width:6984;height:1071" coordorigin="3022,2310" coordsize="6984,1071" path="m3132,2393l3022,2393,3022,3381,3132,3381,3132,2393xm4858,2536l4748,2536,4748,3381,4858,3381,4858,2536xm6568,2310l6459,2310,6459,3381,6568,3381,6568,2310xm8294,2881l8185,2881,8185,3381,8294,3381,8294,2881xm10005,3060l9897,3060,9897,3381,10005,3381,10005,3060xe" filled="true" fillcolor="#ec7c30" stroked="false">
              <v:path arrowok="t"/>
              <v:fill type="solid"/>
            </v:shape>
            <v:shape style="position:absolute;left:3161;top:3369;width:5273;height:12" coordorigin="3162,3370" coordsize="5273,12" path="m3271,3370l3162,3370,3162,3381,3271,3381,3271,3370xm4998,3370l4888,3370,4888,3381,4998,3381,4998,3370xm6708,3370l6599,3370,6599,3381,6708,3381,6708,3370xm8434,3370l8325,3370,8325,3381,8434,3381,8434,3370xe" filled="true" fillcolor="#a4a4a4" stroked="false">
              <v:path arrowok="t"/>
              <v:fill type="solid"/>
            </v:shape>
            <v:rect style="position:absolute;left:6879;top:3369;width:109;height:12" filled="true" fillcolor="#5b9bd4" stroked="false">
              <v:fill type="solid"/>
            </v:rect>
            <v:shape style="position:absolute;left:2013;top:3381;width:8595;height:2" coordorigin="2013,3382" coordsize="8595,0" path="m2013,3382l2013,3382,10608,3382e" filled="false" stroked="true" strokeweight=".574625pt" strokecolor="#888888">
              <v:path arrowok="t"/>
              <v:stroke dashstyle="solid"/>
            </v:shape>
            <v:rect style="position:absolute;left:2190;top:3745;width:70;height:53" filled="true" fillcolor="#375da0" stroked="false">
              <v:fill type="solid"/>
            </v:rect>
            <v:rect style="position:absolute;left:4240;top:3745;width:69;height:53" filled="true" fillcolor="#c46627" stroked="false">
              <v:fill type="solid"/>
            </v:rect>
            <v:rect style="position:absolute;left:6291;top:3745;width:68;height:53" filled="true" fillcolor="#878787" stroked="false">
              <v:fill type="solid"/>
            </v:rect>
            <v:rect style="position:absolute;left:8340;top:3745;width:69;height:53" filled="true" fillcolor="#d29e00" stroked="false">
              <v:fill type="solid"/>
            </v:rect>
            <v:rect style="position:absolute;left:2190;top:3903;width:70;height:53" filled="true" fillcolor="#497eaf" stroked="false">
              <v:fill type="solid"/>
            </v:rect>
            <v:rect style="position:absolute;left:4240;top:3903;width:69;height:53" filled="true" fillcolor="#5b8e39" stroked="false">
              <v:fill type="solid"/>
            </v:rect>
            <v:rect style="position:absolute;left:6291;top:3903;width:68;height:53" filled="true" fillcolor="#4471c4" stroked="false">
              <v:fill type="solid"/>
            </v:rect>
            <v:rect style="position:absolute;left:8340;top:3903;width:69;height:53" filled="true" fillcolor="#ec7c30" stroked="false">
              <v:fill type="solid"/>
            </v:rect>
            <v:rect style="position:absolute;left:2190;top:4060;width:70;height:53" filled="true" fillcolor="#a4a4a4" stroked="false">
              <v:fill type="solid"/>
            </v:rect>
            <v:rect style="position:absolute;left:4240;top:4060;width:69;height:53" filled="true" fillcolor="#ffc000" stroked="false">
              <v:fill type="solid"/>
            </v:rect>
            <v:rect style="position:absolute;left:6291;top:4060;width:68;height:53" filled="true" fillcolor="#5b9bd4" stroked="false">
              <v:fill type="solid"/>
            </v:rect>
            <v:rect style="position:absolute;left:8340;top:4060;width:69;height:53" filled="true" fillcolor="#6fac46" stroked="false">
              <v:fill type="solid"/>
            </v:rect>
            <v:rect style="position:absolute;left:1498;top:656;width:9313;height:3747" filled="false" stroked="true" strokeweight=".599313pt" strokecolor="#888888">
              <v:stroke dashstyle="solid"/>
            </v:rect>
            <v:shape style="position:absolute;left:3695;top:790;width:4902;height:582" type="#_x0000_t202" filled="false" stroked="false">
              <v:textbox inset="0,0,0,0">
                <w:txbxContent>
                  <w:p>
                    <w:pPr>
                      <w:spacing w:line="238" w:lineRule="exact" w:before="0"/>
                      <w:ind w:left="53" w:right="18" w:firstLine="0"/>
                      <w:jc w:val="center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w w:val="130"/>
                        <w:sz w:val="21"/>
                      </w:rPr>
                      <w:t>Suc</w:t>
                    </w:r>
                    <w:r>
                      <w:rPr>
                        <w:rFonts w:ascii="Arial" w:hAnsi="Arial"/>
                        <w:b/>
                        <w:spacing w:val="-36"/>
                        <w:w w:val="13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0"/>
                        <w:sz w:val="21"/>
                      </w:rPr>
                      <w:t>hitepéquez</w:t>
                    </w:r>
                  </w:p>
                  <w:p>
                    <w:pPr>
                      <w:spacing w:line="266" w:lineRule="auto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w w:val="130"/>
                        <w:sz w:val="14"/>
                      </w:rPr>
                      <w:t>Tota</w:t>
                    </w:r>
                    <w:r>
                      <w:rPr>
                        <w:rFonts w:ascii="Arial" w:hAnsi="Arial"/>
                        <w:b/>
                        <w:spacing w:val="-30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0"/>
                        <w:sz w:val="14"/>
                      </w:rPr>
                      <w:t>l</w:t>
                    </w:r>
                    <w:r>
                      <w:rPr>
                        <w:rFonts w:ascii="Arial" w:hAnsi="Arial"/>
                        <w:b/>
                        <w:spacing w:val="-2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0"/>
                        <w:sz w:val="1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25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0"/>
                        <w:sz w:val="14"/>
                      </w:rPr>
                      <w:t>población</w:t>
                    </w:r>
                    <w:r>
                      <w:rPr>
                        <w:rFonts w:ascii="Arial" w:hAnsi="Arial"/>
                        <w:b/>
                        <w:spacing w:val="4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0"/>
                        <w:sz w:val="14"/>
                      </w:rPr>
                      <w:t>estudia</w:t>
                    </w:r>
                    <w:r>
                      <w:rPr>
                        <w:rFonts w:ascii="Arial" w:hAnsi="Arial"/>
                        <w:b/>
                        <w:spacing w:val="-30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0"/>
                        <w:sz w:val="14"/>
                      </w:rPr>
                      <w:t>ntil</w:t>
                    </w:r>
                    <w:r>
                      <w:rPr>
                        <w:rFonts w:ascii="Arial" w:hAnsi="Arial"/>
                        <w:b/>
                        <w:spacing w:val="-1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0"/>
                        <w:sz w:val="14"/>
                      </w:rPr>
                      <w:t>por</w:t>
                    </w:r>
                    <w:r>
                      <w:rPr>
                        <w:rFonts w:ascii="Arial" w:hAnsi="Arial"/>
                        <w:b/>
                        <w:spacing w:val="-7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0"/>
                        <w:sz w:val="14"/>
                      </w:rPr>
                      <w:t>Niveles,</w:t>
                    </w:r>
                    <w:r>
                      <w:rPr>
                        <w:rFonts w:ascii="Arial" w:hAnsi="Arial"/>
                        <w:b/>
                        <w:spacing w:val="6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0"/>
                        <w:sz w:val="14"/>
                      </w:rPr>
                      <w:t>etnia</w:t>
                    </w:r>
                    <w:r>
                      <w:rPr>
                        <w:rFonts w:ascii="Arial" w:hAnsi="Arial"/>
                        <w:b/>
                        <w:spacing w:val="29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0"/>
                        <w:sz w:val="14"/>
                      </w:rPr>
                      <w:t>y</w:t>
                    </w:r>
                    <w:r>
                      <w:rPr>
                        <w:rFonts w:ascii="Arial" w:hAnsi="Arial"/>
                        <w:b/>
                        <w:spacing w:val="11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0"/>
                        <w:sz w:val="14"/>
                      </w:rPr>
                      <w:t>sexo</w:t>
                    </w:r>
                    <w:r>
                      <w:rPr>
                        <w:rFonts w:ascii="Arial" w:hAnsi="Arial"/>
                        <w:b/>
                        <w:spacing w:val="-47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14"/>
                      </w:rPr>
                      <w:t>2017-</w:t>
                    </w:r>
                    <w:r>
                      <w:rPr>
                        <w:rFonts w:ascii="Arial" w:hAnsi="Arial"/>
                        <w:b/>
                        <w:spacing w:val="-38"/>
                        <w:w w:val="13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14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1607;top:1470;width:279;height:198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20" w:firstLine="0"/>
                      <w:jc w:val="righ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10"/>
                        <w:sz w:val="12"/>
                      </w:rPr>
                      <w:t>450</w:t>
                    </w:r>
                  </w:p>
                  <w:p>
                    <w:pPr>
                      <w:spacing w:before="58"/>
                      <w:ind w:left="0" w:right="20" w:firstLine="0"/>
                      <w:jc w:val="righ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10"/>
                        <w:sz w:val="12"/>
                      </w:rPr>
                      <w:t>400</w:t>
                    </w:r>
                  </w:p>
                  <w:p>
                    <w:pPr>
                      <w:spacing w:before="59"/>
                      <w:ind w:left="0" w:right="20" w:firstLine="0"/>
                      <w:jc w:val="righ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10"/>
                        <w:sz w:val="12"/>
                      </w:rPr>
                      <w:t>350</w:t>
                    </w:r>
                  </w:p>
                  <w:p>
                    <w:pPr>
                      <w:spacing w:before="58"/>
                      <w:ind w:left="0" w:right="20" w:firstLine="0"/>
                      <w:jc w:val="righ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10"/>
                        <w:sz w:val="12"/>
                      </w:rPr>
                      <w:t>300</w:t>
                    </w:r>
                  </w:p>
                  <w:p>
                    <w:pPr>
                      <w:spacing w:before="59"/>
                      <w:ind w:left="0" w:right="20" w:firstLine="0"/>
                      <w:jc w:val="righ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10"/>
                        <w:sz w:val="12"/>
                      </w:rPr>
                      <w:t>250</w:t>
                    </w:r>
                  </w:p>
                  <w:p>
                    <w:pPr>
                      <w:spacing w:before="58"/>
                      <w:ind w:left="0" w:right="20" w:firstLine="0"/>
                      <w:jc w:val="righ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10"/>
                        <w:sz w:val="12"/>
                      </w:rPr>
                      <w:t>200</w:t>
                    </w:r>
                  </w:p>
                  <w:p>
                    <w:pPr>
                      <w:spacing w:before="59"/>
                      <w:ind w:left="0" w:right="20" w:firstLine="0"/>
                      <w:jc w:val="righ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10"/>
                        <w:sz w:val="12"/>
                      </w:rPr>
                      <w:t>150</w:t>
                    </w:r>
                  </w:p>
                  <w:p>
                    <w:pPr>
                      <w:spacing w:before="59"/>
                      <w:ind w:left="0" w:right="20" w:firstLine="0"/>
                      <w:jc w:val="righ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10"/>
                        <w:sz w:val="12"/>
                      </w:rPr>
                      <w:t>100</w:t>
                    </w:r>
                  </w:p>
                  <w:p>
                    <w:pPr>
                      <w:spacing w:before="59"/>
                      <w:ind w:left="0" w:right="19" w:firstLine="0"/>
                      <w:jc w:val="righ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15"/>
                        <w:sz w:val="12"/>
                      </w:rPr>
                      <w:t>50</w:t>
                    </w:r>
                  </w:p>
                  <w:p>
                    <w:pPr>
                      <w:spacing w:before="58"/>
                      <w:ind w:left="0" w:right="18" w:firstLine="0"/>
                      <w:jc w:val="righ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12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286;top:3461;width:1478;height:683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415" w:right="0" w:firstLine="0"/>
                      <w:jc w:val="lef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15"/>
                        <w:sz w:val="12"/>
                      </w:rPr>
                      <w:t>2017</w:t>
                    </w:r>
                  </w:p>
                  <w:p>
                    <w:pPr>
                      <w:spacing w:line="150" w:lineRule="atLeast" w:before="72"/>
                      <w:ind w:left="0" w:right="0" w:firstLine="0"/>
                      <w:jc w:val="lef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120"/>
                        <w:sz w:val="9"/>
                      </w:rPr>
                      <w:t>EXTRANJERO</w:t>
                    </w:r>
                    <w:r>
                      <w:rPr>
                        <w:rFonts w:ascii="Verdana"/>
                        <w:spacing w:val="25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23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HOMBRES</w:t>
                    </w:r>
                    <w:r>
                      <w:rPr>
                        <w:rFonts w:ascii="Verdana"/>
                        <w:spacing w:val="-35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14"/>
                        <w:sz w:val="9"/>
                      </w:rPr>
                      <w:t>L</w:t>
                    </w:r>
                    <w:r>
                      <w:rPr>
                        <w:rFonts w:ascii="Verdana"/>
                        <w:w w:val="148"/>
                        <w:sz w:val="9"/>
                      </w:rPr>
                      <w:t>A</w:t>
                    </w:r>
                    <w:r>
                      <w:rPr>
                        <w:rFonts w:ascii="Verdana"/>
                        <w:w w:val="132"/>
                        <w:sz w:val="9"/>
                      </w:rPr>
                      <w:t>D</w:t>
                    </w:r>
                    <w:r>
                      <w:rPr>
                        <w:rFonts w:ascii="Verdana"/>
                        <w:spacing w:val="1"/>
                        <w:w w:val="73"/>
                        <w:sz w:val="9"/>
                      </w:rPr>
                      <w:t>I</w:t>
                    </w:r>
                    <w:r>
                      <w:rPr>
                        <w:rFonts w:ascii="Verdana"/>
                        <w:w w:val="135"/>
                        <w:sz w:val="9"/>
                      </w:rPr>
                      <w:t>N</w:t>
                    </w:r>
                    <w:r>
                      <w:rPr>
                        <w:rFonts w:ascii="Verdana"/>
                        <w:w w:val="151"/>
                        <w:sz w:val="9"/>
                      </w:rPr>
                      <w:t>O</w:t>
                    </w:r>
                    <w:r>
                      <w:rPr>
                        <w:rFonts w:ascii="Verdana"/>
                        <w:spacing w:val="3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3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5"/>
                        <w:sz w:val="9"/>
                      </w:rPr>
                      <w:t>H</w:t>
                    </w:r>
                    <w:r>
                      <w:rPr>
                        <w:rFonts w:ascii="Verdana"/>
                        <w:spacing w:val="-1"/>
                        <w:w w:val="151"/>
                        <w:sz w:val="9"/>
                      </w:rPr>
                      <w:t>O</w:t>
                    </w:r>
                    <w:r>
                      <w:rPr>
                        <w:rFonts w:ascii="Verdana"/>
                        <w:w w:val="149"/>
                        <w:sz w:val="9"/>
                      </w:rPr>
                      <w:t>M</w:t>
                    </w:r>
                    <w:r>
                      <w:rPr>
                        <w:rFonts w:ascii="Verdana"/>
                        <w:spacing w:val="1"/>
                        <w:w w:val="115"/>
                        <w:sz w:val="9"/>
                      </w:rPr>
                      <w:t>B</w:t>
                    </w:r>
                    <w:r>
                      <w:rPr>
                        <w:rFonts w:ascii="Verdana"/>
                        <w:spacing w:val="-1"/>
                        <w:w w:val="120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16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100"/>
                        <w:sz w:val="9"/>
                      </w:rPr>
                      <w:t>S </w:t>
                    </w:r>
                    <w:r>
                      <w:rPr>
                        <w:rFonts w:ascii="Verdana"/>
                        <w:w w:val="122"/>
                        <w:sz w:val="9"/>
                      </w:rPr>
                      <w:t>X</w:t>
                    </w:r>
                    <w:r>
                      <w:rPr>
                        <w:rFonts w:ascii="Verdana"/>
                        <w:spacing w:val="-1"/>
                        <w:w w:val="73"/>
                        <w:sz w:val="9"/>
                      </w:rPr>
                      <w:t>I</w:t>
                    </w:r>
                    <w:r>
                      <w:rPr>
                        <w:rFonts w:ascii="Verdana"/>
                        <w:w w:val="135"/>
                        <w:sz w:val="9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w w:val="154"/>
                        <w:sz w:val="9"/>
                      </w:rPr>
                      <w:t>C</w:t>
                    </w:r>
                    <w:r>
                      <w:rPr>
                        <w:rFonts w:ascii="Verdana"/>
                        <w:w w:val="154"/>
                        <w:sz w:val="9"/>
                      </w:rPr>
                      <w:t>A</w:t>
                    </w:r>
                    <w:r>
                      <w:rPr>
                        <w:rFonts w:ascii="Verdana"/>
                        <w:spacing w:val="4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3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5"/>
                        <w:sz w:val="9"/>
                      </w:rPr>
                      <w:t>H</w:t>
                    </w:r>
                    <w:r>
                      <w:rPr>
                        <w:rFonts w:ascii="Verdana"/>
                        <w:w w:val="151"/>
                        <w:sz w:val="9"/>
                      </w:rPr>
                      <w:t>O</w:t>
                    </w:r>
                    <w:r>
                      <w:rPr>
                        <w:rFonts w:ascii="Verdana"/>
                        <w:w w:val="149"/>
                        <w:sz w:val="9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115"/>
                        <w:sz w:val="9"/>
                      </w:rPr>
                      <w:t>B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16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100"/>
                        <w:sz w:val="9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4336;top:3461;width:1422;height:683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86" w:right="0" w:firstLine="0"/>
                      <w:jc w:val="lef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15"/>
                        <w:sz w:val="12"/>
                      </w:rPr>
                      <w:t>2018</w:t>
                    </w:r>
                  </w:p>
                  <w:p>
                    <w:pPr>
                      <w:spacing w:line="150" w:lineRule="atLeast" w:before="72"/>
                      <w:ind w:left="0" w:right="17" w:firstLine="0"/>
                      <w:jc w:val="lef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120"/>
                        <w:sz w:val="9"/>
                      </w:rPr>
                      <w:t>EXTRANJERO</w:t>
                    </w:r>
                    <w:r>
                      <w:rPr>
                        <w:rFonts w:ascii="Verdana"/>
                        <w:spacing w:val="20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19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MUJERES</w:t>
                    </w:r>
                    <w:r>
                      <w:rPr>
                        <w:rFonts w:ascii="Verdana"/>
                        <w:spacing w:val="-35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14"/>
                        <w:sz w:val="9"/>
                      </w:rPr>
                      <w:t>L</w:t>
                    </w:r>
                    <w:r>
                      <w:rPr>
                        <w:rFonts w:ascii="Verdana"/>
                        <w:w w:val="148"/>
                        <w:sz w:val="9"/>
                      </w:rPr>
                      <w:t>A</w:t>
                    </w:r>
                    <w:r>
                      <w:rPr>
                        <w:rFonts w:ascii="Verdana"/>
                        <w:w w:val="132"/>
                        <w:sz w:val="9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w w:val="73"/>
                        <w:sz w:val="9"/>
                      </w:rPr>
                      <w:t>I</w:t>
                    </w:r>
                    <w:r>
                      <w:rPr>
                        <w:rFonts w:ascii="Verdana"/>
                        <w:w w:val="135"/>
                        <w:sz w:val="9"/>
                      </w:rPr>
                      <w:t>N</w:t>
                    </w:r>
                    <w:r>
                      <w:rPr>
                        <w:rFonts w:ascii="Verdana"/>
                        <w:w w:val="151"/>
                        <w:sz w:val="9"/>
                      </w:rPr>
                      <w:t>O</w:t>
                    </w:r>
                    <w:r>
                      <w:rPr>
                        <w:rFonts w:ascii="Verdana"/>
                        <w:spacing w:val="4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3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49"/>
                        <w:sz w:val="9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123"/>
                        <w:sz w:val="9"/>
                      </w:rPr>
                      <w:t>U</w:t>
                    </w:r>
                    <w:r>
                      <w:rPr>
                        <w:rFonts w:ascii="Verdana"/>
                        <w:w w:val="145"/>
                        <w:sz w:val="9"/>
                      </w:rPr>
                      <w:t>J</w:t>
                    </w:r>
                    <w:r>
                      <w:rPr>
                        <w:rFonts w:ascii="Verdana"/>
                        <w:w w:val="116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16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100"/>
                        <w:sz w:val="9"/>
                      </w:rPr>
                      <w:t>S </w:t>
                    </w:r>
                    <w:r>
                      <w:rPr>
                        <w:rFonts w:ascii="Verdana"/>
                        <w:w w:val="122"/>
                        <w:sz w:val="9"/>
                      </w:rPr>
                      <w:t>X</w:t>
                    </w:r>
                    <w:r>
                      <w:rPr>
                        <w:rFonts w:ascii="Verdana"/>
                        <w:w w:val="73"/>
                        <w:sz w:val="9"/>
                      </w:rPr>
                      <w:t>I</w:t>
                    </w:r>
                    <w:r>
                      <w:rPr>
                        <w:rFonts w:ascii="Verdana"/>
                        <w:w w:val="135"/>
                        <w:sz w:val="9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w w:val="154"/>
                        <w:sz w:val="9"/>
                      </w:rPr>
                      <w:t>C</w:t>
                    </w:r>
                    <w:r>
                      <w:rPr>
                        <w:rFonts w:ascii="Verdana"/>
                        <w:w w:val="154"/>
                        <w:sz w:val="9"/>
                      </w:rPr>
                      <w:t>A</w:t>
                    </w:r>
                    <w:r>
                      <w:rPr>
                        <w:rFonts w:ascii="Verdana"/>
                        <w:spacing w:val="4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49"/>
                        <w:sz w:val="9"/>
                      </w:rPr>
                      <w:t>M</w:t>
                    </w:r>
                    <w:r>
                      <w:rPr>
                        <w:rFonts w:ascii="Verdana"/>
                        <w:w w:val="123"/>
                        <w:sz w:val="9"/>
                      </w:rPr>
                      <w:t>U</w:t>
                    </w:r>
                    <w:r>
                      <w:rPr>
                        <w:rFonts w:ascii="Verdana"/>
                        <w:w w:val="145"/>
                        <w:sz w:val="9"/>
                      </w:rPr>
                      <w:t>J</w:t>
                    </w:r>
                    <w:r>
                      <w:rPr>
                        <w:rFonts w:ascii="Verdana"/>
                        <w:spacing w:val="-1"/>
                        <w:w w:val="116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16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100"/>
                        <w:sz w:val="9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6142;top:3461;width:2080;height:526" type="#_x0000_t202" filled="false" stroked="false">
              <v:textbox inset="0,0,0,0">
                <w:txbxContent>
                  <w:p>
                    <w:pPr>
                      <w:tabs>
                        <w:tab w:pos="1719" w:val="left" w:leader="none"/>
                      </w:tabs>
                      <w:spacing w:line="145" w:lineRule="exact" w:before="0"/>
                      <w:ind w:left="0" w:right="0" w:firstLine="0"/>
                      <w:jc w:val="lef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15"/>
                        <w:sz w:val="12"/>
                      </w:rPr>
                      <w:t>2019</w:t>
                      <w:tab/>
                      <w:t>2020</w:t>
                    </w:r>
                  </w:p>
                  <w:p>
                    <w:pPr>
                      <w:spacing w:line="150" w:lineRule="atLeast" w:before="72"/>
                      <w:ind w:left="245" w:right="232" w:firstLine="0"/>
                      <w:jc w:val="lef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154"/>
                        <w:sz w:val="9"/>
                      </w:rPr>
                      <w:t>G</w:t>
                    </w:r>
                    <w:r>
                      <w:rPr>
                        <w:rFonts w:ascii="Verdana"/>
                        <w:w w:val="148"/>
                        <w:sz w:val="9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120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73"/>
                        <w:sz w:val="9"/>
                      </w:rPr>
                      <w:t>I</w:t>
                    </w:r>
                    <w:r>
                      <w:rPr>
                        <w:rFonts w:ascii="Verdana"/>
                        <w:w w:val="116"/>
                        <w:sz w:val="9"/>
                      </w:rPr>
                      <w:t>F</w:t>
                    </w:r>
                    <w:r>
                      <w:rPr>
                        <w:rFonts w:ascii="Verdana"/>
                        <w:w w:val="123"/>
                        <w:sz w:val="9"/>
                      </w:rPr>
                      <w:t>U</w:t>
                    </w:r>
                    <w:r>
                      <w:rPr>
                        <w:rFonts w:ascii="Verdana"/>
                        <w:w w:val="135"/>
                        <w:sz w:val="9"/>
                      </w:rPr>
                      <w:t>N</w:t>
                    </w:r>
                    <w:r>
                      <w:rPr>
                        <w:rFonts w:ascii="Verdana"/>
                        <w:w w:val="148"/>
                        <w:sz w:val="9"/>
                      </w:rPr>
                      <w:t>A</w:t>
                    </w:r>
                    <w:r>
                      <w:rPr>
                        <w:rFonts w:ascii="Verdana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3"/>
                        <w:sz w:val="9"/>
                      </w:rPr>
                      <w:t> </w:t>
                    </w:r>
                    <w:r>
                      <w:rPr>
                        <w:rFonts w:ascii="Verdana"/>
                        <w:spacing w:val="-2"/>
                        <w:w w:val="125"/>
                        <w:sz w:val="9"/>
                      </w:rPr>
                      <w:t>H</w:t>
                    </w:r>
                    <w:r>
                      <w:rPr>
                        <w:rFonts w:ascii="Verdana"/>
                        <w:spacing w:val="-1"/>
                        <w:w w:val="151"/>
                        <w:sz w:val="9"/>
                      </w:rPr>
                      <w:t>O</w:t>
                    </w:r>
                    <w:r>
                      <w:rPr>
                        <w:rFonts w:ascii="Verdana"/>
                        <w:spacing w:val="-2"/>
                        <w:w w:val="149"/>
                        <w:sz w:val="9"/>
                      </w:rPr>
                      <w:t>M</w:t>
                    </w:r>
                    <w:r>
                      <w:rPr>
                        <w:rFonts w:ascii="Verdana"/>
                        <w:spacing w:val="-2"/>
                        <w:w w:val="115"/>
                        <w:sz w:val="9"/>
                      </w:rPr>
                      <w:t>B</w:t>
                    </w:r>
                    <w:r>
                      <w:rPr>
                        <w:rFonts w:ascii="Verdana"/>
                        <w:spacing w:val="-2"/>
                        <w:w w:val="120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-2"/>
                        <w:w w:val="116"/>
                        <w:sz w:val="9"/>
                      </w:rPr>
                      <w:t>E</w:t>
                    </w:r>
                    <w:r>
                      <w:rPr>
                        <w:rFonts w:ascii="Verdana"/>
                        <w:spacing w:val="-2"/>
                        <w:w w:val="100"/>
                        <w:sz w:val="9"/>
                      </w:rPr>
                      <w:t>S</w:t>
                    </w:r>
                    <w:r>
                      <w:rPr>
                        <w:rFonts w:ascii="Verdana"/>
                        <w:w w:val="100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5"/>
                        <w:sz w:val="9"/>
                      </w:rPr>
                      <w:t>MAYA</w:t>
                    </w:r>
                    <w:r>
                      <w:rPr>
                        <w:rFonts w:ascii="Verdana"/>
                        <w:spacing w:val="-5"/>
                        <w:w w:val="125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5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-4"/>
                        <w:w w:val="125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5"/>
                        <w:sz w:val="9"/>
                      </w:rPr>
                      <w:t>HOMBRES</w:t>
                    </w:r>
                  </w:p>
                </w:txbxContent>
              </v:textbox>
              <w10:wrap type="none"/>
            </v:shape>
            <v:shape style="position:absolute;left:6387;top:4028;width:1687;height:116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Verdana" w:hAnsi="Verdana"/>
                        <w:sz w:val="9"/>
                      </w:rPr>
                    </w:pPr>
                    <w:r>
                      <w:rPr>
                        <w:rFonts w:ascii="Verdana" w:hAnsi="Verdana"/>
                        <w:w w:val="120"/>
                        <w:sz w:val="9"/>
                      </w:rPr>
                      <w:t>Sin</w:t>
                    </w:r>
                    <w:r>
                      <w:rPr>
                        <w:rFonts w:ascii="Verdana" w:hAnsi="Verdana"/>
                        <w:spacing w:val="26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20"/>
                        <w:sz w:val="9"/>
                      </w:rPr>
                      <w:t>Clasificación</w:t>
                    </w:r>
                    <w:r>
                      <w:rPr>
                        <w:rFonts w:ascii="Verdana" w:hAnsi="Verdana"/>
                        <w:spacing w:val="27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20"/>
                        <w:sz w:val="9"/>
                      </w:rPr>
                      <w:t>-</w:t>
                    </w:r>
                    <w:r>
                      <w:rPr>
                        <w:rFonts w:ascii="Verdana" w:hAnsi="Verdana"/>
                        <w:spacing w:val="27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20"/>
                        <w:sz w:val="9"/>
                      </w:rPr>
                      <w:t>HOMBRES</w:t>
                    </w:r>
                  </w:p>
                </w:txbxContent>
              </v:textbox>
              <w10:wrap type="none"/>
            </v:shape>
            <v:shape style="position:absolute;left:8436;top:3461;width:1631;height:683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143" w:firstLine="0"/>
                      <w:jc w:val="righ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15"/>
                        <w:sz w:val="12"/>
                      </w:rPr>
                      <w:t>2021</w:t>
                    </w:r>
                  </w:p>
                  <w:p>
                    <w:pPr>
                      <w:spacing w:line="345" w:lineRule="auto" w:before="112"/>
                      <w:ind w:left="0" w:right="353" w:firstLine="0"/>
                      <w:jc w:val="left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154"/>
                        <w:sz w:val="9"/>
                      </w:rPr>
                      <w:t>G</w:t>
                    </w:r>
                    <w:r>
                      <w:rPr>
                        <w:rFonts w:ascii="Verdana"/>
                        <w:w w:val="148"/>
                        <w:sz w:val="9"/>
                      </w:rPr>
                      <w:t>A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73"/>
                        <w:sz w:val="9"/>
                      </w:rPr>
                      <w:t>I</w:t>
                    </w:r>
                    <w:r>
                      <w:rPr>
                        <w:rFonts w:ascii="Verdana"/>
                        <w:w w:val="116"/>
                        <w:sz w:val="9"/>
                      </w:rPr>
                      <w:t>F</w:t>
                    </w:r>
                    <w:r>
                      <w:rPr>
                        <w:rFonts w:ascii="Verdana"/>
                        <w:w w:val="123"/>
                        <w:sz w:val="9"/>
                      </w:rPr>
                      <w:t>U</w:t>
                    </w:r>
                    <w:r>
                      <w:rPr>
                        <w:rFonts w:ascii="Verdana"/>
                        <w:w w:val="135"/>
                        <w:sz w:val="9"/>
                      </w:rPr>
                      <w:t>N</w:t>
                    </w:r>
                    <w:r>
                      <w:rPr>
                        <w:rFonts w:ascii="Verdana"/>
                        <w:w w:val="148"/>
                        <w:sz w:val="9"/>
                      </w:rPr>
                      <w:t>A</w:t>
                    </w:r>
                    <w:r>
                      <w:rPr>
                        <w:rFonts w:ascii="Verdana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3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49"/>
                        <w:sz w:val="9"/>
                      </w:rPr>
                      <w:t>M</w:t>
                    </w:r>
                    <w:r>
                      <w:rPr>
                        <w:rFonts w:ascii="Verdana"/>
                        <w:w w:val="123"/>
                        <w:sz w:val="9"/>
                      </w:rPr>
                      <w:t>U</w:t>
                    </w:r>
                    <w:r>
                      <w:rPr>
                        <w:rFonts w:ascii="Verdana"/>
                        <w:spacing w:val="-1"/>
                        <w:w w:val="145"/>
                        <w:sz w:val="9"/>
                      </w:rPr>
                      <w:t>J</w:t>
                    </w:r>
                    <w:r>
                      <w:rPr>
                        <w:rFonts w:ascii="Verdana"/>
                        <w:w w:val="116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120"/>
                        <w:sz w:val="9"/>
                      </w:rPr>
                      <w:t>R</w:t>
                    </w:r>
                    <w:r>
                      <w:rPr>
                        <w:rFonts w:ascii="Verdana"/>
                        <w:w w:val="116"/>
                        <w:sz w:val="9"/>
                      </w:rPr>
                      <w:t>E</w:t>
                    </w:r>
                    <w:r>
                      <w:rPr>
                        <w:rFonts w:ascii="Verdana"/>
                        <w:w w:val="100"/>
                        <w:sz w:val="9"/>
                      </w:rPr>
                      <w:t>S </w:t>
                    </w:r>
                    <w:r>
                      <w:rPr>
                        <w:rFonts w:ascii="Verdana"/>
                        <w:w w:val="125"/>
                        <w:sz w:val="9"/>
                      </w:rPr>
                      <w:t>MAYA</w:t>
                    </w:r>
                    <w:r>
                      <w:rPr>
                        <w:rFonts w:ascii="Verdana"/>
                        <w:spacing w:val="-4"/>
                        <w:w w:val="125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5"/>
                        <w:sz w:val="9"/>
                      </w:rPr>
                      <w:t>-</w:t>
                    </w:r>
                    <w:r>
                      <w:rPr>
                        <w:rFonts w:ascii="Verdana"/>
                        <w:spacing w:val="-5"/>
                        <w:w w:val="125"/>
                        <w:sz w:val="9"/>
                      </w:rPr>
                      <w:t> </w:t>
                    </w:r>
                    <w:r>
                      <w:rPr>
                        <w:rFonts w:ascii="Verdana"/>
                        <w:w w:val="125"/>
                        <w:sz w:val="9"/>
                      </w:rPr>
                      <w:t>MUJERES</w:t>
                    </w:r>
                  </w:p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rFonts w:ascii="Verdana" w:hAnsi="Verdana"/>
                        <w:sz w:val="9"/>
                      </w:rPr>
                    </w:pPr>
                    <w:r>
                      <w:rPr>
                        <w:rFonts w:ascii="Verdana" w:hAnsi="Verdana"/>
                        <w:w w:val="120"/>
                        <w:sz w:val="9"/>
                      </w:rPr>
                      <w:t>Sin</w:t>
                    </w:r>
                    <w:r>
                      <w:rPr>
                        <w:rFonts w:ascii="Verdana" w:hAnsi="Verdana"/>
                        <w:spacing w:val="22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20"/>
                        <w:sz w:val="9"/>
                      </w:rPr>
                      <w:t>Clasificación</w:t>
                    </w:r>
                    <w:r>
                      <w:rPr>
                        <w:rFonts w:ascii="Verdana" w:hAnsi="Verdana"/>
                        <w:spacing w:val="24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20"/>
                        <w:sz w:val="9"/>
                      </w:rPr>
                      <w:t>-</w:t>
                    </w:r>
                    <w:r>
                      <w:rPr>
                        <w:rFonts w:ascii="Verdana" w:hAnsi="Verdana"/>
                        <w:spacing w:val="24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Verdana" w:hAnsi="Verdana"/>
                        <w:w w:val="120"/>
                        <w:sz w:val="9"/>
                      </w:rPr>
                      <w:t>MUJERES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Gráfico Nº. Total de población estudiantil por niveles educativos, etnia y sexo para el Departamento de</w:t>
      </w:r>
      <w:r>
        <w:rPr>
          <w:spacing w:val="1"/>
        </w:rPr>
        <w:t> </w:t>
      </w:r>
      <w:r>
        <w:rPr/>
        <w:t>Suchitepéquez</w:t>
      </w:r>
      <w:r>
        <w:rPr>
          <w:spacing w:val="-1"/>
        </w:rPr>
        <w:t> </w:t>
      </w:r>
      <w:r>
        <w:rPr/>
        <w:t>(2017-2021)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278" w:right="1072"/>
        <w:jc w:val="both"/>
      </w:pPr>
      <w:r>
        <w:rPr/>
        <w:t>Este gráfico muestra el total de la población estudiantil por niveles educativos, etnia y sexo durante el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2017-2021,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Suchitepéquez.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DIPLAN</w:t>
      </w:r>
      <w:r>
        <w:rPr>
          <w:spacing w:val="1"/>
        </w:rPr>
        <w:t> </w:t>
      </w:r>
      <w:r>
        <w:rPr/>
        <w:t>(2021),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cifras</w:t>
      </w:r>
      <w:r>
        <w:rPr>
          <w:spacing w:val="1"/>
        </w:rPr>
        <w:t> </w:t>
      </w:r>
      <w:r>
        <w:rPr/>
        <w:t>anteriores, la proporción de atención a la población estudiantil fue como sigue: Ladino: 49% de hombres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44%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mujeres.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0"/>
        <w:jc w:val="both"/>
      </w:pPr>
      <w:r>
        <w:rPr/>
        <w:t>Maya: 4% de hombres y 4% de mujeres. Al comparar estos resultados con la información del INE, (2018),</w:t>
      </w:r>
      <w:r>
        <w:rPr>
          <w:spacing w:val="1"/>
        </w:rPr>
        <w:t> </w:t>
      </w:r>
      <w:r>
        <w:rPr/>
        <w:t>es posible evidenciar que existe participación, pero no representación de la población en el sistema</w:t>
      </w:r>
      <w:r>
        <w:rPr>
          <w:spacing w:val="1"/>
        </w:rPr>
        <w:t> </w:t>
      </w:r>
      <w:r>
        <w:rPr/>
        <w:t>educativo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Suchitepéquez.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falta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equidad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7"/>
        </w:rPr>
        <w:t> </w:t>
      </w:r>
      <w:r>
        <w:rPr/>
        <w:t>acceso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para</w:t>
      </w:r>
      <w:r>
        <w:rPr>
          <w:spacing w:val="-6"/>
        </w:rPr>
        <w:t> </w:t>
      </w:r>
      <w:r>
        <w:rPr/>
        <w:t>los</w:t>
      </w:r>
      <w:r>
        <w:rPr>
          <w:spacing w:val="-2"/>
        </w:rPr>
        <w:t> </w:t>
      </w:r>
      <w:r>
        <w:rPr/>
        <w:t>niños</w:t>
      </w:r>
      <w:r>
        <w:rPr>
          <w:spacing w:val="-6"/>
        </w:rPr>
        <w:t> </w:t>
      </w:r>
      <w:r>
        <w:rPr/>
        <w:t>y</w:t>
      </w:r>
      <w:r>
        <w:rPr>
          <w:spacing w:val="-2"/>
        </w:rPr>
        <w:t> </w:t>
      </w:r>
      <w:r>
        <w:rPr/>
        <w:t>adolescentes</w:t>
      </w:r>
      <w:r>
        <w:rPr>
          <w:spacing w:val="-47"/>
        </w:rPr>
        <w:t> </w:t>
      </w:r>
      <w:r>
        <w:rPr/>
        <w:t>es</w:t>
      </w:r>
      <w:r>
        <w:rPr>
          <w:spacing w:val="-3"/>
        </w:rPr>
        <w:t> </w:t>
      </w:r>
      <w:r>
        <w:rPr/>
        <w:t>evidente</w:t>
      </w:r>
      <w:r>
        <w:rPr>
          <w:spacing w:val="-5"/>
        </w:rPr>
        <w:t> </w:t>
      </w:r>
      <w:r>
        <w:rPr/>
        <w:t>sobre</w:t>
      </w:r>
      <w:r>
        <w:rPr>
          <w:spacing w:val="-3"/>
        </w:rPr>
        <w:t> </w:t>
      </w:r>
      <w:r>
        <w:rPr/>
        <w:t>todo</w:t>
      </w:r>
      <w:r>
        <w:rPr>
          <w:spacing w:val="-4"/>
        </w:rPr>
        <w:t> </w:t>
      </w:r>
      <w:r>
        <w:rPr/>
        <w:t>considerando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proporción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4"/>
        </w:rPr>
        <w:t> </w:t>
      </w:r>
      <w:r>
        <w:rPr/>
        <w:t>población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Suchitepéquez</w:t>
      </w:r>
      <w:r>
        <w:rPr>
          <w:spacing w:val="-3"/>
        </w:rPr>
        <w:t> </w:t>
      </w:r>
      <w:r>
        <w:rPr/>
        <w:t>(Maya</w:t>
      </w:r>
      <w:r>
        <w:rPr>
          <w:spacing w:val="-6"/>
        </w:rPr>
        <w:t> </w:t>
      </w:r>
      <w:r>
        <w:rPr/>
        <w:t>38%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Ladina</w:t>
      </w:r>
      <w:r>
        <w:rPr>
          <w:spacing w:val="-47"/>
        </w:rPr>
        <w:t> </w:t>
      </w:r>
      <w:r>
        <w:rPr/>
        <w:t>61%).</w:t>
      </w:r>
      <w:r>
        <w:rPr>
          <w:spacing w:val="-2"/>
        </w:rPr>
        <w:t> </w:t>
      </w:r>
      <w:r>
        <w:rPr/>
        <w:t>Lo anterior, significa</w:t>
      </w:r>
      <w:r>
        <w:rPr>
          <w:spacing w:val="-3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carece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inclusión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pertinencia</w:t>
      </w:r>
      <w:r>
        <w:rPr>
          <w:spacing w:val="-1"/>
        </w:rPr>
        <w:t> </w:t>
      </w:r>
      <w:r>
        <w:rPr/>
        <w:t>cultural.</w:t>
      </w:r>
    </w:p>
    <w:p>
      <w:pPr>
        <w:pStyle w:val="BodyText"/>
        <w:spacing w:before="2"/>
      </w:pPr>
    </w:p>
    <w:p>
      <w:pPr>
        <w:pStyle w:val="BodyText"/>
        <w:ind w:left="278" w:right="1070"/>
        <w:jc w:val="both"/>
      </w:pPr>
      <w:r>
        <w:rPr/>
        <w:t>Por otra parte, respecto del sexo se sigue presentando una brecha de género en dónde la participación</w:t>
      </w:r>
      <w:r>
        <w:rPr>
          <w:spacing w:val="1"/>
        </w:rPr>
        <w:t> </w:t>
      </w:r>
      <w:r>
        <w:rPr/>
        <w:t>del hombre Ladino es mayor que la de la mujer, sobre todo, considerando que en este departamento el</w:t>
      </w:r>
      <w:r>
        <w:rPr>
          <w:spacing w:val="1"/>
        </w:rPr>
        <w:t> </w:t>
      </w:r>
      <w:r>
        <w:rPr/>
        <w:t>51% es mujer y el 49% es hombre. Es decir, –ser mujer- es un factor desfavorable para ingresar y</w:t>
      </w:r>
      <w:r>
        <w:rPr>
          <w:spacing w:val="1"/>
        </w:rPr>
        <w:t> </w:t>
      </w:r>
      <w:r>
        <w:rPr/>
        <w:t>permanecer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sistema.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pict>
          <v:rect style="position:absolute;margin-left:563.880005pt;margin-top:9.918061pt;width:25.44pt;height:1.4399pt;mso-position-horizontal-relative:page;mso-position-vertical-relative:paragraph;z-index:-1536102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190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81856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50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1"/>
          <w:numId w:val="36"/>
        </w:numPr>
        <w:tabs>
          <w:tab w:pos="855" w:val="left" w:leader="none"/>
        </w:tabs>
        <w:spacing w:line="240" w:lineRule="auto" w:before="52" w:after="0"/>
        <w:ind w:left="854" w:right="0" w:hanging="577"/>
        <w:jc w:val="left"/>
      </w:pPr>
      <w:bookmarkStart w:name="_bookmark239" w:id="411"/>
      <w:bookmarkEnd w:id="411"/>
      <w:r>
        <w:rPr>
          <w:b w:val="0"/>
        </w:rPr>
      </w:r>
      <w:bookmarkStart w:name="_bookmark239" w:id="412"/>
      <w:bookmarkEnd w:id="412"/>
      <w:r>
        <w:rPr>
          <w:color w:val="1F4E79"/>
        </w:rPr>
        <w:t>To</w:t>
      </w:r>
      <w:r>
        <w:rPr>
          <w:color w:val="1F4E79"/>
        </w:rPr>
        <w:t>tonicapán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2"/>
          <w:numId w:val="36"/>
        </w:numPr>
        <w:tabs>
          <w:tab w:pos="999" w:val="left" w:leader="none"/>
        </w:tabs>
        <w:spacing w:line="240" w:lineRule="auto" w:before="187" w:after="0"/>
        <w:ind w:left="998" w:right="0" w:hanging="721"/>
        <w:jc w:val="left"/>
        <w:rPr>
          <w:b/>
          <w:sz w:val="24"/>
        </w:rPr>
      </w:pPr>
      <w:bookmarkStart w:name="_bookmark240" w:id="413"/>
      <w:bookmarkEnd w:id="413"/>
      <w:r>
        <w:rPr/>
      </w:r>
      <w:bookmarkStart w:name="_bookmark240" w:id="414"/>
      <w:bookmarkEnd w:id="414"/>
      <w:r>
        <w:rPr>
          <w:b/>
          <w:sz w:val="24"/>
        </w:rPr>
        <w:t>Inf</w:t>
      </w:r>
      <w:r>
        <w:rPr>
          <w:b/>
          <w:sz w:val="24"/>
        </w:rPr>
        <w:t>ormación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General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1"/>
        <w:jc w:val="both"/>
      </w:pPr>
      <w:r>
        <w:rPr/>
        <w:t>Según el INE (2018), Totonicapán tiene un total de 418,569 habitantes integrado por el 53% de mujeres y</w:t>
      </w:r>
      <w:r>
        <w:rPr>
          <w:spacing w:val="-47"/>
        </w:rPr>
        <w:t> </w:t>
      </w:r>
      <w:r>
        <w:rPr/>
        <w:t>47% de hombres. Cabe destacar que el 46% de la población es niño o adolescente, ya que se encuentran</w:t>
      </w:r>
      <w:r>
        <w:rPr>
          <w:spacing w:val="1"/>
        </w:rPr>
        <w:t> </w:t>
      </w:r>
      <w:r>
        <w:rPr/>
        <w:t>entre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rango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0</w:t>
      </w:r>
      <w:r>
        <w:rPr>
          <w:spacing w:val="-5"/>
        </w:rPr>
        <w:t> </w:t>
      </w:r>
      <w:r>
        <w:rPr/>
        <w:t>a</w:t>
      </w:r>
      <w:r>
        <w:rPr>
          <w:spacing w:val="-10"/>
        </w:rPr>
        <w:t> </w:t>
      </w:r>
      <w:r>
        <w:rPr/>
        <w:t>19</w:t>
      </w:r>
      <w:r>
        <w:rPr>
          <w:spacing w:val="-7"/>
        </w:rPr>
        <w:t> </w:t>
      </w:r>
      <w:r>
        <w:rPr/>
        <w:t>años.</w:t>
      </w:r>
      <w:r>
        <w:rPr>
          <w:spacing w:val="36"/>
        </w:rPr>
        <w:t> </w:t>
      </w:r>
      <w:r>
        <w:rPr/>
        <w:t>De</w:t>
      </w:r>
      <w:r>
        <w:rPr>
          <w:spacing w:val="-6"/>
        </w:rPr>
        <w:t> </w:t>
      </w:r>
      <w:r>
        <w:rPr/>
        <w:t>este</w:t>
      </w:r>
      <w:r>
        <w:rPr>
          <w:spacing w:val="-5"/>
        </w:rPr>
        <w:t> </w:t>
      </w:r>
      <w:r>
        <w:rPr/>
        <w:t>total,</w:t>
      </w:r>
      <w:r>
        <w:rPr>
          <w:spacing w:val="-5"/>
        </w:rPr>
        <w:t> </w:t>
      </w:r>
      <w:r>
        <w:rPr/>
        <w:t>el</w:t>
      </w:r>
      <w:r>
        <w:rPr>
          <w:spacing w:val="-9"/>
        </w:rPr>
        <w:t> </w:t>
      </w:r>
      <w:r>
        <w:rPr/>
        <w:t>49%</w:t>
      </w:r>
      <w:r>
        <w:rPr>
          <w:spacing w:val="-5"/>
        </w:rPr>
        <w:t> </w:t>
      </w:r>
      <w:r>
        <w:rPr/>
        <w:t>reside</w:t>
      </w:r>
      <w:r>
        <w:rPr>
          <w:spacing w:val="-5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área</w:t>
      </w:r>
      <w:r>
        <w:rPr>
          <w:spacing w:val="-8"/>
        </w:rPr>
        <w:t> </w:t>
      </w:r>
      <w:r>
        <w:rPr/>
        <w:t>urbana,</w:t>
      </w:r>
      <w:r>
        <w:rPr>
          <w:spacing w:val="-7"/>
        </w:rPr>
        <w:t> </w:t>
      </w:r>
      <w:r>
        <w:rPr/>
        <w:t>mientras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restante</w:t>
      </w:r>
      <w:r>
        <w:rPr>
          <w:spacing w:val="-7"/>
        </w:rPr>
        <w:t> </w:t>
      </w:r>
      <w:r>
        <w:rPr/>
        <w:t>51%</w:t>
      </w:r>
      <w:r>
        <w:rPr>
          <w:spacing w:val="-47"/>
        </w:rPr>
        <w:t> </w:t>
      </w:r>
      <w:r>
        <w:rPr/>
        <w:t>es del área rural. Esto quiere decir que la mayoría de los niños y adolescentes residen en el área rural. De</w:t>
      </w:r>
      <w:r>
        <w:rPr>
          <w:spacing w:val="-47"/>
        </w:rPr>
        <w:t> </w:t>
      </w:r>
      <w:r>
        <w:rPr/>
        <w:t>ellos, el 98% se reconoce mayoritariamente Maya y el 2% como etnia Ladina. Por otro lado, la comunidad</w:t>
      </w:r>
      <w:r>
        <w:rPr>
          <w:spacing w:val="-48"/>
        </w:rPr>
        <w:t> </w:t>
      </w:r>
      <w:r>
        <w:rPr/>
        <w:t>maya</w:t>
      </w:r>
      <w:r>
        <w:rPr>
          <w:spacing w:val="-2"/>
        </w:rPr>
        <w:t> </w:t>
      </w:r>
      <w:r>
        <w:rPr/>
        <w:t>lingüística</w:t>
      </w:r>
      <w:r>
        <w:rPr>
          <w:spacing w:val="-1"/>
        </w:rPr>
        <w:t> </w:t>
      </w:r>
      <w:r>
        <w:rPr/>
        <w:t>dominante</w:t>
      </w:r>
      <w:r>
        <w:rPr>
          <w:spacing w:val="1"/>
        </w:rPr>
        <w:t> </w:t>
      </w:r>
      <w:r>
        <w:rPr/>
        <w:t>es</w:t>
      </w:r>
      <w:r>
        <w:rPr>
          <w:spacing w:val="-1"/>
        </w:rPr>
        <w:t> </w:t>
      </w:r>
      <w:r>
        <w:rPr/>
        <w:t>el K’iche’</w:t>
      </w:r>
      <w:r>
        <w:rPr>
          <w:spacing w:val="-2"/>
        </w:rPr>
        <w:t> </w:t>
      </w:r>
      <w:r>
        <w:rPr/>
        <w:t>(99%).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1"/>
        <w:ind w:left="278" w:right="1074"/>
        <w:jc w:val="both"/>
      </w:pPr>
      <w:r>
        <w:rPr/>
        <w:t>De</w:t>
      </w:r>
      <w:r>
        <w:rPr>
          <w:spacing w:val="-7"/>
        </w:rPr>
        <w:t> </w:t>
      </w:r>
      <w:r>
        <w:rPr/>
        <w:t>acuerdo</w:t>
      </w:r>
      <w:r>
        <w:rPr>
          <w:spacing w:val="-10"/>
        </w:rPr>
        <w:t> </w:t>
      </w:r>
      <w:r>
        <w:rPr/>
        <w:t>con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datos</w:t>
      </w:r>
      <w:r>
        <w:rPr>
          <w:spacing w:val="-10"/>
        </w:rPr>
        <w:t> </w:t>
      </w:r>
      <w:r>
        <w:rPr/>
        <w:t>obtenidos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SESAN</w:t>
      </w:r>
      <w:r>
        <w:rPr>
          <w:spacing w:val="-10"/>
        </w:rPr>
        <w:t> </w:t>
      </w:r>
      <w:r>
        <w:rPr/>
        <w:t>(2015)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través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/>
        <w:t>IV</w:t>
      </w:r>
      <w:r>
        <w:rPr>
          <w:spacing w:val="-9"/>
        </w:rPr>
        <w:t> </w:t>
      </w:r>
      <w:r>
        <w:rPr/>
        <w:t>Censo</w:t>
      </w:r>
      <w:r>
        <w:rPr>
          <w:spacing w:val="-7"/>
        </w:rPr>
        <w:t> </w:t>
      </w:r>
      <w:r>
        <w:rPr/>
        <w:t>Nacional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talla</w:t>
      </w:r>
      <w:r>
        <w:rPr>
          <w:spacing w:val="-11"/>
        </w:rPr>
        <w:t> </w:t>
      </w:r>
      <w:r>
        <w:rPr/>
        <w:t>en</w:t>
      </w:r>
      <w:r>
        <w:rPr>
          <w:spacing w:val="-7"/>
        </w:rPr>
        <w:t> </w:t>
      </w:r>
      <w:r>
        <w:rPr/>
        <w:t>escolares</w:t>
      </w:r>
      <w:r>
        <w:rPr>
          <w:spacing w:val="-48"/>
        </w:rPr>
        <w:t> </w:t>
      </w:r>
      <w:r>
        <w:rPr/>
        <w:t>de primer grado de educación primaria del sector público escolar, este departamento posee una alta</w:t>
      </w:r>
      <w:r>
        <w:rPr>
          <w:spacing w:val="1"/>
        </w:rPr>
        <w:t> </w:t>
      </w:r>
      <w:r>
        <w:rPr/>
        <w:t>vulnerabilidad</w:t>
      </w:r>
      <w:r>
        <w:rPr>
          <w:spacing w:val="-2"/>
        </w:rPr>
        <w:t> </w:t>
      </w:r>
      <w:r>
        <w:rPr/>
        <w:t>nutricional</w:t>
      </w:r>
      <w:r>
        <w:rPr>
          <w:spacing w:val="-3"/>
        </w:rPr>
        <w:t> </w:t>
      </w:r>
      <w:r>
        <w:rPr/>
        <w:t>al reportar la cifra del</w:t>
      </w:r>
      <w:r>
        <w:rPr>
          <w:spacing w:val="-3"/>
        </w:rPr>
        <w:t> </w:t>
      </w:r>
      <w:r>
        <w:rPr/>
        <w:t>59.5%.</w:t>
      </w:r>
    </w:p>
    <w:p>
      <w:pPr>
        <w:pStyle w:val="BodyText"/>
        <w:spacing w:before="8"/>
        <w:rPr>
          <w:sz w:val="19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1" w:after="0"/>
        <w:ind w:left="998" w:right="0" w:hanging="721"/>
        <w:jc w:val="left"/>
      </w:pPr>
      <w:bookmarkStart w:name="_bookmark241" w:id="415"/>
      <w:bookmarkEnd w:id="415"/>
      <w:r>
        <w:rPr>
          <w:b w:val="0"/>
        </w:rPr>
      </w:r>
      <w:bookmarkStart w:name="_bookmark241" w:id="416"/>
      <w:bookmarkEnd w:id="416"/>
      <w:r>
        <w:rPr/>
        <w:t>Sit</w:t>
      </w:r>
      <w:r>
        <w:rPr/>
        <w:t>uación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Sistema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Nacional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ind w:left="278" w:right="1069"/>
        <w:jc w:val="both"/>
      </w:pPr>
      <w:r>
        <w:rPr/>
        <w:t>En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estudiantil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Totonicapán,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mostrado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comportamiento similar al presentado a nivel nacional. En primer lugar, aparece el nivel primario, en</w:t>
      </w:r>
      <w:r>
        <w:rPr>
          <w:spacing w:val="1"/>
        </w:rPr>
        <w:t> </w:t>
      </w:r>
      <w:r>
        <w:rPr/>
        <w:t>segundo lugar, el básico y el tercer lugar, la preprimaria.</w:t>
      </w:r>
      <w:r>
        <w:rPr>
          <w:spacing w:val="1"/>
        </w:rPr>
        <w:t> </w:t>
      </w:r>
      <w:r>
        <w:rPr/>
        <w:t>Por último, el diversificado y la primaria de</w:t>
      </w:r>
      <w:r>
        <w:rPr>
          <w:spacing w:val="1"/>
        </w:rPr>
        <w:t> </w:t>
      </w:r>
      <w:r>
        <w:rPr/>
        <w:t>adultos.</w:t>
      </w:r>
      <w:r>
        <w:rPr>
          <w:spacing w:val="47"/>
        </w:rPr>
        <w:t> </w:t>
      </w:r>
      <w:r>
        <w:rPr/>
        <w:t>La siguiente</w:t>
      </w:r>
      <w:r>
        <w:rPr>
          <w:spacing w:val="1"/>
        </w:rPr>
        <w:t> </w:t>
      </w:r>
      <w:r>
        <w:rPr/>
        <w:t>tabla,</w:t>
      </w:r>
      <w:r>
        <w:rPr>
          <w:spacing w:val="-3"/>
        </w:rPr>
        <w:t> </w:t>
      </w:r>
      <w:r>
        <w:rPr/>
        <w:t>integra estas</w:t>
      </w:r>
      <w:r>
        <w:rPr>
          <w:spacing w:val="-2"/>
        </w:rPr>
        <w:t> </w:t>
      </w:r>
      <w:r>
        <w:rPr/>
        <w:t>cifras.</w:t>
      </w:r>
    </w:p>
    <w:p>
      <w:pPr>
        <w:pStyle w:val="BodyText"/>
        <w:spacing w:before="2"/>
      </w:pPr>
    </w:p>
    <w:p>
      <w:pPr>
        <w:pStyle w:val="BodyText"/>
        <w:spacing w:after="4"/>
        <w:ind w:left="278" w:right="1075"/>
        <w:jc w:val="both"/>
      </w:pPr>
      <w:r>
        <w:rPr/>
        <w:t>Tabla</w:t>
      </w:r>
      <w:r>
        <w:rPr>
          <w:spacing w:val="1"/>
        </w:rPr>
        <w:t> </w:t>
      </w:r>
      <w:r>
        <w:rPr/>
        <w:t>Nº.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Cobertura: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Bruta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Académico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47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de Totonicapán</w:t>
      </w:r>
    </w:p>
    <w:tbl>
      <w:tblPr>
        <w:tblW w:w="0" w:type="auto"/>
        <w:jc w:val="left"/>
        <w:tblInd w:w="3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0"/>
        <w:gridCol w:w="1481"/>
        <w:gridCol w:w="994"/>
        <w:gridCol w:w="1925"/>
        <w:gridCol w:w="724"/>
        <w:gridCol w:w="1350"/>
        <w:gridCol w:w="1179"/>
      </w:tblGrid>
      <w:tr>
        <w:trPr>
          <w:trHeight w:val="412" w:hRule="atLeast"/>
        </w:trPr>
        <w:tc>
          <w:tcPr>
            <w:tcW w:w="1160" w:type="dxa"/>
            <w:tcBorders>
              <w:bottom w:val="single" w:sz="8" w:space="0" w:color="8EA9DB"/>
            </w:tcBorders>
            <w:shd w:val="clear" w:color="auto" w:fill="D9E0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1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line="170" w:lineRule="exact"/>
              <w:ind w:left="185" w:right="7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PREPRIMARIA</w:t>
            </w:r>
          </w:p>
        </w:tc>
        <w:tc>
          <w:tcPr>
            <w:tcW w:w="994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line="170" w:lineRule="exact"/>
              <w:ind w:left="11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PRIMARIA</w:t>
            </w:r>
          </w:p>
        </w:tc>
        <w:tc>
          <w:tcPr>
            <w:tcW w:w="1925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line="170" w:lineRule="exact"/>
              <w:ind w:left="48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8"/>
                <w:w w:val="105"/>
                <w:sz w:val="16"/>
              </w:rPr>
              <w:t>PRIMARIA</w:t>
            </w:r>
            <w:r>
              <w:rPr>
                <w:rFonts w:ascii="Arial"/>
                <w:b/>
                <w:color w:val="FFFFFF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8"/>
                <w:w w:val="105"/>
                <w:sz w:val="16"/>
              </w:rPr>
              <w:t>DE</w:t>
            </w:r>
            <w:r>
              <w:rPr>
                <w:rFonts w:ascii="Arial"/>
                <w:b/>
                <w:color w:val="FFFFFF"/>
                <w:spacing w:val="-27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8"/>
                <w:w w:val="105"/>
                <w:sz w:val="16"/>
              </w:rPr>
              <w:t>ADULTOS</w:t>
            </w:r>
          </w:p>
        </w:tc>
        <w:tc>
          <w:tcPr>
            <w:tcW w:w="724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line="170" w:lineRule="exact"/>
              <w:ind w:left="8" w:right="2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BASICO</w:t>
            </w:r>
          </w:p>
        </w:tc>
        <w:tc>
          <w:tcPr>
            <w:tcW w:w="1350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line="170" w:lineRule="exact"/>
              <w:ind w:left="1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6"/>
              </w:rPr>
              <w:t>DIVERSIFICADO</w:t>
            </w:r>
          </w:p>
        </w:tc>
        <w:tc>
          <w:tcPr>
            <w:tcW w:w="1179" w:type="dxa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line="170" w:lineRule="exact"/>
              <w:ind w:right="6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1"/>
                <w:w w:val="105"/>
                <w:sz w:val="16"/>
              </w:rPr>
              <w:t>Tota</w:t>
            </w:r>
            <w:r>
              <w:rPr>
                <w:rFonts w:ascii="Arial"/>
                <w:b/>
                <w:color w:val="FFFFFF"/>
                <w:spacing w:val="-31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w w:val="105"/>
                <w:sz w:val="16"/>
              </w:rPr>
              <w:t>l</w:t>
            </w:r>
            <w:r>
              <w:rPr>
                <w:rFonts w:ascii="Arial"/>
                <w:b/>
                <w:color w:val="FFFFFF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w w:val="105"/>
                <w:sz w:val="16"/>
              </w:rPr>
              <w:t>general</w:t>
            </w:r>
          </w:p>
        </w:tc>
      </w:tr>
      <w:tr>
        <w:trPr>
          <w:trHeight w:val="182" w:hRule="atLeast"/>
        </w:trPr>
        <w:tc>
          <w:tcPr>
            <w:tcW w:w="1160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0" w:lineRule="exact"/>
              <w:ind w:left="371" w:right="366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2017</w:t>
            </w:r>
          </w:p>
        </w:tc>
        <w:tc>
          <w:tcPr>
            <w:tcW w:w="1481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0" w:lineRule="exact"/>
              <w:ind w:left="185" w:right="77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15,942</w:t>
            </w:r>
          </w:p>
        </w:tc>
        <w:tc>
          <w:tcPr>
            <w:tcW w:w="994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0" w:lineRule="exact"/>
              <w:ind w:left="132" w:right="11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67,675</w:t>
            </w:r>
          </w:p>
        </w:tc>
        <w:tc>
          <w:tcPr>
            <w:tcW w:w="1925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0" w:lineRule="exact"/>
              <w:ind w:left="37" w:right="26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507</w:t>
            </w:r>
          </w:p>
        </w:tc>
        <w:tc>
          <w:tcPr>
            <w:tcW w:w="724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0" w:lineRule="exact"/>
              <w:ind w:left="8" w:right="12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16,780</w:t>
            </w:r>
          </w:p>
        </w:tc>
        <w:tc>
          <w:tcPr>
            <w:tcW w:w="1350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0" w:lineRule="exact"/>
              <w:ind w:left="27" w:right="2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4,666</w:t>
            </w:r>
          </w:p>
        </w:tc>
        <w:tc>
          <w:tcPr>
            <w:tcW w:w="1179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0" w:lineRule="exact"/>
              <w:ind w:right="2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105,570</w:t>
            </w:r>
          </w:p>
        </w:tc>
      </w:tr>
      <w:tr>
        <w:trPr>
          <w:trHeight w:val="199" w:hRule="atLeast"/>
        </w:trPr>
        <w:tc>
          <w:tcPr>
            <w:tcW w:w="1160" w:type="dxa"/>
          </w:tcPr>
          <w:p>
            <w:pPr>
              <w:pStyle w:val="TableParagraph"/>
              <w:spacing w:line="171" w:lineRule="exact" w:before="8"/>
              <w:ind w:left="371" w:right="366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2018</w:t>
            </w:r>
          </w:p>
        </w:tc>
        <w:tc>
          <w:tcPr>
            <w:tcW w:w="1481" w:type="dxa"/>
          </w:tcPr>
          <w:p>
            <w:pPr>
              <w:pStyle w:val="TableParagraph"/>
              <w:spacing w:line="171" w:lineRule="exact" w:before="8"/>
              <w:ind w:left="185" w:right="77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16,579</w:t>
            </w:r>
          </w:p>
        </w:tc>
        <w:tc>
          <w:tcPr>
            <w:tcW w:w="994" w:type="dxa"/>
          </w:tcPr>
          <w:p>
            <w:pPr>
              <w:pStyle w:val="TableParagraph"/>
              <w:spacing w:line="171" w:lineRule="exact" w:before="8"/>
              <w:ind w:left="132" w:right="11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68,039</w:t>
            </w:r>
          </w:p>
        </w:tc>
        <w:tc>
          <w:tcPr>
            <w:tcW w:w="1925" w:type="dxa"/>
          </w:tcPr>
          <w:p>
            <w:pPr>
              <w:pStyle w:val="TableParagraph"/>
              <w:spacing w:line="171" w:lineRule="exact" w:before="8"/>
              <w:ind w:left="37" w:right="26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458</w:t>
            </w:r>
          </w:p>
        </w:tc>
        <w:tc>
          <w:tcPr>
            <w:tcW w:w="724" w:type="dxa"/>
          </w:tcPr>
          <w:p>
            <w:pPr>
              <w:pStyle w:val="TableParagraph"/>
              <w:spacing w:line="171" w:lineRule="exact" w:before="8"/>
              <w:ind w:left="8" w:right="12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16,668</w:t>
            </w:r>
          </w:p>
        </w:tc>
        <w:tc>
          <w:tcPr>
            <w:tcW w:w="1350" w:type="dxa"/>
          </w:tcPr>
          <w:p>
            <w:pPr>
              <w:pStyle w:val="TableParagraph"/>
              <w:spacing w:line="171" w:lineRule="exact" w:before="8"/>
              <w:ind w:left="27" w:right="2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4,631</w:t>
            </w:r>
          </w:p>
        </w:tc>
        <w:tc>
          <w:tcPr>
            <w:tcW w:w="1179" w:type="dxa"/>
          </w:tcPr>
          <w:p>
            <w:pPr>
              <w:pStyle w:val="TableParagraph"/>
              <w:spacing w:line="171" w:lineRule="exact" w:before="8"/>
              <w:ind w:right="2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106,375</w:t>
            </w:r>
          </w:p>
        </w:tc>
      </w:tr>
      <w:tr>
        <w:trPr>
          <w:trHeight w:val="199" w:hRule="atLeast"/>
        </w:trPr>
        <w:tc>
          <w:tcPr>
            <w:tcW w:w="1160" w:type="dxa"/>
          </w:tcPr>
          <w:p>
            <w:pPr>
              <w:pStyle w:val="TableParagraph"/>
              <w:spacing w:line="171" w:lineRule="exact" w:before="8"/>
              <w:ind w:left="371" w:right="366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2019</w:t>
            </w:r>
          </w:p>
        </w:tc>
        <w:tc>
          <w:tcPr>
            <w:tcW w:w="1481" w:type="dxa"/>
          </w:tcPr>
          <w:p>
            <w:pPr>
              <w:pStyle w:val="TableParagraph"/>
              <w:spacing w:line="171" w:lineRule="exact" w:before="8"/>
              <w:ind w:left="185" w:right="77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15,860</w:t>
            </w:r>
          </w:p>
        </w:tc>
        <w:tc>
          <w:tcPr>
            <w:tcW w:w="994" w:type="dxa"/>
          </w:tcPr>
          <w:p>
            <w:pPr>
              <w:pStyle w:val="TableParagraph"/>
              <w:spacing w:line="171" w:lineRule="exact" w:before="8"/>
              <w:ind w:left="132" w:right="11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66,532</w:t>
            </w:r>
          </w:p>
        </w:tc>
        <w:tc>
          <w:tcPr>
            <w:tcW w:w="1925" w:type="dxa"/>
          </w:tcPr>
          <w:p>
            <w:pPr>
              <w:pStyle w:val="TableParagraph"/>
              <w:spacing w:line="171" w:lineRule="exact" w:before="8"/>
              <w:ind w:left="37" w:right="26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185</w:t>
            </w:r>
          </w:p>
        </w:tc>
        <w:tc>
          <w:tcPr>
            <w:tcW w:w="724" w:type="dxa"/>
          </w:tcPr>
          <w:p>
            <w:pPr>
              <w:pStyle w:val="TableParagraph"/>
              <w:spacing w:line="171" w:lineRule="exact" w:before="8"/>
              <w:ind w:left="8" w:right="12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15,963</w:t>
            </w:r>
          </w:p>
        </w:tc>
        <w:tc>
          <w:tcPr>
            <w:tcW w:w="1350" w:type="dxa"/>
          </w:tcPr>
          <w:p>
            <w:pPr>
              <w:pStyle w:val="TableParagraph"/>
              <w:spacing w:line="171" w:lineRule="exact" w:before="8"/>
              <w:ind w:left="27" w:right="2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4,612</w:t>
            </w:r>
          </w:p>
        </w:tc>
        <w:tc>
          <w:tcPr>
            <w:tcW w:w="1179" w:type="dxa"/>
          </w:tcPr>
          <w:p>
            <w:pPr>
              <w:pStyle w:val="TableParagraph"/>
              <w:spacing w:line="171" w:lineRule="exact" w:before="8"/>
              <w:ind w:right="2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103,152</w:t>
            </w:r>
          </w:p>
        </w:tc>
      </w:tr>
      <w:tr>
        <w:trPr>
          <w:trHeight w:val="199" w:hRule="atLeast"/>
        </w:trPr>
        <w:tc>
          <w:tcPr>
            <w:tcW w:w="1160" w:type="dxa"/>
          </w:tcPr>
          <w:p>
            <w:pPr>
              <w:pStyle w:val="TableParagraph"/>
              <w:spacing w:line="171" w:lineRule="exact" w:before="8"/>
              <w:ind w:left="371" w:right="366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2020</w:t>
            </w:r>
          </w:p>
        </w:tc>
        <w:tc>
          <w:tcPr>
            <w:tcW w:w="1481" w:type="dxa"/>
          </w:tcPr>
          <w:p>
            <w:pPr>
              <w:pStyle w:val="TableParagraph"/>
              <w:spacing w:line="171" w:lineRule="exact" w:before="8"/>
              <w:ind w:left="185" w:right="77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15,610</w:t>
            </w:r>
          </w:p>
        </w:tc>
        <w:tc>
          <w:tcPr>
            <w:tcW w:w="994" w:type="dxa"/>
          </w:tcPr>
          <w:p>
            <w:pPr>
              <w:pStyle w:val="TableParagraph"/>
              <w:spacing w:line="171" w:lineRule="exact" w:before="8"/>
              <w:ind w:left="132" w:right="11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66,446</w:t>
            </w:r>
          </w:p>
        </w:tc>
        <w:tc>
          <w:tcPr>
            <w:tcW w:w="1925" w:type="dxa"/>
          </w:tcPr>
          <w:p>
            <w:pPr>
              <w:pStyle w:val="TableParagraph"/>
              <w:spacing w:line="171" w:lineRule="exact" w:before="8"/>
              <w:ind w:left="24" w:right="26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63</w:t>
            </w:r>
          </w:p>
        </w:tc>
        <w:tc>
          <w:tcPr>
            <w:tcW w:w="724" w:type="dxa"/>
          </w:tcPr>
          <w:p>
            <w:pPr>
              <w:pStyle w:val="TableParagraph"/>
              <w:spacing w:line="171" w:lineRule="exact" w:before="8"/>
              <w:ind w:left="8" w:right="12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15,591</w:t>
            </w:r>
          </w:p>
        </w:tc>
        <w:tc>
          <w:tcPr>
            <w:tcW w:w="1350" w:type="dxa"/>
          </w:tcPr>
          <w:p>
            <w:pPr>
              <w:pStyle w:val="TableParagraph"/>
              <w:spacing w:line="171" w:lineRule="exact" w:before="8"/>
              <w:ind w:left="27" w:right="2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4,552</w:t>
            </w:r>
          </w:p>
        </w:tc>
        <w:tc>
          <w:tcPr>
            <w:tcW w:w="1179" w:type="dxa"/>
          </w:tcPr>
          <w:p>
            <w:pPr>
              <w:pStyle w:val="TableParagraph"/>
              <w:spacing w:line="171" w:lineRule="exact" w:before="8"/>
              <w:ind w:right="2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102,262</w:t>
            </w:r>
          </w:p>
        </w:tc>
      </w:tr>
      <w:tr>
        <w:trPr>
          <w:trHeight w:val="192" w:hRule="atLeast"/>
        </w:trPr>
        <w:tc>
          <w:tcPr>
            <w:tcW w:w="1160" w:type="dxa"/>
          </w:tcPr>
          <w:p>
            <w:pPr>
              <w:pStyle w:val="TableParagraph"/>
              <w:spacing w:line="164" w:lineRule="exact" w:before="8"/>
              <w:ind w:left="371" w:right="366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2021</w:t>
            </w:r>
          </w:p>
        </w:tc>
        <w:tc>
          <w:tcPr>
            <w:tcW w:w="1481" w:type="dxa"/>
          </w:tcPr>
          <w:p>
            <w:pPr>
              <w:pStyle w:val="TableParagraph"/>
              <w:spacing w:line="164" w:lineRule="exact" w:before="8"/>
              <w:ind w:left="185" w:right="77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16,818</w:t>
            </w:r>
          </w:p>
        </w:tc>
        <w:tc>
          <w:tcPr>
            <w:tcW w:w="994" w:type="dxa"/>
          </w:tcPr>
          <w:p>
            <w:pPr>
              <w:pStyle w:val="TableParagraph"/>
              <w:spacing w:line="164" w:lineRule="exact" w:before="8"/>
              <w:ind w:left="132" w:right="11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67,563</w:t>
            </w:r>
          </w:p>
        </w:tc>
        <w:tc>
          <w:tcPr>
            <w:tcW w:w="1925" w:type="dxa"/>
          </w:tcPr>
          <w:p>
            <w:pPr>
              <w:pStyle w:val="TableParagraph"/>
              <w:spacing w:line="164" w:lineRule="exact" w:before="8"/>
              <w:ind w:left="24" w:right="26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sz w:val="15"/>
              </w:rPr>
              <w:t>49</w:t>
            </w:r>
          </w:p>
        </w:tc>
        <w:tc>
          <w:tcPr>
            <w:tcW w:w="724" w:type="dxa"/>
          </w:tcPr>
          <w:p>
            <w:pPr>
              <w:pStyle w:val="TableParagraph"/>
              <w:spacing w:line="164" w:lineRule="exact" w:before="8"/>
              <w:ind w:left="8" w:right="12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14,016</w:t>
            </w:r>
          </w:p>
        </w:tc>
        <w:tc>
          <w:tcPr>
            <w:tcW w:w="1350" w:type="dxa"/>
          </w:tcPr>
          <w:p>
            <w:pPr>
              <w:pStyle w:val="TableParagraph"/>
              <w:spacing w:line="164" w:lineRule="exact" w:before="8"/>
              <w:ind w:left="27" w:right="2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4,105</w:t>
            </w:r>
          </w:p>
        </w:tc>
        <w:tc>
          <w:tcPr>
            <w:tcW w:w="1179" w:type="dxa"/>
          </w:tcPr>
          <w:p>
            <w:pPr>
              <w:pStyle w:val="TableParagraph"/>
              <w:spacing w:line="164" w:lineRule="exact" w:before="8"/>
              <w:ind w:right="25"/>
              <w:jc w:val="right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102,551</w:t>
            </w:r>
          </w:p>
        </w:tc>
      </w:tr>
    </w:tbl>
    <w:tbl>
      <w:tblPr>
        <w:tblW w:w="0" w:type="auto"/>
        <w:jc w:val="left"/>
        <w:tblInd w:w="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0"/>
        <w:gridCol w:w="1393"/>
        <w:gridCol w:w="1398"/>
        <w:gridCol w:w="1282"/>
        <w:gridCol w:w="1207"/>
        <w:gridCol w:w="1260"/>
        <w:gridCol w:w="1114"/>
      </w:tblGrid>
      <w:tr>
        <w:trPr>
          <w:trHeight w:val="213" w:hRule="atLeast"/>
        </w:trPr>
        <w:tc>
          <w:tcPr>
            <w:tcW w:w="1160" w:type="dxa"/>
            <w:tcBorders>
              <w:top w:val="single" w:sz="8" w:space="0" w:color="8EA9DB"/>
            </w:tcBorders>
            <w:shd w:val="clear" w:color="auto" w:fill="D9E0F1"/>
          </w:tcPr>
          <w:p>
            <w:pPr>
              <w:pStyle w:val="TableParagraph"/>
              <w:spacing w:before="15"/>
              <w:ind w:left="4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Tota</w:t>
            </w:r>
            <w:r>
              <w:rPr>
                <w:rFonts w:ascii="Arial"/>
                <w:b/>
                <w:spacing w:val="-27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l</w:t>
            </w:r>
            <w:r>
              <w:rPr>
                <w:rFonts w:ascii="Arial"/>
                <w:b/>
                <w:spacing w:val="-5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general</w:t>
            </w:r>
          </w:p>
        </w:tc>
        <w:tc>
          <w:tcPr>
            <w:tcW w:w="1393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6"/>
              <w:ind w:left="5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80,809</w:t>
            </w:r>
          </w:p>
        </w:tc>
        <w:tc>
          <w:tcPr>
            <w:tcW w:w="1398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6"/>
              <w:ind w:left="3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336,255</w:t>
            </w:r>
          </w:p>
        </w:tc>
        <w:tc>
          <w:tcPr>
            <w:tcW w:w="1282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6"/>
              <w:ind w:left="4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1,262</w:t>
            </w:r>
          </w:p>
        </w:tc>
        <w:tc>
          <w:tcPr>
            <w:tcW w:w="1207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6"/>
              <w:ind w:left="4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79,018</w:t>
            </w:r>
          </w:p>
        </w:tc>
        <w:tc>
          <w:tcPr>
            <w:tcW w:w="1260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6"/>
              <w:ind w:left="2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22,566</w:t>
            </w:r>
          </w:p>
        </w:tc>
        <w:tc>
          <w:tcPr>
            <w:tcW w:w="1114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6"/>
              <w:ind w:left="4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519,910</w:t>
            </w:r>
          </w:p>
        </w:tc>
      </w:tr>
    </w:tbl>
    <w:p>
      <w:pPr>
        <w:spacing w:before="1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2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2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ind w:left="278" w:right="1071"/>
        <w:jc w:val="both"/>
      </w:pPr>
      <w:r>
        <w:rPr/>
        <w:t>Para el período analizado, el total de estudiantes atendidos durante este período fue de 519,910. En el</w:t>
      </w:r>
      <w:r>
        <w:rPr>
          <w:spacing w:val="1"/>
        </w:rPr>
        <w:t> </w:t>
      </w:r>
      <w:r>
        <w:rPr/>
        <w:t>2017 se tuvo una población estudiantil total de 105,570. El 2018, un incremento del total de la población</w:t>
      </w:r>
      <w:r>
        <w:rPr>
          <w:spacing w:val="1"/>
        </w:rPr>
        <w:t> </w:t>
      </w:r>
      <w:r>
        <w:rPr/>
        <w:t>estudiantil reportando 106,375. En el 2019, registraron 103,152. El 2020, reportó una drástica caída con</w:t>
      </w:r>
      <w:r>
        <w:rPr>
          <w:spacing w:val="1"/>
        </w:rPr>
        <w:t> </w:t>
      </w:r>
      <w:r>
        <w:rPr/>
        <w:t>un</w:t>
      </w:r>
      <w:r>
        <w:rPr>
          <w:spacing w:val="-2"/>
        </w:rPr>
        <w:t> </w:t>
      </w:r>
      <w:r>
        <w:rPr/>
        <w:t>total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102,262</w:t>
      </w:r>
      <w:r>
        <w:rPr>
          <w:spacing w:val="-2"/>
        </w:rPr>
        <w:t> </w:t>
      </w:r>
      <w:r>
        <w:rPr/>
        <w:t>alumnos.</w:t>
      </w:r>
      <w:r>
        <w:rPr>
          <w:spacing w:val="-4"/>
        </w:rPr>
        <w:t> </w:t>
      </w:r>
      <w:r>
        <w:rPr/>
        <w:t>Mientras</w:t>
      </w:r>
      <w:r>
        <w:rPr>
          <w:spacing w:val="-3"/>
        </w:rPr>
        <w:t> </w:t>
      </w:r>
      <w:r>
        <w:rPr/>
        <w:t>que</w:t>
      </w:r>
      <w:r>
        <w:rPr>
          <w:spacing w:val="3"/>
        </w:rPr>
        <w:t> </w:t>
      </w:r>
      <w:r>
        <w:rPr/>
        <w:t>el</w:t>
      </w:r>
      <w:r>
        <w:rPr>
          <w:spacing w:val="-3"/>
        </w:rPr>
        <w:t> </w:t>
      </w:r>
      <w:r>
        <w:rPr/>
        <w:t>2021, registró</w:t>
      </w:r>
      <w:r>
        <w:rPr>
          <w:spacing w:val="-2"/>
        </w:rPr>
        <w:t> </w:t>
      </w:r>
      <w:r>
        <w:rPr/>
        <w:t>una cifra de</w:t>
      </w:r>
      <w:r>
        <w:rPr>
          <w:spacing w:val="-3"/>
        </w:rPr>
        <w:t> </w:t>
      </w:r>
      <w:r>
        <w:rPr/>
        <w:t>102,551.</w:t>
      </w:r>
    </w:p>
    <w:p>
      <w:pPr>
        <w:pStyle w:val="BodyText"/>
        <w:rPr>
          <w:sz w:val="20"/>
        </w:rPr>
      </w:pPr>
    </w:p>
    <w:p>
      <w:pPr>
        <w:pStyle w:val="BodyText"/>
        <w:ind w:left="278" w:right="1076"/>
        <w:jc w:val="both"/>
      </w:pPr>
      <w:r>
        <w:rPr/>
        <w:t>Como se muestra, el nivel que presentó más crecimiento fue la Primaria representando el 65% de la</w:t>
      </w:r>
      <w:r>
        <w:rPr>
          <w:spacing w:val="1"/>
        </w:rPr>
        <w:t> </w:t>
      </w:r>
      <w:r>
        <w:rPr/>
        <w:t>población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este</w:t>
      </w:r>
      <w:r>
        <w:rPr>
          <w:spacing w:val="-3"/>
        </w:rPr>
        <w:t> </w:t>
      </w:r>
      <w:r>
        <w:rPr/>
        <w:t>período.</w:t>
      </w:r>
      <w:r>
        <w:rPr>
          <w:spacing w:val="-4"/>
        </w:rPr>
        <w:t> </w:t>
      </w:r>
      <w:r>
        <w:rPr/>
        <w:t>Seguido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los</w:t>
      </w:r>
      <w:r>
        <w:rPr>
          <w:spacing w:val="-6"/>
        </w:rPr>
        <w:t> </w:t>
      </w:r>
      <w:r>
        <w:rPr/>
        <w:t>niveles</w:t>
      </w:r>
      <w:r>
        <w:rPr>
          <w:spacing w:val="-5"/>
        </w:rPr>
        <w:t> </w:t>
      </w:r>
      <w:r>
        <w:rPr/>
        <w:t>preprimaria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básicas</w:t>
      </w:r>
      <w:r>
        <w:rPr>
          <w:spacing w:val="-6"/>
        </w:rPr>
        <w:t> </w:t>
      </w:r>
      <w:r>
        <w:rPr/>
        <w:t>con</w:t>
      </w:r>
      <w:r>
        <w:rPr>
          <w:spacing w:val="-4"/>
        </w:rPr>
        <w:t> </w:t>
      </w:r>
      <w:r>
        <w:rPr/>
        <w:t>un</w:t>
      </w:r>
      <w:r>
        <w:rPr>
          <w:spacing w:val="-6"/>
        </w:rPr>
        <w:t> </w:t>
      </w:r>
      <w:r>
        <w:rPr/>
        <w:t>15%</w:t>
      </w:r>
      <w:r>
        <w:rPr>
          <w:spacing w:val="-5"/>
        </w:rPr>
        <w:t> </w:t>
      </w:r>
      <w:r>
        <w:rPr/>
        <w:t>cada</w:t>
      </w:r>
      <w:r>
        <w:rPr>
          <w:spacing w:val="-6"/>
        </w:rPr>
        <w:t> </w:t>
      </w:r>
      <w:r>
        <w:rPr/>
        <w:t>uno.</w:t>
      </w:r>
      <w:r>
        <w:rPr>
          <w:spacing w:val="-4"/>
        </w:rPr>
        <w:t> </w:t>
      </w:r>
      <w:r>
        <w:rPr/>
        <w:t>Situando</w:t>
      </w:r>
      <w:r>
        <w:rPr>
          <w:spacing w:val="-48"/>
        </w:rPr>
        <w:t> </w:t>
      </w:r>
      <w:r>
        <w:rPr/>
        <w:t>en</w:t>
      </w:r>
      <w:r>
        <w:rPr>
          <w:spacing w:val="-1"/>
        </w:rPr>
        <w:t> </w:t>
      </w:r>
      <w:r>
        <w:rPr/>
        <w:t>el penúltimo sitio</w:t>
      </w:r>
      <w:r>
        <w:rPr>
          <w:spacing w:val="1"/>
        </w:rPr>
        <w:t> </w:t>
      </w:r>
      <w:r>
        <w:rPr/>
        <w:t>al</w:t>
      </w:r>
      <w:r>
        <w:rPr>
          <w:spacing w:val="-4"/>
        </w:rPr>
        <w:t> </w:t>
      </w:r>
      <w:r>
        <w:rPr/>
        <w:t>diversificado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9%.</w:t>
      </w:r>
      <w:r>
        <w:rPr>
          <w:spacing w:val="-1"/>
        </w:rPr>
        <w:t> </w:t>
      </w:r>
      <w:r>
        <w:rPr/>
        <w:t>Y finalizando,</w:t>
      </w:r>
      <w:r>
        <w:rPr>
          <w:spacing w:val="-1"/>
        </w:rPr>
        <w:t> </w:t>
      </w:r>
      <w:r>
        <w:rPr/>
        <w:t>con</w:t>
      </w:r>
      <w:r>
        <w:rPr>
          <w:spacing w:val="-4"/>
        </w:rPr>
        <w:t> </w:t>
      </w:r>
      <w:r>
        <w:rPr/>
        <w:t>la Primaria</w:t>
      </w:r>
      <w:r>
        <w:rPr>
          <w:spacing w:val="-4"/>
        </w:rPr>
        <w:t> </w:t>
      </w:r>
      <w:r>
        <w:rPr/>
        <w:t>para Adultos.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pict>
          <v:rect style="position:absolute;margin-left:563.880005pt;margin-top:12.646846pt;width:25.44pt;height:1.4399pt;mso-position-horizontal-relative:page;mso-position-vertical-relative:paragraph;z-index:-1535948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191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83904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50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52" w:after="0"/>
        <w:ind w:left="998" w:right="0" w:hanging="721"/>
        <w:jc w:val="left"/>
      </w:pPr>
      <w:bookmarkStart w:name="_bookmark242" w:id="417"/>
      <w:bookmarkEnd w:id="417"/>
      <w:r>
        <w:rPr>
          <w:b w:val="0"/>
        </w:rPr>
      </w:r>
      <w:bookmarkStart w:name="_bookmark242" w:id="418"/>
      <w:bookmarkEnd w:id="418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Cobertura:</w:t>
      </w:r>
      <w:r>
        <w:rPr>
          <w:spacing w:val="-4"/>
        </w:rPr>
        <w:t> </w:t>
      </w:r>
      <w:r>
        <w:rPr/>
        <w:t>Tasa</w:t>
      </w:r>
      <w:r>
        <w:rPr>
          <w:spacing w:val="-3"/>
        </w:rPr>
        <w:t> </w:t>
      </w:r>
      <w:r>
        <w:rPr/>
        <w:t>Neta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Cobertura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1"/>
        <w:jc w:val="both"/>
      </w:pPr>
      <w:r>
        <w:rPr/>
        <w:t>La cobertura educativa medida a través del (TNE) para Totonicapán durante el período del 2017 al 2020,</w:t>
      </w:r>
      <w:r>
        <w:rPr>
          <w:spacing w:val="1"/>
        </w:rPr>
        <w:t> </w:t>
      </w:r>
      <w:r>
        <w:rPr/>
        <w:t>evidencia un aumento promedio considerable en la cobertura de nivel primaria (85%), en comparación</w:t>
      </w:r>
      <w:r>
        <w:rPr>
          <w:spacing w:val="1"/>
        </w:rPr>
        <w:t> </w:t>
      </w:r>
      <w:r>
        <w:rPr/>
        <w:t>con la TNE nacional promedio del período (2017-2019) que posee el 77.50%. Como sucede con los otros</w:t>
      </w:r>
      <w:r>
        <w:rPr>
          <w:spacing w:val="1"/>
        </w:rPr>
        <w:t> </w:t>
      </w:r>
      <w:r>
        <w:rPr/>
        <w:t>departamentos, presenta cantidades reducidas en la participación de los jóvenes en el ciclo básico y</w:t>
      </w:r>
      <w:r>
        <w:rPr>
          <w:spacing w:val="1"/>
        </w:rPr>
        <w:t> </w:t>
      </w:r>
      <w:r>
        <w:rPr/>
        <w:t>diversificado.</w:t>
      </w:r>
      <w:r>
        <w:rPr>
          <w:spacing w:val="-2"/>
        </w:rPr>
        <w:t> </w:t>
      </w:r>
      <w:r>
        <w:rPr/>
        <w:t>En la</w:t>
      </w:r>
      <w:r>
        <w:rPr>
          <w:spacing w:val="-4"/>
        </w:rPr>
        <w:t> </w:t>
      </w:r>
      <w:r>
        <w:rPr/>
        <w:t>siguiente</w:t>
      </w:r>
      <w:r>
        <w:rPr>
          <w:spacing w:val="1"/>
        </w:rPr>
        <w:t> </w:t>
      </w:r>
      <w:r>
        <w:rPr/>
        <w:t>tabla, se</w:t>
      </w:r>
      <w:r>
        <w:rPr>
          <w:spacing w:val="-3"/>
        </w:rPr>
        <w:t> </w:t>
      </w:r>
      <w:r>
        <w:rPr/>
        <w:t>observan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cifras</w:t>
      </w:r>
      <w:r>
        <w:rPr>
          <w:spacing w:val="-1"/>
        </w:rPr>
        <w:t> </w:t>
      </w:r>
      <w:r>
        <w:rPr/>
        <w:t>del TNE</w:t>
      </w:r>
      <w:r>
        <w:rPr>
          <w:spacing w:val="-4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período</w:t>
      </w:r>
      <w:r>
        <w:rPr>
          <w:spacing w:val="-2"/>
        </w:rPr>
        <w:t> </w:t>
      </w:r>
      <w:r>
        <w:rPr/>
        <w:t>2017-2020.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278" w:right="1075"/>
        <w:jc w:val="both"/>
      </w:pPr>
      <w:r>
        <w:rPr/>
        <w:t>Tabla</w:t>
      </w:r>
      <w:r>
        <w:rPr>
          <w:spacing w:val="1"/>
        </w:rPr>
        <w:t> </w:t>
      </w:r>
      <w:r>
        <w:rPr/>
        <w:t>Nº.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Cobertura: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Bruta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Académico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47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de Totonicapán</w:t>
      </w:r>
    </w:p>
    <w:p>
      <w:pPr>
        <w:pStyle w:val="BodyText"/>
        <w:ind w:left="276"/>
        <w:rPr>
          <w:sz w:val="20"/>
        </w:rPr>
      </w:pPr>
      <w:r>
        <w:rPr>
          <w:sz w:val="20"/>
        </w:rPr>
        <w:pict>
          <v:group style="width:441.6pt;height:239.75pt;mso-position-horizontal-relative:char;mso-position-vertical-relative:line" coordorigin="0,0" coordsize="8832,4795">
            <v:shape style="position:absolute;left:17;top:15;width:8801;height:1919" coordorigin="17,16" coordsize="8801,1919" path="m8817,16l17,16,17,959,17,975,17,1438,17,1454,17,1934,1128,1934,1128,1454,1128,1438,1128,975,7049,975,8817,16xe" filled="true" fillcolor="#f1f1f1" stroked="false">
              <v:path arrowok="t"/>
              <v:fill type="solid"/>
            </v:shape>
            <v:shape style="position:absolute;left:1111;top:1437;width:5085;height:497" coordorigin="1111,1438" coordsize="5085,497" path="m6196,1438l1111,1438,1111,1934,5280,1934,6196,1438xe" filled="true" fillcolor="#daedf3" stroked="false">
              <v:path arrowok="t"/>
              <v:fill type="solid"/>
            </v:shape>
            <v:shape style="position:absolute;left:17;top:1916;width:1111;height:976" coordorigin="17,1917" coordsize="1111,976" path="m1128,1917l17,1917,17,2397,17,2413,17,2892,1128,2892,1128,2413,1128,2397,1128,1917xe" filled="true" fillcolor="#f1f1f1" stroked="false">
              <v:path arrowok="t"/>
              <v:fill type="solid"/>
            </v:shape>
            <v:shape style="position:absolute;left:1111;top:2396;width:3317;height:496" coordorigin="1111,2397" coordsize="3317,496" path="m4428,2397l1111,2397,1111,2892,3515,2892,4428,2397xe" filled="true" fillcolor="#daedf3" stroked="false">
              <v:path arrowok="t"/>
              <v:fill type="solid"/>
            </v:shape>
            <v:shape style="position:absolute;left:17;top:2875;width:1111;height:976" coordorigin="17,2876" coordsize="1111,976" path="m1128,2876l17,2876,17,3355,17,3373,17,3852,1128,3852,1128,3373,1128,3355,1128,2876xe" filled="true" fillcolor="#f1f1f1" stroked="false">
              <v:path arrowok="t"/>
              <v:fill type="solid"/>
            </v:shape>
            <v:shape style="position:absolute;left:1111;top:3354;width:1551;height:497" coordorigin="1111,3355" coordsize="1551,497" path="m2662,3355l1111,3355,1111,3852,1746,3852,2662,3355xe" filled="true" fillcolor="#daedf3" stroked="false">
              <v:path arrowok="t"/>
              <v:fill type="solid"/>
            </v:shape>
            <v:shape style="position:absolute;left:17;top:3835;width:1111;height:955" coordorigin="17,3835" coordsize="1111,955" path="m1128,3835l17,3835,17,4314,17,4331,17,4789,863,4331,1128,4187,1128,3835xe" filled="true" fillcolor="#f1f1f1" stroked="false">
              <v:path arrowok="t"/>
              <v:fill type="solid"/>
            </v:shape>
            <v:shape style="position:absolute;left:8;top:4;width:8823;height:4790" coordorigin="8,5" coordsize="8823,4790" path="m8,5l8,4794m1120,496l1120,4191m3959,496l3959,2651m5292,496l5292,1928m6404,496l6404,1325m7515,496l7515,722m17,8l8831,8m17,487l7948,487m17,966l7065,966m1128,1447l6180,1447m17,1925l5297,1925m1128,2404l4414,2404m17,2885l3528,2885m1128,3364l2645,3364m17,3843l1762,3843e" filled="false" stroked="true" strokeweight=".826554pt" strokecolor="#000000">
              <v:path arrowok="t"/>
              <v:stroke dashstyle="solid"/>
            </v:shape>
            <v:shape style="position:absolute;left:2651;top:118;width:3585;height:266" type="#_x0000_t202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3"/>
                      </w:rPr>
                    </w:pPr>
                    <w:r>
                      <w:rPr>
                        <w:rFonts w:ascii="Arial" w:hAnsi="Arial"/>
                        <w:b/>
                        <w:sz w:val="23"/>
                      </w:rPr>
                      <w:t>Departamento</w:t>
                    </w:r>
                    <w:r>
                      <w:rPr>
                        <w:rFonts w:ascii="Arial" w:hAnsi="Arial"/>
                        <w:b/>
                        <w:spacing w:val="61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3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84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3"/>
                      </w:rPr>
                      <w:t>Totonica</w:t>
                    </w:r>
                    <w:r>
                      <w:rPr>
                        <w:rFonts w:ascii="Arial" w:hAnsi="Arial"/>
                        <w:b/>
                        <w:spacing w:val="-22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11"/>
                        <w:sz w:val="23"/>
                      </w:rPr>
                      <w:t>pán</w:t>
                    </w:r>
                  </w:p>
                </w:txbxContent>
              </v:textbox>
              <w10:wrap type="none"/>
            </v:shape>
            <v:shape style="position:absolute;left:343;top:605;width:470;height:232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0" w:firstLine="0"/>
                      <w:jc w:val="left"/>
                      <w:rPr>
                        <w:rFonts w:ascii="Verdana" w:hAnsi="Verdana"/>
                        <w:sz w:val="19"/>
                      </w:rPr>
                    </w:pPr>
                    <w:r>
                      <w:rPr>
                        <w:rFonts w:ascii="Verdana" w:hAnsi="Verdana"/>
                        <w:sz w:val="19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1351;top:624;width:2362;height:21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19"/>
                      </w:rPr>
                      <w:t>Indica</w:t>
                    </w:r>
                    <w:r>
                      <w:rPr>
                        <w:rFonts w:ascii="Arial"/>
                        <w:b/>
                        <w:spacing w:val="-15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9"/>
                      </w:rPr>
                      <w:t>dores</w:t>
                    </w:r>
                    <w:r>
                      <w:rPr>
                        <w:rFonts w:ascii="Arial"/>
                        <w:b/>
                        <w:spacing w:val="6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9"/>
                      </w:rPr>
                      <w:t>de</w:t>
                    </w:r>
                    <w:r>
                      <w:rPr>
                        <w:rFonts w:ascii="Arial"/>
                        <w:b/>
                        <w:spacing w:val="26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9"/>
                      </w:rPr>
                      <w:t>Cobertura</w:t>
                    </w:r>
                  </w:p>
                </w:txbxContent>
              </v:textbox>
              <w10:wrap type="none"/>
            </v:shape>
            <v:shape style="position:absolute;left:4122;top:624;width:2093;height:211" type="#_x0000_t202" filled="false" stroked="false">
              <v:textbox inset="0,0,0,0">
                <w:txbxContent>
                  <w:p>
                    <w:pPr>
                      <w:tabs>
                        <w:tab w:pos="1350" w:val="left" w:leader="none"/>
                      </w:tabs>
                      <w:spacing w:line="21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95"/>
                        <w:sz w:val="19"/>
                      </w:rPr>
                      <w:t>Preprima</w:t>
                    </w:r>
                    <w:r>
                      <w:rPr>
                        <w:rFonts w:ascii="Arial"/>
                        <w:b/>
                        <w:spacing w:val="-31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9"/>
                      </w:rPr>
                      <w:t>ria</w:t>
                      <w:tab/>
                    </w:r>
                    <w:r>
                      <w:rPr>
                        <w:rFonts w:ascii="Arial"/>
                        <w:b/>
                        <w:w w:val="90"/>
                        <w:sz w:val="19"/>
                      </w:rPr>
                      <w:t>Prima</w:t>
                    </w:r>
                    <w:r>
                      <w:rPr>
                        <w:rFonts w:ascii="Arial"/>
                        <w:b/>
                        <w:spacing w:val="-23"/>
                        <w:w w:val="90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90"/>
                        <w:sz w:val="19"/>
                      </w:rPr>
                      <w:t>ria</w:t>
                    </w:r>
                  </w:p>
                </w:txbxContent>
              </v:textbox>
              <w10:wrap type="none"/>
            </v:shape>
            <v:shape style="position:absolute;left:6653;top:624;width:617;height:21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w w:val="90"/>
                        <w:sz w:val="19"/>
                      </w:rPr>
                      <w:t>Bá</w:t>
                    </w:r>
                    <w:r>
                      <w:rPr>
                        <w:rFonts w:ascii="Arial" w:hAnsi="Arial"/>
                        <w:b/>
                        <w:spacing w:val="-24"/>
                        <w:w w:val="90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19"/>
                      </w:rPr>
                      <w:t>sico</w:t>
                    </w:r>
                  </w:p>
                </w:txbxContent>
              </v:textbox>
              <w10:wrap type="none"/>
            </v:shape>
            <v:shape style="position:absolute;left:1625;top:1117;width:1812;height:17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1D7CB3"/>
                        <w:w w:val="95"/>
                        <w:sz w:val="15"/>
                      </w:rPr>
                      <w:t>Ta</w:t>
                    </w:r>
                    <w:r>
                      <w:rPr>
                        <w:rFonts w:ascii="Arial"/>
                        <w:b/>
                        <w:color w:val="1D7CB3"/>
                        <w:spacing w:val="-21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w w:val="95"/>
                        <w:sz w:val="15"/>
                      </w:rPr>
                      <w:t>sa</w:t>
                    </w:r>
                    <w:r>
                      <w:rPr>
                        <w:rFonts w:ascii="Arial"/>
                        <w:b/>
                        <w:color w:val="1D7CB3"/>
                        <w:spacing w:val="34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w w:val="95"/>
                        <w:sz w:val="15"/>
                      </w:rPr>
                      <w:t>Bruta</w:t>
                    </w:r>
                    <w:r>
                      <w:rPr>
                        <w:rFonts w:ascii="Arial"/>
                        <w:b/>
                        <w:color w:val="1D7CB3"/>
                        <w:spacing w:val="33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w w:val="95"/>
                        <w:sz w:val="15"/>
                      </w:rPr>
                      <w:t>de</w:t>
                    </w:r>
                    <w:r>
                      <w:rPr>
                        <w:rFonts w:ascii="Arial"/>
                        <w:b/>
                        <w:color w:val="1D7CB3"/>
                        <w:spacing w:val="28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w w:val="95"/>
                        <w:sz w:val="15"/>
                      </w:rPr>
                      <w:t>Cobertura</w:t>
                    </w:r>
                  </w:p>
                </w:txbxContent>
              </v:textbox>
              <w10:wrap type="none"/>
            </v:shape>
            <v:shape style="position:absolute;left:4361;top:1100;width:545;height:17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color w:val="333333"/>
                        <w:w w:val="105"/>
                        <w:sz w:val="15"/>
                      </w:rPr>
                      <w:t>70,01%</w:t>
                    </w:r>
                  </w:p>
                </w:txbxContent>
              </v:textbox>
              <w10:wrap type="none"/>
            </v:shape>
            <v:shape style="position:absolute;left:5541;top:1100;width:631;height:17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color w:val="333333"/>
                        <w:w w:val="105"/>
                        <w:sz w:val="15"/>
                      </w:rPr>
                      <w:t>101,06%</w:t>
                    </w:r>
                  </w:p>
                </w:txbxContent>
              </v:textbox>
              <w10:wrap type="none"/>
            </v:shape>
            <v:shape style="position:absolute;left:359;top:1325;width:436;height:232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0" w:firstLine="0"/>
                      <w:jc w:val="left"/>
                      <w:rPr>
                        <w:rFonts w:ascii="Verdana"/>
                        <w:sz w:val="19"/>
                      </w:rPr>
                    </w:pPr>
                    <w:r>
                      <w:rPr>
                        <w:rFonts w:ascii="Verdana"/>
                        <w:w w:val="85"/>
                        <w:sz w:val="19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1625;top:1597;width:1794;height:17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1D7CB3"/>
                        <w:sz w:val="15"/>
                      </w:rPr>
                      <w:t>Ta</w:t>
                    </w:r>
                    <w:r>
                      <w:rPr>
                        <w:rFonts w:ascii="Arial"/>
                        <w:b/>
                        <w:color w:val="1D7CB3"/>
                        <w:spacing w:val="-25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z w:val="15"/>
                      </w:rPr>
                      <w:t>sa</w:t>
                    </w:r>
                    <w:r>
                      <w:rPr>
                        <w:rFonts w:ascii="Arial"/>
                        <w:b/>
                        <w:color w:val="1D7CB3"/>
                        <w:spacing w:val="23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z w:val="15"/>
                      </w:rPr>
                      <w:t>Neta</w:t>
                    </w:r>
                    <w:r>
                      <w:rPr>
                        <w:rFonts w:ascii="Arial"/>
                        <w:b/>
                        <w:color w:val="1D7CB3"/>
                        <w:spacing w:val="22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z w:val="15"/>
                      </w:rPr>
                      <w:t>de</w:t>
                    </w:r>
                    <w:r>
                      <w:rPr>
                        <w:rFonts w:ascii="Arial"/>
                        <w:b/>
                        <w:color w:val="1D7CB3"/>
                        <w:spacing w:val="19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z w:val="15"/>
                      </w:rPr>
                      <w:t>Cobertura</w:t>
                    </w:r>
                  </w:p>
                </w:txbxContent>
              </v:textbox>
              <w10:wrap type="none"/>
            </v:shape>
            <v:shape style="position:absolute;left:4361;top:1579;width:545;height:17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color w:val="333333"/>
                        <w:w w:val="105"/>
                        <w:sz w:val="15"/>
                      </w:rPr>
                      <w:t>53,97%</w:t>
                    </w:r>
                  </w:p>
                </w:txbxContent>
              </v:textbox>
              <w10:wrap type="none"/>
            </v:shape>
            <v:shape style="position:absolute;left:5592;top:1579;width:236;height:17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color w:val="333333"/>
                        <w:w w:val="105"/>
                        <w:sz w:val="15"/>
                      </w:rPr>
                      <w:t>86,</w:t>
                    </w:r>
                  </w:p>
                </w:txbxContent>
              </v:textbox>
              <w10:wrap type="none"/>
            </v:shape>
            <v:shape style="position:absolute;left:1625;top:2076;width:1812;height:17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1D7CB3"/>
                        <w:w w:val="95"/>
                        <w:sz w:val="15"/>
                      </w:rPr>
                      <w:t>Ta</w:t>
                    </w:r>
                    <w:r>
                      <w:rPr>
                        <w:rFonts w:ascii="Arial"/>
                        <w:b/>
                        <w:color w:val="1D7CB3"/>
                        <w:spacing w:val="-21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w w:val="95"/>
                        <w:sz w:val="15"/>
                      </w:rPr>
                      <w:t>sa</w:t>
                    </w:r>
                    <w:r>
                      <w:rPr>
                        <w:rFonts w:ascii="Arial"/>
                        <w:b/>
                        <w:color w:val="1D7CB3"/>
                        <w:spacing w:val="34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w w:val="95"/>
                        <w:sz w:val="15"/>
                      </w:rPr>
                      <w:t>Bruta</w:t>
                    </w:r>
                    <w:r>
                      <w:rPr>
                        <w:rFonts w:ascii="Arial"/>
                        <w:b/>
                        <w:color w:val="1D7CB3"/>
                        <w:spacing w:val="33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w w:val="95"/>
                        <w:sz w:val="15"/>
                      </w:rPr>
                      <w:t>de</w:t>
                    </w:r>
                    <w:r>
                      <w:rPr>
                        <w:rFonts w:ascii="Arial"/>
                        <w:b/>
                        <w:color w:val="1D7CB3"/>
                        <w:spacing w:val="28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w w:val="95"/>
                        <w:sz w:val="15"/>
                      </w:rPr>
                      <w:t>Cobertura</w:t>
                    </w:r>
                  </w:p>
                </w:txbxContent>
              </v:textbox>
              <w10:wrap type="none"/>
            </v:shape>
            <v:shape style="position:absolute;left:4361;top:2059;width:545;height:17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color w:val="333333"/>
                        <w:w w:val="105"/>
                        <w:sz w:val="15"/>
                      </w:rPr>
                      <w:t>72,70%</w:t>
                    </w:r>
                  </w:p>
                </w:txbxContent>
              </v:textbox>
              <w10:wrap type="none"/>
            </v:shape>
            <v:shape style="position:absolute;left:359;top:2284;width:436;height:232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0" w:firstLine="0"/>
                      <w:jc w:val="left"/>
                      <w:rPr>
                        <w:rFonts w:ascii="Verdana"/>
                        <w:sz w:val="19"/>
                      </w:rPr>
                    </w:pPr>
                    <w:r>
                      <w:rPr>
                        <w:rFonts w:ascii="Verdana"/>
                        <w:w w:val="85"/>
                        <w:sz w:val="19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1625;top:2555;width:1794;height:65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1D7CB3"/>
                        <w:sz w:val="15"/>
                      </w:rPr>
                      <w:t>Ta</w:t>
                    </w:r>
                    <w:r>
                      <w:rPr>
                        <w:rFonts w:ascii="Arial"/>
                        <w:b/>
                        <w:color w:val="1D7CB3"/>
                        <w:spacing w:val="-25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z w:val="15"/>
                      </w:rPr>
                      <w:t>sa</w:t>
                    </w:r>
                    <w:r>
                      <w:rPr>
                        <w:rFonts w:ascii="Arial"/>
                        <w:b/>
                        <w:color w:val="1D7CB3"/>
                        <w:spacing w:val="23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z w:val="15"/>
                      </w:rPr>
                      <w:t>Neta</w:t>
                    </w:r>
                    <w:r>
                      <w:rPr>
                        <w:rFonts w:ascii="Arial"/>
                        <w:b/>
                        <w:color w:val="1D7CB3"/>
                        <w:spacing w:val="22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z w:val="15"/>
                      </w:rPr>
                      <w:t>de</w:t>
                    </w:r>
                    <w:r>
                      <w:rPr>
                        <w:rFonts w:ascii="Arial"/>
                        <w:b/>
                        <w:color w:val="1D7CB3"/>
                        <w:spacing w:val="19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z w:val="15"/>
                      </w:rPr>
                      <w:t>Cobertura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6"/>
                      </w:rPr>
                    </w:pPr>
                  </w:p>
                  <w:p>
                    <w:pPr>
                      <w:spacing w:before="124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1D7CB3"/>
                        <w:spacing w:val="-2"/>
                        <w:sz w:val="15"/>
                      </w:rPr>
                      <w:t>Ta</w:t>
                    </w:r>
                    <w:r>
                      <w:rPr>
                        <w:rFonts w:ascii="Arial"/>
                        <w:b/>
                        <w:color w:val="1D7CB3"/>
                        <w:spacing w:val="-26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2"/>
                        <w:sz w:val="15"/>
                      </w:rPr>
                      <w:t>sa</w:t>
                    </w:r>
                    <w:r>
                      <w:rPr>
                        <w:rFonts w:ascii="Arial"/>
                        <w:b/>
                        <w:color w:val="1D7CB3"/>
                        <w:spacing w:val="18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2"/>
                        <w:sz w:val="15"/>
                      </w:rPr>
                      <w:t>Bruta</w:t>
                    </w:r>
                    <w:r>
                      <w:rPr>
                        <w:rFonts w:ascii="Arial"/>
                        <w:b/>
                        <w:color w:val="1D7CB3"/>
                        <w:spacing w:val="17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1"/>
                        <w:sz w:val="15"/>
                      </w:rPr>
                      <w:t>de</w:t>
                    </w:r>
                    <w:r>
                      <w:rPr>
                        <w:rFonts w:ascii="Arial"/>
                        <w:b/>
                        <w:color w:val="1D7CB3"/>
                        <w:spacing w:val="14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spacing w:val="-1"/>
                        <w:sz w:val="15"/>
                      </w:rPr>
                      <w:t>Cobe</w:t>
                    </w:r>
                  </w:p>
                </w:txbxContent>
              </v:textbox>
              <w10:wrap type="none"/>
            </v:shape>
            <v:shape style="position:absolute;left:359;top:3243;width:436;height:232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0" w:firstLine="0"/>
                      <w:jc w:val="left"/>
                      <w:rPr>
                        <w:rFonts w:ascii="Verdana"/>
                        <w:sz w:val="19"/>
                      </w:rPr>
                    </w:pPr>
                    <w:r>
                      <w:rPr>
                        <w:rFonts w:ascii="Verdana"/>
                        <w:w w:val="85"/>
                        <w:sz w:val="19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1625;top:3514;width:602;height:17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1D7CB3"/>
                        <w:spacing w:val="-1"/>
                        <w:w w:val="95"/>
                        <w:sz w:val="15"/>
                      </w:rPr>
                      <w:t>Ta</w:t>
                    </w:r>
                    <w:r>
                      <w:rPr>
                        <w:rFonts w:ascii="Arial"/>
                        <w:b/>
                        <w:color w:val="1D7CB3"/>
                        <w:spacing w:val="-24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w w:val="95"/>
                        <w:sz w:val="15"/>
                      </w:rPr>
                      <w:t>sa</w:t>
                    </w:r>
                    <w:r>
                      <w:rPr>
                        <w:rFonts w:ascii="Arial"/>
                        <w:b/>
                        <w:color w:val="1D7CB3"/>
                        <w:spacing w:val="19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1D7CB3"/>
                        <w:w w:val="95"/>
                        <w:sz w:val="15"/>
                      </w:rPr>
                      <w:t>Ne</w:t>
                    </w:r>
                  </w:p>
                </w:txbxContent>
              </v:textbox>
              <w10:wrap type="none"/>
            </v:shape>
            <v:shape style="position:absolute;left:359;top:4201;width:436;height:232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0" w:firstLine="0"/>
                      <w:jc w:val="left"/>
                      <w:rPr>
                        <w:rFonts w:ascii="Verdana"/>
                        <w:sz w:val="19"/>
                      </w:rPr>
                    </w:pPr>
                    <w:r>
                      <w:rPr>
                        <w:rFonts w:ascii="Verdana"/>
                        <w:w w:val="85"/>
                        <w:sz w:val="19"/>
                      </w:rPr>
                      <w:t>2020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0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2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2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3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278" w:right="1075"/>
        <w:jc w:val="both"/>
      </w:pPr>
      <w:r>
        <w:rPr/>
        <w:t>A nivel Preprimaria, muestra una reducción en la cobertura durante el periodo 2017‐2020, con una TNE</w:t>
      </w:r>
      <w:r>
        <w:rPr>
          <w:spacing w:val="1"/>
        </w:rPr>
        <w:t> </w:t>
      </w:r>
      <w:r>
        <w:rPr/>
        <w:t>de (53.97%), (57.07%), (54.37%) y (53.34%) respectivamente durante los años indicados. Lo cual, significa</w:t>
      </w:r>
      <w:r>
        <w:rPr>
          <w:spacing w:val="-47"/>
        </w:rPr>
        <w:t> </w:t>
      </w:r>
      <w:r>
        <w:rPr/>
        <w:t>que uno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cada dos niños</w:t>
      </w:r>
      <w:r>
        <w:rPr>
          <w:spacing w:val="-5"/>
        </w:rPr>
        <w:t> </w:t>
      </w:r>
      <w:r>
        <w:rPr/>
        <w:t>asiste al</w:t>
      </w:r>
      <w:r>
        <w:rPr>
          <w:spacing w:val="-3"/>
        </w:rPr>
        <w:t> </w:t>
      </w:r>
      <w:r>
        <w:rPr/>
        <w:t>nivel</w:t>
      </w:r>
      <w:r>
        <w:rPr>
          <w:spacing w:val="-3"/>
        </w:rPr>
        <w:t> </w:t>
      </w:r>
      <w:r>
        <w:rPr/>
        <w:t>preprimaria.</w:t>
      </w:r>
    </w:p>
    <w:p>
      <w:pPr>
        <w:pStyle w:val="BodyText"/>
        <w:spacing w:before="1"/>
      </w:pPr>
    </w:p>
    <w:p>
      <w:pPr>
        <w:pStyle w:val="BodyText"/>
        <w:ind w:left="278" w:right="1074"/>
        <w:jc w:val="both"/>
      </w:pPr>
      <w:r>
        <w:rPr/>
        <w:t>En primaria se registran mayores valores de cobertura, que van de (86.22%), (836.25%), (85.42%) y</w:t>
      </w:r>
      <w:r>
        <w:rPr>
          <w:spacing w:val="1"/>
        </w:rPr>
        <w:t> </w:t>
      </w:r>
      <w:r>
        <w:rPr/>
        <w:t>(85.27%), registrando el mayor dato durante el 2019. De acuerdo con el dato promedio de la TNE de</w:t>
      </w:r>
      <w:r>
        <w:rPr>
          <w:spacing w:val="1"/>
        </w:rPr>
        <w:t> </w:t>
      </w:r>
      <w:r>
        <w:rPr/>
        <w:t>Suchitepéquez (85%) durante el período en comparación con el promedio de la TNE Nacional, este</w:t>
      </w:r>
      <w:r>
        <w:rPr>
          <w:spacing w:val="1"/>
        </w:rPr>
        <w:t> </w:t>
      </w:r>
      <w:r>
        <w:rPr/>
        <w:t>departamento registró un valor por arriba con 11.5%. Es decir, nueve (9) de cada diez (10) alumnos asiste</w:t>
      </w:r>
      <w:r>
        <w:rPr>
          <w:spacing w:val="-47"/>
        </w:rPr>
        <w:t> </w:t>
      </w:r>
      <w:r>
        <w:rPr/>
        <w:t>al</w:t>
      </w:r>
      <w:r>
        <w:rPr>
          <w:spacing w:val="-1"/>
        </w:rPr>
        <w:t> </w:t>
      </w:r>
      <w:r>
        <w:rPr/>
        <w:t>nivel primario.</w:t>
      </w:r>
    </w:p>
    <w:p>
      <w:pPr>
        <w:pStyle w:val="BodyText"/>
        <w:rPr>
          <w:sz w:val="20"/>
        </w:rPr>
      </w:pPr>
    </w:p>
    <w:p>
      <w:pPr>
        <w:pStyle w:val="BodyText"/>
        <w:ind w:left="278" w:right="1073"/>
        <w:jc w:val="both"/>
      </w:pPr>
      <w:r>
        <w:rPr/>
        <w:t>Los valores en el Ciclo básico reportan niveles similares a la tendencia del (12%) por encima de la tasa</w:t>
      </w:r>
      <w:r>
        <w:rPr>
          <w:spacing w:val="1"/>
        </w:rPr>
        <w:t> </w:t>
      </w:r>
      <w:r>
        <w:rPr/>
        <w:t>promedio neta (TNE:34%). Para el período analizado las cantidades que van desde (34%), (35.60%),</w:t>
      </w:r>
      <w:r>
        <w:rPr>
          <w:spacing w:val="1"/>
        </w:rPr>
        <w:t> </w:t>
      </w:r>
      <w:r>
        <w:rPr/>
        <w:t>(34.66%)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(34.86%).</w:t>
      </w:r>
      <w:r>
        <w:rPr>
          <w:spacing w:val="-2"/>
        </w:rPr>
        <w:t> </w:t>
      </w:r>
      <w:r>
        <w:rPr/>
        <w:t>Esto,</w:t>
      </w:r>
      <w:r>
        <w:rPr>
          <w:spacing w:val="-5"/>
        </w:rPr>
        <w:t> </w:t>
      </w:r>
      <w:r>
        <w:rPr/>
        <w:t>quiere</w:t>
      </w:r>
      <w:r>
        <w:rPr>
          <w:spacing w:val="-1"/>
        </w:rPr>
        <w:t> </w:t>
      </w:r>
      <w:r>
        <w:rPr/>
        <w:t>decir</w:t>
      </w:r>
      <w:r>
        <w:rPr>
          <w:spacing w:val="-1"/>
        </w:rPr>
        <w:t> </w:t>
      </w:r>
      <w:r>
        <w:rPr/>
        <w:t>que una</w:t>
      </w:r>
      <w:r>
        <w:rPr>
          <w:spacing w:val="-1"/>
        </w:rPr>
        <w:t> </w:t>
      </w:r>
      <w:r>
        <w:rPr/>
        <w:t>tercera parte</w:t>
      </w:r>
      <w:r>
        <w:rPr>
          <w:spacing w:val="-1"/>
        </w:rPr>
        <w:t> </w:t>
      </w:r>
      <w:r>
        <w:rPr/>
        <w:t>asiste</w:t>
      </w:r>
      <w:r>
        <w:rPr>
          <w:spacing w:val="-3"/>
        </w:rPr>
        <w:t> </w:t>
      </w:r>
      <w:r>
        <w:rPr/>
        <w:t>al</w:t>
      </w:r>
      <w:r>
        <w:rPr>
          <w:spacing w:val="-1"/>
        </w:rPr>
        <w:t> </w:t>
      </w:r>
      <w:r>
        <w:rPr/>
        <w:t>ciclo</w:t>
      </w:r>
      <w:r>
        <w:rPr>
          <w:spacing w:val="1"/>
        </w:rPr>
        <w:t> </w:t>
      </w:r>
      <w:r>
        <w:rPr/>
        <w:t>básico (TNE:</w:t>
      </w:r>
      <w:r>
        <w:rPr>
          <w:spacing w:val="-2"/>
        </w:rPr>
        <w:t> </w:t>
      </w:r>
      <w:r>
        <w:rPr/>
        <w:t>34%).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  <w:r>
        <w:rPr/>
        <w:pict>
          <v:rect style="position:absolute;margin-left:563.880005pt;margin-top:11.864655pt;width:25.44pt;height:1.4399pt;mso-position-horizontal-relative:page;mso-position-vertical-relative:paragraph;z-index:-1535744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192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85952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50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2"/>
        <w:jc w:val="both"/>
      </w:pPr>
      <w:r>
        <w:rPr/>
        <w:t>De modo similar a los datos nacionales, el nivel más bajo de participación en el Sistema Nacional de</w:t>
      </w:r>
      <w:r>
        <w:rPr>
          <w:spacing w:val="1"/>
        </w:rPr>
        <w:t> </w:t>
      </w:r>
      <w:r>
        <w:rPr/>
        <w:t>Educación, lo representa el diversificado. Incluso en Suchitepéquez solamente 2 de cada 10 jóvenes tiene</w:t>
      </w:r>
      <w:r>
        <w:rPr>
          <w:spacing w:val="-47"/>
        </w:rPr>
        <w:t> </w:t>
      </w:r>
      <w:r>
        <w:rPr/>
        <w:t>acceso a educación en este nivel, hallándose por debajo de la TNE a nivel nacional cuya tasa de cobertura</w:t>
      </w:r>
      <w:r>
        <w:rPr>
          <w:spacing w:val="-47"/>
        </w:rPr>
        <w:t> </w:t>
      </w:r>
      <w:r>
        <w:rPr/>
        <w:t>en</w:t>
      </w:r>
      <w:r>
        <w:rPr>
          <w:spacing w:val="-1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media</w:t>
      </w:r>
      <w:r>
        <w:rPr>
          <w:spacing w:val="-3"/>
        </w:rPr>
        <w:t> </w:t>
      </w:r>
      <w:r>
        <w:rPr/>
        <w:t>es del</w:t>
      </w:r>
      <w:r>
        <w:rPr>
          <w:spacing w:val="-3"/>
        </w:rPr>
        <w:t> </w:t>
      </w:r>
      <w:r>
        <w:rPr/>
        <w:t>24.57%,</w:t>
      </w:r>
      <w:r>
        <w:rPr>
          <w:spacing w:val="-3"/>
        </w:rPr>
        <w:t> </w:t>
      </w:r>
      <w:r>
        <w:rPr/>
        <w:t>mientras</w:t>
      </w:r>
      <w:r>
        <w:rPr>
          <w:spacing w:val="-4"/>
        </w:rPr>
        <w:t> </w:t>
      </w:r>
      <w:r>
        <w:rPr/>
        <w:t>que la</w:t>
      </w:r>
      <w:r>
        <w:rPr>
          <w:spacing w:val="-3"/>
        </w:rPr>
        <w:t> </w:t>
      </w:r>
      <w:r>
        <w:rPr/>
        <w:t>tasa</w:t>
      </w:r>
      <w:r>
        <w:rPr>
          <w:spacing w:val="-1"/>
        </w:rPr>
        <w:t> </w:t>
      </w:r>
      <w:r>
        <w:rPr/>
        <w:t>promedio del</w:t>
      </w:r>
      <w:r>
        <w:rPr>
          <w:spacing w:val="-1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se sitúa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22.24%.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2"/>
        <w:jc w:val="both"/>
      </w:pPr>
      <w:r>
        <w:rPr/>
        <w:t>En el 2018, el INE identificó para Totonicapán las principales causas de deserción, siendo estas: Falta de</w:t>
      </w:r>
      <w:r>
        <w:rPr>
          <w:spacing w:val="1"/>
        </w:rPr>
        <w:t> </w:t>
      </w:r>
      <w:r>
        <w:rPr/>
        <w:t>dinero (32%), Tiene que Trabajar (12%), entre otros.</w:t>
      </w:r>
      <w:r>
        <w:rPr>
          <w:spacing w:val="1"/>
        </w:rPr>
        <w:t> </w:t>
      </w:r>
      <w:r>
        <w:rPr/>
        <w:t>Mientras que para el 2020, DIPLAN identificó los</w:t>
      </w:r>
      <w:r>
        <w:rPr>
          <w:spacing w:val="1"/>
        </w:rPr>
        <w:t> </w:t>
      </w:r>
      <w:r>
        <w:rPr/>
        <w:t>motivos de retiro más reportados para este departamento: 1. Falta de interés. 2. Migración temporal,</w:t>
      </w:r>
      <w:r>
        <w:rPr>
          <w:spacing w:val="1"/>
        </w:rPr>
        <w:t> </w:t>
      </w:r>
      <w:r>
        <w:rPr/>
        <w:t>entre</w:t>
      </w:r>
      <w:r>
        <w:rPr>
          <w:spacing w:val="-2"/>
        </w:rPr>
        <w:t> </w:t>
      </w:r>
      <w:r>
        <w:rPr/>
        <w:t>otros.</w:t>
      </w:r>
    </w:p>
    <w:p>
      <w:pPr>
        <w:pStyle w:val="BodyText"/>
        <w:spacing w:before="9"/>
        <w:rPr>
          <w:sz w:val="19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1" w:after="0"/>
        <w:ind w:left="998" w:right="0" w:hanging="721"/>
        <w:jc w:val="left"/>
      </w:pPr>
      <w:bookmarkStart w:name="_bookmark243" w:id="419"/>
      <w:bookmarkEnd w:id="419"/>
      <w:r>
        <w:rPr>
          <w:b w:val="0"/>
        </w:rPr>
      </w:r>
      <w:bookmarkStart w:name="_bookmark243" w:id="420"/>
      <w:bookmarkEnd w:id="420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Cobertura:</w:t>
      </w:r>
      <w:r>
        <w:rPr>
          <w:spacing w:val="-3"/>
        </w:rPr>
        <w:t> </w:t>
      </w:r>
      <w:r>
        <w:rPr/>
        <w:t>Tasa</w:t>
      </w:r>
      <w:r>
        <w:rPr>
          <w:spacing w:val="-3"/>
        </w:rPr>
        <w:t> </w:t>
      </w:r>
      <w:r>
        <w:rPr/>
        <w:t>Bruta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Déficit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departamento,</w:t>
      </w:r>
      <w:r>
        <w:rPr>
          <w:spacing w:val="-1"/>
        </w:rPr>
        <w:t> </w:t>
      </w:r>
      <w:r>
        <w:rPr/>
        <w:t>sexo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etnia.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after="8"/>
        <w:ind w:left="278" w:right="1078"/>
        <w:jc w:val="both"/>
      </w:pPr>
      <w:r>
        <w:rPr/>
        <w:t>Gráfico Nº. Total de población estudiantil por niveles educativos, etnia y sexo para el Departamento de</w:t>
      </w:r>
      <w:r>
        <w:rPr>
          <w:spacing w:val="1"/>
        </w:rPr>
        <w:t> </w:t>
      </w:r>
      <w:r>
        <w:rPr/>
        <w:t>Totonicapán</w:t>
      </w:r>
      <w:r>
        <w:rPr>
          <w:spacing w:val="-2"/>
        </w:rPr>
        <w:t> </w:t>
      </w:r>
      <w:r>
        <w:rPr/>
        <w:t>(2017-2021)</w:t>
      </w:r>
    </w:p>
    <w:p>
      <w:pPr>
        <w:pStyle w:val="BodyText"/>
        <w:ind w:left="282"/>
        <w:rPr>
          <w:sz w:val="20"/>
        </w:rPr>
      </w:pPr>
      <w:r>
        <w:rPr>
          <w:sz w:val="20"/>
        </w:rPr>
        <w:pict>
          <v:group style="width:442pt;height:238.3pt;mso-position-horizontal-relative:char;mso-position-vertical-relative:line" coordorigin="0,0" coordsize="8840,4766">
            <v:rect style="position:absolute;left:7;top:7;width:8825;height:4751" filled="true" fillcolor="#ffffff" stroked="false">
              <v:fill type="solid"/>
            </v:rect>
            <v:shape style="position:absolute;left:504;top:3205;width:2187;height:2" coordorigin="505,3206" coordsize="2187,0" path="m505,3206l1063,3206m1168,3206l1334,3206m1439,3206l1470,3206m1575,3206l2691,3206e" filled="false" stroked="true" strokeweight=".728674pt" strokecolor="#888888">
              <v:path arrowok="t"/>
              <v:stroke dashstyle="solid"/>
            </v:shape>
            <v:shape style="position:absolute;left:2796;top:3201;width:5836;height:8" coordorigin="2797,3202" coordsize="5836,8" path="m2797,3209l2963,3209m3068,3209l3084,3209m3189,3209l4591,3209m4682,3209l4713,3209m4818,3209l6206,3209m6311,3209l6341,3209m6446,3209l7834,3209m7939,3209l7970,3209m8075,3209l8633,3209m2797,3202l2963,3202m3068,3202l3084,3202m3189,3202l4591,3202m4682,3202l4713,3202m4818,3202l6206,3202m6311,3202l6341,3202m6446,3202l7834,3202m7939,3202l7970,3202m8075,3202l8633,3202e" filled="false" stroked="true" strokeweight=".364336pt" strokecolor="#888888">
              <v:path arrowok="t"/>
              <v:stroke dashstyle="solid"/>
            </v:shape>
            <v:shape style="position:absolute;left:504;top:1908;width:8128;height:1042" coordorigin="505,1909" coordsize="8128,1042" path="m505,2950l1334,2950m1439,2950l1470,2950m1575,2950l2963,2950m3068,2950l3084,2950m3189,2950l4591,2950m4682,2950l4713,2950m4818,2950l6206,2950m6311,2950l6341,2950m6446,2950l7834,2950m7939,2950l8633,2950m505,2693l1334,2693m1439,2693l1470,2693m1575,2693l2963,2693m3068,2693l3084,2693m3189,2693l4591,2693m4682,2693l4713,2693m4818,2693l6206,2693m6311,2693l8633,2693m505,2421l1334,2421m1439,2421l1470,2421m1575,2421l2963,2421m3068,2421l3084,2421m3189,2421l4591,2421m4682,2421l4713,2421m4818,2421l6206,2421m6311,2421l8633,2421m505,2165l1334,2165m1439,2165l2963,2165m3068,2165l4591,2165m4682,2165l4713,2165m4818,2165l8633,2165m505,1909l1334,1909e" filled="false" stroked="true" strokeweight=".728674pt" strokecolor="#888888">
              <v:path arrowok="t"/>
              <v:stroke dashstyle="solid"/>
            </v:shape>
            <v:shape style="position:absolute;left:1439;top:1904;width:7194;height:8" coordorigin="1439,1905" coordsize="7194,8" path="m1439,1912l4591,1912m4682,1912l8633,1912m1439,1905l4591,1905m4682,1905l8633,1905e" filled="false" stroked="true" strokeweight=".364335pt" strokecolor="#888888">
              <v:path arrowok="t"/>
              <v:stroke dashstyle="solid"/>
            </v:shape>
            <v:shape style="position:absolute;left:504;top:1651;width:8128;height:2" coordorigin="505,1652" coordsize="8128,0" path="m505,1652l1334,1652m1439,1652l8633,1652e" filled="false" stroked="true" strokeweight=".728674pt" strokecolor="#888888">
              <v:path arrowok="t"/>
              <v:stroke dashstyle="solid"/>
            </v:shape>
            <v:shape style="position:absolute;left:504;top:1123;width:8128;height:272" coordorigin="505,1123" coordsize="8128,272" path="m505,1395l505,1395,8633,1395m505,1123l505,1123,8633,1123e" filled="false" stroked="true" strokeweight=".728898pt" strokecolor="#888888">
              <v:path arrowok="t"/>
              <v:stroke dashstyle="solid"/>
            </v:shape>
            <v:shape style="position:absolute;left:3927;top:3447;width:1736;height:15" coordorigin="3928,3448" coordsize="1736,15" path="m4034,3448l3928,3448,3928,3462,4034,3462,4034,3448xm5663,3448l5556,3448,5556,3462,5663,3462,5663,3448xe" filled="true" fillcolor="#c46627" stroked="false">
              <v:path arrowok="t"/>
              <v:fill type="solid"/>
            </v:shape>
            <v:shape style="position:absolute;left:2570;top:3447;width:1720;height:15" coordorigin="2570,3448" coordsize="1720,15" path="m2677,3448l2570,3448,2570,3462,2677,3462,2677,3448xm4290,3448l4184,3448,4184,3462,4290,3462,4290,3448xe" filled="true" fillcolor="#d29e00" stroked="false">
              <v:path arrowok="t"/>
              <v:fill type="solid"/>
            </v:shape>
            <v:shape style="position:absolute;left:1062;top:3145;width:6621;height:317" coordorigin="1063,3145" coordsize="6621,317" path="m1168,3145l1063,3145,1063,3462,1168,3462,1168,3145xm2797,3191l2691,3191,2691,3462,2797,3462,2797,3191xm4425,3221l4320,3221,4320,3462,4425,3462,4425,3221xm6054,3206l5949,3206,5949,3462,6054,3462,6054,3206xm7683,3267l7578,3267,7578,3462,7683,3462,7683,3267xe" filled="true" fillcolor="#497eaf" stroked="false">
              <v:path arrowok="t"/>
              <v:fill type="solid"/>
            </v:shape>
            <v:shape style="position:absolute;left:1198;top:3221;width:6606;height:242" coordorigin="1199,3221" coordsize="6606,242" path="m1304,3312l1199,3312,1199,3462,1304,3462,1304,3312xm2932,3281l2827,3281,2827,3462,2932,3462,2932,3281xm4561,3327l4456,3327,4456,3462,4561,3462,4561,3327xm6190,3221l6084,3221,6084,3462,6190,3462,6190,3221xm7804,3281l7699,3281,7699,3462,7804,3462,7804,3281xe" filled="true" fillcolor="#5b8e39" stroked="false">
              <v:path arrowok="t"/>
              <v:fill type="solid"/>
            </v:shape>
            <v:shape style="position:absolute;left:1334;top:1440;width:6606;height:2023" coordorigin="1334,1440" coordsize="6606,2023" path="m1439,1440l1334,1440,1334,3462,1439,3462,1439,1440xm3068,1909l2963,1909,2963,3462,3068,3462,3068,1909xm4682,1863l4591,1863,4591,3462,4682,3462,4682,1863xm6311,2361l6206,2361,6206,3462,6311,3462,6311,2361xm7939,2844l7834,2844,7834,3462,7939,3462,7939,2844xe" filled="true" fillcolor="#4471c4" stroked="false">
              <v:path arrowok="t"/>
              <v:fill type="solid"/>
            </v:shape>
            <v:shape style="position:absolute;left:1470;top:2104;width:6606;height:1358" coordorigin="1470,2104" coordsize="6606,1358" path="m1575,2210l1470,2210,1470,3462,1575,3462,1575,2210xm3189,2391l3084,2391,3084,3462,3189,3462,3189,2391xm4818,2104l4713,2104,4713,3462,4818,3462,4818,2104xm6446,2829l6341,2829,6341,3462,6446,3462,6446,2829xm8075,3055l7970,3055,7970,3462,8075,3462,8075,3055xe" filled="true" fillcolor="#ec7c30" stroked="false">
              <v:path arrowok="t"/>
              <v:fill type="solid"/>
            </v:shape>
            <v:shape style="position:absolute;left:1590;top:3447;width:4992;height:15" coordorigin="1591,3448" coordsize="4992,15" path="m1696,3448l1591,3448,1591,3462,1696,3462,1696,3448xm3325,3448l3220,3448,3220,3462,3325,3462,3325,3448xm4953,3448l4848,3448,4848,3462,4953,3462,4953,3448xm6582,3448l6477,3448,6477,3462,6582,3462,6582,3448xe" filled="true" fillcolor="#a4a4a4" stroked="false">
              <v:path arrowok="t"/>
              <v:fill type="solid"/>
            </v:shape>
            <v:rect style="position:absolute;left:5104;top:3447;width:107;height:15" filled="true" fillcolor="#5b9bd4" stroked="false">
              <v:fill type="solid"/>
            </v:rect>
            <v:shape style="position:absolute;left:506;top:3463;width:8131;height:2" coordorigin="506,3463" coordsize="8131,0" path="m506,3463l506,3463,8636,3463e" filled="false" stroked="true" strokeweight=".728674pt" strokecolor="#888888">
              <v:path arrowok="t"/>
              <v:stroke dashstyle="solid"/>
            </v:shape>
            <v:rect style="position:absolute;left:644;top:3924;width:67;height:67" filled="true" fillcolor="#375da0" stroked="false">
              <v:fill type="solid"/>
            </v:rect>
            <v:rect style="position:absolute;left:2587;top:3924;width:67;height:67" filled="true" fillcolor="#c46627" stroked="false">
              <v:fill type="solid"/>
            </v:rect>
            <v:rect style="position:absolute;left:4530;top:3924;width:66;height:67" filled="true" fillcolor="#878787" stroked="false">
              <v:fill type="solid"/>
            </v:rect>
            <v:rect style="position:absolute;left:6472;top:3924;width:67;height:67" filled="true" fillcolor="#d29e00" stroked="false">
              <v:fill type="solid"/>
            </v:rect>
            <v:rect style="position:absolute;left:644;top:4124;width:67;height:67" filled="true" fillcolor="#497eaf" stroked="false">
              <v:fill type="solid"/>
            </v:rect>
            <v:rect style="position:absolute;left:2587;top:4124;width:67;height:67" filled="true" fillcolor="#5b8e39" stroked="false">
              <v:fill type="solid"/>
            </v:rect>
            <v:rect style="position:absolute;left:4530;top:4124;width:66;height:67" filled="true" fillcolor="#4471c4" stroked="false">
              <v:fill type="solid"/>
            </v:rect>
            <v:rect style="position:absolute;left:6472;top:4124;width:67;height:67" filled="true" fillcolor="#ec7c30" stroked="false">
              <v:fill type="solid"/>
            </v:rect>
            <v:rect style="position:absolute;left:644;top:4323;width:67;height:67" filled="true" fillcolor="#a4a4a4" stroked="false">
              <v:fill type="solid"/>
            </v:rect>
            <v:rect style="position:absolute;left:2587;top:4323;width:67;height:67" filled="true" fillcolor="#ffc000" stroked="false">
              <v:fill type="solid"/>
            </v:rect>
            <v:rect style="position:absolute;left:4530;top:4323;width:66;height:67" filled="true" fillcolor="#5b9bd4" stroked="false">
              <v:fill type="solid"/>
            </v:rect>
            <v:rect style="position:absolute;left:6472;top:4323;width:67;height:67" filled="true" fillcolor="#6fac46" stroked="false">
              <v:fill type="solid"/>
            </v:rect>
            <v:rect style="position:absolute;left:7;top:7;width:8825;height:4751" filled="false" stroked="true" strokeweight=".728775pt" strokecolor="#888888">
              <v:stroke dashstyle="solid"/>
            </v:rect>
            <v:shape style="position:absolute;left:2030;top:176;width:4755;height:737" type="#_x0000_t202" filled="false" stroked="false">
              <v:textbox inset="0,0,0,0">
                <w:txbxContent>
                  <w:p>
                    <w:pPr>
                      <w:spacing w:line="303" w:lineRule="exact" w:before="0"/>
                      <w:ind w:left="36" w:right="18" w:firstLine="0"/>
                      <w:jc w:val="center"/>
                      <w:rPr>
                        <w:rFonts w:ascii="Arial" w:hAnsi="Arial"/>
                        <w:b/>
                        <w:sz w:val="27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27"/>
                      </w:rPr>
                      <w:t>Totonica</w:t>
                    </w:r>
                    <w:r>
                      <w:rPr>
                        <w:rFonts w:ascii="Arial" w:hAnsi="Arial"/>
                        <w:b/>
                        <w:spacing w:val="-26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7"/>
                      </w:rPr>
                      <w:t>pán</w:t>
                    </w:r>
                  </w:p>
                  <w:p>
                    <w:pPr>
                      <w:spacing w:line="261" w:lineRule="auto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>Tota</w:t>
                    </w:r>
                    <w:r>
                      <w:rPr>
                        <w:rFonts w:ascii="Arial" w:hAnsi="Arial"/>
                        <w:b/>
                        <w:spacing w:val="-3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>l</w:t>
                    </w:r>
                    <w:r>
                      <w:rPr>
                        <w:rFonts w:ascii="Arial" w:hAnsi="Arial"/>
                        <w:b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>población</w:t>
                    </w:r>
                    <w:r>
                      <w:rPr>
                        <w:rFonts w:ascii="Arial" w:hAnsi="Arial"/>
                        <w:b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estudia</w:t>
                    </w:r>
                    <w:r>
                      <w:rPr>
                        <w:rFonts w:ascii="Arial" w:hAnsi="Arial"/>
                        <w:b/>
                        <w:spacing w:val="-3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ntil</w:t>
                    </w:r>
                    <w:r>
                      <w:rPr>
                        <w:rFonts w:ascii="Arial" w:hAnsi="Arial"/>
                        <w:b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por</w:t>
                    </w:r>
                    <w:r>
                      <w:rPr>
                        <w:rFonts w:ascii="Arial" w:hAnsi="Arial"/>
                        <w:b/>
                        <w:spacing w:val="-1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Niveles,</w:t>
                    </w:r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etnia</w:t>
                    </w:r>
                    <w:r>
                      <w:rPr>
                        <w:rFonts w:ascii="Arial" w:hAnsi="Arial"/>
                        <w:b/>
                        <w:spacing w:val="1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y</w:t>
                    </w:r>
                    <w:r>
                      <w:rPr>
                        <w:rFonts w:ascii="Arial" w:hAnsi="Arial"/>
                        <w:b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sexo</w:t>
                    </w:r>
                    <w:r>
                      <w:rPr>
                        <w:rFonts w:ascii="Arial" w:hAnsi="Arial"/>
                        <w:b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2017-2020</w:t>
                    </w:r>
                  </w:p>
                </w:txbxContent>
              </v:textbox>
              <w10:wrap type="none"/>
            </v:shape>
            <v:shape style="position:absolute;left:112;top:1039;width:271;height:2519" type="#_x0000_t202" filled="false" stroked="false">
              <v:textbox inset="0,0,0,0">
                <w:txbxContent>
                  <w:p>
                    <w:pPr>
                      <w:spacing w:before="0"/>
                      <w:ind w:left="0" w:right="20" w:firstLine="0"/>
                      <w:jc w:val="righ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85"/>
                        <w:sz w:val="15"/>
                      </w:rPr>
                      <w:t>450</w:t>
                    </w:r>
                  </w:p>
                  <w:p>
                    <w:pPr>
                      <w:spacing w:before="77"/>
                      <w:ind w:left="0" w:right="20" w:firstLine="0"/>
                      <w:jc w:val="righ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85"/>
                        <w:sz w:val="15"/>
                      </w:rPr>
                      <w:t>400</w:t>
                    </w:r>
                  </w:p>
                  <w:p>
                    <w:pPr>
                      <w:spacing w:before="77"/>
                      <w:ind w:left="0" w:right="20" w:firstLine="0"/>
                      <w:jc w:val="righ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85"/>
                        <w:sz w:val="15"/>
                      </w:rPr>
                      <w:t>350</w:t>
                    </w:r>
                  </w:p>
                  <w:p>
                    <w:pPr>
                      <w:spacing w:before="77"/>
                      <w:ind w:left="0" w:right="20" w:firstLine="0"/>
                      <w:jc w:val="righ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85"/>
                        <w:sz w:val="15"/>
                      </w:rPr>
                      <w:t>300</w:t>
                    </w:r>
                  </w:p>
                  <w:p>
                    <w:pPr>
                      <w:spacing w:before="77"/>
                      <w:ind w:left="0" w:right="20" w:firstLine="0"/>
                      <w:jc w:val="righ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85"/>
                        <w:sz w:val="15"/>
                      </w:rPr>
                      <w:t>250</w:t>
                    </w:r>
                  </w:p>
                  <w:p>
                    <w:pPr>
                      <w:spacing w:before="77"/>
                      <w:ind w:left="0" w:right="20" w:firstLine="0"/>
                      <w:jc w:val="righ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85"/>
                        <w:sz w:val="15"/>
                      </w:rPr>
                      <w:t>200</w:t>
                    </w:r>
                  </w:p>
                  <w:p>
                    <w:pPr>
                      <w:spacing w:before="77"/>
                      <w:ind w:left="0" w:right="20" w:firstLine="0"/>
                      <w:jc w:val="righ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85"/>
                        <w:sz w:val="15"/>
                      </w:rPr>
                      <w:t>150</w:t>
                    </w:r>
                  </w:p>
                  <w:p>
                    <w:pPr>
                      <w:spacing w:before="78"/>
                      <w:ind w:left="0" w:right="20" w:firstLine="0"/>
                      <w:jc w:val="righ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85"/>
                        <w:sz w:val="15"/>
                      </w:rPr>
                      <w:t>100</w:t>
                    </w:r>
                  </w:p>
                  <w:p>
                    <w:pPr>
                      <w:spacing w:before="76"/>
                      <w:ind w:left="0" w:right="20" w:firstLine="0"/>
                      <w:jc w:val="righ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sz w:val="15"/>
                      </w:rPr>
                      <w:t>50</w:t>
                    </w:r>
                  </w:p>
                  <w:p>
                    <w:pPr>
                      <w:spacing w:before="77"/>
                      <w:ind w:left="0" w:right="18" w:firstLine="0"/>
                      <w:jc w:val="righ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87"/>
                        <w:sz w:val="15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36;top:3564;width:1434;height:866" type="#_x0000_t202" filled="false" stroked="false">
              <v:textbox inset="0,0,0,0">
                <w:txbxContent>
                  <w:p>
                    <w:pPr>
                      <w:spacing w:before="0"/>
                      <w:ind w:left="410" w:right="0" w:firstLine="0"/>
                      <w:jc w:val="lef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sz w:val="15"/>
                      </w:rPr>
                      <w:t>2017</w:t>
                    </w:r>
                  </w:p>
                  <w:p>
                    <w:pPr>
                      <w:spacing w:line="200" w:lineRule="atLeast" w:before="83"/>
                      <w:ind w:left="0" w:right="12" w:firstLine="0"/>
                      <w:jc w:val="lef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90"/>
                        <w:sz w:val="12"/>
                      </w:rPr>
                      <w:t>EXTRANJERO</w:t>
                    </w:r>
                    <w:r>
                      <w:rPr>
                        <w:rFonts w:ascii="Verdana"/>
                        <w:spacing w:val="6"/>
                        <w:w w:val="90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90"/>
                        <w:sz w:val="12"/>
                      </w:rPr>
                      <w:t>-</w:t>
                    </w:r>
                    <w:r>
                      <w:rPr>
                        <w:rFonts w:ascii="Verdana"/>
                        <w:spacing w:val="6"/>
                        <w:w w:val="90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90"/>
                        <w:sz w:val="12"/>
                      </w:rPr>
                      <w:t>HOMBRES</w:t>
                    </w:r>
                    <w:r>
                      <w:rPr>
                        <w:rFonts w:ascii="Verdana"/>
                        <w:spacing w:val="-35"/>
                        <w:w w:val="90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83"/>
                        <w:sz w:val="12"/>
                      </w:rPr>
                      <w:t>L</w:t>
                    </w:r>
                    <w:r>
                      <w:rPr>
                        <w:rFonts w:ascii="Verdana"/>
                        <w:w w:val="108"/>
                        <w:sz w:val="12"/>
                      </w:rPr>
                      <w:t>A</w:t>
                    </w:r>
                    <w:r>
                      <w:rPr>
                        <w:rFonts w:ascii="Verdana"/>
                        <w:spacing w:val="1"/>
                        <w:w w:val="96"/>
                        <w:sz w:val="12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w w:val="53"/>
                        <w:sz w:val="12"/>
                      </w:rPr>
                      <w:t>I</w:t>
                    </w:r>
                    <w:r>
                      <w:rPr>
                        <w:rFonts w:ascii="Verdana"/>
                        <w:w w:val="98"/>
                        <w:sz w:val="12"/>
                      </w:rPr>
                      <w:t>N</w:t>
                    </w:r>
                    <w:r>
                      <w:rPr>
                        <w:rFonts w:ascii="Verdana"/>
                        <w:w w:val="110"/>
                        <w:sz w:val="12"/>
                      </w:rPr>
                      <w:t>O</w:t>
                    </w:r>
                    <w:r>
                      <w:rPr>
                        <w:rFonts w:ascii="Verdana"/>
                        <w:spacing w:val="-9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73"/>
                        <w:sz w:val="12"/>
                      </w:rPr>
                      <w:t>-</w:t>
                    </w:r>
                    <w:r>
                      <w:rPr>
                        <w:rFonts w:ascii="Verdana"/>
                        <w:spacing w:val="-9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90"/>
                        <w:sz w:val="12"/>
                      </w:rPr>
                      <w:t>H</w:t>
                    </w:r>
                    <w:r>
                      <w:rPr>
                        <w:rFonts w:ascii="Verdana"/>
                        <w:spacing w:val="-1"/>
                        <w:w w:val="110"/>
                        <w:sz w:val="12"/>
                      </w:rPr>
                      <w:t>O</w:t>
                    </w:r>
                    <w:r>
                      <w:rPr>
                        <w:rFonts w:ascii="Verdana"/>
                        <w:w w:val="109"/>
                        <w:sz w:val="12"/>
                      </w:rPr>
                      <w:t>M</w:t>
                    </w:r>
                    <w:r>
                      <w:rPr>
                        <w:rFonts w:ascii="Verdana"/>
                        <w:spacing w:val="1"/>
                        <w:w w:val="83"/>
                        <w:sz w:val="12"/>
                      </w:rPr>
                      <w:t>B</w:t>
                    </w:r>
                    <w:r>
                      <w:rPr>
                        <w:rFonts w:ascii="Verdana"/>
                        <w:spacing w:val="-1"/>
                        <w:w w:val="87"/>
                        <w:sz w:val="12"/>
                      </w:rPr>
                      <w:t>R</w:t>
                    </w:r>
                    <w:r>
                      <w:rPr>
                        <w:rFonts w:ascii="Verdana"/>
                        <w:spacing w:val="1"/>
                        <w:w w:val="84"/>
                        <w:sz w:val="12"/>
                      </w:rPr>
                      <w:t>E</w:t>
                    </w:r>
                    <w:r>
                      <w:rPr>
                        <w:rFonts w:ascii="Verdana"/>
                        <w:w w:val="72"/>
                        <w:sz w:val="12"/>
                      </w:rPr>
                      <w:t>S </w:t>
                    </w:r>
                    <w:r>
                      <w:rPr>
                        <w:rFonts w:ascii="Verdana"/>
                        <w:w w:val="88"/>
                        <w:sz w:val="12"/>
                      </w:rPr>
                      <w:t>X</w:t>
                    </w:r>
                    <w:r>
                      <w:rPr>
                        <w:rFonts w:ascii="Verdana"/>
                        <w:w w:val="53"/>
                        <w:sz w:val="12"/>
                      </w:rPr>
                      <w:t>I</w:t>
                    </w:r>
                    <w:r>
                      <w:rPr>
                        <w:rFonts w:ascii="Verdana"/>
                        <w:w w:val="98"/>
                        <w:sz w:val="12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w w:val="112"/>
                        <w:sz w:val="12"/>
                      </w:rPr>
                      <w:t>C</w:t>
                    </w:r>
                    <w:r>
                      <w:rPr>
                        <w:rFonts w:ascii="Verdana"/>
                        <w:w w:val="112"/>
                        <w:sz w:val="12"/>
                      </w:rPr>
                      <w:t>A</w:t>
                    </w:r>
                    <w:r>
                      <w:rPr>
                        <w:rFonts w:ascii="Verdana"/>
                        <w:spacing w:val="-8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73"/>
                        <w:sz w:val="12"/>
                      </w:rPr>
                      <w:t>-</w:t>
                    </w:r>
                    <w:r>
                      <w:rPr>
                        <w:rFonts w:ascii="Verdana"/>
                        <w:spacing w:val="-9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90"/>
                        <w:sz w:val="12"/>
                      </w:rPr>
                      <w:t>H</w:t>
                    </w:r>
                    <w:r>
                      <w:rPr>
                        <w:rFonts w:ascii="Verdana"/>
                        <w:w w:val="110"/>
                        <w:sz w:val="12"/>
                      </w:rPr>
                      <w:t>O</w:t>
                    </w:r>
                    <w:r>
                      <w:rPr>
                        <w:rFonts w:ascii="Verdana"/>
                        <w:w w:val="109"/>
                        <w:sz w:val="12"/>
                      </w:rPr>
                      <w:t>M</w:t>
                    </w:r>
                    <w:r>
                      <w:rPr>
                        <w:rFonts w:ascii="Verdana"/>
                        <w:spacing w:val="-1"/>
                        <w:w w:val="83"/>
                        <w:sz w:val="12"/>
                      </w:rPr>
                      <w:t>B</w:t>
                    </w:r>
                    <w:r>
                      <w:rPr>
                        <w:rFonts w:ascii="Verdana"/>
                        <w:w w:val="87"/>
                        <w:sz w:val="12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84"/>
                        <w:sz w:val="12"/>
                      </w:rPr>
                      <w:t>E</w:t>
                    </w:r>
                    <w:r>
                      <w:rPr>
                        <w:rFonts w:ascii="Verdana"/>
                        <w:w w:val="72"/>
                        <w:sz w:val="12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2679;top:3564;width:1380;height:866" type="#_x0000_t202" filled="false" stroked="false">
              <v:textbox inset="0,0,0,0">
                <w:txbxContent>
                  <w:p>
                    <w:pPr>
                      <w:spacing w:before="0"/>
                      <w:ind w:left="98" w:right="0" w:firstLine="0"/>
                      <w:jc w:val="lef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sz w:val="15"/>
                      </w:rPr>
                      <w:t>2018</w:t>
                    </w:r>
                  </w:p>
                  <w:p>
                    <w:pPr>
                      <w:spacing w:line="200" w:lineRule="atLeast" w:before="83"/>
                      <w:ind w:left="0" w:right="11" w:firstLine="0"/>
                      <w:jc w:val="lef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90"/>
                        <w:sz w:val="12"/>
                      </w:rPr>
                      <w:t>EXTRANJERO</w:t>
                    </w:r>
                    <w:r>
                      <w:rPr>
                        <w:rFonts w:ascii="Verdana"/>
                        <w:spacing w:val="2"/>
                        <w:w w:val="90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90"/>
                        <w:sz w:val="12"/>
                      </w:rPr>
                      <w:t>-</w:t>
                    </w:r>
                    <w:r>
                      <w:rPr>
                        <w:rFonts w:ascii="Verdana"/>
                        <w:spacing w:val="1"/>
                        <w:w w:val="90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90"/>
                        <w:sz w:val="12"/>
                      </w:rPr>
                      <w:t>MUJERES</w:t>
                    </w:r>
                    <w:r>
                      <w:rPr>
                        <w:rFonts w:ascii="Verdana"/>
                        <w:spacing w:val="-35"/>
                        <w:w w:val="90"/>
                        <w:sz w:val="12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83"/>
                        <w:sz w:val="12"/>
                      </w:rPr>
                      <w:t>L</w:t>
                    </w:r>
                    <w:r>
                      <w:rPr>
                        <w:rFonts w:ascii="Verdana"/>
                        <w:w w:val="108"/>
                        <w:sz w:val="12"/>
                      </w:rPr>
                      <w:t>A</w:t>
                    </w:r>
                    <w:r>
                      <w:rPr>
                        <w:rFonts w:ascii="Verdana"/>
                        <w:w w:val="96"/>
                        <w:sz w:val="12"/>
                      </w:rPr>
                      <w:t>D</w:t>
                    </w:r>
                    <w:r>
                      <w:rPr>
                        <w:rFonts w:ascii="Verdana"/>
                        <w:spacing w:val="1"/>
                        <w:w w:val="53"/>
                        <w:sz w:val="12"/>
                      </w:rPr>
                      <w:t>I</w:t>
                    </w:r>
                    <w:r>
                      <w:rPr>
                        <w:rFonts w:ascii="Verdana"/>
                        <w:spacing w:val="-1"/>
                        <w:w w:val="98"/>
                        <w:sz w:val="12"/>
                      </w:rPr>
                      <w:t>N</w:t>
                    </w:r>
                    <w:r>
                      <w:rPr>
                        <w:rFonts w:ascii="Verdana"/>
                        <w:w w:val="110"/>
                        <w:sz w:val="12"/>
                      </w:rPr>
                      <w:t>O</w:t>
                    </w:r>
                    <w:r>
                      <w:rPr>
                        <w:rFonts w:ascii="Verdana"/>
                        <w:spacing w:val="-8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73"/>
                        <w:sz w:val="12"/>
                      </w:rPr>
                      <w:t>-</w:t>
                    </w:r>
                    <w:r>
                      <w:rPr>
                        <w:rFonts w:ascii="Verdana"/>
                        <w:spacing w:val="-9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109"/>
                        <w:sz w:val="12"/>
                      </w:rPr>
                      <w:t>M</w:t>
                    </w:r>
                    <w:r>
                      <w:rPr>
                        <w:rFonts w:ascii="Verdana"/>
                        <w:w w:val="89"/>
                        <w:sz w:val="12"/>
                      </w:rPr>
                      <w:t>U</w:t>
                    </w:r>
                    <w:r>
                      <w:rPr>
                        <w:rFonts w:ascii="Verdana"/>
                        <w:spacing w:val="-1"/>
                        <w:w w:val="106"/>
                        <w:sz w:val="12"/>
                      </w:rPr>
                      <w:t>J</w:t>
                    </w:r>
                    <w:r>
                      <w:rPr>
                        <w:rFonts w:ascii="Verdana"/>
                        <w:w w:val="84"/>
                        <w:sz w:val="12"/>
                      </w:rPr>
                      <w:t>E</w:t>
                    </w:r>
                    <w:r>
                      <w:rPr>
                        <w:rFonts w:ascii="Verdana"/>
                        <w:w w:val="87"/>
                        <w:sz w:val="12"/>
                      </w:rPr>
                      <w:t>R</w:t>
                    </w:r>
                    <w:r>
                      <w:rPr>
                        <w:rFonts w:ascii="Verdana"/>
                        <w:w w:val="84"/>
                        <w:sz w:val="12"/>
                      </w:rPr>
                      <w:t>E</w:t>
                    </w:r>
                    <w:r>
                      <w:rPr>
                        <w:rFonts w:ascii="Verdana"/>
                        <w:w w:val="72"/>
                        <w:sz w:val="12"/>
                      </w:rPr>
                      <w:t>S </w:t>
                    </w:r>
                    <w:r>
                      <w:rPr>
                        <w:rFonts w:ascii="Verdana"/>
                        <w:w w:val="88"/>
                        <w:sz w:val="12"/>
                      </w:rPr>
                      <w:t>X</w:t>
                    </w:r>
                    <w:r>
                      <w:rPr>
                        <w:rFonts w:ascii="Verdana"/>
                        <w:spacing w:val="-1"/>
                        <w:w w:val="53"/>
                        <w:sz w:val="12"/>
                      </w:rPr>
                      <w:t>I</w:t>
                    </w:r>
                    <w:r>
                      <w:rPr>
                        <w:rFonts w:ascii="Verdana"/>
                        <w:w w:val="98"/>
                        <w:sz w:val="12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w w:val="112"/>
                        <w:sz w:val="12"/>
                      </w:rPr>
                      <w:t>C</w:t>
                    </w:r>
                    <w:r>
                      <w:rPr>
                        <w:rFonts w:ascii="Verdana"/>
                        <w:w w:val="112"/>
                        <w:sz w:val="12"/>
                      </w:rPr>
                      <w:t>A</w:t>
                    </w:r>
                    <w:r>
                      <w:rPr>
                        <w:rFonts w:ascii="Verdana"/>
                        <w:spacing w:val="-8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73"/>
                        <w:sz w:val="12"/>
                      </w:rPr>
                      <w:t>-</w:t>
                    </w:r>
                    <w:r>
                      <w:rPr>
                        <w:rFonts w:ascii="Verdana"/>
                        <w:spacing w:val="-9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109"/>
                        <w:sz w:val="12"/>
                      </w:rPr>
                      <w:t>M</w:t>
                    </w:r>
                    <w:r>
                      <w:rPr>
                        <w:rFonts w:ascii="Verdana"/>
                        <w:w w:val="89"/>
                        <w:sz w:val="12"/>
                      </w:rPr>
                      <w:t>U</w:t>
                    </w:r>
                    <w:r>
                      <w:rPr>
                        <w:rFonts w:ascii="Verdana"/>
                        <w:spacing w:val="-1"/>
                        <w:w w:val="106"/>
                        <w:sz w:val="12"/>
                      </w:rPr>
                      <w:t>J</w:t>
                    </w:r>
                    <w:r>
                      <w:rPr>
                        <w:rFonts w:ascii="Verdana"/>
                        <w:w w:val="84"/>
                        <w:sz w:val="12"/>
                      </w:rPr>
                      <w:t>E</w:t>
                    </w:r>
                    <w:r>
                      <w:rPr>
                        <w:rFonts w:ascii="Verdana"/>
                        <w:w w:val="87"/>
                        <w:sz w:val="12"/>
                      </w:rPr>
                      <w:t>R</w:t>
                    </w:r>
                    <w:r>
                      <w:rPr>
                        <w:rFonts w:ascii="Verdana"/>
                        <w:w w:val="84"/>
                        <w:sz w:val="12"/>
                      </w:rPr>
                      <w:t>E</w:t>
                    </w:r>
                    <w:r>
                      <w:rPr>
                        <w:rFonts w:ascii="Verdana"/>
                        <w:w w:val="72"/>
                        <w:sz w:val="12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4404;top:3564;width:1521;height:66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sz w:val="15"/>
                      </w:rPr>
                      <w:t>2019</w:t>
                    </w:r>
                  </w:p>
                  <w:p>
                    <w:pPr>
                      <w:spacing w:line="200" w:lineRule="atLeast" w:before="84"/>
                      <w:ind w:left="218" w:right="8" w:firstLine="0"/>
                      <w:jc w:val="lef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12"/>
                        <w:sz w:val="12"/>
                      </w:rPr>
                      <w:t>G</w:t>
                    </w:r>
                    <w:r>
                      <w:rPr>
                        <w:rFonts w:ascii="Verdana"/>
                        <w:w w:val="108"/>
                        <w:sz w:val="12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87"/>
                        <w:sz w:val="12"/>
                      </w:rPr>
                      <w:t>R</w:t>
                    </w:r>
                    <w:r>
                      <w:rPr>
                        <w:rFonts w:ascii="Verdana"/>
                        <w:w w:val="53"/>
                        <w:sz w:val="12"/>
                      </w:rPr>
                      <w:t>I</w:t>
                    </w:r>
                    <w:r>
                      <w:rPr>
                        <w:rFonts w:ascii="Verdana"/>
                        <w:w w:val="84"/>
                        <w:sz w:val="12"/>
                      </w:rPr>
                      <w:t>F</w:t>
                    </w:r>
                    <w:r>
                      <w:rPr>
                        <w:rFonts w:ascii="Verdana"/>
                        <w:w w:val="89"/>
                        <w:sz w:val="12"/>
                      </w:rPr>
                      <w:t>U</w:t>
                    </w:r>
                    <w:r>
                      <w:rPr>
                        <w:rFonts w:ascii="Verdana"/>
                        <w:w w:val="98"/>
                        <w:sz w:val="12"/>
                      </w:rPr>
                      <w:t>N</w:t>
                    </w:r>
                    <w:r>
                      <w:rPr>
                        <w:rFonts w:ascii="Verdana"/>
                        <w:w w:val="108"/>
                        <w:sz w:val="12"/>
                      </w:rPr>
                      <w:t>A</w:t>
                    </w:r>
                    <w:r>
                      <w:rPr>
                        <w:rFonts w:ascii="Verdana"/>
                        <w:spacing w:val="-10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73"/>
                        <w:sz w:val="12"/>
                      </w:rPr>
                      <w:t>-</w:t>
                    </w:r>
                    <w:r>
                      <w:rPr>
                        <w:rFonts w:ascii="Verdana"/>
                        <w:spacing w:val="-9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90"/>
                        <w:sz w:val="12"/>
                      </w:rPr>
                      <w:t>H</w:t>
                    </w:r>
                    <w:r>
                      <w:rPr>
                        <w:rFonts w:ascii="Verdana"/>
                        <w:w w:val="110"/>
                        <w:sz w:val="12"/>
                      </w:rPr>
                      <w:t>O</w:t>
                    </w:r>
                    <w:r>
                      <w:rPr>
                        <w:rFonts w:ascii="Verdana"/>
                        <w:w w:val="109"/>
                        <w:sz w:val="12"/>
                      </w:rPr>
                      <w:t>M</w:t>
                    </w:r>
                    <w:r>
                      <w:rPr>
                        <w:rFonts w:ascii="Verdana"/>
                        <w:w w:val="83"/>
                        <w:sz w:val="12"/>
                      </w:rPr>
                      <w:t>B</w:t>
                    </w:r>
                    <w:r>
                      <w:rPr>
                        <w:rFonts w:ascii="Verdana"/>
                        <w:w w:val="87"/>
                        <w:sz w:val="12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84"/>
                        <w:sz w:val="12"/>
                      </w:rPr>
                      <w:t>E</w:t>
                    </w:r>
                    <w:r>
                      <w:rPr>
                        <w:rFonts w:ascii="Verdana"/>
                        <w:w w:val="72"/>
                        <w:sz w:val="12"/>
                      </w:rPr>
                      <w:t>S </w:t>
                    </w:r>
                    <w:r>
                      <w:rPr>
                        <w:rFonts w:ascii="Verdana"/>
                        <w:w w:val="90"/>
                        <w:sz w:val="12"/>
                      </w:rPr>
                      <w:t>MAYA</w:t>
                    </w:r>
                    <w:r>
                      <w:rPr>
                        <w:rFonts w:ascii="Verdana"/>
                        <w:spacing w:val="-3"/>
                        <w:w w:val="90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90"/>
                        <w:sz w:val="12"/>
                      </w:rPr>
                      <w:t>-</w:t>
                    </w:r>
                    <w:r>
                      <w:rPr>
                        <w:rFonts w:ascii="Verdana"/>
                        <w:spacing w:val="-2"/>
                        <w:w w:val="90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90"/>
                        <w:sz w:val="12"/>
                      </w:rPr>
                      <w:t>HOMBRES</w:t>
                    </w:r>
                  </w:p>
                </w:txbxContent>
              </v:textbox>
              <w10:wrap type="none"/>
            </v:shape>
            <v:shape style="position:absolute;left:6030;top:3564;width:351;height:18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90"/>
                        <w:sz w:val="15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4623;top:4283;width:1636;height:14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spacing w:val="-1"/>
                        <w:w w:val="95"/>
                        <w:sz w:val="12"/>
                      </w:rPr>
                      <w:t>Sin</w:t>
                    </w:r>
                    <w:r>
                      <w:rPr>
                        <w:rFonts w:ascii="Verdana" w:hAnsi="Verdana"/>
                        <w:spacing w:val="-6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95"/>
                        <w:sz w:val="12"/>
                      </w:rPr>
                      <w:t>Clasificación</w:t>
                    </w:r>
                    <w:r>
                      <w:rPr>
                        <w:rFonts w:ascii="Verdana" w:hAnsi="Verdana"/>
                        <w:spacing w:val="-4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95"/>
                        <w:sz w:val="12"/>
                      </w:rPr>
                      <w:t>-</w:t>
                    </w:r>
                    <w:r>
                      <w:rPr>
                        <w:rFonts w:ascii="Verdana" w:hAnsi="Verdana"/>
                        <w:spacing w:val="-6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95"/>
                        <w:sz w:val="12"/>
                      </w:rPr>
                      <w:t>HOMBRES</w:t>
                    </w:r>
                  </w:p>
                </w:txbxContent>
              </v:textbox>
              <w10:wrap type="none"/>
            </v:shape>
            <v:shape style="position:absolute;left:6565;top:3564;width:1582;height:866" type="#_x0000_t202" filled="false" stroked="false">
              <v:textbox inset="0,0,0,0">
                <w:txbxContent>
                  <w:p>
                    <w:pPr>
                      <w:spacing w:before="0"/>
                      <w:ind w:left="0" w:right="157" w:firstLine="0"/>
                      <w:jc w:val="right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sz w:val="15"/>
                      </w:rPr>
                      <w:t>2021</w:t>
                    </w:r>
                  </w:p>
                  <w:p>
                    <w:pPr>
                      <w:spacing w:line="328" w:lineRule="auto" w:before="138"/>
                      <w:ind w:left="0" w:right="341" w:firstLine="0"/>
                      <w:jc w:val="lef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spacing w:val="1"/>
                        <w:w w:val="112"/>
                        <w:sz w:val="12"/>
                      </w:rPr>
                      <w:t>G</w:t>
                    </w:r>
                    <w:r>
                      <w:rPr>
                        <w:rFonts w:ascii="Verdana"/>
                        <w:spacing w:val="-1"/>
                        <w:w w:val="108"/>
                        <w:sz w:val="12"/>
                      </w:rPr>
                      <w:t>A</w:t>
                    </w:r>
                    <w:r>
                      <w:rPr>
                        <w:rFonts w:ascii="Verdana"/>
                        <w:w w:val="87"/>
                        <w:sz w:val="12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53"/>
                        <w:sz w:val="12"/>
                      </w:rPr>
                      <w:t>I</w:t>
                    </w:r>
                    <w:r>
                      <w:rPr>
                        <w:rFonts w:ascii="Verdana"/>
                        <w:w w:val="84"/>
                        <w:sz w:val="12"/>
                      </w:rPr>
                      <w:t>F</w:t>
                    </w:r>
                    <w:r>
                      <w:rPr>
                        <w:rFonts w:ascii="Verdana"/>
                        <w:w w:val="89"/>
                        <w:sz w:val="12"/>
                      </w:rPr>
                      <w:t>U</w:t>
                    </w:r>
                    <w:r>
                      <w:rPr>
                        <w:rFonts w:ascii="Verdana"/>
                        <w:w w:val="98"/>
                        <w:sz w:val="12"/>
                      </w:rPr>
                      <w:t>N</w:t>
                    </w:r>
                    <w:r>
                      <w:rPr>
                        <w:rFonts w:ascii="Verdana"/>
                        <w:w w:val="108"/>
                        <w:sz w:val="12"/>
                      </w:rPr>
                      <w:t>A</w:t>
                    </w:r>
                    <w:r>
                      <w:rPr>
                        <w:rFonts w:ascii="Verdana"/>
                        <w:spacing w:val="-9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73"/>
                        <w:sz w:val="12"/>
                      </w:rPr>
                      <w:t>-</w:t>
                    </w:r>
                    <w:r>
                      <w:rPr>
                        <w:rFonts w:ascii="Verdana"/>
                        <w:spacing w:val="-9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109"/>
                        <w:sz w:val="12"/>
                      </w:rPr>
                      <w:t>M</w:t>
                    </w:r>
                    <w:r>
                      <w:rPr>
                        <w:rFonts w:ascii="Verdana"/>
                        <w:w w:val="89"/>
                        <w:sz w:val="12"/>
                      </w:rPr>
                      <w:t>U</w:t>
                    </w:r>
                    <w:r>
                      <w:rPr>
                        <w:rFonts w:ascii="Verdana"/>
                        <w:spacing w:val="-1"/>
                        <w:w w:val="106"/>
                        <w:sz w:val="12"/>
                      </w:rPr>
                      <w:t>J</w:t>
                    </w:r>
                    <w:r>
                      <w:rPr>
                        <w:rFonts w:ascii="Verdana"/>
                        <w:spacing w:val="1"/>
                        <w:w w:val="84"/>
                        <w:sz w:val="12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w w:val="87"/>
                        <w:sz w:val="12"/>
                      </w:rPr>
                      <w:t>R</w:t>
                    </w:r>
                    <w:r>
                      <w:rPr>
                        <w:rFonts w:ascii="Verdana"/>
                        <w:w w:val="84"/>
                        <w:sz w:val="12"/>
                      </w:rPr>
                      <w:t>E</w:t>
                    </w:r>
                    <w:r>
                      <w:rPr>
                        <w:rFonts w:ascii="Verdana"/>
                        <w:w w:val="72"/>
                        <w:sz w:val="12"/>
                      </w:rPr>
                      <w:t>S </w:t>
                    </w:r>
                    <w:r>
                      <w:rPr>
                        <w:rFonts w:ascii="Verdana"/>
                        <w:spacing w:val="-3"/>
                        <w:w w:val="95"/>
                        <w:sz w:val="12"/>
                      </w:rPr>
                      <w:t>MAYA</w:t>
                    </w:r>
                    <w:r>
                      <w:rPr>
                        <w:rFonts w:ascii="Verdana"/>
                        <w:spacing w:val="-6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Verdana"/>
                        <w:spacing w:val="-3"/>
                        <w:w w:val="95"/>
                        <w:sz w:val="12"/>
                      </w:rPr>
                      <w:t>-</w:t>
                    </w:r>
                    <w:r>
                      <w:rPr>
                        <w:rFonts w:ascii="Verdana"/>
                        <w:spacing w:val="-6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Verdana"/>
                        <w:spacing w:val="-3"/>
                        <w:w w:val="95"/>
                        <w:sz w:val="12"/>
                      </w:rPr>
                      <w:t>MUJERES</w:t>
                    </w:r>
                  </w:p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spacing w:val="-1"/>
                        <w:w w:val="95"/>
                        <w:sz w:val="12"/>
                      </w:rPr>
                      <w:t>Sin</w:t>
                    </w:r>
                    <w:r>
                      <w:rPr>
                        <w:rFonts w:ascii="Verdana" w:hAnsi="Verdana"/>
                        <w:spacing w:val="-7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95"/>
                        <w:sz w:val="12"/>
                      </w:rPr>
                      <w:t>Clasificación</w:t>
                    </w:r>
                    <w:r>
                      <w:rPr>
                        <w:rFonts w:ascii="Verdana" w:hAnsi="Verdana"/>
                        <w:spacing w:val="-6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95"/>
                        <w:sz w:val="12"/>
                      </w:rPr>
                      <w:t>-</w:t>
                    </w:r>
                    <w:r>
                      <w:rPr>
                        <w:rFonts w:ascii="Verdana" w:hAnsi="Verdana"/>
                        <w:spacing w:val="-7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Verdana" w:hAnsi="Verdana"/>
                        <w:w w:val="95"/>
                        <w:sz w:val="12"/>
                      </w:rPr>
                      <w:t>MUJERES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left="278" w:right="1075"/>
        <w:jc w:val="both"/>
      </w:pPr>
      <w:r>
        <w:rPr/>
        <w:t>Este gráfico muestra el total de la población estudiantil por niveles educativos, etnia y sexo durante el</w:t>
      </w:r>
      <w:r>
        <w:rPr>
          <w:spacing w:val="1"/>
        </w:rPr>
        <w:t> </w:t>
      </w:r>
      <w:r>
        <w:rPr/>
        <w:t>período 2017-2021, para el Departamento de Totonicapán. Según DIPLAN (2021), de las cifras anteriores,</w:t>
      </w:r>
      <w:r>
        <w:rPr>
          <w:spacing w:val="-47"/>
        </w:rPr>
        <w:t> </w:t>
      </w:r>
      <w:r>
        <w:rPr/>
        <w:t>la proporción de atención a la población estudiantil fue como sigue: Ladino: 1% de hombres y 1% de</w:t>
      </w:r>
      <w:r>
        <w:rPr>
          <w:spacing w:val="1"/>
        </w:rPr>
        <w:t> </w:t>
      </w:r>
      <w:r>
        <w:rPr/>
        <w:t>mujeres.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78"/>
        <w:jc w:val="both"/>
      </w:pPr>
      <w:r>
        <w:rPr/>
        <w:t>Maya:</w:t>
      </w:r>
      <w:r>
        <w:rPr>
          <w:spacing w:val="-4"/>
        </w:rPr>
        <w:t> </w:t>
      </w:r>
      <w:r>
        <w:rPr/>
        <w:t>50% de hombres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48% de</w:t>
      </w:r>
      <w:r>
        <w:rPr>
          <w:spacing w:val="-3"/>
        </w:rPr>
        <w:t> </w:t>
      </w:r>
      <w:r>
        <w:rPr/>
        <w:t>mujeres.</w:t>
      </w:r>
    </w:p>
    <w:p>
      <w:pPr>
        <w:pStyle w:val="BodyText"/>
        <w:spacing w:before="1"/>
      </w:pPr>
    </w:p>
    <w:p>
      <w:pPr>
        <w:pStyle w:val="BodyText"/>
        <w:ind w:left="278" w:right="1073"/>
        <w:jc w:val="both"/>
      </w:pPr>
      <w:r>
        <w:rPr/>
        <w:t>Al comparar estos resultados con la información del INE, (2018), es posible evidenciar la falta de equidad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acceso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etnias</w:t>
      </w:r>
      <w:r>
        <w:rPr>
          <w:spacing w:val="-6"/>
        </w:rPr>
        <w:t> </w:t>
      </w:r>
      <w:r>
        <w:rPr/>
        <w:t>mayoritarias. No</w:t>
      </w:r>
      <w:r>
        <w:rPr>
          <w:spacing w:val="-2"/>
        </w:rPr>
        <w:t> </w:t>
      </w:r>
      <w:r>
        <w:rPr/>
        <w:t>obstante,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mayoría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3"/>
        </w:rPr>
        <w:t> </w:t>
      </w:r>
      <w:r>
        <w:rPr/>
        <w:t>es de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etnia</w:t>
      </w:r>
      <w:r>
        <w:rPr>
          <w:spacing w:val="-48"/>
        </w:rPr>
        <w:t> </w:t>
      </w:r>
      <w:r>
        <w:rPr/>
        <w:t>Maya 98%, solamente 1 de cada 2 estudiantes puede acceder al Sistema. Es decir, un niño o adolescente</w:t>
      </w:r>
      <w:r>
        <w:rPr>
          <w:spacing w:val="1"/>
        </w:rPr>
        <w:t> </w:t>
      </w:r>
      <w:r>
        <w:rPr/>
        <w:t>Maya, no posee la misma oportunidad de entrar al sistema educativo. Esto significa que en Totonicapán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sistema</w:t>
      </w:r>
      <w:r>
        <w:rPr>
          <w:spacing w:val="-3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carece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inclusión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pertinencia</w:t>
      </w:r>
      <w:r>
        <w:rPr>
          <w:spacing w:val="-3"/>
        </w:rPr>
        <w:t> </w:t>
      </w:r>
      <w:r>
        <w:rPr/>
        <w:t>cultural.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  <w:r>
        <w:rPr/>
        <w:pict>
          <v:rect style="position:absolute;margin-left:563.880005pt;margin-top:17.317093pt;width:25.44pt;height:1.4399pt;mso-position-horizontal-relative:page;mso-position-vertical-relative:paragraph;z-index:-1535539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193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87488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50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3"/>
        <w:jc w:val="both"/>
      </w:pPr>
      <w:r>
        <w:rPr/>
        <w:t>Por otra parte, respecto del sexo se sigue presentando una brecha de atención en dónde la participación</w:t>
      </w:r>
      <w:r>
        <w:rPr>
          <w:spacing w:val="1"/>
        </w:rPr>
        <w:t> </w:t>
      </w:r>
      <w:r>
        <w:rPr/>
        <w:t>del hombre Ladino es mayor que la de la mujer sobre todo considerando que en este departamento el</w:t>
      </w:r>
      <w:r>
        <w:rPr>
          <w:spacing w:val="1"/>
        </w:rPr>
        <w:t> </w:t>
      </w:r>
      <w:r>
        <w:rPr/>
        <w:t>53% es mujer y el 47% es hombre. Es decir, –ser mujer- es un factor desfavorable para ingresar y</w:t>
      </w:r>
      <w:r>
        <w:rPr>
          <w:spacing w:val="1"/>
        </w:rPr>
        <w:t> </w:t>
      </w:r>
      <w:r>
        <w:rPr/>
        <w:t>permanecer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sistema.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4"/>
        <w:jc w:val="both"/>
      </w:pPr>
      <w:r>
        <w:rPr/>
        <w:t>Durante el período se observa una tendencia a la baja, explicada sobre todo por la deserción estudiantil</w:t>
      </w:r>
      <w:r>
        <w:rPr>
          <w:spacing w:val="1"/>
        </w:rPr>
        <w:t> </w:t>
      </w:r>
      <w:r>
        <w:rPr/>
        <w:t>sobre todo en los niveles básico y diversificado, que son los que presentan las cantidades más bajas de</w:t>
      </w:r>
      <w:r>
        <w:rPr>
          <w:spacing w:val="1"/>
        </w:rPr>
        <w:t> </w:t>
      </w:r>
      <w:r>
        <w:rPr/>
        <w:t>estudiantes.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rect style="position:absolute;margin-left:563.880005pt;margin-top:19.863102pt;width:25.44pt;height:1.4399pt;mso-position-horizontal-relative:page;mso-position-vertical-relative:paragraph;z-index:-1535385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194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89024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50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1"/>
          <w:numId w:val="36"/>
        </w:numPr>
        <w:tabs>
          <w:tab w:pos="855" w:val="left" w:leader="none"/>
        </w:tabs>
        <w:spacing w:line="240" w:lineRule="auto" w:before="52" w:after="0"/>
        <w:ind w:left="854" w:right="0" w:hanging="577"/>
        <w:jc w:val="left"/>
      </w:pPr>
      <w:bookmarkStart w:name="_bookmark244" w:id="421"/>
      <w:bookmarkEnd w:id="421"/>
      <w:r>
        <w:rPr>
          <w:b w:val="0"/>
        </w:rPr>
      </w:r>
      <w:bookmarkStart w:name="_bookmark244" w:id="422"/>
      <w:bookmarkEnd w:id="422"/>
      <w:r>
        <w:rPr>
          <w:color w:val="1F4E79"/>
        </w:rPr>
        <w:t>Zac</w:t>
      </w:r>
      <w:r>
        <w:rPr>
          <w:color w:val="1F4E79"/>
        </w:rPr>
        <w:t>apa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2"/>
          <w:numId w:val="36"/>
        </w:numPr>
        <w:tabs>
          <w:tab w:pos="999" w:val="left" w:leader="none"/>
        </w:tabs>
        <w:spacing w:line="240" w:lineRule="auto" w:before="187" w:after="0"/>
        <w:ind w:left="998" w:right="0" w:hanging="721"/>
        <w:jc w:val="left"/>
        <w:rPr>
          <w:b/>
          <w:sz w:val="24"/>
        </w:rPr>
      </w:pPr>
      <w:bookmarkStart w:name="_bookmark245" w:id="423"/>
      <w:bookmarkEnd w:id="423"/>
      <w:r>
        <w:rPr/>
      </w:r>
      <w:bookmarkStart w:name="_bookmark245" w:id="424"/>
      <w:bookmarkEnd w:id="424"/>
      <w:r>
        <w:rPr>
          <w:b/>
          <w:sz w:val="24"/>
        </w:rPr>
        <w:t>Inf</w:t>
      </w:r>
      <w:r>
        <w:rPr>
          <w:b/>
          <w:sz w:val="24"/>
        </w:rPr>
        <w:t>ormación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General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69"/>
        <w:jc w:val="both"/>
      </w:pPr>
      <w:r>
        <w:rPr/>
        <w:t>Según las cifras demográficas del Censo de Población realizado por el Instituto Nacional de estadística -</w:t>
      </w:r>
      <w:r>
        <w:rPr>
          <w:spacing w:val="1"/>
        </w:rPr>
        <w:t> </w:t>
      </w:r>
      <w:r>
        <w:rPr/>
        <w:t>INE- para el 2018, Zacapa posee una población de 245,374 con una proporción del 51% de mujeres y 49%</w:t>
      </w:r>
      <w:r>
        <w:rPr>
          <w:spacing w:val="-47"/>
        </w:rPr>
        <w:t> </w:t>
      </w:r>
      <w:r>
        <w:rPr/>
        <w:t>de hombres. Cabe destacar que el 42% de la población son niños o adolescentes, ya que se encuentran</w:t>
      </w:r>
      <w:r>
        <w:rPr>
          <w:spacing w:val="1"/>
        </w:rPr>
        <w:t> </w:t>
      </w:r>
      <w:r>
        <w:rPr/>
        <w:t>entre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rango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0</w:t>
      </w:r>
      <w:r>
        <w:rPr>
          <w:spacing w:val="-5"/>
        </w:rPr>
        <w:t> </w:t>
      </w:r>
      <w:r>
        <w:rPr/>
        <w:t>a</w:t>
      </w:r>
      <w:r>
        <w:rPr>
          <w:spacing w:val="-10"/>
        </w:rPr>
        <w:t> </w:t>
      </w:r>
      <w:r>
        <w:rPr/>
        <w:t>19</w:t>
      </w:r>
      <w:r>
        <w:rPr>
          <w:spacing w:val="-7"/>
        </w:rPr>
        <w:t> </w:t>
      </w:r>
      <w:r>
        <w:rPr/>
        <w:t>años.</w:t>
      </w:r>
      <w:r>
        <w:rPr>
          <w:spacing w:val="36"/>
        </w:rPr>
        <w:t> </w:t>
      </w:r>
      <w:r>
        <w:rPr/>
        <w:t>De</w:t>
      </w:r>
      <w:r>
        <w:rPr>
          <w:spacing w:val="-6"/>
        </w:rPr>
        <w:t> </w:t>
      </w:r>
      <w:r>
        <w:rPr/>
        <w:t>este</w:t>
      </w:r>
      <w:r>
        <w:rPr>
          <w:spacing w:val="-5"/>
        </w:rPr>
        <w:t> </w:t>
      </w:r>
      <w:r>
        <w:rPr/>
        <w:t>total,</w:t>
      </w:r>
      <w:r>
        <w:rPr>
          <w:spacing w:val="-5"/>
        </w:rPr>
        <w:t> </w:t>
      </w:r>
      <w:r>
        <w:rPr/>
        <w:t>el</w:t>
      </w:r>
      <w:r>
        <w:rPr>
          <w:spacing w:val="-9"/>
        </w:rPr>
        <w:t> </w:t>
      </w:r>
      <w:r>
        <w:rPr/>
        <w:t>44%</w:t>
      </w:r>
      <w:r>
        <w:rPr>
          <w:spacing w:val="-5"/>
        </w:rPr>
        <w:t> </w:t>
      </w:r>
      <w:r>
        <w:rPr/>
        <w:t>reside</w:t>
      </w:r>
      <w:r>
        <w:rPr>
          <w:spacing w:val="-5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área</w:t>
      </w:r>
      <w:r>
        <w:rPr>
          <w:spacing w:val="-8"/>
        </w:rPr>
        <w:t> </w:t>
      </w:r>
      <w:r>
        <w:rPr/>
        <w:t>urbana,</w:t>
      </w:r>
      <w:r>
        <w:rPr>
          <w:spacing w:val="-7"/>
        </w:rPr>
        <w:t> </w:t>
      </w:r>
      <w:r>
        <w:rPr/>
        <w:t>mientras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restante</w:t>
      </w:r>
      <w:r>
        <w:rPr>
          <w:spacing w:val="-7"/>
        </w:rPr>
        <w:t> </w:t>
      </w:r>
      <w:r>
        <w:rPr/>
        <w:t>56%</w:t>
      </w:r>
      <w:r>
        <w:rPr>
          <w:spacing w:val="-47"/>
        </w:rPr>
        <w:t> </w:t>
      </w:r>
      <w:r>
        <w:rPr/>
        <w:t>es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área</w:t>
      </w:r>
      <w:r>
        <w:rPr>
          <w:spacing w:val="1"/>
        </w:rPr>
        <w:t> </w:t>
      </w:r>
      <w:r>
        <w:rPr/>
        <w:t>rural.</w:t>
      </w:r>
    </w:p>
    <w:p>
      <w:pPr>
        <w:pStyle w:val="BodyText"/>
        <w:spacing w:before="1"/>
      </w:pPr>
    </w:p>
    <w:p>
      <w:pPr>
        <w:pStyle w:val="BodyText"/>
        <w:spacing w:before="1"/>
        <w:ind w:left="278" w:right="1070"/>
        <w:jc w:val="both"/>
      </w:pPr>
      <w:r>
        <w:rPr/>
        <w:t>De ellos, el 97% se reconoce mayoritariamente como Ladina, y el 2% de etnia Maya. Por otro lado, la</w:t>
      </w:r>
      <w:r>
        <w:rPr>
          <w:spacing w:val="1"/>
        </w:rPr>
        <w:t> </w:t>
      </w:r>
      <w:r>
        <w:rPr/>
        <w:t>comunidad</w:t>
      </w:r>
      <w:r>
        <w:rPr>
          <w:spacing w:val="-5"/>
        </w:rPr>
        <w:t> </w:t>
      </w:r>
      <w:r>
        <w:rPr/>
        <w:t>maya</w:t>
      </w:r>
      <w:r>
        <w:rPr>
          <w:spacing w:val="-3"/>
        </w:rPr>
        <w:t> </w:t>
      </w:r>
      <w:r>
        <w:rPr/>
        <w:t>lingüística</w:t>
      </w:r>
      <w:r>
        <w:rPr>
          <w:spacing w:val="-3"/>
        </w:rPr>
        <w:t> </w:t>
      </w:r>
      <w:r>
        <w:rPr/>
        <w:t>dominante</w:t>
      </w:r>
      <w:r>
        <w:rPr>
          <w:spacing w:val="-5"/>
        </w:rPr>
        <w:t> </w:t>
      </w:r>
      <w:r>
        <w:rPr/>
        <w:t>es</w:t>
      </w:r>
      <w:r>
        <w:rPr>
          <w:spacing w:val="-2"/>
        </w:rPr>
        <w:t> </w:t>
      </w:r>
      <w:r>
        <w:rPr/>
        <w:t>el</w:t>
      </w:r>
      <w:r>
        <w:rPr>
          <w:spacing w:val="-6"/>
        </w:rPr>
        <w:t> </w:t>
      </w:r>
      <w:r>
        <w:rPr/>
        <w:t>C’hortí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44%,</w:t>
      </w:r>
      <w:r>
        <w:rPr>
          <w:spacing w:val="-5"/>
        </w:rPr>
        <w:t> </w:t>
      </w:r>
      <w:r>
        <w:rPr/>
        <w:t>Chalchiteka</w:t>
      </w:r>
      <w:r>
        <w:rPr>
          <w:spacing w:val="-4"/>
        </w:rPr>
        <w:t> </w:t>
      </w:r>
      <w:r>
        <w:rPr/>
        <w:t>19%,</w:t>
      </w:r>
      <w:r>
        <w:rPr>
          <w:spacing w:val="-3"/>
        </w:rPr>
        <w:t> </w:t>
      </w:r>
      <w:r>
        <w:rPr/>
        <w:t>K’iché’</w:t>
      </w:r>
      <w:r>
        <w:rPr>
          <w:spacing w:val="-3"/>
        </w:rPr>
        <w:t> </w:t>
      </w:r>
      <w:r>
        <w:rPr/>
        <w:t>con</w:t>
      </w:r>
      <w:r>
        <w:rPr>
          <w:spacing w:val="-4"/>
        </w:rPr>
        <w:t> </w:t>
      </w:r>
      <w:r>
        <w:rPr/>
        <w:t>16%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Q’eqchí’</w:t>
      </w:r>
      <w:r>
        <w:rPr>
          <w:spacing w:val="-47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6%.</w:t>
      </w:r>
    </w:p>
    <w:p>
      <w:pPr>
        <w:pStyle w:val="BodyText"/>
        <w:spacing w:before="6"/>
        <w:rPr>
          <w:sz w:val="19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0" w:after="0"/>
        <w:ind w:left="998" w:right="0" w:hanging="721"/>
        <w:jc w:val="left"/>
      </w:pPr>
      <w:bookmarkStart w:name="_bookmark246" w:id="425"/>
      <w:bookmarkEnd w:id="425"/>
      <w:r>
        <w:rPr>
          <w:b w:val="0"/>
        </w:rPr>
      </w:r>
      <w:bookmarkStart w:name="_bookmark246" w:id="426"/>
      <w:bookmarkEnd w:id="426"/>
      <w:r>
        <w:rPr/>
        <w:t>Situ</w:t>
      </w:r>
      <w:r>
        <w:rPr/>
        <w:t>ación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Sistema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Nacional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after="6"/>
        <w:ind w:left="278" w:right="1075"/>
        <w:jc w:val="both"/>
      </w:pPr>
      <w:r>
        <w:rPr/>
        <w:t>Tabla</w:t>
      </w:r>
      <w:r>
        <w:rPr>
          <w:spacing w:val="1"/>
        </w:rPr>
        <w:t> </w:t>
      </w:r>
      <w:r>
        <w:rPr/>
        <w:t>Nº.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Cobertura: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Bruta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Académico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47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de Zacapa</w:t>
      </w:r>
    </w:p>
    <w:tbl>
      <w:tblPr>
        <w:tblW w:w="0" w:type="auto"/>
        <w:jc w:val="left"/>
        <w:tblInd w:w="3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8"/>
        <w:gridCol w:w="1259"/>
        <w:gridCol w:w="1439"/>
        <w:gridCol w:w="1415"/>
        <w:gridCol w:w="1417"/>
        <w:gridCol w:w="1439"/>
        <w:gridCol w:w="1216"/>
      </w:tblGrid>
      <w:tr>
        <w:trPr>
          <w:trHeight w:val="432" w:hRule="atLeast"/>
        </w:trPr>
        <w:tc>
          <w:tcPr>
            <w:tcW w:w="1308" w:type="dxa"/>
            <w:tcBorders>
              <w:bottom w:val="single" w:sz="8" w:space="0" w:color="8EA9DB"/>
            </w:tcBorders>
            <w:shd w:val="clear" w:color="auto" w:fill="D9E0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85" w:type="dxa"/>
            <w:gridSpan w:val="6"/>
            <w:tcBorders>
              <w:bottom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182" w:lineRule="exact"/>
              <w:ind w:left="7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pacing w:val="-7"/>
                <w:w w:val="110"/>
                <w:sz w:val="17"/>
              </w:rPr>
              <w:t>PREPRIMARIA</w:t>
            </w:r>
            <w:r>
              <w:rPr>
                <w:rFonts w:ascii="Arial"/>
                <w:b/>
                <w:color w:val="FFFFFF"/>
                <w:spacing w:val="44"/>
                <w:w w:val="110"/>
                <w:sz w:val="17"/>
              </w:rPr>
              <w:t> </w:t>
            </w:r>
            <w:r>
              <w:rPr>
                <w:rFonts w:ascii="Arial"/>
                <w:b/>
                <w:color w:val="FFFFFF"/>
                <w:spacing w:val="-7"/>
                <w:w w:val="110"/>
                <w:sz w:val="17"/>
              </w:rPr>
              <w:t>PRIMARIA</w:t>
            </w:r>
            <w:r>
              <w:rPr>
                <w:rFonts w:ascii="Arial"/>
                <w:b/>
                <w:color w:val="FFFFFF"/>
                <w:spacing w:val="88"/>
                <w:w w:val="110"/>
                <w:sz w:val="17"/>
              </w:rPr>
              <w:t> </w:t>
            </w:r>
            <w:r>
              <w:rPr>
                <w:rFonts w:ascii="Arial"/>
                <w:b/>
                <w:color w:val="FFFFFF"/>
                <w:spacing w:val="-7"/>
                <w:w w:val="110"/>
                <w:sz w:val="17"/>
              </w:rPr>
              <w:t>PRIMARIA</w:t>
            </w:r>
            <w:r>
              <w:rPr>
                <w:rFonts w:ascii="Arial"/>
                <w:b/>
                <w:color w:val="FFFFFF"/>
                <w:spacing w:val="4"/>
                <w:w w:val="110"/>
                <w:sz w:val="17"/>
              </w:rPr>
              <w:t> </w:t>
            </w:r>
            <w:r>
              <w:rPr>
                <w:rFonts w:ascii="Arial"/>
                <w:b/>
                <w:color w:val="FFFFFF"/>
                <w:spacing w:val="-7"/>
                <w:w w:val="110"/>
                <w:sz w:val="17"/>
              </w:rPr>
              <w:t>DE</w:t>
            </w:r>
            <w:r>
              <w:rPr>
                <w:rFonts w:ascii="Arial"/>
                <w:b/>
                <w:color w:val="FFFFFF"/>
                <w:spacing w:val="-29"/>
                <w:w w:val="110"/>
                <w:sz w:val="17"/>
              </w:rPr>
              <w:t> </w:t>
            </w:r>
            <w:r>
              <w:rPr>
                <w:rFonts w:ascii="Arial"/>
                <w:b/>
                <w:color w:val="FFFFFF"/>
                <w:spacing w:val="-6"/>
                <w:w w:val="110"/>
                <w:sz w:val="17"/>
              </w:rPr>
              <w:t>ADULTOS</w:t>
            </w:r>
            <w:r>
              <w:rPr>
                <w:rFonts w:ascii="Arial"/>
                <w:b/>
                <w:color w:val="FFFFFF"/>
                <w:spacing w:val="46"/>
                <w:w w:val="110"/>
                <w:sz w:val="17"/>
              </w:rPr>
              <w:t> </w:t>
            </w:r>
            <w:r>
              <w:rPr>
                <w:rFonts w:ascii="Arial"/>
                <w:b/>
                <w:color w:val="FFFFFF"/>
                <w:spacing w:val="-6"/>
                <w:w w:val="110"/>
                <w:sz w:val="17"/>
              </w:rPr>
              <w:t>BASICO</w:t>
            </w:r>
            <w:r>
              <w:rPr>
                <w:rFonts w:ascii="Arial"/>
                <w:b/>
                <w:color w:val="FFFFFF"/>
                <w:spacing w:val="95"/>
                <w:w w:val="110"/>
                <w:sz w:val="17"/>
              </w:rPr>
              <w:t> </w:t>
            </w:r>
            <w:r>
              <w:rPr>
                <w:rFonts w:ascii="Arial"/>
                <w:b/>
                <w:color w:val="FFFFFF"/>
                <w:spacing w:val="-6"/>
                <w:w w:val="110"/>
                <w:sz w:val="17"/>
              </w:rPr>
              <w:t>DIVERSIFICADO</w:t>
            </w:r>
            <w:r>
              <w:rPr>
                <w:rFonts w:ascii="Arial"/>
                <w:b/>
                <w:color w:val="FFFFFF"/>
                <w:spacing w:val="78"/>
                <w:w w:val="110"/>
                <w:sz w:val="17"/>
              </w:rPr>
              <w:t> </w:t>
            </w:r>
            <w:r>
              <w:rPr>
                <w:rFonts w:ascii="Arial"/>
                <w:b/>
                <w:color w:val="FFFFFF"/>
                <w:spacing w:val="-6"/>
                <w:w w:val="110"/>
                <w:sz w:val="17"/>
              </w:rPr>
              <w:t>Tota</w:t>
            </w:r>
            <w:r>
              <w:rPr>
                <w:rFonts w:ascii="Arial"/>
                <w:b/>
                <w:color w:val="FFFFFF"/>
                <w:spacing w:val="-35"/>
                <w:w w:val="110"/>
                <w:sz w:val="17"/>
              </w:rPr>
              <w:t> </w:t>
            </w:r>
            <w:r>
              <w:rPr>
                <w:rFonts w:ascii="Arial"/>
                <w:b/>
                <w:color w:val="FFFFFF"/>
                <w:spacing w:val="-6"/>
                <w:w w:val="110"/>
                <w:sz w:val="17"/>
              </w:rPr>
              <w:t>l</w:t>
            </w:r>
            <w:r>
              <w:rPr>
                <w:rFonts w:ascii="Arial"/>
                <w:b/>
                <w:color w:val="FFFFFF"/>
                <w:spacing w:val="-8"/>
                <w:w w:val="110"/>
                <w:sz w:val="17"/>
              </w:rPr>
              <w:t> </w:t>
            </w:r>
            <w:r>
              <w:rPr>
                <w:rFonts w:ascii="Arial"/>
                <w:b/>
                <w:color w:val="FFFFFF"/>
                <w:spacing w:val="-6"/>
                <w:w w:val="110"/>
                <w:sz w:val="17"/>
              </w:rPr>
              <w:t>general</w:t>
            </w:r>
          </w:p>
        </w:tc>
      </w:tr>
      <w:tr>
        <w:trPr>
          <w:trHeight w:val="191" w:hRule="atLeast"/>
        </w:trPr>
        <w:tc>
          <w:tcPr>
            <w:tcW w:w="1308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9" w:lineRule="exact"/>
              <w:ind w:right="461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2017</w:t>
            </w:r>
          </w:p>
        </w:tc>
        <w:tc>
          <w:tcPr>
            <w:tcW w:w="1259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9" w:lineRule="exact"/>
              <w:ind w:right="328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11,614</w:t>
            </w:r>
          </w:p>
        </w:tc>
        <w:tc>
          <w:tcPr>
            <w:tcW w:w="1439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9" w:lineRule="exact"/>
              <w:ind w:left="330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36,211</w:t>
            </w:r>
          </w:p>
        </w:tc>
        <w:tc>
          <w:tcPr>
            <w:tcW w:w="1415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9" w:lineRule="exact"/>
              <w:ind w:left="591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359</w:t>
            </w:r>
          </w:p>
        </w:tc>
        <w:tc>
          <w:tcPr>
            <w:tcW w:w="1417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9" w:lineRule="exact"/>
              <w:ind w:right="356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12,364</w:t>
            </w:r>
          </w:p>
        </w:tc>
        <w:tc>
          <w:tcPr>
            <w:tcW w:w="1439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9" w:lineRule="exact"/>
              <w:ind w:left="35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6,416</w:t>
            </w:r>
          </w:p>
        </w:tc>
        <w:tc>
          <w:tcPr>
            <w:tcW w:w="1216" w:type="dxa"/>
            <w:tcBorders>
              <w:top w:val="single" w:sz="8" w:space="0" w:color="8EA9DB"/>
            </w:tcBorders>
          </w:tcPr>
          <w:p>
            <w:pPr>
              <w:pStyle w:val="TableParagraph"/>
              <w:spacing w:line="169" w:lineRule="exact"/>
              <w:ind w:right="40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66,964</w:t>
            </w:r>
          </w:p>
        </w:tc>
      </w:tr>
      <w:tr>
        <w:trPr>
          <w:trHeight w:val="209" w:hRule="atLeast"/>
        </w:trPr>
        <w:tc>
          <w:tcPr>
            <w:tcW w:w="1308" w:type="dxa"/>
          </w:tcPr>
          <w:p>
            <w:pPr>
              <w:pStyle w:val="TableParagraph"/>
              <w:spacing w:line="183" w:lineRule="exact" w:before="6"/>
              <w:ind w:right="461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2018</w:t>
            </w:r>
          </w:p>
        </w:tc>
        <w:tc>
          <w:tcPr>
            <w:tcW w:w="1259" w:type="dxa"/>
          </w:tcPr>
          <w:p>
            <w:pPr>
              <w:pStyle w:val="TableParagraph"/>
              <w:spacing w:line="183" w:lineRule="exact" w:before="6"/>
              <w:ind w:right="328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12,153</w:t>
            </w:r>
          </w:p>
        </w:tc>
        <w:tc>
          <w:tcPr>
            <w:tcW w:w="1439" w:type="dxa"/>
          </w:tcPr>
          <w:p>
            <w:pPr>
              <w:pStyle w:val="TableParagraph"/>
              <w:spacing w:line="183" w:lineRule="exact" w:before="6"/>
              <w:ind w:left="330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36,522</w:t>
            </w:r>
          </w:p>
        </w:tc>
        <w:tc>
          <w:tcPr>
            <w:tcW w:w="1415" w:type="dxa"/>
          </w:tcPr>
          <w:p>
            <w:pPr>
              <w:pStyle w:val="TableParagraph"/>
              <w:spacing w:line="183" w:lineRule="exact" w:before="6"/>
              <w:ind w:left="591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366</w:t>
            </w:r>
          </w:p>
        </w:tc>
        <w:tc>
          <w:tcPr>
            <w:tcW w:w="1417" w:type="dxa"/>
          </w:tcPr>
          <w:p>
            <w:pPr>
              <w:pStyle w:val="TableParagraph"/>
              <w:spacing w:line="183" w:lineRule="exact" w:before="6"/>
              <w:ind w:right="356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12,291</w:t>
            </w:r>
          </w:p>
        </w:tc>
        <w:tc>
          <w:tcPr>
            <w:tcW w:w="1439" w:type="dxa"/>
          </w:tcPr>
          <w:p>
            <w:pPr>
              <w:pStyle w:val="TableParagraph"/>
              <w:spacing w:line="183" w:lineRule="exact" w:before="6"/>
              <w:ind w:left="35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6,614</w:t>
            </w:r>
          </w:p>
        </w:tc>
        <w:tc>
          <w:tcPr>
            <w:tcW w:w="1216" w:type="dxa"/>
          </w:tcPr>
          <w:p>
            <w:pPr>
              <w:pStyle w:val="TableParagraph"/>
              <w:spacing w:line="183" w:lineRule="exact" w:before="6"/>
              <w:ind w:right="40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67,946</w:t>
            </w:r>
          </w:p>
        </w:tc>
      </w:tr>
      <w:tr>
        <w:trPr>
          <w:trHeight w:val="209" w:hRule="atLeast"/>
        </w:trPr>
        <w:tc>
          <w:tcPr>
            <w:tcW w:w="1308" w:type="dxa"/>
          </w:tcPr>
          <w:p>
            <w:pPr>
              <w:pStyle w:val="TableParagraph"/>
              <w:spacing w:line="183" w:lineRule="exact" w:before="6"/>
              <w:ind w:right="461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2019</w:t>
            </w:r>
          </w:p>
        </w:tc>
        <w:tc>
          <w:tcPr>
            <w:tcW w:w="1259" w:type="dxa"/>
          </w:tcPr>
          <w:p>
            <w:pPr>
              <w:pStyle w:val="TableParagraph"/>
              <w:spacing w:line="183" w:lineRule="exact" w:before="6"/>
              <w:ind w:right="328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12,074</w:t>
            </w:r>
          </w:p>
        </w:tc>
        <w:tc>
          <w:tcPr>
            <w:tcW w:w="1439" w:type="dxa"/>
          </w:tcPr>
          <w:p>
            <w:pPr>
              <w:pStyle w:val="TableParagraph"/>
              <w:spacing w:line="183" w:lineRule="exact" w:before="6"/>
              <w:ind w:left="330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36,443</w:t>
            </w:r>
          </w:p>
        </w:tc>
        <w:tc>
          <w:tcPr>
            <w:tcW w:w="1415" w:type="dxa"/>
          </w:tcPr>
          <w:p>
            <w:pPr>
              <w:pStyle w:val="TableParagraph"/>
              <w:spacing w:line="183" w:lineRule="exact" w:before="6"/>
              <w:ind w:left="591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387</w:t>
            </w:r>
          </w:p>
        </w:tc>
        <w:tc>
          <w:tcPr>
            <w:tcW w:w="1417" w:type="dxa"/>
          </w:tcPr>
          <w:p>
            <w:pPr>
              <w:pStyle w:val="TableParagraph"/>
              <w:spacing w:line="183" w:lineRule="exact" w:before="6"/>
              <w:ind w:right="356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12,142</w:t>
            </w:r>
          </w:p>
        </w:tc>
        <w:tc>
          <w:tcPr>
            <w:tcW w:w="1439" w:type="dxa"/>
          </w:tcPr>
          <w:p>
            <w:pPr>
              <w:pStyle w:val="TableParagraph"/>
              <w:spacing w:line="183" w:lineRule="exact" w:before="6"/>
              <w:ind w:left="35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6,495</w:t>
            </w:r>
          </w:p>
        </w:tc>
        <w:tc>
          <w:tcPr>
            <w:tcW w:w="1216" w:type="dxa"/>
          </w:tcPr>
          <w:p>
            <w:pPr>
              <w:pStyle w:val="TableParagraph"/>
              <w:spacing w:line="183" w:lineRule="exact" w:before="6"/>
              <w:ind w:right="40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67,541</w:t>
            </w:r>
          </w:p>
        </w:tc>
      </w:tr>
      <w:tr>
        <w:trPr>
          <w:trHeight w:val="209" w:hRule="atLeast"/>
        </w:trPr>
        <w:tc>
          <w:tcPr>
            <w:tcW w:w="1308" w:type="dxa"/>
          </w:tcPr>
          <w:p>
            <w:pPr>
              <w:pStyle w:val="TableParagraph"/>
              <w:spacing w:line="183" w:lineRule="exact" w:before="6"/>
              <w:ind w:right="461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2020</w:t>
            </w:r>
          </w:p>
        </w:tc>
        <w:tc>
          <w:tcPr>
            <w:tcW w:w="1259" w:type="dxa"/>
          </w:tcPr>
          <w:p>
            <w:pPr>
              <w:pStyle w:val="TableParagraph"/>
              <w:spacing w:line="183" w:lineRule="exact" w:before="6"/>
              <w:ind w:right="328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11,854</w:t>
            </w:r>
          </w:p>
        </w:tc>
        <w:tc>
          <w:tcPr>
            <w:tcW w:w="1439" w:type="dxa"/>
          </w:tcPr>
          <w:p>
            <w:pPr>
              <w:pStyle w:val="TableParagraph"/>
              <w:spacing w:line="183" w:lineRule="exact" w:before="6"/>
              <w:ind w:left="330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36,814</w:t>
            </w:r>
          </w:p>
        </w:tc>
        <w:tc>
          <w:tcPr>
            <w:tcW w:w="1415" w:type="dxa"/>
          </w:tcPr>
          <w:p>
            <w:pPr>
              <w:pStyle w:val="TableParagraph"/>
              <w:spacing w:line="183" w:lineRule="exact" w:before="6"/>
              <w:ind w:left="591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279</w:t>
            </w:r>
          </w:p>
        </w:tc>
        <w:tc>
          <w:tcPr>
            <w:tcW w:w="1417" w:type="dxa"/>
          </w:tcPr>
          <w:p>
            <w:pPr>
              <w:pStyle w:val="TableParagraph"/>
              <w:spacing w:line="183" w:lineRule="exact" w:before="6"/>
              <w:ind w:right="356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11,795</w:t>
            </w:r>
          </w:p>
        </w:tc>
        <w:tc>
          <w:tcPr>
            <w:tcW w:w="1439" w:type="dxa"/>
          </w:tcPr>
          <w:p>
            <w:pPr>
              <w:pStyle w:val="TableParagraph"/>
              <w:spacing w:line="183" w:lineRule="exact" w:before="6"/>
              <w:ind w:left="35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6,330</w:t>
            </w:r>
          </w:p>
        </w:tc>
        <w:tc>
          <w:tcPr>
            <w:tcW w:w="1216" w:type="dxa"/>
          </w:tcPr>
          <w:p>
            <w:pPr>
              <w:pStyle w:val="TableParagraph"/>
              <w:spacing w:line="183" w:lineRule="exact" w:before="6"/>
              <w:ind w:right="40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67,072</w:t>
            </w:r>
          </w:p>
        </w:tc>
      </w:tr>
      <w:tr>
        <w:trPr>
          <w:trHeight w:val="201" w:hRule="atLeast"/>
        </w:trPr>
        <w:tc>
          <w:tcPr>
            <w:tcW w:w="1308" w:type="dxa"/>
          </w:tcPr>
          <w:p>
            <w:pPr>
              <w:pStyle w:val="TableParagraph"/>
              <w:spacing w:line="176" w:lineRule="exact" w:before="6"/>
              <w:ind w:right="461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2021</w:t>
            </w:r>
          </w:p>
        </w:tc>
        <w:tc>
          <w:tcPr>
            <w:tcW w:w="1259" w:type="dxa"/>
          </w:tcPr>
          <w:p>
            <w:pPr>
              <w:pStyle w:val="TableParagraph"/>
              <w:spacing w:line="176" w:lineRule="exact" w:before="6"/>
              <w:ind w:right="328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13,301</w:t>
            </w:r>
          </w:p>
        </w:tc>
        <w:tc>
          <w:tcPr>
            <w:tcW w:w="1439" w:type="dxa"/>
          </w:tcPr>
          <w:p>
            <w:pPr>
              <w:pStyle w:val="TableParagraph"/>
              <w:spacing w:line="176" w:lineRule="exact" w:before="6"/>
              <w:ind w:left="330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37,963</w:t>
            </w:r>
          </w:p>
        </w:tc>
        <w:tc>
          <w:tcPr>
            <w:tcW w:w="1415" w:type="dxa"/>
          </w:tcPr>
          <w:p>
            <w:pPr>
              <w:pStyle w:val="TableParagraph"/>
              <w:spacing w:line="176" w:lineRule="exact" w:before="6"/>
              <w:ind w:left="629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line="176" w:lineRule="exact" w:before="6"/>
              <w:ind w:right="356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11,427</w:t>
            </w:r>
          </w:p>
        </w:tc>
        <w:tc>
          <w:tcPr>
            <w:tcW w:w="1439" w:type="dxa"/>
          </w:tcPr>
          <w:p>
            <w:pPr>
              <w:pStyle w:val="TableParagraph"/>
              <w:spacing w:line="176" w:lineRule="exact" w:before="6"/>
              <w:ind w:left="35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6,301</w:t>
            </w:r>
          </w:p>
        </w:tc>
        <w:tc>
          <w:tcPr>
            <w:tcW w:w="1216" w:type="dxa"/>
          </w:tcPr>
          <w:p>
            <w:pPr>
              <w:pStyle w:val="TableParagraph"/>
              <w:spacing w:line="176" w:lineRule="exact" w:before="6"/>
              <w:ind w:right="40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69,058</w:t>
            </w:r>
          </w:p>
        </w:tc>
      </w:tr>
    </w:tbl>
    <w:tbl>
      <w:tblPr>
        <w:tblW w:w="0" w:type="auto"/>
        <w:jc w:val="left"/>
        <w:tblInd w:w="2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8"/>
        <w:gridCol w:w="1234"/>
        <w:gridCol w:w="1464"/>
        <w:gridCol w:w="1446"/>
        <w:gridCol w:w="1361"/>
        <w:gridCol w:w="1421"/>
        <w:gridCol w:w="1260"/>
      </w:tblGrid>
      <w:tr>
        <w:trPr>
          <w:trHeight w:val="224" w:hRule="atLeast"/>
        </w:trPr>
        <w:tc>
          <w:tcPr>
            <w:tcW w:w="1308" w:type="dxa"/>
            <w:tcBorders>
              <w:top w:val="single" w:sz="8" w:space="0" w:color="8EA9DB"/>
            </w:tcBorders>
            <w:shd w:val="clear" w:color="auto" w:fill="D9E0F1"/>
          </w:tcPr>
          <w:p>
            <w:pPr>
              <w:pStyle w:val="TableParagraph"/>
              <w:spacing w:before="14"/>
              <w:ind w:left="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Tota</w:t>
            </w:r>
            <w:r>
              <w:rPr>
                <w:rFonts w:ascii="Arial"/>
                <w:b/>
                <w:spacing w:val="-29"/>
                <w:w w:val="105"/>
                <w:sz w:val="16"/>
              </w:rPr>
              <w:t> </w:t>
            </w:r>
            <w:r>
              <w:rPr>
                <w:rFonts w:ascii="Arial"/>
                <w:b/>
                <w:w w:val="105"/>
                <w:sz w:val="16"/>
              </w:rPr>
              <w:t>l</w:t>
            </w:r>
            <w:r>
              <w:rPr>
                <w:rFonts w:ascii="Arial"/>
                <w:b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b/>
                <w:w w:val="105"/>
                <w:sz w:val="16"/>
              </w:rPr>
              <w:t>general</w:t>
            </w:r>
          </w:p>
        </w:tc>
        <w:tc>
          <w:tcPr>
            <w:tcW w:w="1234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4"/>
              <w:ind w:left="38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w w:val="110"/>
                <w:sz w:val="17"/>
              </w:rPr>
              <w:t>60,996</w:t>
            </w:r>
          </w:p>
        </w:tc>
        <w:tc>
          <w:tcPr>
            <w:tcW w:w="1464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4"/>
              <w:ind w:left="28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w w:val="110"/>
                <w:sz w:val="17"/>
              </w:rPr>
              <w:t>183,953</w:t>
            </w:r>
          </w:p>
        </w:tc>
        <w:tc>
          <w:tcPr>
            <w:tcW w:w="1446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4"/>
              <w:ind w:left="50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w w:val="110"/>
                <w:sz w:val="17"/>
              </w:rPr>
              <w:t>1,457</w:t>
            </w:r>
          </w:p>
        </w:tc>
        <w:tc>
          <w:tcPr>
            <w:tcW w:w="1361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4"/>
              <w:ind w:left="4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w w:val="110"/>
                <w:sz w:val="17"/>
              </w:rPr>
              <w:t>60,019</w:t>
            </w:r>
          </w:p>
        </w:tc>
        <w:tc>
          <w:tcPr>
            <w:tcW w:w="1421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4"/>
              <w:ind w:left="3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w w:val="110"/>
                <w:sz w:val="17"/>
              </w:rPr>
              <w:t>32,156</w:t>
            </w:r>
          </w:p>
        </w:tc>
        <w:tc>
          <w:tcPr>
            <w:tcW w:w="1260" w:type="dxa"/>
            <w:tcBorders>
              <w:top w:val="single" w:sz="8" w:space="0" w:color="8EA9DB"/>
            </w:tcBorders>
            <w:shd w:val="clear" w:color="auto" w:fill="585858"/>
          </w:tcPr>
          <w:p>
            <w:pPr>
              <w:pStyle w:val="TableParagraph"/>
              <w:spacing w:before="4"/>
              <w:ind w:left="54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w w:val="110"/>
                <w:sz w:val="17"/>
              </w:rPr>
              <w:t>338,581</w:t>
            </w:r>
          </w:p>
        </w:tc>
      </w:tr>
    </w:tbl>
    <w:p>
      <w:pPr>
        <w:spacing w:before="9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3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4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3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2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278" w:right="1071"/>
        <w:jc w:val="both"/>
      </w:pPr>
      <w:r>
        <w:rPr/>
        <w:t>Para el período analizado, el total de estudiantes atendidos durante este período fue de 338,581. En el</w:t>
      </w:r>
      <w:r>
        <w:rPr>
          <w:spacing w:val="1"/>
        </w:rPr>
        <w:t> </w:t>
      </w:r>
      <w:r>
        <w:rPr/>
        <w:t>2017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tuvo</w:t>
      </w:r>
      <w:r>
        <w:rPr>
          <w:spacing w:val="-8"/>
        </w:rPr>
        <w:t> </w:t>
      </w:r>
      <w:r>
        <w:rPr/>
        <w:t>una</w:t>
      </w:r>
      <w:r>
        <w:rPr>
          <w:spacing w:val="-11"/>
        </w:rPr>
        <w:t> </w:t>
      </w:r>
      <w:r>
        <w:rPr/>
        <w:t>población</w:t>
      </w:r>
      <w:r>
        <w:rPr>
          <w:spacing w:val="-10"/>
        </w:rPr>
        <w:t> </w:t>
      </w:r>
      <w:r>
        <w:rPr/>
        <w:t>estudiantil</w:t>
      </w:r>
      <w:r>
        <w:rPr>
          <w:spacing w:val="-11"/>
        </w:rPr>
        <w:t> </w:t>
      </w:r>
      <w:r>
        <w:rPr/>
        <w:t>total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66,964.</w:t>
      </w:r>
      <w:r>
        <w:rPr>
          <w:spacing w:val="29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2018,</w:t>
      </w:r>
      <w:r>
        <w:rPr>
          <w:spacing w:val="-9"/>
        </w:rPr>
        <w:t> </w:t>
      </w:r>
      <w:r>
        <w:rPr/>
        <w:t>un</w:t>
      </w:r>
      <w:r>
        <w:rPr>
          <w:spacing w:val="-11"/>
        </w:rPr>
        <w:t> </w:t>
      </w:r>
      <w:r>
        <w:rPr/>
        <w:t>incremento</w:t>
      </w:r>
      <w:r>
        <w:rPr>
          <w:spacing w:val="-11"/>
        </w:rPr>
        <w:t> </w:t>
      </w:r>
      <w:r>
        <w:rPr/>
        <w:t>del</w:t>
      </w:r>
      <w:r>
        <w:rPr>
          <w:spacing w:val="-9"/>
        </w:rPr>
        <w:t> </w:t>
      </w:r>
      <w:r>
        <w:rPr/>
        <w:t>total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población</w:t>
      </w:r>
      <w:r>
        <w:rPr>
          <w:spacing w:val="-47"/>
        </w:rPr>
        <w:t> </w:t>
      </w:r>
      <w:r>
        <w:rPr/>
        <w:t>estudiantil reportando 67,946 En el 2019, registraron 67541. El 2020, reportó tuvo una leve baja con</w:t>
      </w:r>
      <w:r>
        <w:rPr>
          <w:spacing w:val="1"/>
        </w:rPr>
        <w:t> </w:t>
      </w:r>
      <w:r>
        <w:rPr/>
        <w:t>67,072</w:t>
      </w:r>
      <w:r>
        <w:rPr>
          <w:spacing w:val="-1"/>
        </w:rPr>
        <w:t> </w:t>
      </w:r>
      <w:r>
        <w:rPr/>
        <w:t>estudiantes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para</w:t>
      </w:r>
      <w:r>
        <w:rPr>
          <w:spacing w:val="-6"/>
        </w:rPr>
        <w:t> </w:t>
      </w:r>
      <w:r>
        <w:rPr/>
        <w:t>el 2021,</w:t>
      </w:r>
      <w:r>
        <w:rPr>
          <w:spacing w:val="-2"/>
        </w:rPr>
        <w:t> </w:t>
      </w:r>
      <w:r>
        <w:rPr/>
        <w:t>69,058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278" w:right="1075"/>
        <w:jc w:val="both"/>
      </w:pPr>
      <w:r>
        <w:rPr/>
        <w:t>Como se muestra, el nivel que presentó más crecimiento fue la Primaria representando el 51% de la</w:t>
      </w:r>
      <w:r>
        <w:rPr>
          <w:spacing w:val="1"/>
        </w:rPr>
        <w:t> </w:t>
      </w:r>
      <w:r>
        <w:rPr/>
        <w:t>población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este</w:t>
      </w:r>
      <w:r>
        <w:rPr>
          <w:spacing w:val="-3"/>
        </w:rPr>
        <w:t> </w:t>
      </w:r>
      <w:r>
        <w:rPr/>
        <w:t>período.</w:t>
      </w:r>
      <w:r>
        <w:rPr>
          <w:spacing w:val="-4"/>
        </w:rPr>
        <w:t> </w:t>
      </w:r>
      <w:r>
        <w:rPr/>
        <w:t>Seguido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los</w:t>
      </w:r>
      <w:r>
        <w:rPr>
          <w:spacing w:val="-6"/>
        </w:rPr>
        <w:t> </w:t>
      </w:r>
      <w:r>
        <w:rPr/>
        <w:t>niveles</w:t>
      </w:r>
      <w:r>
        <w:rPr>
          <w:spacing w:val="-4"/>
        </w:rPr>
        <w:t> </w:t>
      </w:r>
      <w:r>
        <w:rPr/>
        <w:t>preprimaria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básicas</w:t>
      </w:r>
      <w:r>
        <w:rPr>
          <w:spacing w:val="-6"/>
        </w:rPr>
        <w:t> </w:t>
      </w:r>
      <w:r>
        <w:rPr/>
        <w:t>con</w:t>
      </w:r>
      <w:r>
        <w:rPr>
          <w:spacing w:val="-4"/>
        </w:rPr>
        <w:t> </w:t>
      </w:r>
      <w:r>
        <w:rPr/>
        <w:t>un</w:t>
      </w:r>
      <w:r>
        <w:rPr>
          <w:spacing w:val="-6"/>
        </w:rPr>
        <w:t> </w:t>
      </w:r>
      <w:r>
        <w:rPr/>
        <w:t>18%</w:t>
      </w:r>
      <w:r>
        <w:rPr>
          <w:spacing w:val="-5"/>
        </w:rPr>
        <w:t> </w:t>
      </w:r>
      <w:r>
        <w:rPr/>
        <w:t>cada</w:t>
      </w:r>
      <w:r>
        <w:rPr>
          <w:spacing w:val="-6"/>
        </w:rPr>
        <w:t> </w:t>
      </w:r>
      <w:r>
        <w:rPr/>
        <w:t>uno.</w:t>
      </w:r>
      <w:r>
        <w:rPr>
          <w:spacing w:val="-4"/>
        </w:rPr>
        <w:t> </w:t>
      </w:r>
      <w:r>
        <w:rPr/>
        <w:t>Situando</w:t>
      </w:r>
      <w:r>
        <w:rPr>
          <w:spacing w:val="-48"/>
        </w:rPr>
        <w:t> </w:t>
      </w:r>
      <w:r>
        <w:rPr/>
        <w:t>en</w:t>
      </w:r>
      <w:r>
        <w:rPr>
          <w:spacing w:val="-1"/>
        </w:rPr>
        <w:t> </w:t>
      </w:r>
      <w:r>
        <w:rPr/>
        <w:t>el penúltimo sitio</w:t>
      </w:r>
      <w:r>
        <w:rPr>
          <w:spacing w:val="1"/>
        </w:rPr>
        <w:t> </w:t>
      </w:r>
      <w:r>
        <w:rPr/>
        <w:t>al</w:t>
      </w:r>
      <w:r>
        <w:rPr>
          <w:spacing w:val="-3"/>
        </w:rPr>
        <w:t> </w:t>
      </w:r>
      <w:r>
        <w:rPr/>
        <w:t>diversificado</w:t>
      </w:r>
      <w:r>
        <w:rPr>
          <w:spacing w:val="-3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9%.</w:t>
      </w:r>
      <w:r>
        <w:rPr>
          <w:spacing w:val="-1"/>
        </w:rPr>
        <w:t> </w:t>
      </w:r>
      <w:r>
        <w:rPr/>
        <w:t>Y finalizando, con</w:t>
      </w:r>
      <w:r>
        <w:rPr>
          <w:spacing w:val="-5"/>
        </w:rPr>
        <w:t> </w:t>
      </w:r>
      <w:r>
        <w:rPr/>
        <w:t>la Primaria</w:t>
      </w:r>
      <w:r>
        <w:rPr>
          <w:spacing w:val="-3"/>
        </w:rPr>
        <w:t> </w:t>
      </w:r>
      <w:r>
        <w:rPr/>
        <w:t>para</w:t>
      </w:r>
      <w:r>
        <w:rPr>
          <w:spacing w:val="-1"/>
        </w:rPr>
        <w:t> </w:t>
      </w:r>
      <w:r>
        <w:rPr/>
        <w:t>Adultos</w:t>
      </w:r>
    </w:p>
    <w:p>
      <w:pPr>
        <w:pStyle w:val="BodyText"/>
        <w:spacing w:before="7"/>
        <w:rPr>
          <w:sz w:val="15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52" w:after="0"/>
        <w:ind w:left="998" w:right="0" w:hanging="721"/>
        <w:jc w:val="left"/>
      </w:pPr>
      <w:bookmarkStart w:name="_bookmark247" w:id="427"/>
      <w:bookmarkEnd w:id="427"/>
      <w:r>
        <w:rPr>
          <w:b w:val="0"/>
        </w:rPr>
      </w:r>
      <w:bookmarkStart w:name="_bookmark247" w:id="428"/>
      <w:bookmarkEnd w:id="428"/>
      <w:r>
        <w:rPr>
          <w:shd w:fill="FFFFFF" w:color="auto" w:val="clear"/>
        </w:rPr>
        <w:t>I</w:t>
      </w:r>
      <w:r>
        <w:rPr>
          <w:shd w:fill="FFFFFF" w:color="auto" w:val="clear"/>
        </w:rPr>
        <w:t>ndicador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Cobertura: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Tasa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Neta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Cobertura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0"/>
        <w:jc w:val="both"/>
      </w:pPr>
      <w:r>
        <w:rPr/>
        <w:t>El Departamento de Zacapa presenta durante el período del 2017 al 2020, una TNE que evidencia un</w:t>
      </w:r>
      <w:r>
        <w:rPr>
          <w:spacing w:val="1"/>
        </w:rPr>
        <w:t> </w:t>
      </w:r>
      <w:r>
        <w:rPr/>
        <w:t>aumento promedio considerable en la cobertura de nivel primaria (92%), en comparación con la TNE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(2017-2019)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posee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77.50%.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sucede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departamentos, presenta cantidades reducidas en la participación de los jóvenes en el ciclo básico y</w:t>
      </w:r>
      <w:r>
        <w:rPr>
          <w:spacing w:val="1"/>
        </w:rPr>
        <w:t> </w:t>
      </w:r>
      <w:r>
        <w:rPr/>
        <w:t>diversificado.</w:t>
      </w:r>
      <w:r>
        <w:rPr>
          <w:spacing w:val="-2"/>
        </w:rPr>
        <w:t> </w:t>
      </w:r>
      <w:r>
        <w:rPr/>
        <w:t>En la</w:t>
      </w:r>
      <w:r>
        <w:rPr>
          <w:spacing w:val="-4"/>
        </w:rPr>
        <w:t> </w:t>
      </w:r>
      <w:r>
        <w:rPr/>
        <w:t>siguiente</w:t>
      </w:r>
      <w:r>
        <w:rPr>
          <w:spacing w:val="1"/>
        </w:rPr>
        <w:t> </w:t>
      </w:r>
      <w:r>
        <w:rPr/>
        <w:t>tabla, se</w:t>
      </w:r>
      <w:r>
        <w:rPr>
          <w:spacing w:val="-3"/>
        </w:rPr>
        <w:t> </w:t>
      </w:r>
      <w:r>
        <w:rPr/>
        <w:t>observan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cifras</w:t>
      </w:r>
      <w:r>
        <w:rPr>
          <w:spacing w:val="-1"/>
        </w:rPr>
        <w:t> </w:t>
      </w:r>
      <w:r>
        <w:rPr/>
        <w:t>del TNE</w:t>
      </w:r>
      <w:r>
        <w:rPr>
          <w:spacing w:val="-4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período</w:t>
      </w:r>
      <w:r>
        <w:rPr>
          <w:spacing w:val="-2"/>
        </w:rPr>
        <w:t> </w:t>
      </w:r>
      <w:r>
        <w:rPr/>
        <w:t>2017-2020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  <w:r>
        <w:rPr/>
        <w:pict>
          <v:rect style="position:absolute;margin-left:563.880005pt;margin-top:19.620884pt;width:25.44pt;height:1.4399pt;mso-position-horizontal-relative:page;mso-position-vertical-relative:paragraph;z-index:-1535232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195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90560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51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57"/>
        <w:ind w:left="278" w:right="1075"/>
        <w:jc w:val="both"/>
      </w:pPr>
      <w:r>
        <w:rPr/>
        <w:t>Tabla</w:t>
      </w:r>
      <w:r>
        <w:rPr>
          <w:spacing w:val="1"/>
        </w:rPr>
        <w:t> </w:t>
      </w:r>
      <w:r>
        <w:rPr/>
        <w:t>Nº.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Cobertura: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Bruta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Académico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47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de Zacapa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9"/>
        </w:rPr>
      </w:pPr>
    </w:p>
    <w:p>
      <w:pPr>
        <w:spacing w:before="0"/>
        <w:ind w:left="278" w:right="0" w:firstLine="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3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partir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datos</w:t>
      </w:r>
      <w:r>
        <w:rPr>
          <w:spacing w:val="-3"/>
          <w:sz w:val="14"/>
        </w:rPr>
        <w:t> </w:t>
      </w:r>
      <w:r>
        <w:rPr>
          <w:sz w:val="14"/>
        </w:rPr>
        <w:t>estadísticos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3"/>
          <w:sz w:val="14"/>
        </w:rPr>
        <w:t> </w:t>
      </w:r>
      <w:r>
        <w:rPr>
          <w:sz w:val="14"/>
        </w:rPr>
        <w:t>Dirección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Planificación</w:t>
      </w:r>
      <w:r>
        <w:rPr>
          <w:spacing w:val="-5"/>
          <w:sz w:val="14"/>
        </w:rPr>
        <w:t> </w:t>
      </w:r>
      <w:r>
        <w:rPr>
          <w:sz w:val="14"/>
        </w:rPr>
        <w:t>Educativa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Ministerio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Educación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Guatemala,</w:t>
      </w:r>
      <w:r>
        <w:rPr>
          <w:spacing w:val="-5"/>
          <w:sz w:val="14"/>
        </w:rPr>
        <w:t> </w:t>
      </w:r>
      <w:r>
        <w:rPr>
          <w:sz w:val="14"/>
        </w:rPr>
        <w:t>2021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278" w:right="1076"/>
        <w:jc w:val="both"/>
      </w:pPr>
      <w:r>
        <w:rPr/>
        <w:t>A nivel Preprimaria, muestra una reducción en la cobertura durante el periodo 2017‐2020, con una TNE</w:t>
      </w:r>
      <w:r>
        <w:rPr>
          <w:spacing w:val="1"/>
        </w:rPr>
        <w:t> </w:t>
      </w:r>
      <w:r>
        <w:rPr/>
        <w:t>de (65.24%), (68.91%), (67.69%) y (66.82%) respectivamente durante los años indicados. Lo cual, significa</w:t>
      </w:r>
      <w:r>
        <w:rPr>
          <w:spacing w:val="-47"/>
        </w:rPr>
        <w:t> </w:t>
      </w:r>
      <w:r>
        <w:rPr/>
        <w:t>que uno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cada 7</w:t>
      </w:r>
      <w:r>
        <w:rPr>
          <w:spacing w:val="-1"/>
        </w:rPr>
        <w:t> </w:t>
      </w:r>
      <w:r>
        <w:rPr/>
        <w:t>de cada</w:t>
      </w:r>
      <w:r>
        <w:rPr>
          <w:spacing w:val="-2"/>
        </w:rPr>
        <w:t> </w:t>
      </w:r>
      <w:r>
        <w:rPr/>
        <w:t>10</w:t>
      </w:r>
      <w:r>
        <w:rPr>
          <w:spacing w:val="-1"/>
        </w:rPr>
        <w:t> </w:t>
      </w:r>
      <w:r>
        <w:rPr/>
        <w:t>alumnos está en</w:t>
      </w:r>
      <w:r>
        <w:rPr>
          <w:spacing w:val="-3"/>
        </w:rPr>
        <w:t> </w:t>
      </w:r>
      <w:r>
        <w:rPr/>
        <w:t>este</w:t>
      </w:r>
      <w:r>
        <w:rPr>
          <w:spacing w:val="3"/>
        </w:rPr>
        <w:t> </w:t>
      </w:r>
      <w:r>
        <w:rPr/>
        <w:t>nivel.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3"/>
        <w:jc w:val="both"/>
      </w:pPr>
      <w:r>
        <w:rPr/>
        <w:t>En primaria se</w:t>
      </w:r>
      <w:r>
        <w:rPr>
          <w:spacing w:val="1"/>
        </w:rPr>
        <w:t> </w:t>
      </w:r>
      <w:r>
        <w:rPr/>
        <w:t>registran mayores valores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van de</w:t>
      </w:r>
      <w:r>
        <w:rPr>
          <w:spacing w:val="1"/>
        </w:rPr>
        <w:t> </w:t>
      </w:r>
      <w:r>
        <w:rPr/>
        <w:t>(91.92%), (91.82%),</w:t>
      </w:r>
      <w:r>
        <w:rPr>
          <w:spacing w:val="1"/>
        </w:rPr>
        <w:t> </w:t>
      </w:r>
      <w:r>
        <w:rPr/>
        <w:t>(92.59%) y</w:t>
      </w:r>
      <w:r>
        <w:rPr>
          <w:spacing w:val="1"/>
        </w:rPr>
        <w:t> </w:t>
      </w:r>
      <w:r>
        <w:rPr/>
        <w:t>(92.79%),</w:t>
      </w:r>
      <w:r>
        <w:rPr>
          <w:spacing w:val="-5"/>
        </w:rPr>
        <w:t> </w:t>
      </w:r>
      <w:r>
        <w:rPr/>
        <w:t>registrando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mayor</w:t>
      </w:r>
      <w:r>
        <w:rPr>
          <w:spacing w:val="-4"/>
        </w:rPr>
        <w:t> </w:t>
      </w:r>
      <w:r>
        <w:rPr/>
        <w:t>dato durante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2019.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acuerdo con</w:t>
      </w:r>
      <w:r>
        <w:rPr>
          <w:spacing w:val="-4"/>
        </w:rPr>
        <w:t> </w:t>
      </w:r>
      <w:r>
        <w:rPr/>
        <w:t>dato</w:t>
      </w:r>
      <w:r>
        <w:rPr>
          <w:spacing w:val="-2"/>
        </w:rPr>
        <w:t> </w:t>
      </w:r>
      <w:r>
        <w:rPr/>
        <w:t>promedio de la</w:t>
      </w:r>
      <w:r>
        <w:rPr>
          <w:spacing w:val="-4"/>
        </w:rPr>
        <w:t> </w:t>
      </w:r>
      <w:r>
        <w:rPr/>
        <w:t>TNE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Zacapa</w:t>
      </w:r>
      <w:r>
        <w:rPr>
          <w:spacing w:val="-48"/>
        </w:rPr>
        <w:t> </w:t>
      </w:r>
      <w:r>
        <w:rPr/>
        <w:t>(92.28%) durante el período en comparación con el promedio de la TNE Nacional, este departamento</w:t>
      </w:r>
      <w:r>
        <w:rPr>
          <w:spacing w:val="1"/>
        </w:rPr>
        <w:t> </w:t>
      </w:r>
      <w:r>
        <w:rPr/>
        <w:t>registró un valor por arriba con 16.78%. Es decir, nueve (9) de cada diez (10) alumnos asiste al nivel</w:t>
      </w:r>
      <w:r>
        <w:rPr>
          <w:spacing w:val="1"/>
        </w:rPr>
        <w:t> </w:t>
      </w:r>
      <w:r>
        <w:rPr/>
        <w:t>primario.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1"/>
        <w:ind w:left="278" w:right="1070"/>
        <w:jc w:val="both"/>
      </w:pPr>
      <w:r>
        <w:rPr/>
        <w:t>Las cifras para el Ciclo básico reportan niveles similares a una tendencia del (12%) por encima de la tasa</w:t>
      </w:r>
      <w:r>
        <w:rPr>
          <w:spacing w:val="1"/>
        </w:rPr>
        <w:t> </w:t>
      </w:r>
      <w:r>
        <w:rPr/>
        <w:t>promedio neta (TNE:34%). Para el período analizado las cantidades que van desde (45.41%), (46.84%),</w:t>
      </w:r>
      <w:r>
        <w:rPr>
          <w:spacing w:val="1"/>
        </w:rPr>
        <w:t> </w:t>
      </w:r>
      <w:r>
        <w:rPr/>
        <w:t>(47.28%)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(48.39%).</w:t>
      </w:r>
      <w:r>
        <w:rPr>
          <w:spacing w:val="-2"/>
        </w:rPr>
        <w:t> </w:t>
      </w:r>
      <w:r>
        <w:rPr/>
        <w:t>Esto,</w:t>
      </w:r>
      <w:r>
        <w:rPr>
          <w:spacing w:val="-5"/>
        </w:rPr>
        <w:t> </w:t>
      </w:r>
      <w:r>
        <w:rPr/>
        <w:t>quiere</w:t>
      </w:r>
      <w:r>
        <w:rPr>
          <w:spacing w:val="-1"/>
        </w:rPr>
        <w:t> </w:t>
      </w:r>
      <w:r>
        <w:rPr/>
        <w:t>decir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uno de</w:t>
      </w:r>
      <w:r>
        <w:rPr>
          <w:spacing w:val="1"/>
        </w:rPr>
        <w:t> </w:t>
      </w:r>
      <w:r>
        <w:rPr/>
        <w:t>cada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estudiantes</w:t>
      </w:r>
      <w:r>
        <w:rPr>
          <w:spacing w:val="-4"/>
        </w:rPr>
        <w:t> </w:t>
      </w:r>
      <w:r>
        <w:rPr/>
        <w:t>está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ciclo básico.</w:t>
      </w:r>
    </w:p>
    <w:p>
      <w:pPr>
        <w:pStyle w:val="BodyText"/>
        <w:spacing w:before="1"/>
      </w:pPr>
    </w:p>
    <w:p>
      <w:pPr>
        <w:pStyle w:val="BodyText"/>
        <w:ind w:left="278" w:right="1070"/>
        <w:jc w:val="both"/>
      </w:pPr>
      <w:r>
        <w:rPr/>
        <w:t>De modo similar a los datos nacionales, el nivel más bajo de participación en el Sistema Nacional de</w:t>
      </w:r>
      <w:r>
        <w:rPr>
          <w:spacing w:val="1"/>
        </w:rPr>
        <w:t> </w:t>
      </w:r>
      <w:r>
        <w:rPr/>
        <w:t>Educación, lo representa el diversificado. Incluso en Zacapa solamente 2 de cada 10 jóvenes tiene acceso</w:t>
      </w:r>
      <w:r>
        <w:rPr>
          <w:spacing w:val="-47"/>
        </w:rPr>
        <w:t> </w:t>
      </w:r>
      <w:r>
        <w:rPr/>
        <w:t>a educación en este nivel, hallándose al mismo nivel de la TNE a nivel nacional cuya tasa de cobertura en</w:t>
      </w:r>
      <w:r>
        <w:rPr>
          <w:spacing w:val="1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media es del 24.57%.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pict>
          <v:rect style="position:absolute;margin-left:563.880005pt;margin-top:19.983805pt;width:25.44pt;height:1.4399pt;mso-position-horizontal-relative:page;mso-position-vertical-relative:paragraph;z-index:-1535078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196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92608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51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2"/>
          <w:numId w:val="36"/>
        </w:numPr>
        <w:tabs>
          <w:tab w:pos="999" w:val="left" w:leader="none"/>
        </w:tabs>
        <w:spacing w:line="240" w:lineRule="auto" w:before="52" w:after="0"/>
        <w:ind w:left="998" w:right="0" w:hanging="721"/>
        <w:jc w:val="left"/>
      </w:pPr>
      <w:bookmarkStart w:name="_bookmark248" w:id="429"/>
      <w:bookmarkEnd w:id="429"/>
      <w:r>
        <w:rPr>
          <w:b w:val="0"/>
        </w:rPr>
      </w:r>
      <w:bookmarkStart w:name="_bookmark248" w:id="430"/>
      <w:bookmarkEnd w:id="430"/>
      <w:r>
        <w:rPr/>
        <w:t>Ind</w:t>
      </w:r>
      <w:r>
        <w:rPr/>
        <w:t>icador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Cobertura:</w:t>
      </w:r>
      <w:r>
        <w:rPr>
          <w:spacing w:val="-3"/>
        </w:rPr>
        <w:t> </w:t>
      </w:r>
      <w:r>
        <w:rPr/>
        <w:t>Tasa</w:t>
      </w:r>
      <w:r>
        <w:rPr>
          <w:spacing w:val="-3"/>
        </w:rPr>
        <w:t> </w:t>
      </w:r>
      <w:r>
        <w:rPr/>
        <w:t>Bruta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Déficit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departamento,</w:t>
      </w:r>
      <w:r>
        <w:rPr>
          <w:spacing w:val="-1"/>
        </w:rPr>
        <w:t> </w:t>
      </w:r>
      <w:r>
        <w:rPr/>
        <w:t>sexo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etnia.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left="278" w:right="1078"/>
        <w:jc w:val="both"/>
      </w:pPr>
      <w:r>
        <w:rPr/>
        <w:t>Gráfico Nº. Total de población estudiantil por niveles educativos, etnia y sexo para el Departamento de</w:t>
      </w:r>
      <w:r>
        <w:rPr>
          <w:spacing w:val="1"/>
        </w:rPr>
        <w:t> </w:t>
      </w:r>
      <w:r>
        <w:rPr/>
        <w:t>Zacapa(2017-2021)</w:t>
      </w:r>
    </w:p>
    <w:p>
      <w:pPr>
        <w:pStyle w:val="BodyText"/>
        <w:spacing w:before="6"/>
        <w:rPr>
          <w:sz w:val="8"/>
        </w:rPr>
      </w:pPr>
      <w:r>
        <w:rPr/>
        <w:pict>
          <v:group style="position:absolute;margin-left:71.233406pt;margin-top:7.200039pt;width:453.95pt;height:197.15pt;mso-position-horizontal-relative:page;mso-position-vertical-relative:paragraph;z-index:-15349248;mso-wrap-distance-left:0;mso-wrap-distance-right:0" coordorigin="1425,144" coordsize="9079,3943">
            <v:shape style="position:absolute;left:1959;top:2796;width:849;height:2" coordorigin="1960,2796" coordsize="849,0" path="m1960,2796l2536,2796m2648,2796l2808,2796e" filled="false" stroked="true" strokeweight=".60275pt" strokecolor="#888888">
              <v:path arrowok="t"/>
              <v:stroke dashstyle="solid"/>
            </v:shape>
            <v:rect style="position:absolute;left:2536;top:2746;width:112;height:263" filled="true" fillcolor="#497eaf" stroked="false">
              <v:fill type="solid"/>
            </v:rect>
            <v:rect style="position:absolute;left:2680;top:2884;width:97;height:125" filled="true" fillcolor="#5b8e39" stroked="false">
              <v:fill type="solid"/>
            </v:rect>
            <v:shape style="position:absolute;left:1959;top:2584;width:977;height:212" coordorigin="1960,2584" coordsize="977,212" path="m2921,2796l2936,2796m1960,2584l2808,2584m2921,2584l2936,2584e" filled="false" stroked="true" strokeweight=".60275pt" strokecolor="#888888">
              <v:path arrowok="t"/>
              <v:stroke dashstyle="solid"/>
            </v:shape>
            <v:shape style="position:absolute;left:1959;top:1723;width:2514;height:649" coordorigin="1960,1723" coordsize="2514,649" path="m1960,2372l2808,2372m2921,2372l2936,2372m1960,2147l2808,2147m2921,2147l2936,2147m1960,1935l2808,1935m2921,1935l4474,1935m1960,1723l2808,1723e" filled="false" stroked="true" strokeweight=".60275pt" strokecolor="#888888">
              <v:path arrowok="t"/>
              <v:stroke dashstyle="solid"/>
            </v:shape>
            <v:shape style="position:absolute;left:2920;top:1720;width:3220;height:7" coordorigin="2921,1720" coordsize="3220,7" path="m2921,1726l6140,1726m2921,1720l6140,1720e" filled="false" stroked="true" strokeweight=".301373pt" strokecolor="#888888">
              <v:path arrowok="t"/>
              <v:stroke dashstyle="solid"/>
            </v:shape>
            <v:shape style="position:absolute;left:1959;top:1510;width:8328;height:2" coordorigin="1960,1511" coordsize="8328,0" path="m1960,1511l2808,1511m2921,1511l10287,1511e" filled="false" stroked="true" strokeweight=".60275pt" strokecolor="#888888">
              <v:path arrowok="t"/>
              <v:stroke dashstyle="solid"/>
            </v:shape>
            <v:shape style="position:absolute;left:1959;top:1298;width:8328;height:2" coordorigin="1960,1298" coordsize="8328,0" path="m1960,1298l1960,1298,10287,1298e" filled="false" stroked="true" strokeweight=".60275pt" strokecolor="#888888">
              <v:path arrowok="t"/>
              <v:stroke dashstyle="solid"/>
            </v:shape>
            <v:rect style="position:absolute;left:2807;top:1335;width:113;height:1673" filled="true" fillcolor="#4471c4" stroked="false">
              <v:fill type="solid"/>
            </v:rect>
            <v:line style="position:absolute" from="3048,2796" to="4201,2796" stroked="true" strokeweight=".60275pt" strokecolor="#888888">
              <v:stroke dashstyle="solid"/>
            </v:line>
            <v:shape style="position:absolute;left:4313;top:2793;width:160;height:7" coordorigin="4314,2793" coordsize="160,7" path="m4314,2799l4474,2799m4314,2793l4474,2793e" filled="false" stroked="true" strokeweight=".301374pt" strokecolor="#888888">
              <v:path arrowok="t"/>
              <v:stroke dashstyle="solid"/>
            </v:shape>
            <v:rect style="position:absolute;left:4073;top:2996;width:97;height:13" filled="true" fillcolor="#d29e00" stroked="false">
              <v:fill type="solid"/>
            </v:rect>
            <v:rect style="position:absolute;left:4201;top:2783;width:113;height:225" filled="true" fillcolor="#497eaf" stroked="false">
              <v:fill type="solid"/>
            </v:rect>
            <v:rect style="position:absolute;left:4345;top:2858;width:97;height:150" filled="true" fillcolor="#5b8e39" stroked="false">
              <v:fill type="solid"/>
            </v:rect>
            <v:shape style="position:absolute;left:4585;top:2793;width:18;height:7" coordorigin="4585,2793" coordsize="18,7" path="m4585,2799l4602,2799m4585,2793l4602,2793e" filled="false" stroked="true" strokeweight=".301374pt" strokecolor="#888888">
              <v:path arrowok="t"/>
              <v:stroke dashstyle="solid"/>
            </v:shape>
            <v:shape style="position:absolute;left:3048;top:2584;width:1555;height:2" coordorigin="3048,2584" coordsize="1555,0" path="m3048,2584l4474,2584m4585,2584l4602,2584e" filled="false" stroked="true" strokeweight=".60275pt" strokecolor="#888888">
              <v:path arrowok="t"/>
              <v:stroke dashstyle="solid"/>
            </v:shape>
            <v:shape style="position:absolute;left:3048;top:1934;width:3092;height:438" coordorigin="3048,1935" coordsize="3092,438" path="m3048,2372l4474,2372m4585,2372l4602,2372m3048,2147l4474,2147m4585,2147l4602,2147m4585,1935l6140,1935e" filled="false" stroked="true" strokeweight=".60275pt" strokecolor="#888888">
              <v:path arrowok="t"/>
              <v:stroke dashstyle="solid"/>
            </v:shape>
            <v:rect style="position:absolute;left:4473;top:1723;width:112;height:1286" filled="true" fillcolor="#4471c4" stroked="false">
              <v:fill type="solid"/>
            </v:rect>
            <v:shape style="position:absolute;left:4713;top:2793;width:1426;height:7" coordorigin="4714,2793" coordsize="1426,7" path="m4714,2799l6140,2799m4714,2793l6140,2793e" filled="false" stroked="true" strokeweight=".301374pt" strokecolor="#888888">
              <v:path arrowok="t"/>
              <v:stroke dashstyle="solid"/>
            </v:shape>
            <v:rect style="position:absolute;left:5738;top:2996;width:97;height:13" filled="true" fillcolor="#d29e00" stroked="false">
              <v:fill type="solid"/>
            </v:rect>
            <v:rect style="position:absolute;left:5866;top:2808;width:112;height:200" filled="true" fillcolor="#497eaf" stroked="false">
              <v:fill type="solid"/>
            </v:rect>
            <v:rect style="position:absolute;left:6011;top:2896;width:97;height:113" filled="true" fillcolor="#5b8e39" stroked="false">
              <v:fill type="solid"/>
            </v:rect>
            <v:shape style="position:absolute;left:6251;top:2793;width:16;height:7" coordorigin="6252,2793" coordsize="16,7" path="m6252,2799l6267,2799m6252,2793l6267,2793e" filled="false" stroked="true" strokeweight=".301374pt" strokecolor="#888888">
              <v:path arrowok="t"/>
              <v:stroke dashstyle="solid"/>
            </v:shape>
            <v:shape style="position:absolute;left:4713;top:2584;width:1554;height:2" coordorigin="4714,2584" coordsize="1554,0" path="m4714,2584l6140,2584m6252,2584l6267,2584e" filled="false" stroked="true" strokeweight=".60275pt" strokecolor="#888888">
              <v:path arrowok="t"/>
              <v:stroke dashstyle="solid"/>
            </v:shape>
            <v:shape style="position:absolute;left:4713;top:1934;width:1554;height:438" coordorigin="4714,1935" coordsize="1554,438" path="m4714,2372l6140,2372m6252,2372l6267,2372m4714,2147l6140,2147m6252,2147l6267,2147m6252,1935l6267,1935e" filled="false" stroked="true" strokeweight=".60275pt" strokecolor="#888888">
              <v:path arrowok="t"/>
              <v:stroke dashstyle="solid"/>
            </v:shape>
            <v:shape style="position:absolute;left:6251;top:1720;width:4036;height:7" coordorigin="6252,1720" coordsize="4036,7" path="m6252,1726l10287,1726m6252,1720l10287,1720e" filled="false" stroked="true" strokeweight=".301373pt" strokecolor="#888888">
              <v:path arrowok="t"/>
              <v:stroke dashstyle="solid"/>
            </v:shape>
            <v:rect style="position:absolute;left:6139;top:1685;width:112;height:1323" filled="true" fillcolor="#4471c4" stroked="false">
              <v:fill type="solid"/>
            </v:rect>
            <v:shape style="position:absolute;left:6379;top:2793;width:1425;height:7" coordorigin="6380,2793" coordsize="1425,7" path="m6380,2799l7805,2799m6380,2793l7805,2793e" filled="false" stroked="true" strokeweight=".301374pt" strokecolor="#888888">
              <v:path arrowok="t"/>
              <v:stroke dashstyle="solid"/>
            </v:shape>
            <v:rect style="position:absolute;left:7533;top:2796;width:112;height:213" filled="true" fillcolor="#497eaf" stroked="false">
              <v:fill type="solid"/>
            </v:rect>
            <v:rect style="position:absolute;left:7677;top:2808;width:97;height:200" filled="true" fillcolor="#5b8e39" stroked="false">
              <v:fill type="solid"/>
            </v:rect>
            <v:shape style="position:absolute;left:7917;top:2793;width:16;height:7" coordorigin="7917,2793" coordsize="16,7" path="m7917,2799l7933,2799m7917,2793l7933,2793e" filled="false" stroked="true" strokeweight=".301374pt" strokecolor="#888888">
              <v:path arrowok="t"/>
              <v:stroke dashstyle="solid"/>
            </v:shape>
            <v:shape style="position:absolute;left:6379;top:2584;width:1554;height:2" coordorigin="6380,2584" coordsize="1554,0" path="m6380,2584l7805,2584m7917,2584l7933,2584e" filled="false" stroked="true" strokeweight=".60275pt" strokecolor="#888888">
              <v:path arrowok="t"/>
              <v:stroke dashstyle="solid"/>
            </v:shape>
            <v:shape style="position:absolute;left:6379;top:2147;width:3908;height:225" coordorigin="6380,2147" coordsize="3908,225" path="m6380,2372l7805,2372m7917,2372l10287,2372m6380,2147l7805,2147m7917,2147l10287,2147e" filled="false" stroked="true" strokeweight=".60275pt" strokecolor="#888888">
              <v:path arrowok="t"/>
              <v:stroke dashstyle="solid"/>
            </v:shape>
            <v:rect style="position:absolute;left:7804;top:2097;width:113;height:911" filled="true" fillcolor="#4471c4" stroked="false">
              <v:fill type="solid"/>
            </v:rect>
            <v:shape style="position:absolute;left:8044;top:2793;width:1426;height:7" coordorigin="8045,2793" coordsize="1426,7" path="m8045,2799l9471,2799m8045,2793l9471,2793e" filled="false" stroked="true" strokeweight=".301374pt" strokecolor="#888888">
              <v:path arrowok="t"/>
              <v:stroke dashstyle="solid"/>
            </v:shape>
            <v:rect style="position:absolute;left:9197;top:2846;width:114;height:162" filled="true" fillcolor="#497eaf" stroked="false">
              <v:fill type="solid"/>
            </v:rect>
            <v:rect style="position:absolute;left:9341;top:2858;width:97;height:150" filled="true" fillcolor="#5b8e39" stroked="false">
              <v:fill type="solid"/>
            </v:rect>
            <v:shape style="position:absolute;left:9582;top:2793;width:18;height:7" coordorigin="9582,2793" coordsize="18,7" path="m9582,2799l9599,2799m9582,2793l9599,2793e" filled="false" stroked="true" strokeweight=".301374pt" strokecolor="#888888">
              <v:path arrowok="t"/>
              <v:stroke dashstyle="solid"/>
            </v:shape>
            <v:shape style="position:absolute;left:8044;top:2584;width:2243;height:2" coordorigin="8045,2584" coordsize="2243,0" path="m8045,2584l9471,2584m9582,2584l10287,2584e" filled="false" stroked="true" strokeweight=".60275pt" strokecolor="#888888">
              <v:path arrowok="t"/>
              <v:stroke dashstyle="solid"/>
            </v:shape>
            <v:rect style="position:absolute;left:9470;top:2496;width:112;height:512" filled="true" fillcolor="#4471c4" stroked="false">
              <v:fill type="solid"/>
            </v:rect>
            <v:shape style="position:absolute;left:2936;top:1972;width:1778;height:1037" coordorigin="2936,1972" coordsize="1778,1037" path="m3048,1972l2936,1972,2936,3008,3048,3008,3048,1972xm4714,2122l4602,2122,4602,3008,4714,3008,4714,2122xe" filled="true" fillcolor="#ec7c30" stroked="false">
              <v:path arrowok="t"/>
              <v:fill type="solid"/>
            </v:shape>
            <v:line style="position:absolute" from="6380,1935" to="10287,1935" stroked="true" strokeweight=".60275pt" strokecolor="#888888">
              <v:stroke dashstyle="solid"/>
            </v:line>
            <v:shape style="position:absolute;left:6267;top:1885;width:1778;height:1124" coordorigin="6267,1885" coordsize="1778,1124" path="m6380,1885l6267,1885,6267,3008,6380,3008,6380,1885xm8045,2484l7933,2484,7933,3008,8045,3008,8045,2484xe" filled="true" fillcolor="#ec7c30" stroked="false">
              <v:path arrowok="t"/>
              <v:fill type="solid"/>
            </v:shape>
            <v:shape style="position:absolute;left:9710;top:2793;width:577;height:7" coordorigin="9711,2793" coordsize="577,7" path="m9711,2799l10287,2799m9711,2793l10287,2793e" filled="false" stroked="true" strokeweight=".301374pt" strokecolor="#888888">
              <v:path arrowok="t"/>
              <v:stroke dashstyle="solid"/>
            </v:shape>
            <v:rect style="position:absolute;left:9599;top:2671;width:112;height:337" filled="true" fillcolor="#ec7c30" stroked="false">
              <v:fill type="solid"/>
            </v:rect>
            <v:shape style="position:absolute;left:3080;top:2996;width:5093;height:13" coordorigin="3080,2996" coordsize="5093,13" path="m3176,2996l3080,2996,3080,3008,3176,3008,3176,2996xm4843,2996l4747,2996,4747,3008,4843,3008,4843,2996xm6507,2996l6411,2996,6411,3008,6507,3008,6507,2996xm8173,2996l8077,2996,8077,3008,8173,3008,8173,2996xe" filled="true" fillcolor="#a4a4a4" stroked="false">
              <v:path arrowok="t"/>
              <v:fill type="solid"/>
            </v:shape>
            <v:rect style="position:absolute;left:6668;top:2996;width:112;height:13" filled="true" fillcolor="#5b9bd4" stroked="false">
              <v:fill type="solid"/>
            </v:rect>
            <v:shape style="position:absolute;left:5467;top:2996;width:1778;height:13" coordorigin="5467,2996" coordsize="1778,13" path="m5579,2996l5467,2996,5467,3008,5579,3008,5579,2996xm7245,2996l7132,2996,7132,3008,7245,3008,7245,2996xe" filled="true" fillcolor="#c46627" stroked="false">
              <v:path arrowok="t"/>
              <v:fill type="solid"/>
            </v:shape>
            <v:shape style="position:absolute;left:1959;top:1073;width:8329;height:1936" coordorigin="1960,1074" coordsize="8329,1936" path="m1961,3009l1961,3009,10288,3009m1960,1074l1960,1074,10287,1074e" filled="false" stroked="true" strokeweight=".688461pt" strokecolor="#888888">
              <v:path arrowok="t"/>
              <v:stroke dashstyle="solid"/>
            </v:shape>
            <v:rect style="position:absolute;left:2057;top:3390;width:71;height:56" filled="true" fillcolor="#375da0" stroked="false">
              <v:fill type="solid"/>
            </v:rect>
            <v:rect style="position:absolute;left:4053;top:3390;width:71;height:56" filled="true" fillcolor="#c46627" stroked="false">
              <v:fill type="solid"/>
            </v:rect>
            <v:rect style="position:absolute;left:6049;top:3390;width:72;height:56" filled="true" fillcolor="#878787" stroked="false">
              <v:fill type="solid"/>
            </v:rect>
            <v:rect style="position:absolute;left:8044;top:3390;width:71;height:56" filled="true" fillcolor="#d29e00" stroked="false">
              <v:fill type="solid"/>
            </v:rect>
            <v:rect style="position:absolute;left:2057;top:3556;width:71;height:56" filled="true" fillcolor="#497eaf" stroked="false">
              <v:fill type="solid"/>
            </v:rect>
            <v:rect style="position:absolute;left:4053;top:3556;width:71;height:56" filled="true" fillcolor="#5b8e39" stroked="false">
              <v:fill type="solid"/>
            </v:rect>
            <v:rect style="position:absolute;left:6049;top:3556;width:72;height:56" filled="true" fillcolor="#4471c4" stroked="false">
              <v:fill type="solid"/>
            </v:rect>
            <v:rect style="position:absolute;left:8044;top:3556;width:71;height:56" filled="true" fillcolor="#ec7c30" stroked="false">
              <v:fill type="solid"/>
            </v:rect>
            <v:rect style="position:absolute;left:2057;top:3720;width:71;height:56" filled="true" fillcolor="#a4a4a4" stroked="false">
              <v:fill type="solid"/>
            </v:rect>
            <v:rect style="position:absolute;left:4053;top:3720;width:71;height:56" filled="true" fillcolor="#ffc000" stroked="false">
              <v:fill type="solid"/>
            </v:rect>
            <v:rect style="position:absolute;left:6049;top:3720;width:72;height:56" filled="true" fillcolor="#5b9bd4" stroked="false">
              <v:fill type="solid"/>
            </v:rect>
            <v:rect style="position:absolute;left:8044;top:3720;width:71;height:56" filled="true" fillcolor="#6fac46" stroked="false">
              <v:fill type="solid"/>
            </v:rect>
            <v:rect style="position:absolute;left:1431;top:150;width:9066;height:3930" filled="false" stroked="true" strokeweight=".629869pt" strokecolor="#888888">
              <v:stroke dashstyle="solid"/>
            </v:rect>
            <v:shape style="position:absolute;left:3430;top:290;width:5047;height:610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2" w:firstLine="0"/>
                      <w:jc w:val="center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w w:val="130"/>
                        <w:sz w:val="22"/>
                      </w:rPr>
                      <w:t>Za</w:t>
                    </w:r>
                    <w:r>
                      <w:rPr>
                        <w:rFonts w:ascii="Arial"/>
                        <w:b/>
                        <w:spacing w:val="-49"/>
                        <w:w w:val="13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10"/>
                        <w:w w:val="130"/>
                        <w:sz w:val="22"/>
                      </w:rPr>
                      <w:t>capa</w:t>
                    </w:r>
                  </w:p>
                  <w:p>
                    <w:pPr>
                      <w:spacing w:line="259" w:lineRule="auto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w w:val="125"/>
                        <w:sz w:val="15"/>
                      </w:rPr>
                      <w:t>Tota</w:t>
                    </w:r>
                    <w:r>
                      <w:rPr>
                        <w:rFonts w:ascii="Arial" w:hAnsi="Arial"/>
                        <w:b/>
                        <w:spacing w:val="-31"/>
                        <w:w w:val="12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25"/>
                        <w:sz w:val="15"/>
                      </w:rPr>
                      <w:t>l de</w:t>
                    </w:r>
                    <w:r>
                      <w:rPr>
                        <w:rFonts w:ascii="Arial" w:hAnsi="Arial"/>
                        <w:b/>
                        <w:spacing w:val="27"/>
                        <w:w w:val="12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25"/>
                        <w:sz w:val="15"/>
                      </w:rPr>
                      <w:t>población</w:t>
                    </w:r>
                    <w:r>
                      <w:rPr>
                        <w:rFonts w:ascii="Arial" w:hAnsi="Arial"/>
                        <w:b/>
                        <w:spacing w:val="5"/>
                        <w:w w:val="12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25"/>
                        <w:sz w:val="15"/>
                      </w:rPr>
                      <w:t>estudia</w:t>
                    </w:r>
                    <w:r>
                      <w:rPr>
                        <w:rFonts w:ascii="Arial" w:hAnsi="Arial"/>
                        <w:b/>
                        <w:spacing w:val="-30"/>
                        <w:w w:val="12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25"/>
                        <w:sz w:val="15"/>
                      </w:rPr>
                      <w:t>ntil por</w:t>
                    </w:r>
                    <w:r>
                      <w:rPr>
                        <w:rFonts w:ascii="Arial" w:hAnsi="Arial"/>
                        <w:b/>
                        <w:spacing w:val="-7"/>
                        <w:w w:val="12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25"/>
                        <w:sz w:val="15"/>
                      </w:rPr>
                      <w:t>Niveles,</w:t>
                    </w:r>
                    <w:r>
                      <w:rPr>
                        <w:rFonts w:ascii="Arial" w:hAnsi="Arial"/>
                        <w:b/>
                        <w:spacing w:val="8"/>
                        <w:w w:val="12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25"/>
                        <w:sz w:val="15"/>
                      </w:rPr>
                      <w:t>etnia</w:t>
                    </w:r>
                    <w:r>
                      <w:rPr>
                        <w:rFonts w:ascii="Arial" w:hAnsi="Arial"/>
                        <w:b/>
                        <w:spacing w:val="32"/>
                        <w:w w:val="12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25"/>
                        <w:sz w:val="15"/>
                      </w:rPr>
                      <w:t>y</w:t>
                    </w:r>
                    <w:r>
                      <w:rPr>
                        <w:rFonts w:ascii="Arial" w:hAnsi="Arial"/>
                        <w:b/>
                        <w:spacing w:val="13"/>
                        <w:w w:val="12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25"/>
                        <w:sz w:val="15"/>
                      </w:rPr>
                      <w:t>sexo</w:t>
                    </w:r>
                    <w:r>
                      <w:rPr>
                        <w:rFonts w:ascii="Arial" w:hAnsi="Arial"/>
                        <w:b/>
                        <w:spacing w:val="-49"/>
                        <w:w w:val="12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0"/>
                        <w:sz w:val="15"/>
                      </w:rPr>
                      <w:t>2017-</w:t>
                    </w:r>
                    <w:r>
                      <w:rPr>
                        <w:rFonts w:ascii="Arial" w:hAnsi="Arial"/>
                        <w:b/>
                        <w:spacing w:val="-39"/>
                        <w:w w:val="13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0"/>
                        <w:sz w:val="15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1543;top:1004;width:287;height:2084" type="#_x0000_t202" filled="false" stroked="false">
              <v:textbox inset="0,0,0,0">
                <w:txbxContent>
                  <w:p>
                    <w:pPr>
                      <w:spacing w:before="4"/>
                      <w:ind w:left="0" w:right="21" w:firstLine="0"/>
                      <w:jc w:val="righ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15"/>
                        <w:sz w:val="12"/>
                      </w:rPr>
                      <w:t>450</w:t>
                    </w:r>
                  </w:p>
                  <w:p>
                    <w:pPr>
                      <w:spacing w:before="69"/>
                      <w:ind w:left="0" w:right="21" w:firstLine="0"/>
                      <w:jc w:val="righ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15"/>
                        <w:sz w:val="12"/>
                      </w:rPr>
                      <w:t>400</w:t>
                    </w:r>
                  </w:p>
                  <w:p>
                    <w:pPr>
                      <w:spacing w:before="68"/>
                      <w:ind w:left="0" w:right="21" w:firstLine="0"/>
                      <w:jc w:val="righ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15"/>
                        <w:sz w:val="12"/>
                      </w:rPr>
                      <w:t>350</w:t>
                    </w:r>
                  </w:p>
                  <w:p>
                    <w:pPr>
                      <w:spacing w:before="69"/>
                      <w:ind w:left="0" w:right="21" w:firstLine="0"/>
                      <w:jc w:val="righ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15"/>
                        <w:sz w:val="12"/>
                      </w:rPr>
                      <w:t>300</w:t>
                    </w:r>
                  </w:p>
                  <w:p>
                    <w:pPr>
                      <w:spacing w:before="69"/>
                      <w:ind w:left="0" w:right="21" w:firstLine="0"/>
                      <w:jc w:val="righ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15"/>
                        <w:sz w:val="12"/>
                      </w:rPr>
                      <w:t>250</w:t>
                    </w:r>
                  </w:p>
                  <w:p>
                    <w:pPr>
                      <w:spacing w:before="68"/>
                      <w:ind w:left="0" w:right="21" w:firstLine="0"/>
                      <w:jc w:val="righ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15"/>
                        <w:sz w:val="12"/>
                      </w:rPr>
                      <w:t>200</w:t>
                    </w:r>
                  </w:p>
                  <w:p>
                    <w:pPr>
                      <w:spacing w:before="69"/>
                      <w:ind w:left="0" w:right="21" w:firstLine="0"/>
                      <w:jc w:val="righ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15"/>
                        <w:sz w:val="12"/>
                      </w:rPr>
                      <w:t>150</w:t>
                    </w:r>
                  </w:p>
                  <w:p>
                    <w:pPr>
                      <w:spacing w:before="69"/>
                      <w:ind w:left="0" w:right="21" w:firstLine="0"/>
                      <w:jc w:val="righ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15"/>
                        <w:sz w:val="12"/>
                      </w:rPr>
                      <w:t>100</w:t>
                    </w:r>
                  </w:p>
                  <w:p>
                    <w:pPr>
                      <w:spacing w:before="68"/>
                      <w:ind w:left="0" w:right="19" w:firstLine="0"/>
                      <w:jc w:val="righ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15"/>
                        <w:sz w:val="12"/>
                      </w:rPr>
                      <w:t>50</w:t>
                    </w:r>
                  </w:p>
                  <w:p>
                    <w:pPr>
                      <w:spacing w:before="69"/>
                      <w:ind w:left="0" w:right="18" w:firstLine="0"/>
                      <w:jc w:val="righ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16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155;top:3092;width:1523;height:717" type="#_x0000_t202" filled="false" stroked="false">
              <v:textbox inset="0,0,0,0">
                <w:txbxContent>
                  <w:p>
                    <w:pPr>
                      <w:spacing w:before="4"/>
                      <w:ind w:left="457" w:right="0" w:firstLine="0"/>
                      <w:jc w:val="lef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15"/>
                        <w:sz w:val="12"/>
                      </w:rPr>
                      <w:t>2017</w:t>
                    </w:r>
                  </w:p>
                  <w:p>
                    <w:pPr>
                      <w:spacing w:line="160" w:lineRule="atLeast" w:before="76"/>
                      <w:ind w:left="0" w:right="0" w:firstLine="0"/>
                      <w:jc w:val="left"/>
                      <w:rPr>
                        <w:rFonts w:ascii="Verdana"/>
                        <w:sz w:val="10"/>
                      </w:rPr>
                    </w:pPr>
                    <w:r>
                      <w:rPr>
                        <w:rFonts w:ascii="Verdana"/>
                        <w:w w:val="110"/>
                        <w:sz w:val="10"/>
                      </w:rPr>
                      <w:t>EXTRANJERO</w:t>
                    </w:r>
                    <w:r>
                      <w:rPr>
                        <w:rFonts w:ascii="Verdana"/>
                        <w:spacing w:val="1"/>
                        <w:w w:val="110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10"/>
                        <w:sz w:val="10"/>
                      </w:rPr>
                      <w:t>-</w:t>
                    </w:r>
                    <w:r>
                      <w:rPr>
                        <w:rFonts w:ascii="Verdana"/>
                        <w:spacing w:val="1"/>
                        <w:w w:val="110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10"/>
                        <w:sz w:val="10"/>
                      </w:rPr>
                      <w:t>HOMBRES</w:t>
                    </w:r>
                    <w:r>
                      <w:rPr>
                        <w:rFonts w:ascii="Verdana"/>
                        <w:spacing w:val="-36"/>
                        <w:w w:val="110"/>
                        <w:sz w:val="10"/>
                      </w:rPr>
                      <w:t> </w:t>
                    </w:r>
                    <w:r>
                      <w:rPr>
                        <w:rFonts w:ascii="Verdana"/>
                        <w:spacing w:val="1"/>
                        <w:w w:val="105"/>
                        <w:sz w:val="10"/>
                      </w:rPr>
                      <w:t>L</w:t>
                    </w:r>
                    <w:r>
                      <w:rPr>
                        <w:rFonts w:ascii="Verdana"/>
                        <w:spacing w:val="-1"/>
                        <w:w w:val="137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1"/>
                        <w:w w:val="123"/>
                        <w:sz w:val="10"/>
                      </w:rPr>
                      <w:t>D</w:t>
                    </w:r>
                    <w:r>
                      <w:rPr>
                        <w:rFonts w:ascii="Verdana"/>
                        <w:w w:val="68"/>
                        <w:sz w:val="10"/>
                      </w:rPr>
                      <w:t>I</w:t>
                    </w:r>
                    <w:r>
                      <w:rPr>
                        <w:rFonts w:ascii="Verdana"/>
                        <w:w w:val="126"/>
                        <w:sz w:val="10"/>
                      </w:rPr>
                      <w:t>N</w:t>
                    </w:r>
                    <w:r>
                      <w:rPr>
                        <w:rFonts w:ascii="Verdana"/>
                        <w:w w:val="140"/>
                        <w:sz w:val="10"/>
                      </w:rPr>
                      <w:t>O</w:t>
                    </w:r>
                    <w:r>
                      <w:rPr>
                        <w:rFonts w:ascii="Verdana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93"/>
                        <w:sz w:val="10"/>
                      </w:rPr>
                      <w:t>-</w:t>
                    </w:r>
                    <w:r>
                      <w:rPr>
                        <w:rFonts w:ascii="Verdana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15"/>
                        <w:sz w:val="10"/>
                      </w:rPr>
                      <w:t>H</w:t>
                    </w:r>
                    <w:r>
                      <w:rPr>
                        <w:rFonts w:ascii="Verdana"/>
                        <w:spacing w:val="1"/>
                        <w:w w:val="140"/>
                        <w:sz w:val="10"/>
                      </w:rPr>
                      <w:t>O</w:t>
                    </w:r>
                    <w:r>
                      <w:rPr>
                        <w:rFonts w:ascii="Verdana"/>
                        <w:w w:val="138"/>
                        <w:sz w:val="10"/>
                      </w:rPr>
                      <w:t>M</w:t>
                    </w:r>
                    <w:r>
                      <w:rPr>
                        <w:rFonts w:ascii="Verdana"/>
                        <w:w w:val="106"/>
                        <w:sz w:val="10"/>
                      </w:rPr>
                      <w:t>B</w:t>
                    </w:r>
                    <w:r>
                      <w:rPr>
                        <w:rFonts w:ascii="Verdana"/>
                        <w:w w:val="111"/>
                        <w:sz w:val="10"/>
                      </w:rPr>
                      <w:t>R</w:t>
                    </w:r>
                    <w:r>
                      <w:rPr>
                        <w:rFonts w:ascii="Verdana"/>
                        <w:w w:val="108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92"/>
                        <w:sz w:val="10"/>
                      </w:rPr>
                      <w:t>S </w:t>
                    </w:r>
                    <w:r>
                      <w:rPr>
                        <w:rFonts w:ascii="Verdana"/>
                        <w:w w:val="113"/>
                        <w:sz w:val="10"/>
                      </w:rPr>
                      <w:t>X</w:t>
                    </w:r>
                    <w:r>
                      <w:rPr>
                        <w:rFonts w:ascii="Verdana"/>
                        <w:w w:val="68"/>
                        <w:sz w:val="10"/>
                      </w:rPr>
                      <w:t>I</w:t>
                    </w:r>
                    <w:r>
                      <w:rPr>
                        <w:rFonts w:ascii="Verdana"/>
                        <w:w w:val="126"/>
                        <w:sz w:val="10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w w:val="143"/>
                        <w:sz w:val="10"/>
                      </w:rPr>
                      <w:t>C</w:t>
                    </w:r>
                    <w:r>
                      <w:rPr>
                        <w:rFonts w:ascii="Verdana"/>
                        <w:w w:val="143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1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93"/>
                        <w:sz w:val="10"/>
                      </w:rPr>
                      <w:t>-</w:t>
                    </w:r>
                    <w:r>
                      <w:rPr>
                        <w:rFonts w:ascii="Verdana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15"/>
                        <w:sz w:val="10"/>
                      </w:rPr>
                      <w:t>H</w:t>
                    </w:r>
                    <w:r>
                      <w:rPr>
                        <w:rFonts w:ascii="Verdana"/>
                        <w:spacing w:val="1"/>
                        <w:w w:val="140"/>
                        <w:sz w:val="10"/>
                      </w:rPr>
                      <w:t>O</w:t>
                    </w:r>
                    <w:r>
                      <w:rPr>
                        <w:rFonts w:ascii="Verdana"/>
                        <w:w w:val="138"/>
                        <w:sz w:val="10"/>
                      </w:rPr>
                      <w:t>M</w:t>
                    </w:r>
                    <w:r>
                      <w:rPr>
                        <w:rFonts w:ascii="Verdana"/>
                        <w:w w:val="106"/>
                        <w:sz w:val="10"/>
                      </w:rPr>
                      <w:t>B</w:t>
                    </w:r>
                    <w:r>
                      <w:rPr>
                        <w:rFonts w:ascii="Verdana"/>
                        <w:w w:val="111"/>
                        <w:sz w:val="1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08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92"/>
                        <w:sz w:val="10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4151;top:3092;width:1464;height:717" type="#_x0000_t202" filled="false" stroked="false">
              <v:textbox inset="0,0,0,0">
                <w:txbxContent>
                  <w:p>
                    <w:pPr>
                      <w:spacing w:before="4"/>
                      <w:ind w:left="132" w:right="0" w:firstLine="0"/>
                      <w:jc w:val="lef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15"/>
                        <w:sz w:val="12"/>
                      </w:rPr>
                      <w:t>2018</w:t>
                    </w:r>
                  </w:p>
                  <w:p>
                    <w:pPr>
                      <w:spacing w:line="160" w:lineRule="atLeast" w:before="76"/>
                      <w:ind w:left="0" w:right="0" w:firstLine="0"/>
                      <w:jc w:val="left"/>
                      <w:rPr>
                        <w:rFonts w:ascii="Verdana"/>
                        <w:sz w:val="10"/>
                      </w:rPr>
                    </w:pPr>
                    <w:r>
                      <w:rPr>
                        <w:rFonts w:ascii="Verdana"/>
                        <w:w w:val="110"/>
                        <w:sz w:val="10"/>
                      </w:rPr>
                      <w:t>EXTRANJERO</w:t>
                    </w:r>
                    <w:r>
                      <w:rPr>
                        <w:rFonts w:ascii="Verdana"/>
                        <w:spacing w:val="28"/>
                        <w:w w:val="110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10"/>
                        <w:sz w:val="10"/>
                      </w:rPr>
                      <w:t>-</w:t>
                    </w:r>
                    <w:r>
                      <w:rPr>
                        <w:rFonts w:ascii="Verdana"/>
                        <w:spacing w:val="25"/>
                        <w:w w:val="110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10"/>
                        <w:sz w:val="10"/>
                      </w:rPr>
                      <w:t>MUJERES</w:t>
                    </w:r>
                    <w:r>
                      <w:rPr>
                        <w:rFonts w:ascii="Verdana"/>
                        <w:spacing w:val="-35"/>
                        <w:w w:val="110"/>
                        <w:sz w:val="10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05"/>
                        <w:sz w:val="10"/>
                      </w:rPr>
                      <w:t>L</w:t>
                    </w:r>
                    <w:r>
                      <w:rPr>
                        <w:rFonts w:ascii="Verdana"/>
                        <w:w w:val="137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1"/>
                        <w:w w:val="123"/>
                        <w:sz w:val="10"/>
                      </w:rPr>
                      <w:t>D</w:t>
                    </w:r>
                    <w:r>
                      <w:rPr>
                        <w:rFonts w:ascii="Verdana"/>
                        <w:w w:val="68"/>
                        <w:sz w:val="10"/>
                      </w:rPr>
                      <w:t>I</w:t>
                    </w:r>
                    <w:r>
                      <w:rPr>
                        <w:rFonts w:ascii="Verdana"/>
                        <w:w w:val="126"/>
                        <w:sz w:val="10"/>
                      </w:rPr>
                      <w:t>N</w:t>
                    </w:r>
                    <w:r>
                      <w:rPr>
                        <w:rFonts w:ascii="Verdana"/>
                        <w:w w:val="140"/>
                        <w:sz w:val="10"/>
                      </w:rPr>
                      <w:t>O</w:t>
                    </w:r>
                    <w:r>
                      <w:rPr>
                        <w:rFonts w:ascii="Verdana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93"/>
                        <w:sz w:val="10"/>
                      </w:rPr>
                      <w:t>-</w:t>
                    </w:r>
                    <w:r>
                      <w:rPr>
                        <w:rFonts w:ascii="Verdana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38"/>
                        <w:sz w:val="10"/>
                      </w:rPr>
                      <w:t>M</w:t>
                    </w:r>
                    <w:r>
                      <w:rPr>
                        <w:rFonts w:ascii="Verdana"/>
                        <w:w w:val="114"/>
                        <w:sz w:val="10"/>
                      </w:rPr>
                      <w:t>U</w:t>
                    </w:r>
                    <w:r>
                      <w:rPr>
                        <w:rFonts w:ascii="Verdana"/>
                        <w:spacing w:val="-1"/>
                        <w:w w:val="135"/>
                        <w:sz w:val="10"/>
                      </w:rPr>
                      <w:t>J</w:t>
                    </w:r>
                    <w:r>
                      <w:rPr>
                        <w:rFonts w:ascii="Verdana"/>
                        <w:w w:val="108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111"/>
                        <w:sz w:val="10"/>
                      </w:rPr>
                      <w:t>R</w:t>
                    </w:r>
                    <w:r>
                      <w:rPr>
                        <w:rFonts w:ascii="Verdana"/>
                        <w:w w:val="108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92"/>
                        <w:sz w:val="10"/>
                      </w:rPr>
                      <w:t>S </w:t>
                    </w:r>
                    <w:r>
                      <w:rPr>
                        <w:rFonts w:ascii="Verdana"/>
                        <w:w w:val="113"/>
                        <w:sz w:val="10"/>
                      </w:rPr>
                      <w:t>X</w:t>
                    </w:r>
                    <w:r>
                      <w:rPr>
                        <w:rFonts w:ascii="Verdana"/>
                        <w:spacing w:val="-1"/>
                        <w:w w:val="68"/>
                        <w:sz w:val="10"/>
                      </w:rPr>
                      <w:t>I</w:t>
                    </w:r>
                    <w:r>
                      <w:rPr>
                        <w:rFonts w:ascii="Verdana"/>
                        <w:w w:val="126"/>
                        <w:sz w:val="10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w w:val="143"/>
                        <w:sz w:val="10"/>
                      </w:rPr>
                      <w:t>C</w:t>
                    </w:r>
                    <w:r>
                      <w:rPr>
                        <w:rFonts w:ascii="Verdana"/>
                        <w:w w:val="143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1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93"/>
                        <w:sz w:val="10"/>
                      </w:rPr>
                      <w:t>-</w:t>
                    </w:r>
                    <w:r>
                      <w:rPr>
                        <w:rFonts w:ascii="Verdana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38"/>
                        <w:sz w:val="10"/>
                      </w:rPr>
                      <w:t>M</w:t>
                    </w:r>
                    <w:r>
                      <w:rPr>
                        <w:rFonts w:ascii="Verdana"/>
                        <w:w w:val="114"/>
                        <w:sz w:val="10"/>
                      </w:rPr>
                      <w:t>U</w:t>
                    </w:r>
                    <w:r>
                      <w:rPr>
                        <w:rFonts w:ascii="Verdana"/>
                        <w:w w:val="135"/>
                        <w:sz w:val="10"/>
                      </w:rPr>
                      <w:t>J</w:t>
                    </w:r>
                    <w:r>
                      <w:rPr>
                        <w:rFonts w:ascii="Verdana"/>
                        <w:spacing w:val="1"/>
                        <w:w w:val="108"/>
                        <w:sz w:val="10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w w:val="111"/>
                        <w:sz w:val="10"/>
                      </w:rPr>
                      <w:t>R</w:t>
                    </w:r>
                    <w:r>
                      <w:rPr>
                        <w:rFonts w:ascii="Verdana"/>
                        <w:spacing w:val="1"/>
                        <w:w w:val="108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92"/>
                        <w:sz w:val="10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5948;top:3092;width:1582;height:552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15"/>
                        <w:sz w:val="12"/>
                      </w:rPr>
                      <w:t>2019</w:t>
                    </w:r>
                  </w:p>
                  <w:p>
                    <w:pPr>
                      <w:spacing w:line="160" w:lineRule="atLeast" w:before="76"/>
                      <w:ind w:left="199" w:right="8" w:firstLine="0"/>
                      <w:jc w:val="left"/>
                      <w:rPr>
                        <w:rFonts w:ascii="Verdana"/>
                        <w:sz w:val="10"/>
                      </w:rPr>
                    </w:pPr>
                    <w:r>
                      <w:rPr>
                        <w:rFonts w:ascii="Verdana"/>
                        <w:w w:val="143"/>
                        <w:sz w:val="10"/>
                      </w:rPr>
                      <w:t>G</w:t>
                    </w:r>
                    <w:r>
                      <w:rPr>
                        <w:rFonts w:ascii="Verdana"/>
                        <w:w w:val="137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111"/>
                        <w:sz w:val="10"/>
                      </w:rPr>
                      <w:t>R</w:t>
                    </w:r>
                    <w:r>
                      <w:rPr>
                        <w:rFonts w:ascii="Verdana"/>
                        <w:spacing w:val="1"/>
                        <w:w w:val="68"/>
                        <w:sz w:val="10"/>
                      </w:rPr>
                      <w:t>I</w:t>
                    </w:r>
                    <w:r>
                      <w:rPr>
                        <w:rFonts w:ascii="Verdana"/>
                        <w:spacing w:val="-1"/>
                        <w:w w:val="107"/>
                        <w:sz w:val="10"/>
                      </w:rPr>
                      <w:t>F</w:t>
                    </w:r>
                    <w:r>
                      <w:rPr>
                        <w:rFonts w:ascii="Verdana"/>
                        <w:w w:val="114"/>
                        <w:sz w:val="10"/>
                      </w:rPr>
                      <w:t>U</w:t>
                    </w:r>
                    <w:r>
                      <w:rPr>
                        <w:rFonts w:ascii="Verdana"/>
                        <w:w w:val="126"/>
                        <w:sz w:val="10"/>
                      </w:rPr>
                      <w:t>N</w:t>
                    </w:r>
                    <w:r>
                      <w:rPr>
                        <w:rFonts w:ascii="Verdana"/>
                        <w:w w:val="137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1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93"/>
                        <w:sz w:val="10"/>
                      </w:rPr>
                      <w:t>-</w:t>
                    </w:r>
                    <w:r>
                      <w:rPr>
                        <w:rFonts w:ascii="Verdana"/>
                        <w:spacing w:val="-1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15"/>
                        <w:sz w:val="10"/>
                      </w:rPr>
                      <w:t>H</w:t>
                    </w:r>
                    <w:r>
                      <w:rPr>
                        <w:rFonts w:ascii="Verdana"/>
                        <w:spacing w:val="1"/>
                        <w:w w:val="140"/>
                        <w:sz w:val="10"/>
                      </w:rPr>
                      <w:t>O</w:t>
                    </w:r>
                    <w:r>
                      <w:rPr>
                        <w:rFonts w:ascii="Verdana"/>
                        <w:w w:val="138"/>
                        <w:sz w:val="10"/>
                      </w:rPr>
                      <w:t>M</w:t>
                    </w:r>
                    <w:r>
                      <w:rPr>
                        <w:rFonts w:ascii="Verdana"/>
                        <w:w w:val="106"/>
                        <w:sz w:val="10"/>
                      </w:rPr>
                      <w:t>B</w:t>
                    </w:r>
                    <w:r>
                      <w:rPr>
                        <w:rFonts w:ascii="Verdana"/>
                        <w:w w:val="111"/>
                        <w:sz w:val="1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08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92"/>
                        <w:sz w:val="10"/>
                      </w:rPr>
                      <w:t>S </w:t>
                    </w:r>
                    <w:r>
                      <w:rPr>
                        <w:rFonts w:ascii="Verdana"/>
                        <w:w w:val="115"/>
                        <w:sz w:val="10"/>
                      </w:rPr>
                      <w:t>MAYA</w:t>
                    </w:r>
                    <w:r>
                      <w:rPr>
                        <w:rFonts w:ascii="Verdana"/>
                        <w:spacing w:val="-3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15"/>
                        <w:sz w:val="10"/>
                      </w:rPr>
                      <w:t>-</w:t>
                    </w:r>
                    <w:r>
                      <w:rPr>
                        <w:rFonts w:ascii="Verdana"/>
                        <w:spacing w:val="-2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15"/>
                        <w:sz w:val="10"/>
                      </w:rPr>
                      <w:t>HOMBRES</w:t>
                    </w:r>
                  </w:p>
                </w:txbxContent>
              </v:textbox>
              <w10:wrap type="none"/>
            </v:shape>
            <v:shape style="position:absolute;left:7615;top:3092;width:371;height:153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15"/>
                        <w:sz w:val="12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6148;top:3687;width:1737;height:122" type="#_x0000_t202" filled="false" stroked="false">
              <v:textbox inset="0,0,0,0">
                <w:txbxContent>
                  <w:p>
                    <w:pPr>
                      <w:spacing w:line="121" w:lineRule="exact" w:before="0"/>
                      <w:ind w:left="0" w:right="0" w:firstLine="0"/>
                      <w:jc w:val="left"/>
                      <w:rPr>
                        <w:rFonts w:ascii="Verdana" w:hAnsi="Verdana"/>
                        <w:sz w:val="10"/>
                      </w:rPr>
                    </w:pPr>
                    <w:r>
                      <w:rPr>
                        <w:rFonts w:ascii="Verdana" w:hAnsi="Verdana"/>
                        <w:w w:val="115"/>
                        <w:sz w:val="10"/>
                      </w:rPr>
                      <w:t>Sin</w:t>
                    </w:r>
                    <w:r>
                      <w:rPr>
                        <w:rFonts w:ascii="Verdana" w:hAnsi="Verdana"/>
                        <w:spacing w:val="13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15"/>
                        <w:sz w:val="10"/>
                      </w:rPr>
                      <w:t>Clasificación</w:t>
                    </w:r>
                    <w:r>
                      <w:rPr>
                        <w:rFonts w:ascii="Verdana" w:hAnsi="Verdana"/>
                        <w:spacing w:val="11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15"/>
                        <w:sz w:val="10"/>
                      </w:rPr>
                      <w:t>-</w:t>
                    </w:r>
                    <w:r>
                      <w:rPr>
                        <w:rFonts w:ascii="Verdana" w:hAnsi="Verdana"/>
                        <w:spacing w:val="12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15"/>
                        <w:sz w:val="10"/>
                      </w:rPr>
                      <w:t>HOMBRES</w:t>
                    </w:r>
                  </w:p>
                </w:txbxContent>
              </v:textbox>
              <w10:wrap type="none"/>
            </v:shape>
            <v:shape style="position:absolute;left:8144;top:3092;width:1678;height:717" type="#_x0000_t202" filled="false" stroked="false">
              <v:textbox inset="0,0,0,0">
                <w:txbxContent>
                  <w:p>
                    <w:pPr>
                      <w:spacing w:before="4"/>
                      <w:ind w:left="0" w:right="189" w:firstLine="0"/>
                      <w:jc w:val="righ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15"/>
                        <w:sz w:val="12"/>
                      </w:rPr>
                      <w:t>2021</w:t>
                    </w:r>
                  </w:p>
                  <w:p>
                    <w:pPr>
                      <w:spacing w:line="326" w:lineRule="auto" w:before="114"/>
                      <w:ind w:left="0" w:right="361" w:firstLine="0"/>
                      <w:jc w:val="left"/>
                      <w:rPr>
                        <w:rFonts w:ascii="Verdana"/>
                        <w:sz w:val="10"/>
                      </w:rPr>
                    </w:pPr>
                    <w:r>
                      <w:rPr>
                        <w:rFonts w:ascii="Verdana"/>
                        <w:w w:val="143"/>
                        <w:sz w:val="10"/>
                      </w:rPr>
                      <w:t>G</w:t>
                    </w:r>
                    <w:r>
                      <w:rPr>
                        <w:rFonts w:ascii="Verdana"/>
                        <w:spacing w:val="-1"/>
                        <w:w w:val="137"/>
                        <w:sz w:val="10"/>
                      </w:rPr>
                      <w:t>A</w:t>
                    </w:r>
                    <w:r>
                      <w:rPr>
                        <w:rFonts w:ascii="Verdana"/>
                        <w:w w:val="111"/>
                        <w:sz w:val="1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68"/>
                        <w:sz w:val="10"/>
                      </w:rPr>
                      <w:t>I</w:t>
                    </w:r>
                    <w:r>
                      <w:rPr>
                        <w:rFonts w:ascii="Verdana"/>
                        <w:spacing w:val="1"/>
                        <w:w w:val="107"/>
                        <w:sz w:val="10"/>
                      </w:rPr>
                      <w:t>F</w:t>
                    </w:r>
                    <w:r>
                      <w:rPr>
                        <w:rFonts w:ascii="Verdana"/>
                        <w:w w:val="114"/>
                        <w:sz w:val="10"/>
                      </w:rPr>
                      <w:t>U</w:t>
                    </w:r>
                    <w:r>
                      <w:rPr>
                        <w:rFonts w:ascii="Verdana"/>
                        <w:w w:val="126"/>
                        <w:sz w:val="10"/>
                      </w:rPr>
                      <w:t>N</w:t>
                    </w:r>
                    <w:r>
                      <w:rPr>
                        <w:rFonts w:ascii="Verdana"/>
                        <w:w w:val="137"/>
                        <w:sz w:val="10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93"/>
                        <w:sz w:val="10"/>
                      </w:rPr>
                      <w:t>-</w:t>
                    </w:r>
                    <w:r>
                      <w:rPr>
                        <w:rFonts w:ascii="Verdana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38"/>
                        <w:sz w:val="10"/>
                      </w:rPr>
                      <w:t>M</w:t>
                    </w:r>
                    <w:r>
                      <w:rPr>
                        <w:rFonts w:ascii="Verdana"/>
                        <w:w w:val="114"/>
                        <w:sz w:val="10"/>
                      </w:rPr>
                      <w:t>U</w:t>
                    </w:r>
                    <w:r>
                      <w:rPr>
                        <w:rFonts w:ascii="Verdana"/>
                        <w:w w:val="135"/>
                        <w:sz w:val="10"/>
                      </w:rPr>
                      <w:t>J</w:t>
                    </w:r>
                    <w:r>
                      <w:rPr>
                        <w:rFonts w:ascii="Verdana"/>
                        <w:spacing w:val="1"/>
                        <w:w w:val="108"/>
                        <w:sz w:val="10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w w:val="111"/>
                        <w:sz w:val="10"/>
                      </w:rPr>
                      <w:t>R</w:t>
                    </w:r>
                    <w:r>
                      <w:rPr>
                        <w:rFonts w:ascii="Verdana"/>
                        <w:spacing w:val="1"/>
                        <w:w w:val="108"/>
                        <w:sz w:val="10"/>
                      </w:rPr>
                      <w:t>E</w:t>
                    </w:r>
                    <w:r>
                      <w:rPr>
                        <w:rFonts w:ascii="Verdana"/>
                        <w:w w:val="92"/>
                        <w:sz w:val="10"/>
                      </w:rPr>
                      <w:t>S </w:t>
                    </w:r>
                    <w:r>
                      <w:rPr>
                        <w:rFonts w:ascii="Verdana"/>
                        <w:w w:val="115"/>
                        <w:sz w:val="10"/>
                      </w:rPr>
                      <w:t>MAYA</w:t>
                    </w:r>
                    <w:r>
                      <w:rPr>
                        <w:rFonts w:ascii="Verdana"/>
                        <w:spacing w:val="-4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15"/>
                        <w:sz w:val="10"/>
                      </w:rPr>
                      <w:t>-</w:t>
                    </w:r>
                    <w:r>
                      <w:rPr>
                        <w:rFonts w:ascii="Verdana"/>
                        <w:spacing w:val="-4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Verdana"/>
                        <w:w w:val="115"/>
                        <w:sz w:val="10"/>
                      </w:rPr>
                      <w:t>MUJERES</w:t>
                    </w:r>
                  </w:p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Verdana" w:hAnsi="Verdana"/>
                        <w:sz w:val="10"/>
                      </w:rPr>
                    </w:pPr>
                    <w:r>
                      <w:rPr>
                        <w:rFonts w:ascii="Verdana" w:hAnsi="Verdana"/>
                        <w:w w:val="110"/>
                        <w:sz w:val="10"/>
                      </w:rPr>
                      <w:t>Sin</w:t>
                    </w:r>
                    <w:r>
                      <w:rPr>
                        <w:rFonts w:ascii="Verdana" w:hAnsi="Verdana"/>
                        <w:spacing w:val="29"/>
                        <w:w w:val="110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10"/>
                        <w:sz w:val="10"/>
                      </w:rPr>
                      <w:t>Clasificación</w:t>
                    </w:r>
                    <w:r>
                      <w:rPr>
                        <w:rFonts w:ascii="Verdana" w:hAnsi="Verdana"/>
                        <w:spacing w:val="29"/>
                        <w:w w:val="110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10"/>
                        <w:sz w:val="10"/>
                      </w:rPr>
                      <w:t>-</w:t>
                    </w:r>
                    <w:r>
                      <w:rPr>
                        <w:rFonts w:ascii="Verdana" w:hAnsi="Verdana"/>
                        <w:spacing w:val="27"/>
                        <w:w w:val="110"/>
                        <w:sz w:val="10"/>
                      </w:rPr>
                      <w:t> </w:t>
                    </w:r>
                    <w:r>
                      <w:rPr>
                        <w:rFonts w:ascii="Verdana" w:hAnsi="Verdana"/>
                        <w:w w:val="110"/>
                        <w:sz w:val="10"/>
                      </w:rPr>
                      <w:t>MUJERES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278" w:right="1076"/>
        <w:jc w:val="both"/>
      </w:pPr>
      <w:r>
        <w:rPr/>
        <w:t>Este gráfico muestra el total de la población estudiantil por niveles educativos, etnia y sexo durante el</w:t>
      </w:r>
      <w:r>
        <w:rPr>
          <w:spacing w:val="1"/>
        </w:rPr>
        <w:t> </w:t>
      </w:r>
      <w:r>
        <w:rPr/>
        <w:t>período 2017-2021, para el Departamento de Zacapa. Según DIPLAN, (2021), de las cifras anteriores, la</w:t>
      </w:r>
      <w:r>
        <w:rPr>
          <w:spacing w:val="1"/>
        </w:rPr>
        <w:t> </w:t>
      </w:r>
      <w:r>
        <w:rPr/>
        <w:t>proporción de atención a la población estudiantil fue como sigue: Ladinos: 51% de hombres y 48% de</w:t>
      </w:r>
      <w:r>
        <w:rPr>
          <w:spacing w:val="1"/>
        </w:rPr>
        <w:t> </w:t>
      </w:r>
      <w:r>
        <w:rPr/>
        <w:t>mujeres.</w:t>
      </w:r>
      <w:r>
        <w:rPr>
          <w:spacing w:val="-1"/>
        </w:rPr>
        <w:t> </w:t>
      </w:r>
      <w:r>
        <w:rPr/>
        <w:t>Mayas: 0%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hombres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0%</w:t>
      </w:r>
      <w:r>
        <w:rPr>
          <w:spacing w:val="-2"/>
        </w:rPr>
        <w:t> </w:t>
      </w:r>
      <w:r>
        <w:rPr/>
        <w:t>mujeres.</w:t>
      </w:r>
    </w:p>
    <w:p>
      <w:pPr>
        <w:pStyle w:val="BodyText"/>
        <w:spacing w:before="2"/>
      </w:pPr>
    </w:p>
    <w:p>
      <w:pPr>
        <w:pStyle w:val="BodyText"/>
        <w:ind w:left="278" w:right="1069"/>
        <w:jc w:val="both"/>
      </w:pPr>
      <w:r>
        <w:rPr>
          <w:spacing w:val="-1"/>
        </w:rPr>
        <w:t>Al</w:t>
      </w:r>
      <w:r>
        <w:rPr>
          <w:spacing w:val="-10"/>
        </w:rPr>
        <w:t> </w:t>
      </w:r>
      <w:r>
        <w:rPr>
          <w:spacing w:val="-1"/>
        </w:rPr>
        <w:t>comparar</w:t>
      </w:r>
      <w:r>
        <w:rPr>
          <w:spacing w:val="-13"/>
        </w:rPr>
        <w:t> </w:t>
      </w:r>
      <w:r>
        <w:rPr>
          <w:spacing w:val="-1"/>
        </w:rPr>
        <w:t>estos</w:t>
      </w:r>
      <w:r>
        <w:rPr>
          <w:spacing w:val="-9"/>
        </w:rPr>
        <w:t> </w:t>
      </w:r>
      <w:r>
        <w:rPr>
          <w:spacing w:val="-1"/>
        </w:rPr>
        <w:t>resultados</w:t>
      </w:r>
      <w:r>
        <w:rPr>
          <w:spacing w:val="-11"/>
        </w:rPr>
        <w:t> </w:t>
      </w:r>
      <w:r>
        <w:rPr/>
        <w:t>con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información</w:t>
      </w:r>
      <w:r>
        <w:rPr>
          <w:spacing w:val="-10"/>
        </w:rPr>
        <w:t> </w:t>
      </w:r>
      <w:r>
        <w:rPr/>
        <w:t>del</w:t>
      </w:r>
      <w:r>
        <w:rPr>
          <w:spacing w:val="-8"/>
        </w:rPr>
        <w:t> </w:t>
      </w:r>
      <w:r>
        <w:rPr/>
        <w:t>INE,</w:t>
      </w:r>
      <w:r>
        <w:rPr>
          <w:spacing w:val="-9"/>
        </w:rPr>
        <w:t> </w:t>
      </w:r>
      <w:r>
        <w:rPr/>
        <w:t>(2018),</w:t>
      </w:r>
      <w:r>
        <w:rPr>
          <w:spacing w:val="-12"/>
        </w:rPr>
        <w:t> </w:t>
      </w:r>
      <w:r>
        <w:rPr/>
        <w:t>es</w:t>
      </w:r>
      <w:r>
        <w:rPr>
          <w:spacing w:val="-11"/>
        </w:rPr>
        <w:t> </w:t>
      </w:r>
      <w:r>
        <w:rPr/>
        <w:t>posible</w:t>
      </w:r>
      <w:r>
        <w:rPr>
          <w:spacing w:val="-11"/>
        </w:rPr>
        <w:t> </w:t>
      </w:r>
      <w:r>
        <w:rPr/>
        <w:t>evidenciar</w:t>
      </w:r>
      <w:r>
        <w:rPr>
          <w:spacing w:val="-7"/>
        </w:rPr>
        <w:t> </w:t>
      </w:r>
      <w:r>
        <w:rPr/>
        <w:t>que,</w:t>
      </w:r>
      <w:r>
        <w:rPr>
          <w:spacing w:val="-11"/>
        </w:rPr>
        <w:t> </w:t>
      </w:r>
      <w:r>
        <w:rPr/>
        <w:t>si</w:t>
      </w:r>
      <w:r>
        <w:rPr>
          <w:spacing w:val="-11"/>
        </w:rPr>
        <w:t> </w:t>
      </w:r>
      <w:r>
        <w:rPr/>
        <w:t>bien</w:t>
      </w:r>
      <w:r>
        <w:rPr>
          <w:spacing w:val="-12"/>
        </w:rPr>
        <w:t> </w:t>
      </w:r>
      <w:r>
        <w:rPr/>
        <w:t>es</w:t>
      </w:r>
      <w:r>
        <w:rPr>
          <w:spacing w:val="-11"/>
        </w:rPr>
        <w:t> </w:t>
      </w:r>
      <w:r>
        <w:rPr/>
        <w:t>cierto,</w:t>
      </w:r>
      <w:r>
        <w:rPr>
          <w:spacing w:val="-47"/>
        </w:rPr>
        <w:t> </w:t>
      </w:r>
      <w:r>
        <w:rPr/>
        <w:t>si</w:t>
      </w:r>
      <w:r>
        <w:rPr>
          <w:spacing w:val="-4"/>
        </w:rPr>
        <w:t> </w:t>
      </w:r>
      <w:r>
        <w:rPr/>
        <w:t>hay</w:t>
      </w:r>
      <w:r>
        <w:rPr>
          <w:spacing w:val="-3"/>
        </w:rPr>
        <w:t> </w:t>
      </w:r>
      <w:r>
        <w:rPr/>
        <w:t>participación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5"/>
        </w:rPr>
        <w:t> </w:t>
      </w:r>
      <w:r>
        <w:rPr/>
        <w:t>etnias</w:t>
      </w:r>
      <w:r>
        <w:rPr>
          <w:spacing w:val="-3"/>
        </w:rPr>
        <w:t> </w:t>
      </w:r>
      <w:r>
        <w:rPr/>
        <w:t>mayoritarias</w:t>
      </w:r>
      <w:r>
        <w:rPr>
          <w:spacing w:val="-2"/>
        </w:rPr>
        <w:t> </w:t>
      </w:r>
      <w:r>
        <w:rPr/>
        <w:t>(2%</w:t>
      </w:r>
      <w:r>
        <w:rPr>
          <w:spacing w:val="-3"/>
        </w:rPr>
        <w:t> </w:t>
      </w:r>
      <w:r>
        <w:rPr/>
        <w:t>Maya</w:t>
      </w:r>
      <w:r>
        <w:rPr>
          <w:spacing w:val="-2"/>
        </w:rPr>
        <w:t> </w:t>
      </w:r>
      <w:r>
        <w:rPr/>
        <w:t>y 98%</w:t>
      </w:r>
      <w:r>
        <w:rPr>
          <w:spacing w:val="-3"/>
        </w:rPr>
        <w:t> </w:t>
      </w:r>
      <w:r>
        <w:rPr/>
        <w:t>Ladina),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hay</w:t>
      </w:r>
      <w:r>
        <w:rPr>
          <w:spacing w:val="-2"/>
        </w:rPr>
        <w:t> </w:t>
      </w:r>
      <w:r>
        <w:rPr/>
        <w:t>representación.</w:t>
      </w:r>
      <w:r>
        <w:rPr>
          <w:spacing w:val="-4"/>
        </w:rPr>
        <w:t> </w:t>
      </w:r>
      <w:r>
        <w:rPr/>
        <w:t>Es</w:t>
      </w:r>
      <w:r>
        <w:rPr>
          <w:spacing w:val="-2"/>
        </w:rPr>
        <w:t> </w:t>
      </w:r>
      <w:r>
        <w:rPr/>
        <w:t>decir,</w:t>
      </w:r>
      <w:r>
        <w:rPr>
          <w:spacing w:val="-5"/>
        </w:rPr>
        <w:t> </w:t>
      </w:r>
      <w:r>
        <w:rPr/>
        <w:t>el</w:t>
      </w:r>
      <w:r>
        <w:rPr>
          <w:spacing w:val="-47"/>
        </w:rPr>
        <w:t> </w:t>
      </w:r>
      <w:r>
        <w:rPr/>
        <w:t>acceso al Sistema de Educación Nacional no llega a las poblaciones de etnia maya residentes en el</w:t>
      </w:r>
      <w:r>
        <w:rPr>
          <w:spacing w:val="1"/>
        </w:rPr>
        <w:t> </w:t>
      </w:r>
      <w:r>
        <w:rPr/>
        <w:t>departamento lo que profundiza la brecha de inequidad. Mientras que para los que pertenecen a la etnia</w:t>
      </w:r>
      <w:r>
        <w:rPr>
          <w:spacing w:val="-47"/>
        </w:rPr>
        <w:t> </w:t>
      </w:r>
      <w:r>
        <w:rPr/>
        <w:t>ladina poseen mayor representatividad en el sistema educativo. Lo interesante en este caso es que se</w:t>
      </w:r>
      <w:r>
        <w:rPr>
          <w:spacing w:val="1"/>
        </w:rPr>
        <w:t> </w:t>
      </w:r>
      <w:r>
        <w:rPr/>
        <w:t>esperaría</w:t>
      </w:r>
      <w:r>
        <w:rPr>
          <w:spacing w:val="-8"/>
        </w:rPr>
        <w:t> </w:t>
      </w:r>
      <w:r>
        <w:rPr/>
        <w:t>es</w:t>
      </w:r>
      <w:r>
        <w:rPr>
          <w:spacing w:val="-5"/>
        </w:rPr>
        <w:t> </w:t>
      </w:r>
      <w:r>
        <w:rPr/>
        <w:t>que,</w:t>
      </w:r>
      <w:r>
        <w:rPr>
          <w:spacing w:val="-8"/>
        </w:rPr>
        <w:t> </w:t>
      </w:r>
      <w:r>
        <w:rPr/>
        <w:t>dada</w:t>
      </w:r>
      <w:r>
        <w:rPr>
          <w:spacing w:val="-5"/>
        </w:rPr>
        <w:t> </w:t>
      </w:r>
      <w:r>
        <w:rPr/>
        <w:t>la</w:t>
      </w:r>
      <w:r>
        <w:rPr>
          <w:spacing w:val="-8"/>
        </w:rPr>
        <w:t> </w:t>
      </w:r>
      <w:r>
        <w:rPr/>
        <w:t>composición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población</w:t>
      </w:r>
      <w:r>
        <w:rPr>
          <w:spacing w:val="-9"/>
        </w:rPr>
        <w:t> </w:t>
      </w:r>
      <w:r>
        <w:rPr/>
        <w:t>mayoritariamente</w:t>
      </w:r>
      <w:r>
        <w:rPr>
          <w:spacing w:val="-6"/>
        </w:rPr>
        <w:t> </w:t>
      </w:r>
      <w:r>
        <w:rPr/>
        <w:t>Ladina,</w:t>
      </w:r>
      <w:r>
        <w:rPr>
          <w:spacing w:val="-10"/>
        </w:rPr>
        <w:t> </w:t>
      </w:r>
      <w:r>
        <w:rPr/>
        <w:t>esta</w:t>
      </w:r>
      <w:r>
        <w:rPr>
          <w:spacing w:val="-6"/>
        </w:rPr>
        <w:t> </w:t>
      </w:r>
      <w:r>
        <w:rPr/>
        <w:t>cifra</w:t>
      </w:r>
      <w:r>
        <w:rPr>
          <w:spacing w:val="-5"/>
        </w:rPr>
        <w:t> </w:t>
      </w:r>
      <w:r>
        <w:rPr/>
        <w:t>fuese</w:t>
      </w:r>
      <w:r>
        <w:rPr>
          <w:spacing w:val="-7"/>
        </w:rPr>
        <w:t> </w:t>
      </w:r>
      <w:r>
        <w:rPr/>
        <w:t>mayor.</w:t>
      </w:r>
      <w:r>
        <w:rPr>
          <w:spacing w:val="-5"/>
        </w:rPr>
        <w:t> </w:t>
      </w:r>
      <w:r>
        <w:rPr/>
        <w:t>Al</w:t>
      </w:r>
      <w:r>
        <w:rPr>
          <w:spacing w:val="-48"/>
        </w:rPr>
        <w:t> </w:t>
      </w:r>
      <w:r>
        <w:rPr/>
        <w:t>parecer el acceso a la educación es multidimensional y podría ser explicado, también por el nivel de</w:t>
      </w:r>
      <w:r>
        <w:rPr>
          <w:spacing w:val="1"/>
        </w:rPr>
        <w:t> </w:t>
      </w:r>
      <w:r>
        <w:rPr/>
        <w:t>ingresos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las familias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nos niveles</w:t>
      </w:r>
      <w:r>
        <w:rPr>
          <w:spacing w:val="-2"/>
        </w:rPr>
        <w:t> </w:t>
      </w:r>
      <w:r>
        <w:rPr/>
        <w:t>de pobreza.</w:t>
      </w:r>
    </w:p>
    <w:p>
      <w:pPr>
        <w:pStyle w:val="BodyText"/>
      </w:pPr>
    </w:p>
    <w:p>
      <w:pPr>
        <w:pStyle w:val="BodyText"/>
        <w:ind w:left="278" w:right="1075"/>
        <w:jc w:val="both"/>
      </w:pPr>
      <w:r>
        <w:rPr/>
        <w:t>Por otra parte, si bien es cierto que la brecha de género se ha ido cerrando entre hombres y mujeres aún</w:t>
      </w:r>
      <w:r>
        <w:rPr>
          <w:spacing w:val="-47"/>
        </w:rPr>
        <w:t> </w:t>
      </w:r>
      <w:r>
        <w:rPr/>
        <w:t>hace</w:t>
      </w:r>
      <w:r>
        <w:rPr>
          <w:spacing w:val="-2"/>
        </w:rPr>
        <w:t> </w:t>
      </w:r>
      <w:r>
        <w:rPr/>
        <w:t>falta</w:t>
      </w:r>
      <w:r>
        <w:rPr>
          <w:spacing w:val="-4"/>
        </w:rPr>
        <w:t> </w:t>
      </w:r>
      <w:r>
        <w:rPr/>
        <w:t>que</w:t>
      </w:r>
      <w:r>
        <w:rPr>
          <w:spacing w:val="-1"/>
        </w:rPr>
        <w:t> </w:t>
      </w:r>
      <w:r>
        <w:rPr/>
        <w:t>haya</w:t>
      </w:r>
      <w:r>
        <w:rPr>
          <w:spacing w:val="-4"/>
        </w:rPr>
        <w:t> </w:t>
      </w:r>
      <w:r>
        <w:rPr/>
        <w:t>mayor</w:t>
      </w:r>
      <w:r>
        <w:rPr>
          <w:spacing w:val="-4"/>
        </w:rPr>
        <w:t> </w:t>
      </w:r>
      <w:r>
        <w:rPr/>
        <w:t>representatividad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mujeres.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brecha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género persiste</w:t>
      </w:r>
      <w:r>
        <w:rPr>
          <w:spacing w:val="-1"/>
        </w:rPr>
        <w:t> </w:t>
      </w:r>
      <w:r>
        <w:rPr/>
        <w:t>porque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pesar</w:t>
      </w:r>
      <w:r>
        <w:rPr>
          <w:spacing w:val="-47"/>
        </w:rPr>
        <w:t> </w:t>
      </w:r>
      <w:r>
        <w:rPr/>
        <w:t>de que los</w:t>
      </w:r>
      <w:r>
        <w:rPr>
          <w:spacing w:val="-1"/>
        </w:rPr>
        <w:t> </w:t>
      </w:r>
      <w:r>
        <w:rPr/>
        <w:t>hombres son</w:t>
      </w:r>
      <w:r>
        <w:rPr>
          <w:spacing w:val="-1"/>
        </w:rPr>
        <w:t> </w:t>
      </w:r>
      <w:r>
        <w:rPr/>
        <w:t>menores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porcentaje, poseen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oportunidad</w:t>
      </w:r>
      <w:r>
        <w:rPr>
          <w:spacing w:val="-2"/>
        </w:rPr>
        <w:t> </w:t>
      </w:r>
      <w:r>
        <w:rPr/>
        <w:t>de ingresar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1"/>
        </w:rPr>
        <w:t> </w:t>
      </w:r>
      <w:r>
        <w:rPr/>
        <w:t>sistema.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rect style="position:absolute;margin-left:563.880005pt;margin-top:18.512794pt;width:25.44pt;height:1.4399pt;mso-position-horizontal-relative:page;mso-position-vertical-relative:paragraph;z-index:-1534873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197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after="0" w:line="88" w:lineRule="exact"/>
        <w:rPr>
          <w:rFonts w:ascii="Arial MT"/>
          <w:sz w:val="8"/>
        </w:rPr>
        <w:sectPr>
          <w:pgSz w:w="12240" w:h="15840"/>
          <w:pgMar w:top="1500" w:bottom="280" w:left="1140" w:right="3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4694144">
            <wp:simplePos x="0" y="0"/>
            <wp:positionH relativeFrom="page">
              <wp:posOffset>0</wp:posOffset>
            </wp:positionH>
            <wp:positionV relativeFrom="page">
              <wp:posOffset>295758</wp:posOffset>
            </wp:positionV>
            <wp:extent cx="7772399" cy="9496494"/>
            <wp:effectExtent l="0" t="0" r="0" b="0"/>
            <wp:wrapNone/>
            <wp:docPr id="51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3"/>
        <w:numPr>
          <w:ilvl w:val="0"/>
          <w:numId w:val="32"/>
        </w:numPr>
        <w:tabs>
          <w:tab w:pos="710" w:val="left" w:leader="none"/>
          <w:tab w:pos="711" w:val="left" w:leader="none"/>
        </w:tabs>
        <w:spacing w:line="240" w:lineRule="auto" w:before="52" w:after="0"/>
        <w:ind w:left="710" w:right="0" w:hanging="433"/>
        <w:jc w:val="left"/>
      </w:pPr>
      <w:bookmarkStart w:name="_bookmark249" w:id="431"/>
      <w:bookmarkEnd w:id="431"/>
      <w:r>
        <w:rPr>
          <w:b w:val="0"/>
        </w:rPr>
      </w:r>
      <w:bookmarkStart w:name="_bookmark249" w:id="432"/>
      <w:bookmarkEnd w:id="432"/>
      <w:r>
        <w:rPr>
          <w:color w:val="1F4E79"/>
          <w:spacing w:val="-1"/>
        </w:rPr>
        <w:t>R</w:t>
      </w:r>
      <w:r>
        <w:rPr>
          <w:color w:val="1F4E79"/>
          <w:spacing w:val="-1"/>
        </w:rPr>
        <w:t>eferencias</w:t>
      </w:r>
      <w:r>
        <w:rPr>
          <w:color w:val="1F4E79"/>
          <w:spacing w:val="-3"/>
        </w:rPr>
        <w:t> </w:t>
      </w:r>
      <w:r>
        <w:rPr>
          <w:color w:val="1F4E79"/>
        </w:rPr>
        <w:t>Bibliográficas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ind w:left="278" w:right="1072"/>
        <w:jc w:val="both"/>
      </w:pPr>
      <w:r>
        <w:rPr/>
        <w:t>CEPAL (2021) Evaluación de los Efectos e impactos de las depresiones tropicales Eta y Iota en Guatemala.</w:t>
      </w:r>
      <w:r>
        <w:rPr>
          <w:spacing w:val="-47"/>
        </w:rPr>
        <w:t> </w:t>
      </w:r>
      <w:hyperlink r:id="rId136">
        <w:r>
          <w:rPr/>
          <w:t>https://www.cepal.org/sites/default/files/publication/files/46681/S2100038_es.pdf</w:t>
        </w:r>
      </w:hyperlink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8" w:right="1071"/>
        <w:jc w:val="both"/>
      </w:pPr>
      <w:r>
        <w:rPr/>
        <w:t>CEPREDENAC (14 de noviembre de 2020) Informe de situación de la Tormenta Tropical ETA (actualización</w:t>
      </w:r>
      <w:r>
        <w:rPr>
          <w:spacing w:val="-47"/>
        </w:rPr>
        <w:t> </w:t>
      </w:r>
      <w:r>
        <w:rPr/>
        <w:t>Nº.15</w:t>
      </w:r>
      <w:hyperlink r:id="rId137">
        <w:r>
          <w:rPr/>
          <w:t>http://cepredenac.org/wp-content/uploads/2020/11/informe-de-situacion-iota-1.pdf</w:t>
        </w:r>
      </w:hyperlink>
    </w:p>
    <w:p>
      <w:pPr>
        <w:pStyle w:val="BodyText"/>
      </w:pPr>
    </w:p>
    <w:p>
      <w:pPr>
        <w:pStyle w:val="BodyText"/>
        <w:tabs>
          <w:tab w:pos="2014" w:val="left" w:leader="none"/>
          <w:tab w:pos="3785" w:val="left" w:leader="none"/>
          <w:tab w:pos="5204" w:val="left" w:leader="none"/>
          <w:tab w:pos="7078" w:val="left" w:leader="none"/>
          <w:tab w:pos="9103" w:val="left" w:leader="none"/>
        </w:tabs>
        <w:spacing w:before="1"/>
        <w:ind w:left="278" w:right="1074"/>
        <w:jc w:val="both"/>
      </w:pPr>
      <w:r>
        <w:rPr/>
        <w:t>Índice</w:t>
        <w:tab/>
        <w:t>Global</w:t>
        <w:tab/>
        <w:t>de</w:t>
        <w:tab/>
        <w:t>Cambio</w:t>
        <w:tab/>
        <w:t>Climático</w:t>
        <w:tab/>
      </w:r>
      <w:r>
        <w:rPr>
          <w:spacing w:val="-1"/>
        </w:rPr>
        <w:t>(2021)</w:t>
      </w:r>
      <w:r>
        <w:rPr>
          <w:spacing w:val="-48"/>
        </w:rPr>
        <w:t> </w:t>
      </w:r>
      <w:hyperlink r:id="rId138">
        <w:r>
          <w:rPr>
            <w:spacing w:val="-1"/>
          </w:rPr>
          <w:t>https://germanwatch.org/sites/default/files/Resumen%20Indice%20de%20Riesgo%20Clim%C3%A1tico%</w:t>
        </w:r>
      </w:hyperlink>
      <w:r>
        <w:rPr/>
        <w:t> </w:t>
      </w:r>
      <w:hyperlink r:id="rId138">
        <w:r>
          <w:rPr/>
          <w:t>20Global%202021.pdf</w:t>
        </w:r>
      </w:hyperlink>
    </w:p>
    <w:p>
      <w:pPr>
        <w:pStyle w:val="BodyText"/>
        <w:spacing w:before="1"/>
      </w:pPr>
    </w:p>
    <w:p>
      <w:pPr>
        <w:pStyle w:val="BodyText"/>
        <w:ind w:left="278"/>
      </w:pPr>
      <w:r>
        <w:rPr/>
        <w:t>Food</w:t>
      </w:r>
      <w:r>
        <w:rPr>
          <w:spacing w:val="11"/>
        </w:rPr>
        <w:t> </w:t>
      </w:r>
      <w:r>
        <w:rPr/>
        <w:t>For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Hungry,</w:t>
      </w:r>
      <w:r>
        <w:rPr>
          <w:spacing w:val="12"/>
        </w:rPr>
        <w:t> </w:t>
      </w:r>
      <w:r>
        <w:rPr/>
        <w:t>Guatemala</w:t>
      </w:r>
      <w:r>
        <w:rPr>
          <w:spacing w:val="14"/>
        </w:rPr>
        <w:t> </w:t>
      </w:r>
      <w:r>
        <w:rPr/>
        <w:t>-FH</w:t>
      </w:r>
      <w:r>
        <w:rPr>
          <w:spacing w:val="11"/>
        </w:rPr>
        <w:t> </w:t>
      </w:r>
      <w:r>
        <w:rPr/>
        <w:t>GUATEMALA-</w:t>
      </w:r>
      <w:r>
        <w:rPr>
          <w:spacing w:val="12"/>
        </w:rPr>
        <w:t> </w:t>
      </w:r>
      <w:r>
        <w:rPr/>
        <w:t>(2020)</w:t>
      </w:r>
      <w:r>
        <w:rPr>
          <w:spacing w:val="10"/>
        </w:rPr>
        <w:t> </w:t>
      </w:r>
      <w:r>
        <w:rPr/>
        <w:t>Emergencia</w:t>
      </w:r>
      <w:r>
        <w:rPr>
          <w:spacing w:val="10"/>
        </w:rPr>
        <w:t> </w:t>
      </w:r>
      <w:r>
        <w:rPr/>
        <w:t>ETA/IOTA.</w:t>
      </w:r>
      <w:r>
        <w:rPr>
          <w:spacing w:val="15"/>
        </w:rPr>
        <w:t> </w:t>
      </w:r>
      <w:r>
        <w:rPr/>
        <w:t>Informe</w:t>
      </w:r>
      <w:r>
        <w:rPr>
          <w:spacing w:val="13"/>
        </w:rPr>
        <w:t> </w:t>
      </w:r>
      <w:r>
        <w:rPr/>
        <w:t>de</w:t>
      </w:r>
      <w:r>
        <w:rPr>
          <w:spacing w:val="10"/>
        </w:rPr>
        <w:t> </w:t>
      </w:r>
      <w:r>
        <w:rPr/>
        <w:t>situación.</w:t>
      </w:r>
      <w:r>
        <w:rPr>
          <w:spacing w:val="-47"/>
        </w:rPr>
        <w:t> </w:t>
      </w:r>
      <w:hyperlink r:id="rId139">
        <w:r>
          <w:rPr/>
          <w:t>https://reliefweb.int/sites/reliefweb.int/files/resources/Sit%20Rep%20FHG.pdf</w:t>
        </w:r>
      </w:hyperlink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278" w:right="3128"/>
      </w:pPr>
      <w:r>
        <w:rPr/>
        <w:t>Ministerio de Salud Pública y Asistencia Social –MSPAS- (2021). Tablero COVID-19.</w:t>
      </w:r>
      <w:r>
        <w:rPr>
          <w:spacing w:val="-47"/>
        </w:rPr>
        <w:t> </w:t>
      </w:r>
      <w:hyperlink r:id="rId140">
        <w:r>
          <w:rPr/>
          <w:t>https://tablerocovid.mspas.gob.gt/</w:t>
        </w:r>
      </w:hyperlink>
    </w:p>
    <w:p>
      <w:pPr>
        <w:pStyle w:val="BodyText"/>
      </w:pPr>
    </w:p>
    <w:p>
      <w:pPr>
        <w:pStyle w:val="BodyText"/>
        <w:ind w:left="278" w:right="1072"/>
      </w:pPr>
      <w:r>
        <w:rPr/>
        <w:t>UNICEF</w:t>
      </w:r>
      <w:r>
        <w:rPr>
          <w:spacing w:val="-7"/>
        </w:rPr>
        <w:t> </w:t>
      </w:r>
      <w:r>
        <w:rPr/>
        <w:t>(2010)</w:t>
      </w:r>
      <w:r>
        <w:rPr>
          <w:spacing w:val="-5"/>
        </w:rPr>
        <w:t> </w:t>
      </w:r>
      <w:r>
        <w:rPr/>
        <w:t>Cambio</w:t>
      </w:r>
      <w:r>
        <w:rPr>
          <w:spacing w:val="-5"/>
        </w:rPr>
        <w:t> </w:t>
      </w:r>
      <w:r>
        <w:rPr/>
        <w:t>Climático:</w:t>
      </w:r>
      <w:r>
        <w:rPr>
          <w:spacing w:val="-5"/>
        </w:rPr>
        <w:t> </w:t>
      </w:r>
      <w:r>
        <w:rPr/>
        <w:t>Efectos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/>
        <w:t>consecuencias</w:t>
      </w:r>
      <w:r>
        <w:rPr>
          <w:spacing w:val="-7"/>
        </w:rPr>
        <w:t> </w:t>
      </w:r>
      <w:r>
        <w:rPr/>
        <w:t>del</w:t>
      </w:r>
      <w:r>
        <w:rPr>
          <w:spacing w:val="-5"/>
        </w:rPr>
        <w:t> </w:t>
      </w:r>
      <w:r>
        <w:rPr/>
        <w:t>cambio</w:t>
      </w:r>
      <w:r>
        <w:rPr>
          <w:spacing w:val="-4"/>
        </w:rPr>
        <w:t> </w:t>
      </w:r>
      <w:r>
        <w:rPr/>
        <w:t>climático</w:t>
      </w:r>
      <w:r>
        <w:rPr>
          <w:spacing w:val="-5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niñez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adolescencia.</w:t>
      </w:r>
      <w:r>
        <w:rPr>
          <w:spacing w:val="-46"/>
        </w:rPr>
        <w:t> </w:t>
      </w:r>
      <w:hyperlink r:id="rId141">
        <w:r>
          <w:rPr/>
          <w:t>https://www.cepal.org/es/publicaciones/3955-efectos-cambio-climatico-la-costa-america-latina-caribe-</w:t>
        </w:r>
      </w:hyperlink>
      <w:r>
        <w:rPr>
          <w:spacing w:val="1"/>
        </w:rPr>
        <w:t> </w:t>
      </w:r>
      <w:hyperlink r:id="rId141">
        <w:r>
          <w:rPr/>
          <w:t>dinamicas-tendencias</w:t>
        </w:r>
      </w:hyperlink>
    </w:p>
    <w:p>
      <w:pPr>
        <w:pStyle w:val="BodyText"/>
        <w:spacing w:before="2"/>
      </w:pPr>
    </w:p>
    <w:p>
      <w:pPr>
        <w:pStyle w:val="BodyText"/>
        <w:tabs>
          <w:tab w:pos="1522" w:val="left" w:leader="none"/>
          <w:tab w:pos="2678" w:val="left" w:leader="none"/>
          <w:tab w:pos="3794" w:val="left" w:leader="none"/>
          <w:tab w:pos="4595" w:val="left" w:leader="none"/>
          <w:tab w:pos="5826" w:val="left" w:leader="none"/>
          <w:tab w:pos="7213" w:val="left" w:leader="none"/>
          <w:tab w:pos="8191" w:val="left" w:leader="none"/>
          <w:tab w:pos="8924" w:val="left" w:leader="none"/>
        </w:tabs>
        <w:ind w:left="278" w:right="1074"/>
      </w:pPr>
      <w:r>
        <w:rPr/>
        <w:t>UNICEF</w:t>
        <w:tab/>
        <w:t>(2021)</w:t>
        <w:tab/>
        <w:t>Índice</w:t>
        <w:tab/>
        <w:t>de</w:t>
        <w:tab/>
        <w:t>cambio</w:t>
        <w:tab/>
        <w:t>climático</w:t>
        <w:tab/>
        <w:t>para</w:t>
        <w:tab/>
        <w:t>la</w:t>
        <w:tab/>
      </w:r>
      <w:r>
        <w:rPr>
          <w:spacing w:val="-1"/>
        </w:rPr>
        <w:t>infancia.</w:t>
      </w:r>
      <w:r>
        <w:rPr>
          <w:spacing w:val="-47"/>
        </w:rPr>
        <w:t> </w:t>
      </w:r>
      <w:hyperlink r:id="rId142">
        <w:r>
          <w:rPr/>
          <w:t>https://www.unicef.es/sites/unicef.es/files/comunicacion/Crisis%20climatica.pdf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rect style="position:absolute;margin-left:563.880005pt;margin-top:18.813103pt;width:25.44pt;height:1.4399pt;mso-position-horizontal-relative:page;mso-position-vertical-relative:paragraph;z-index:-1534720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1"/>
      </w:pPr>
      <w:r>
        <w:rPr/>
        <w:t>198</w:t>
      </w:r>
    </w:p>
    <w:p>
      <w:pPr>
        <w:pStyle w:val="BodyText"/>
        <w:spacing w:line="88" w:lineRule="exact"/>
        <w:ind w:left="10137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25.45pt;height:4.45pt;mso-position-horizontal-relative:char;mso-position-vertical-relative:line" coordorigin="0,0" coordsize="509,89">
            <v:rect style="position:absolute;left:0;top:0;width:509;height:89" filled="true" fillcolor="#a4a4a4" stroked="false">
              <v:fill type="solid"/>
            </v:rect>
          </v:group>
        </w:pict>
      </w:r>
      <w:r>
        <w:rPr>
          <w:rFonts w:ascii="Arial MT"/>
          <w:position w:val="-1"/>
          <w:sz w:val="8"/>
        </w:rPr>
      </w:r>
    </w:p>
    <w:sectPr>
      <w:pgSz w:w="12240" w:h="15840"/>
      <w:pgMar w:top="1500" w:bottom="280" w:left="114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Verdana">
    <w:altName w:val="Verdana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5">
    <w:multiLevelType w:val="hybridMultilevel"/>
    <w:lvl w:ilvl="0">
      <w:start w:val="8"/>
      <w:numFmt w:val="decimal"/>
      <w:lvlText w:val="%1"/>
      <w:lvlJc w:val="left"/>
      <w:pPr>
        <w:ind w:left="854" w:hanging="576"/>
        <w:jc w:val="left"/>
      </w:pPr>
      <w:rPr>
        <w:rFonts w:hint="default"/>
        <w:lang w:val="es-ES" w:eastAsia="en-US" w:bidi="ar-SA"/>
      </w:rPr>
    </w:lvl>
    <w:lvl w:ilvl="1">
      <w:start w:val="8"/>
      <w:numFmt w:val="decimal"/>
      <w:lvlText w:val="%1.%2"/>
      <w:lvlJc w:val="left"/>
      <w:pPr>
        <w:ind w:left="854" w:hanging="576"/>
        <w:jc w:val="left"/>
      </w:pPr>
      <w:rPr>
        <w:rFonts w:hint="default" w:ascii="Calibri" w:hAnsi="Calibri" w:eastAsia="Calibri" w:cs="Calibri"/>
        <w:b/>
        <w:bCs/>
        <w:color w:val="1F4E79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998" w:hanging="720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68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53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7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22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06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1" w:hanging="720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o"/>
      <w:lvlJc w:val="left"/>
      <w:pPr>
        <w:ind w:left="998" w:hanging="360"/>
      </w:pPr>
      <w:rPr>
        <w:rFonts w:hint="default" w:ascii="Courier New" w:hAnsi="Courier New" w:eastAsia="Courier New" w:cs="Courier New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7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0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5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3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08" w:hanging="360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o"/>
      <w:lvlJc w:val="left"/>
      <w:pPr>
        <w:ind w:left="998" w:hanging="360"/>
      </w:pPr>
      <w:rPr>
        <w:rFonts w:hint="default" w:ascii="Courier New" w:hAnsi="Courier New" w:eastAsia="Courier New" w:cs="Courier New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7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0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5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3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08" w:hanging="360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5"/>
      <w:numFmt w:val="decimal"/>
      <w:lvlText w:val="%1."/>
      <w:lvlJc w:val="left"/>
      <w:pPr>
        <w:ind w:left="496" w:hanging="219"/>
        <w:jc w:val="lef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998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6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5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2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1" w:hanging="360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7"/>
      <w:numFmt w:val="decimal"/>
      <w:lvlText w:val="%1"/>
      <w:lvlJc w:val="left"/>
      <w:pPr>
        <w:ind w:left="710" w:hanging="432"/>
        <w:jc w:val="left"/>
      </w:pPr>
      <w:rPr>
        <w:rFonts w:hint="default" w:ascii="Calibri" w:hAnsi="Calibri" w:eastAsia="Calibri" w:cs="Calibri"/>
        <w:b/>
        <w:bCs/>
        <w:color w:val="1F4E79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54" w:hanging="576"/>
        <w:jc w:val="left"/>
      </w:pPr>
      <w:rPr>
        <w:rFonts w:hint="default" w:ascii="Calibri" w:hAnsi="Calibri" w:eastAsia="Calibri" w:cs="Calibri"/>
        <w:b/>
        <w:bCs/>
        <w:color w:val="1F4E79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998" w:hanging="720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24"/>
        <w:szCs w:val="24"/>
        <w:lang w:val="es-ES" w:eastAsia="en-US" w:bidi="ar-SA"/>
      </w:rPr>
    </w:lvl>
    <w:lvl w:ilvl="3">
      <w:start w:val="1"/>
      <w:numFmt w:val="decimal"/>
      <w:lvlText w:val="%4."/>
      <w:lvlJc w:val="left"/>
      <w:pPr>
        <w:ind w:left="998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6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8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0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20" w:hanging="360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"/>
      <w:lvlJc w:val="left"/>
      <w:pPr>
        <w:ind w:left="393" w:hanging="287"/>
      </w:pPr>
      <w:rPr>
        <w:rFonts w:hint="default" w:ascii="Symbol" w:hAnsi="Symbol" w:eastAsia="Symbol" w:cs="Symbol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96" w:hanging="2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93" w:hanging="2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90" w:hanging="2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87" w:hanging="2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3" w:hanging="2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80" w:hanging="2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277" w:hanging="2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974" w:hanging="287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"/>
      <w:lvlJc w:val="left"/>
      <w:pPr>
        <w:ind w:left="393" w:hanging="287"/>
      </w:pPr>
      <w:rPr>
        <w:rFonts w:hint="default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96" w:hanging="2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93" w:hanging="2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90" w:hanging="2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87" w:hanging="2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3" w:hanging="2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80" w:hanging="2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277" w:hanging="2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974" w:hanging="287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"/>
      <w:lvlJc w:val="left"/>
      <w:pPr>
        <w:ind w:left="393" w:hanging="228"/>
      </w:pPr>
      <w:rPr>
        <w:rFonts w:hint="default" w:ascii="Symbol" w:hAnsi="Symbol" w:eastAsia="Symbol" w:cs="Symbol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96" w:hanging="2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93" w:hanging="2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90" w:hanging="2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87" w:hanging="2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3" w:hanging="2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80" w:hanging="2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277" w:hanging="2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974" w:hanging="228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"/>
      <w:lvlJc w:val="left"/>
      <w:pPr>
        <w:ind w:left="393" w:hanging="228"/>
      </w:pPr>
      <w:rPr>
        <w:rFonts w:hint="default" w:ascii="Symbol" w:hAnsi="Symbol" w:eastAsia="Symbol" w:cs="Symbol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96" w:hanging="2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93" w:hanging="2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90" w:hanging="2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87" w:hanging="2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3" w:hanging="2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80" w:hanging="2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277" w:hanging="2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974" w:hanging="228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o"/>
      <w:lvlJc w:val="left"/>
      <w:pPr>
        <w:ind w:left="308" w:hanging="219"/>
      </w:pPr>
      <w:rPr>
        <w:rFonts w:hint="default" w:ascii="Courier New" w:hAnsi="Courier New" w:eastAsia="Courier New" w:cs="Courier New"/>
        <w:w w:val="77"/>
        <w:sz w:val="15"/>
        <w:szCs w:val="1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09" w:hanging="2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19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29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39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49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59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168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578" w:hanging="219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o"/>
      <w:lvlJc w:val="left"/>
      <w:pPr>
        <w:ind w:left="725" w:hanging="219"/>
      </w:pPr>
      <w:rPr>
        <w:rFonts w:hint="default" w:ascii="Courier New" w:hAnsi="Courier New" w:eastAsia="Courier New" w:cs="Courier New"/>
        <w:w w:val="77"/>
        <w:sz w:val="15"/>
        <w:szCs w:val="1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44" w:hanging="2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67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91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15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839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063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87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511" w:hanging="219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"/>
      <w:lvlJc w:val="left"/>
      <w:pPr>
        <w:ind w:left="2066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3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0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20" w:hanging="360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o"/>
      <w:lvlJc w:val="left"/>
      <w:pPr>
        <w:ind w:left="998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o"/>
      <w:lvlJc w:val="left"/>
      <w:pPr>
        <w:ind w:left="1706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"/>
      <w:lvlJc w:val="left"/>
      <w:pPr>
        <w:ind w:left="2054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4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3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2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1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9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85" w:hanging="360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o"/>
      <w:lvlJc w:val="left"/>
      <w:pPr>
        <w:ind w:left="998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706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0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2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2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3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4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46" w:hanging="360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o"/>
      <w:lvlJc w:val="left"/>
      <w:pPr>
        <w:ind w:left="998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7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0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5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3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08" w:hanging="360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7"/>
      <w:numFmt w:val="decimal"/>
      <w:lvlText w:val="%1"/>
      <w:lvlJc w:val="left"/>
      <w:pPr>
        <w:ind w:left="998" w:hanging="720"/>
        <w:jc w:val="left"/>
      </w:pPr>
      <w:rPr>
        <w:rFonts w:hint="default"/>
        <w:lang w:val="es-ES" w:eastAsia="en-US" w:bidi="ar-SA"/>
      </w:rPr>
    </w:lvl>
    <w:lvl w:ilvl="1">
      <w:start w:val="6"/>
      <w:numFmt w:val="decimal"/>
      <w:lvlText w:val="%1.%2"/>
      <w:lvlJc w:val="left"/>
      <w:pPr>
        <w:ind w:left="998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998" w:hanging="720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8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04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80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56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32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08" w:hanging="720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o"/>
      <w:lvlJc w:val="left"/>
      <w:pPr>
        <w:ind w:left="637" w:hanging="208"/>
      </w:pPr>
      <w:rPr>
        <w:rFonts w:hint="default" w:ascii="Courier New" w:hAnsi="Courier New" w:eastAsia="Courier New" w:cs="Courier New"/>
        <w:w w:val="84"/>
        <w:sz w:val="13"/>
        <w:szCs w:val="1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48" w:hanging="20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56" w:hanging="20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64" w:hanging="20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72" w:hanging="20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80" w:hanging="20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88" w:hanging="20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96" w:hanging="20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04" w:hanging="208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o"/>
      <w:lvlJc w:val="left"/>
      <w:pPr>
        <w:ind w:left="998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o"/>
      <w:lvlJc w:val="left"/>
      <w:pPr>
        <w:ind w:left="1706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"/>
      <w:lvlJc w:val="left"/>
      <w:pPr>
        <w:ind w:left="2054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2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1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0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9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8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77" w:hanging="36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o"/>
      <w:lvlJc w:val="left"/>
      <w:pPr>
        <w:ind w:left="998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706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0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2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2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3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4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46" w:hanging="36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o"/>
      <w:lvlJc w:val="left"/>
      <w:pPr>
        <w:ind w:left="998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7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0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5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3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08" w:hanging="36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7"/>
      <w:numFmt w:val="decimal"/>
      <w:lvlText w:val="%1"/>
      <w:lvlJc w:val="left"/>
      <w:pPr>
        <w:ind w:left="998" w:hanging="720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998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998" w:hanging="720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8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04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80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56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32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08" w:hanging="72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o"/>
      <w:lvlJc w:val="left"/>
      <w:pPr>
        <w:ind w:left="285" w:hanging="132"/>
      </w:pPr>
      <w:rPr>
        <w:rFonts w:hint="default"/>
        <w:w w:val="68"/>
        <w:lang w:val="es-ES" w:eastAsia="en-US" w:bidi="ar-SA"/>
      </w:rPr>
    </w:lvl>
    <w:lvl w:ilvl="1">
      <w:start w:val="0"/>
      <w:numFmt w:val="bullet"/>
      <w:lvlText w:val="o"/>
      <w:lvlJc w:val="left"/>
      <w:pPr>
        <w:ind w:left="456" w:hanging="131"/>
      </w:pPr>
      <w:rPr>
        <w:rFonts w:hint="default"/>
        <w:w w:val="77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20" w:hanging="13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20" w:hanging="13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0" w:hanging="13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20" w:hanging="13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20" w:hanging="13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0" w:hanging="13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0" w:hanging="131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2054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3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0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20" w:hanging="3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o"/>
      <w:lvlJc w:val="left"/>
      <w:pPr>
        <w:ind w:left="998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o"/>
      <w:lvlJc w:val="left"/>
      <w:pPr>
        <w:ind w:left="1706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"/>
      <w:lvlJc w:val="left"/>
      <w:pPr>
        <w:ind w:left="2054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4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3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2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1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9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85" w:hanging="36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o"/>
      <w:lvlJc w:val="left"/>
      <w:pPr>
        <w:ind w:left="998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706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0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2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2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3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4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46" w:hanging="36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7"/>
      <w:numFmt w:val="decimal"/>
      <w:lvlText w:val="%1"/>
      <w:lvlJc w:val="left"/>
      <w:pPr>
        <w:ind w:left="998" w:hanging="720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998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998" w:hanging="720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"/>
      <w:lvlJc w:val="left"/>
      <w:pPr>
        <w:ind w:left="998" w:hanging="360"/>
      </w:pPr>
      <w:rPr>
        <w:rFonts w:hint="default" w:ascii="Symbol" w:hAnsi="Symbol" w:eastAsia="Symbol" w:cs="Symbol"/>
        <w:w w:val="99"/>
        <w:sz w:val="20"/>
        <w:szCs w:val="20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0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5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3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08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7"/>
      <w:numFmt w:val="decimal"/>
      <w:lvlText w:val="%1"/>
      <w:lvlJc w:val="left"/>
      <w:pPr>
        <w:ind w:left="998" w:hanging="72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998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998" w:hanging="720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8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04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80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56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32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08" w:hanging="72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358" w:hanging="360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0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4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8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2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6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0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4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80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998" w:hanging="7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98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998" w:hanging="720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8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04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80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56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32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08" w:hanging="72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638" w:hanging="360"/>
        <w:jc w:val="left"/>
      </w:pPr>
      <w:rPr>
        <w:rFonts w:hint="default" w:ascii="Calibri" w:hAnsi="Calibri" w:eastAsia="Calibri" w:cs="Calibri"/>
        <w:b/>
        <w:bCs/>
        <w:color w:val="1F4E79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98" w:hanging="720"/>
        <w:jc w:val="left"/>
      </w:pPr>
      <w:rPr>
        <w:rFonts w:hint="default" w:ascii="Calibri" w:hAnsi="Calibri" w:eastAsia="Calibri" w:cs="Calibri"/>
        <w:b/>
        <w:bCs/>
        <w:color w:val="1F4E79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"/>
      <w:lvlJc w:val="left"/>
      <w:pPr>
        <w:ind w:left="998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6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5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2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1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432" w:hanging="132"/>
        <w:jc w:val="left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20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80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35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91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46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02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58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13" w:hanging="132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866" w:hanging="425"/>
      </w:pPr>
      <w:rPr>
        <w:rFonts w:hint="default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50" w:hanging="42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40" w:hanging="42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30" w:hanging="42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20" w:hanging="42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10" w:hanging="42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00" w:hanging="42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90" w:hanging="42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80" w:hanging="425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850" w:hanging="432"/>
        <w:jc w:val="right"/>
      </w:pPr>
      <w:rPr>
        <w:rFonts w:hint="default" w:ascii="Calibri" w:hAnsi="Calibri" w:eastAsia="Calibri" w:cs="Calibri"/>
        <w:b/>
        <w:bCs/>
        <w:color w:val="1F4E79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994" w:hanging="576"/>
        <w:jc w:val="left"/>
      </w:pPr>
      <w:rPr>
        <w:rFonts w:hint="default" w:ascii="Calibri" w:hAnsi="Calibri" w:eastAsia="Calibri" w:cs="Calibri"/>
        <w:b/>
        <w:bCs/>
        <w:color w:val="1F4E79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00" w:hanging="57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95" w:hanging="57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90" w:hanging="57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85" w:hanging="57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80" w:hanging="57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75" w:hanging="57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70" w:hanging="576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2738" w:hanging="88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738" w:hanging="881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738" w:hanging="881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590" w:hanging="8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540" w:hanging="8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490" w:hanging="8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40" w:hanging="8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390" w:hanging="8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340" w:hanging="881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858" w:hanging="440"/>
        <w:jc w:val="left"/>
      </w:pPr>
      <w:rPr>
        <w:rFonts w:hint="default" w:ascii="Arial MT" w:hAnsi="Arial MT" w:eastAsia="Arial MT" w:cs="Arial MT"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299" w:hanging="682"/>
        <w:jc w:val="left"/>
      </w:pPr>
      <w:rPr>
        <w:rFonts w:hint="default"/>
        <w:spacing w:val="-1"/>
        <w:w w:val="99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738" w:hanging="881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7" w:hanging="8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15" w:hanging="8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02" w:hanging="8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0" w:hanging="8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77" w:hanging="8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65" w:hanging="88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858" w:hanging="440"/>
        <w:jc w:val="left"/>
      </w:pPr>
      <w:rPr>
        <w:rFonts w:hint="default" w:ascii="Arial MT" w:hAnsi="Arial MT" w:eastAsia="Arial MT" w:cs="Arial MT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299" w:hanging="682"/>
        <w:jc w:val="left"/>
      </w:pPr>
      <w:rPr>
        <w:rFonts w:hint="default" w:ascii="Arial MT" w:hAnsi="Arial MT" w:eastAsia="Arial MT" w:cs="Arial MT"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738" w:hanging="881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7" w:hanging="8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15" w:hanging="8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02" w:hanging="8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0" w:hanging="8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77" w:hanging="8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65" w:hanging="881"/>
      </w:pPr>
      <w:rPr>
        <w:rFonts w:hint="default"/>
        <w:lang w:val="es-ES" w:eastAsia="en-US" w:bidi="ar-SA"/>
      </w:rPr>
    </w:lvl>
  </w:abstract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1"/>
      <w:ind w:left="2299" w:hanging="682"/>
    </w:pPr>
    <w:rPr>
      <w:rFonts w:ascii="Arial MT" w:hAnsi="Arial MT" w:eastAsia="Arial MT" w:cs="Arial MT"/>
      <w:sz w:val="20"/>
      <w:szCs w:val="20"/>
      <w:lang w:val="es-ES" w:eastAsia="en-US" w:bidi="ar-SA"/>
    </w:rPr>
  </w:style>
  <w:style w:styleId="TOC2" w:type="paragraph">
    <w:name w:val="TOC 2"/>
    <w:basedOn w:val="Normal"/>
    <w:uiPriority w:val="1"/>
    <w:qFormat/>
    <w:pPr>
      <w:ind w:left="2738" w:hanging="881"/>
    </w:pPr>
    <w:rPr>
      <w:rFonts w:ascii="Calibri" w:hAnsi="Calibri" w:eastAsia="Calibri" w:cs="Calibri"/>
      <w:sz w:val="22"/>
      <w:szCs w:val="22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22" w:line="312" w:lineRule="exact"/>
      <w:ind w:right="123"/>
      <w:jc w:val="right"/>
      <w:outlineLvl w:val="1"/>
    </w:pPr>
    <w:rPr>
      <w:rFonts w:ascii="Arial MT" w:hAnsi="Arial MT" w:eastAsia="Arial MT" w:cs="Arial MT"/>
      <w:sz w:val="28"/>
      <w:szCs w:val="28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737"/>
      <w:outlineLvl w:val="2"/>
    </w:pPr>
    <w:rPr>
      <w:rFonts w:ascii="Calibri" w:hAnsi="Calibri" w:eastAsia="Calibri" w:cs="Calibri"/>
      <w:sz w:val="25"/>
      <w:szCs w:val="25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52"/>
      <w:ind w:left="998" w:hanging="721"/>
      <w:outlineLvl w:val="3"/>
    </w:pPr>
    <w:rPr>
      <w:rFonts w:ascii="Calibri" w:hAnsi="Calibri" w:eastAsia="Calibri" w:cs="Calibri"/>
      <w:b/>
      <w:b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998" w:hanging="721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jpe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hyperlink" Target="https://conred.gob.gt/continua-proceso-de-evaluaciones-en-danos-a-viviendas-afectadas-tras-el-paso-de-eta-e-iota-por-el-pais/" TargetMode="External"/><Relationship Id="rId125" Type="http://schemas.openxmlformats.org/officeDocument/2006/relationships/hyperlink" Target="https://www.who.int/maternal_child_adolescent/child/nurturing-care-framework-first-consultation-es.pdf" TargetMode="External"/><Relationship Id="rId126" Type="http://schemas.openxmlformats.org/officeDocument/2006/relationships/hyperlink" Target="https://www.mineduc.gob.gt/estadistica/2012/data/index_anexo.html" TargetMode="External"/><Relationship Id="rId127" Type="http://schemas.openxmlformats.org/officeDocument/2006/relationships/hyperlink" Target="https://towardsdatascience.com/mapping-geograph-data-in-python-610a963d2d7f" TargetMode="External"/><Relationship Id="rId128" Type="http://schemas.openxmlformats.org/officeDocument/2006/relationships/hyperlink" Target="https://www.who.int/maternal_child_adolescent/documents/estrategia-mundial-mujer-nino-adolescente-2016-2030.pdf" TargetMode="External"/><Relationship Id="rId129" Type="http://schemas.openxmlformats.org/officeDocument/2006/relationships/hyperlink" Target="https://lac.unfpa.org/sites/default/files/pub-pdf/Gu%C3%ADa%20EWEC%20LAC%20-%20Estrategia%20Mundial%20para%20Salud%20de%20Mujer%2C%20Ni%C3%B1o%20y%20Adolescente%20en%20ALC_0.pdf" TargetMode="External"/><Relationship Id="rId130" Type="http://schemas.openxmlformats.org/officeDocument/2006/relationships/hyperlink" Target="http://www.sesan.gob.gt/wordpress/wp-content/uploads/2020/04/Documento-tecnico-Gran-Cruzada-Nacional_17HD.pdf" TargetMode="External"/><Relationship Id="rId131" Type="http://schemas.openxmlformats.org/officeDocument/2006/relationships/image" Target="media/image120.png"/><Relationship Id="rId132" Type="http://schemas.openxmlformats.org/officeDocument/2006/relationships/image" Target="media/image121.jpeg"/><Relationship Id="rId133" Type="http://schemas.openxmlformats.org/officeDocument/2006/relationships/image" Target="media/image122.jpeg"/><Relationship Id="rId134" Type="http://schemas.openxmlformats.org/officeDocument/2006/relationships/image" Target="media/image123.png"/><Relationship Id="rId135" Type="http://schemas.openxmlformats.org/officeDocument/2006/relationships/image" Target="media/image124.jpeg"/><Relationship Id="rId136" Type="http://schemas.openxmlformats.org/officeDocument/2006/relationships/hyperlink" Target="https://www.cepal.org/sites/default/files/publication/files/46681/S2100038_es.pdf" TargetMode="External"/><Relationship Id="rId137" Type="http://schemas.openxmlformats.org/officeDocument/2006/relationships/hyperlink" Target="http://cepredenac.org/wp-content/uploads/2020/11/informe-de-situacion-iota-1.pdf" TargetMode="External"/><Relationship Id="rId138" Type="http://schemas.openxmlformats.org/officeDocument/2006/relationships/hyperlink" Target="https://germanwatch.org/sites/default/files/Resumen%20Indice%20de%20Riesgo%20Clim%C3%A1tico%20Global%202021.pdf" TargetMode="External"/><Relationship Id="rId139" Type="http://schemas.openxmlformats.org/officeDocument/2006/relationships/hyperlink" Target="https://reliefweb.int/sites/reliefweb.int/files/resources/Sit%20Rep%20FHG.pdf" TargetMode="External"/><Relationship Id="rId140" Type="http://schemas.openxmlformats.org/officeDocument/2006/relationships/hyperlink" Target="https://tablerocovid.mspas.gob.gt/" TargetMode="External"/><Relationship Id="rId141" Type="http://schemas.openxmlformats.org/officeDocument/2006/relationships/hyperlink" Target="https://www.cepal.org/es/publicaciones/3955-efectos-cambio-climatico-la-costa-america-latina-caribe-dinamicas-tendencias" TargetMode="External"/><Relationship Id="rId142" Type="http://schemas.openxmlformats.org/officeDocument/2006/relationships/hyperlink" Target="https://www.unicef.es/sites/unicef.es/files/comunicacion/Crisis%20climatica.pdf" TargetMode="External"/><Relationship Id="rId14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dcterms:created xsi:type="dcterms:W3CDTF">2023-02-06T16:09:26Z</dcterms:created>
  <dcterms:modified xsi:type="dcterms:W3CDTF">2023-02-06T16:09:26Z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2023-02-06T00:00:00Z</vt:filetime>
  </property>
</Properties>
</file>