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7EA" w:rsidRDefault="001C1CD0">
      <w:pPr>
        <w:spacing w:before="71" w:line="290" w:lineRule="auto"/>
        <w:ind w:left="4439" w:right="2838" w:hanging="378"/>
        <w:rPr>
          <w:b/>
          <w:sz w:val="24"/>
        </w:rPr>
      </w:pPr>
      <w:bookmarkStart w:id="0" w:name="_GoBack"/>
      <w:bookmarkEnd w:id="0"/>
      <w:r>
        <w:rPr>
          <w:b/>
          <w:sz w:val="24"/>
        </w:rPr>
        <w:t>MINISTERIO DE EDUCACIÓN AUDITORIA INTERNA CUA No.:107049</w:t>
      </w: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AB47EA">
      <w:pPr>
        <w:pStyle w:val="Textoindependiente"/>
        <w:rPr>
          <w:b/>
          <w:sz w:val="26"/>
        </w:rPr>
      </w:pPr>
    </w:p>
    <w:p w:rsidR="00AB47EA" w:rsidRDefault="001C1CD0">
      <w:pPr>
        <w:spacing w:before="185" w:line="340" w:lineRule="auto"/>
        <w:ind w:left="3767" w:right="2565" w:hanging="2"/>
        <w:jc w:val="center"/>
        <w:rPr>
          <w:b/>
          <w:sz w:val="24"/>
        </w:rPr>
      </w:pPr>
      <w:r>
        <w:rPr>
          <w:b/>
          <w:sz w:val="24"/>
        </w:rPr>
        <w:t>MINISTERIO DE EDUCACIÓN ACTIVIDADES ADMINISTRATIVAS</w:t>
      </w:r>
    </w:p>
    <w:p w:rsidR="00AB47EA" w:rsidRDefault="001C1CD0">
      <w:pPr>
        <w:spacing w:before="3" w:line="290" w:lineRule="auto"/>
        <w:ind w:left="2353" w:right="1158" w:firstLine="1"/>
        <w:jc w:val="center"/>
        <w:rPr>
          <w:b/>
          <w:sz w:val="24"/>
        </w:rPr>
      </w:pPr>
      <w:r>
        <w:rPr>
          <w:b/>
          <w:sz w:val="24"/>
        </w:rPr>
        <w:t>Auditoría Administrativa de primer seguimiento a las recomendaciones de Contraloría General de Cuentas, en</w:t>
      </w:r>
      <w:r>
        <w:rPr>
          <w:b/>
          <w:spacing w:val="-48"/>
          <w:sz w:val="24"/>
        </w:rPr>
        <w:t xml:space="preserve"> </w:t>
      </w:r>
      <w:r>
        <w:rPr>
          <w:b/>
          <w:sz w:val="24"/>
        </w:rPr>
        <w:t>el informe de la Auditoría a Sistemas Informáticos, por el periodo del 01 de enero al 31 de diciembre de 2017, en la DIDEDUC de Santa</w:t>
      </w:r>
      <w:r>
        <w:rPr>
          <w:b/>
          <w:spacing w:val="-5"/>
          <w:sz w:val="24"/>
        </w:rPr>
        <w:t xml:space="preserve"> </w:t>
      </w:r>
      <w:r>
        <w:rPr>
          <w:b/>
          <w:sz w:val="24"/>
        </w:rPr>
        <w:t>Rosa</w:t>
      </w: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rPr>
          <w:b/>
          <w:sz w:val="20"/>
        </w:rPr>
      </w:pPr>
    </w:p>
    <w:p w:rsidR="00AB47EA" w:rsidRDefault="00AB47EA">
      <w:pPr>
        <w:pStyle w:val="Textoindependiente"/>
        <w:spacing w:before="8"/>
        <w:rPr>
          <w:b/>
          <w:sz w:val="26"/>
        </w:rPr>
      </w:pPr>
    </w:p>
    <w:p w:rsidR="00AB47EA" w:rsidRDefault="001C1CD0">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AB47EA" w:rsidRDefault="00AB47EA">
      <w:pPr>
        <w:rPr>
          <w:sz w:val="24"/>
        </w:rPr>
        <w:sectPr w:rsidR="00AB47EA">
          <w:type w:val="continuous"/>
          <w:pgSz w:w="12240" w:h="15840"/>
          <w:pgMar w:top="1080" w:right="1600" w:bottom="0" w:left="400" w:header="720" w:footer="720" w:gutter="0"/>
          <w:cols w:space="720"/>
        </w:sectPr>
      </w:pPr>
    </w:p>
    <w:p w:rsidR="00AB47EA" w:rsidRDefault="001C1CD0">
      <w:pPr>
        <w:spacing w:before="71"/>
        <w:ind w:left="4938" w:right="4447"/>
        <w:jc w:val="center"/>
        <w:rPr>
          <w:b/>
          <w:sz w:val="24"/>
        </w:rPr>
      </w:pPr>
      <w:r>
        <w:rPr>
          <w:b/>
          <w:sz w:val="24"/>
        </w:rPr>
        <w:lastRenderedPageBreak/>
        <w:t>INDICE</w:t>
      </w:r>
    </w:p>
    <w:sdt>
      <w:sdtPr>
        <w:id w:val="-258449006"/>
        <w:docPartObj>
          <w:docPartGallery w:val="Table of Contents"/>
          <w:docPartUnique/>
        </w:docPartObj>
      </w:sdtPr>
      <w:sdtEndPr/>
      <w:sdtContent>
        <w:p w:rsidR="00AB47EA" w:rsidRDefault="001C1CD0">
          <w:pPr>
            <w:pStyle w:val="TDC1"/>
            <w:tabs>
              <w:tab w:val="right" w:pos="9427"/>
            </w:tabs>
            <w:spacing w:before="741"/>
            <w:rPr>
              <w:b w:val="0"/>
            </w:rPr>
          </w:pPr>
          <w:hyperlink w:anchor="_TOC_250003" w:history="1">
            <w:r>
              <w:t>INTRODUCCION</w:t>
            </w:r>
            <w:r>
              <w:tab/>
            </w:r>
            <w:r>
              <w:rPr>
                <w:b w:val="0"/>
                <w:position w:val="-3"/>
              </w:rPr>
              <w:t>1</w:t>
            </w:r>
          </w:hyperlink>
        </w:p>
        <w:p w:rsidR="00AB47EA" w:rsidRDefault="001C1CD0">
          <w:pPr>
            <w:pStyle w:val="TDC1"/>
            <w:tabs>
              <w:tab w:val="right" w:pos="9427"/>
            </w:tabs>
            <w:rPr>
              <w:b w:val="0"/>
            </w:rPr>
          </w:pPr>
          <w:r>
            <w:t>OBJETIVOS</w:t>
          </w:r>
          <w:r>
            <w:tab/>
          </w:r>
          <w:r>
            <w:rPr>
              <w:b w:val="0"/>
              <w:position w:val="-3"/>
            </w:rPr>
            <w:t>1</w:t>
          </w:r>
        </w:p>
        <w:p w:rsidR="00AB47EA" w:rsidRDefault="001C1CD0">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AB47EA" w:rsidRDefault="001C1CD0">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AB47EA" w:rsidRDefault="001C1CD0">
          <w:pPr>
            <w:pStyle w:val="TDC1"/>
            <w:tabs>
              <w:tab w:val="right" w:pos="9427"/>
            </w:tabs>
            <w:spacing w:before="154"/>
            <w:rPr>
              <w:b w:val="0"/>
            </w:rPr>
          </w:pPr>
          <w:hyperlink w:anchor="_TOC_250000" w:history="1">
            <w:r>
              <w:t>ANEXOS</w:t>
            </w:r>
            <w:r>
              <w:tab/>
            </w:r>
            <w:r>
              <w:rPr>
                <w:b w:val="0"/>
                <w:position w:val="-3"/>
              </w:rPr>
              <w:t>4</w:t>
            </w:r>
          </w:hyperlink>
        </w:p>
      </w:sdtContent>
    </w:sdt>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1C1CD0">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AB47EA" w:rsidRDefault="00AB47EA">
      <w:pPr>
        <w:rPr>
          <w:sz w:val="18"/>
        </w:rPr>
        <w:sectPr w:rsidR="00AB47EA">
          <w:pgSz w:w="12240" w:h="15840"/>
          <w:pgMar w:top="1080" w:right="1600" w:bottom="0" w:left="400" w:header="720" w:footer="720" w:gutter="0"/>
          <w:cols w:space="720"/>
        </w:sectPr>
      </w:pPr>
    </w:p>
    <w:p w:rsidR="00AB47EA" w:rsidRDefault="001C1CD0">
      <w:pPr>
        <w:pStyle w:val="Ttulo1"/>
        <w:spacing w:before="82"/>
      </w:pPr>
      <w:bookmarkStart w:id="1" w:name="_TOC_250003"/>
      <w:bookmarkEnd w:id="1"/>
      <w:r>
        <w:lastRenderedPageBreak/>
        <w:t>INTRODUCCION</w:t>
      </w:r>
    </w:p>
    <w:p w:rsidR="00AB47EA" w:rsidRDefault="00AB47EA">
      <w:pPr>
        <w:pStyle w:val="Textoindependiente"/>
        <w:spacing w:before="10"/>
        <w:rPr>
          <w:b/>
          <w:sz w:val="33"/>
        </w:rPr>
      </w:pPr>
    </w:p>
    <w:p w:rsidR="00AB47EA" w:rsidRDefault="001C1CD0">
      <w:pPr>
        <w:pStyle w:val="Textoindependiente"/>
        <w:spacing w:line="278" w:lineRule="auto"/>
        <w:ind w:left="1301" w:right="99"/>
        <w:jc w:val="both"/>
      </w:pPr>
      <w:r>
        <w:t>De conformidad con el nombramiento de auditoría No. 107049-1-2021, de fecha 26 de enero del 2021, fui nombrado para realizar por medio de la modalidad de teletrabajo, Auditoría administrativa del primer seguimiento a las recomendaciones emitidas por la Con</w:t>
      </w:r>
      <w:r>
        <w:t>traloría General de Cuentas, en el informe de “Auditoría a Sistemas Informáticos por el período del 01 de enero al 31 de diciembre de 2017”, que dicha institución fiscalizadora efectuó en la Dirección de Contabilidad del Estado del Ministerio de Finanzas P</w:t>
      </w:r>
      <w:r>
        <w:t>úblicas, y de los cuales, las recomendaciones aplican a la Dirección Departamental de Educación de Santa</w:t>
      </w:r>
      <w:r>
        <w:rPr>
          <w:spacing w:val="-21"/>
        </w:rPr>
        <w:t xml:space="preserve"> </w:t>
      </w:r>
      <w:r>
        <w:t>Rosa.</w:t>
      </w:r>
    </w:p>
    <w:p w:rsidR="00AB47EA" w:rsidRDefault="001C1CD0">
      <w:pPr>
        <w:spacing w:before="21" w:line="666" w:lineRule="exact"/>
        <w:ind w:left="1301" w:right="7545"/>
        <w:rPr>
          <w:b/>
          <w:sz w:val="24"/>
        </w:rPr>
      </w:pPr>
      <w:r>
        <w:rPr>
          <w:b/>
          <w:sz w:val="24"/>
        </w:rPr>
        <w:t>OBJETIVOS GENERAL</w:t>
      </w:r>
    </w:p>
    <w:p w:rsidR="00AB47EA" w:rsidRDefault="001C1CD0">
      <w:pPr>
        <w:pStyle w:val="Textoindependiente"/>
        <w:spacing w:line="250" w:lineRule="exact"/>
        <w:ind w:left="1301"/>
        <w:jc w:val="both"/>
      </w:pPr>
      <w:r>
        <w:t>Realizar primer seguimiento a las recomendaciones emitidas por la Contraloría</w:t>
      </w:r>
    </w:p>
    <w:p w:rsidR="00AB47EA" w:rsidRDefault="001C1CD0">
      <w:pPr>
        <w:pStyle w:val="Textoindependiente"/>
        <w:spacing w:before="44"/>
        <w:ind w:left="1301"/>
      </w:pPr>
      <w:r>
        <w:t>General de Cuentas.</w:t>
      </w:r>
    </w:p>
    <w:p w:rsidR="00AB47EA" w:rsidRDefault="00AB47EA">
      <w:pPr>
        <w:pStyle w:val="Textoindependiente"/>
        <w:spacing w:before="7"/>
        <w:rPr>
          <w:sz w:val="31"/>
        </w:rPr>
      </w:pPr>
    </w:p>
    <w:p w:rsidR="00AB47EA" w:rsidRDefault="001C1CD0">
      <w:pPr>
        <w:ind w:left="1301"/>
        <w:rPr>
          <w:b/>
          <w:sz w:val="24"/>
        </w:rPr>
      </w:pPr>
      <w:r>
        <w:rPr>
          <w:b/>
          <w:sz w:val="24"/>
        </w:rPr>
        <w:t>ESPECÍFICO</w:t>
      </w:r>
    </w:p>
    <w:p w:rsidR="00AB47EA" w:rsidRDefault="001C1CD0">
      <w:pPr>
        <w:pStyle w:val="Textoindependiente"/>
        <w:spacing w:before="56"/>
        <w:ind w:left="1301"/>
      </w:pPr>
      <w:r>
        <w:t>Verificar si exis</w:t>
      </w:r>
      <w:r>
        <w:t>ten recomendaciones implementadas, en proceso e incumplidas.</w:t>
      </w:r>
    </w:p>
    <w:p w:rsidR="00AB47EA" w:rsidRDefault="00AB47EA">
      <w:pPr>
        <w:pStyle w:val="Textoindependiente"/>
        <w:spacing w:before="9"/>
        <w:rPr>
          <w:sz w:val="32"/>
        </w:rPr>
      </w:pPr>
    </w:p>
    <w:p w:rsidR="00AB47EA" w:rsidRDefault="001C1CD0">
      <w:pPr>
        <w:pStyle w:val="Ttulo1"/>
        <w:spacing w:before="1"/>
      </w:pPr>
      <w:bookmarkStart w:id="2" w:name="_TOC_250002"/>
      <w:bookmarkEnd w:id="2"/>
      <w:r>
        <w:t>ALCANCE DE LA ACTIVIDAD</w:t>
      </w:r>
    </w:p>
    <w:p w:rsidR="00AB47EA" w:rsidRDefault="00AB47EA">
      <w:pPr>
        <w:pStyle w:val="Textoindependiente"/>
        <w:spacing w:before="9"/>
        <w:rPr>
          <w:b/>
          <w:sz w:val="33"/>
        </w:rPr>
      </w:pPr>
    </w:p>
    <w:p w:rsidR="00AB47EA" w:rsidRDefault="001C1CD0">
      <w:pPr>
        <w:pStyle w:val="Textoindependiente"/>
        <w:spacing w:line="278" w:lineRule="auto"/>
        <w:ind w:left="1301" w:right="99"/>
        <w:jc w:val="both"/>
      </w:pPr>
      <w:r>
        <w:t>Se efectuó el primer seguimiento de cuatro (4) recomendaciones emitidas por la Contraloría General de Cuentas como resultado de la “Auditoría a Sistemas Informáticos, po</w:t>
      </w:r>
      <w:r>
        <w:t>r el período del 01 de enero al 31 de diciembre de 2017”, de donde la aplicación corresponde a la Dirección Departamental de Educación de Santa Rosa.</w:t>
      </w:r>
    </w:p>
    <w:p w:rsidR="00AB47EA" w:rsidRDefault="00AB47EA">
      <w:pPr>
        <w:pStyle w:val="Textoindependiente"/>
        <w:spacing w:before="9"/>
        <w:rPr>
          <w:sz w:val="28"/>
        </w:rPr>
      </w:pPr>
    </w:p>
    <w:p w:rsidR="00AB47EA" w:rsidRDefault="001C1CD0">
      <w:pPr>
        <w:pStyle w:val="Ttulo1"/>
      </w:pPr>
      <w:bookmarkStart w:id="3" w:name="_TOC_250001"/>
      <w:bookmarkEnd w:id="3"/>
      <w:r>
        <w:t>RESULTADOS DE LA ACTIVIDAD</w:t>
      </w:r>
    </w:p>
    <w:p w:rsidR="00AB47EA" w:rsidRDefault="00AB47EA">
      <w:pPr>
        <w:pStyle w:val="Textoindependiente"/>
        <w:spacing w:before="10"/>
        <w:rPr>
          <w:b/>
          <w:sz w:val="33"/>
        </w:rPr>
      </w:pPr>
    </w:p>
    <w:p w:rsidR="00AB47EA" w:rsidRDefault="001C1CD0">
      <w:pPr>
        <w:pStyle w:val="Textoindependiente"/>
        <w:ind w:left="1301"/>
      </w:pPr>
      <w:r>
        <w:t>El resultado del trabajo realizado se resume a continuación:</w:t>
      </w:r>
    </w:p>
    <w:p w:rsidR="00AB47EA" w:rsidRDefault="00AB47EA">
      <w:pPr>
        <w:pStyle w:val="Textoindependiente"/>
        <w:spacing w:before="7"/>
        <w:rPr>
          <w:sz w:val="31"/>
        </w:rPr>
      </w:pPr>
    </w:p>
    <w:p w:rsidR="00AB47EA" w:rsidRDefault="001C1CD0">
      <w:pPr>
        <w:ind w:left="1301"/>
        <w:rPr>
          <w:b/>
          <w:sz w:val="24"/>
        </w:rPr>
      </w:pPr>
      <w:r>
        <w:rPr>
          <w:b/>
          <w:sz w:val="24"/>
        </w:rPr>
        <w:t>RECOMENDACIÓN I</w:t>
      </w:r>
      <w:r>
        <w:rPr>
          <w:b/>
          <w:sz w:val="24"/>
        </w:rPr>
        <w:t>MPLEMENTADA (SR1)</w:t>
      </w:r>
    </w:p>
    <w:p w:rsidR="00AB47EA" w:rsidRDefault="00AB47EA">
      <w:pPr>
        <w:pStyle w:val="Textoindependiente"/>
        <w:spacing w:before="8"/>
        <w:rPr>
          <w:b/>
          <w:sz w:val="32"/>
        </w:rPr>
      </w:pPr>
    </w:p>
    <w:p w:rsidR="00AB47EA" w:rsidRDefault="001C1CD0">
      <w:pPr>
        <w:spacing w:line="283" w:lineRule="auto"/>
        <w:ind w:left="1301" w:right="100"/>
        <w:jc w:val="both"/>
        <w:rPr>
          <w:sz w:val="24"/>
        </w:rPr>
      </w:pPr>
      <w:r>
        <w:rPr>
          <w:sz w:val="24"/>
        </w:rPr>
        <w:t xml:space="preserve">De conformidad con el Formulario SR1 seguimiento a las recomendaciones, firmado por los responsables de la Dirección Departamental de Educación de Santa Rosa, se estableció que la recomendación del hallazgo </w:t>
      </w:r>
      <w:r>
        <w:rPr>
          <w:b/>
          <w:sz w:val="24"/>
        </w:rPr>
        <w:t>No. 2 Falta de actualización en la fecha de ingreso del empleado en el sistema GUATENÓMINAS</w:t>
      </w:r>
      <w:r>
        <w:rPr>
          <w:sz w:val="24"/>
        </w:rPr>
        <w:t>; fue cumplida oportunamente. (Ver anexo)</w:t>
      </w:r>
    </w:p>
    <w:p w:rsidR="00AB47EA" w:rsidRDefault="00AB47EA">
      <w:pPr>
        <w:spacing w:line="283" w:lineRule="auto"/>
        <w:jc w:val="both"/>
        <w:rPr>
          <w:sz w:val="24"/>
        </w:rPr>
        <w:sectPr w:rsidR="00AB47EA">
          <w:headerReference w:type="default" r:id="rId7"/>
          <w:footerReference w:type="default" r:id="rId8"/>
          <w:pgSz w:w="12240" w:h="15840"/>
          <w:pgMar w:top="1060" w:right="1600" w:bottom="780" w:left="400" w:header="617" w:footer="596" w:gutter="0"/>
          <w:pgNumType w:start="1"/>
          <w:cols w:space="720"/>
        </w:sectPr>
      </w:pPr>
    </w:p>
    <w:p w:rsidR="00AB47EA" w:rsidRDefault="001C1CD0">
      <w:pPr>
        <w:pStyle w:val="Textoindependiente"/>
        <w:spacing w:before="82" w:line="278" w:lineRule="auto"/>
        <w:ind w:left="1301" w:right="101"/>
        <w:jc w:val="both"/>
      </w:pPr>
      <w:r>
        <w:lastRenderedPageBreak/>
        <w:t>El beneficio y resultado de la implementación de la recomendación, propicia asegurar el cumplimiento de los requisitos legales y formales de los controles internos que facilitan la toma de decisiones.</w:t>
      </w:r>
    </w:p>
    <w:p w:rsidR="00AB47EA" w:rsidRDefault="00AB47EA">
      <w:pPr>
        <w:pStyle w:val="Textoindependiente"/>
        <w:spacing w:before="7"/>
        <w:rPr>
          <w:sz w:val="27"/>
        </w:rPr>
      </w:pPr>
    </w:p>
    <w:p w:rsidR="00AB47EA" w:rsidRDefault="001C1CD0">
      <w:pPr>
        <w:spacing w:before="1"/>
        <w:ind w:left="1301"/>
        <w:jc w:val="both"/>
        <w:rPr>
          <w:b/>
          <w:sz w:val="24"/>
        </w:rPr>
      </w:pPr>
      <w:r>
        <w:rPr>
          <w:b/>
          <w:sz w:val="24"/>
        </w:rPr>
        <w:t>RECOMENDACIÓN EN PROCESO (SR1)</w:t>
      </w:r>
    </w:p>
    <w:p w:rsidR="00AB47EA" w:rsidRDefault="00AB47EA">
      <w:pPr>
        <w:pStyle w:val="Textoindependiente"/>
        <w:spacing w:before="9"/>
        <w:rPr>
          <w:b/>
          <w:sz w:val="33"/>
        </w:rPr>
      </w:pPr>
    </w:p>
    <w:p w:rsidR="00AB47EA" w:rsidRDefault="001C1CD0">
      <w:pPr>
        <w:pStyle w:val="Textoindependiente"/>
        <w:tabs>
          <w:tab w:val="left" w:pos="1797"/>
          <w:tab w:val="left" w:pos="2341"/>
          <w:tab w:val="left" w:pos="3486"/>
          <w:tab w:val="left" w:pos="3983"/>
          <w:tab w:val="left" w:pos="4399"/>
          <w:tab w:val="left" w:pos="5536"/>
          <w:tab w:val="left" w:pos="6032"/>
          <w:tab w:val="left" w:pos="7121"/>
          <w:tab w:val="left" w:pos="7463"/>
          <w:tab w:val="left" w:pos="8634"/>
          <w:tab w:val="left" w:pos="9131"/>
        </w:tabs>
        <w:spacing w:line="283" w:lineRule="auto"/>
        <w:ind w:left="1301" w:right="99"/>
      </w:pPr>
      <w:r>
        <w:t xml:space="preserve">De conformidad con el </w:t>
      </w:r>
      <w:r>
        <w:t xml:space="preserve">formulario SR1, seguimiento a las recomendaciones firmado por los responsables de la Dirección Departamental de Educación de Santa Rosa, se estableció que las recomendaciones de los siguientes hallazgos quedaron en proceso </w:t>
      </w:r>
      <w:r>
        <w:rPr>
          <w:b/>
        </w:rPr>
        <w:t>: No. 5 Falta de asignación de ho</w:t>
      </w:r>
      <w:r>
        <w:rPr>
          <w:b/>
        </w:rPr>
        <w:t>rarios en los registros de GUATENÓMINAS</w:t>
      </w:r>
      <w:r>
        <w:t xml:space="preserve">, debido a que no adjuntaron pruebas de los registros de horario en los 973 casos detectados por la Contraloría General de Cuentas; </w:t>
      </w:r>
      <w:r>
        <w:rPr>
          <w:b/>
        </w:rPr>
        <w:t xml:space="preserve">No. 7 Incumplimiento al procedimiento de baja del empleado, </w:t>
      </w:r>
      <w:r>
        <w:t>ya que no se tuvo a la vi</w:t>
      </w:r>
      <w:r>
        <w:t xml:space="preserve">sta documentación que evidenciara, que se realizó la solicitud para la asignación </w:t>
      </w:r>
      <w:r>
        <w:rPr>
          <w:spacing w:val="4"/>
        </w:rPr>
        <w:t>de</w:t>
      </w:r>
      <w:r>
        <w:rPr>
          <w:spacing w:val="4"/>
        </w:rPr>
        <w:tab/>
      </w:r>
      <w:r>
        <w:rPr>
          <w:spacing w:val="5"/>
        </w:rPr>
        <w:t>los</w:t>
      </w:r>
      <w:r>
        <w:rPr>
          <w:spacing w:val="5"/>
        </w:rPr>
        <w:tab/>
      </w:r>
      <w:r>
        <w:rPr>
          <w:spacing w:val="7"/>
        </w:rPr>
        <w:t>horarios</w:t>
      </w:r>
      <w:r>
        <w:rPr>
          <w:spacing w:val="7"/>
        </w:rPr>
        <w:tab/>
      </w:r>
      <w:r>
        <w:rPr>
          <w:spacing w:val="4"/>
        </w:rPr>
        <w:t>en</w:t>
      </w:r>
      <w:r>
        <w:rPr>
          <w:spacing w:val="4"/>
        </w:rPr>
        <w:tab/>
        <w:t>el</w:t>
      </w:r>
      <w:r>
        <w:rPr>
          <w:spacing w:val="4"/>
        </w:rPr>
        <w:tab/>
      </w:r>
      <w:r>
        <w:rPr>
          <w:spacing w:val="6"/>
        </w:rPr>
        <w:t>Sistema</w:t>
      </w:r>
      <w:r>
        <w:rPr>
          <w:spacing w:val="6"/>
        </w:rPr>
        <w:tab/>
      </w:r>
      <w:r>
        <w:rPr>
          <w:spacing w:val="4"/>
        </w:rPr>
        <w:t>de</w:t>
      </w:r>
      <w:r>
        <w:rPr>
          <w:spacing w:val="4"/>
        </w:rPr>
        <w:tab/>
      </w:r>
      <w:r>
        <w:rPr>
          <w:spacing w:val="6"/>
        </w:rPr>
        <w:t>Nómina</w:t>
      </w:r>
      <w:r>
        <w:rPr>
          <w:spacing w:val="6"/>
        </w:rPr>
        <w:tab/>
      </w:r>
      <w:r>
        <w:t>y</w:t>
      </w:r>
      <w:r>
        <w:tab/>
      </w:r>
      <w:r>
        <w:rPr>
          <w:spacing w:val="6"/>
        </w:rPr>
        <w:t>Registro</w:t>
      </w:r>
      <w:r>
        <w:rPr>
          <w:spacing w:val="6"/>
        </w:rPr>
        <w:tab/>
      </w:r>
      <w:r>
        <w:rPr>
          <w:spacing w:val="4"/>
        </w:rPr>
        <w:t>de</w:t>
      </w:r>
      <w:r>
        <w:rPr>
          <w:spacing w:val="4"/>
        </w:rPr>
        <w:tab/>
        <w:t>Personal</w:t>
      </w:r>
    </w:p>
    <w:p w:rsidR="00AB47EA" w:rsidRDefault="001C1CD0">
      <w:pPr>
        <w:spacing w:line="283" w:lineRule="auto"/>
        <w:ind w:left="1301" w:right="99"/>
        <w:jc w:val="both"/>
        <w:rPr>
          <w:sz w:val="24"/>
        </w:rPr>
      </w:pPr>
      <w:r>
        <w:rPr>
          <w:spacing w:val="2"/>
          <w:sz w:val="24"/>
        </w:rPr>
        <w:t xml:space="preserve">-GUATENÓMINAS-, </w:t>
      </w:r>
      <w:r>
        <w:rPr>
          <w:sz w:val="24"/>
        </w:rPr>
        <w:t xml:space="preserve">a los </w:t>
      </w:r>
      <w:r>
        <w:rPr>
          <w:spacing w:val="2"/>
          <w:sz w:val="24"/>
        </w:rPr>
        <w:t xml:space="preserve">2,868 puestos existentes </w:t>
      </w:r>
      <w:r>
        <w:rPr>
          <w:sz w:val="24"/>
        </w:rPr>
        <w:t xml:space="preserve">de la </w:t>
      </w:r>
      <w:r>
        <w:rPr>
          <w:spacing w:val="2"/>
          <w:sz w:val="24"/>
        </w:rPr>
        <w:t xml:space="preserve">DIDEDUC; </w:t>
      </w:r>
      <w:r>
        <w:rPr>
          <w:b/>
          <w:sz w:val="24"/>
        </w:rPr>
        <w:t>No. 7 Incumplimiento al procedimiento de baja del</w:t>
      </w:r>
      <w:r>
        <w:rPr>
          <w:b/>
          <w:sz w:val="24"/>
        </w:rPr>
        <w:t xml:space="preserve"> empleado, </w:t>
      </w:r>
      <w:r>
        <w:rPr>
          <w:sz w:val="24"/>
        </w:rPr>
        <w:t xml:space="preserve">en virtud de que la </w:t>
      </w:r>
      <w:r>
        <w:rPr>
          <w:spacing w:val="2"/>
          <w:sz w:val="24"/>
        </w:rPr>
        <w:t xml:space="preserve">Dirección Departamental </w:t>
      </w:r>
      <w:r>
        <w:rPr>
          <w:sz w:val="24"/>
        </w:rPr>
        <w:t xml:space="preserve">no </w:t>
      </w:r>
      <w:r>
        <w:rPr>
          <w:spacing w:val="2"/>
          <w:sz w:val="24"/>
        </w:rPr>
        <w:t xml:space="preserve">realizó </w:t>
      </w:r>
      <w:r>
        <w:rPr>
          <w:sz w:val="24"/>
        </w:rPr>
        <w:t xml:space="preserve">la </w:t>
      </w:r>
      <w:r>
        <w:rPr>
          <w:spacing w:val="2"/>
          <w:sz w:val="24"/>
        </w:rPr>
        <w:t xml:space="preserve">solicitud </w:t>
      </w:r>
      <w:r>
        <w:rPr>
          <w:sz w:val="24"/>
        </w:rPr>
        <w:t xml:space="preserve">a la </w:t>
      </w:r>
      <w:r>
        <w:rPr>
          <w:spacing w:val="2"/>
          <w:sz w:val="24"/>
        </w:rPr>
        <w:t xml:space="preserve">Dirección </w:t>
      </w:r>
      <w:r>
        <w:rPr>
          <w:sz w:val="24"/>
        </w:rPr>
        <w:t xml:space="preserve">de </w:t>
      </w:r>
      <w:r>
        <w:rPr>
          <w:spacing w:val="2"/>
          <w:sz w:val="24"/>
        </w:rPr>
        <w:t xml:space="preserve">Recursos </w:t>
      </w:r>
      <w:r>
        <w:rPr>
          <w:sz w:val="24"/>
        </w:rPr>
        <w:t xml:space="preserve">Humanos, para efectuar la corrección en el caso detectado por la Contraloría General de Cuentas; y </w:t>
      </w:r>
      <w:r>
        <w:rPr>
          <w:b/>
          <w:sz w:val="24"/>
        </w:rPr>
        <w:t xml:space="preserve">No. 8 Incumplimiento a normativa vigente, </w:t>
      </w:r>
      <w:r>
        <w:rPr>
          <w:sz w:val="24"/>
        </w:rPr>
        <w:t xml:space="preserve">debido a </w:t>
      </w:r>
      <w:r>
        <w:rPr>
          <w:sz w:val="24"/>
        </w:rPr>
        <w:t>que existen acciones pendientes de realizar para la recuperación de los reintegros para los casos de la departamental. (Ver</w:t>
      </w:r>
      <w:r>
        <w:rPr>
          <w:spacing w:val="-7"/>
          <w:sz w:val="24"/>
        </w:rPr>
        <w:t xml:space="preserve"> </w:t>
      </w:r>
      <w:r>
        <w:rPr>
          <w:sz w:val="24"/>
        </w:rPr>
        <w:t>anexo)</w:t>
      </w:r>
    </w:p>
    <w:p w:rsidR="00AB47EA" w:rsidRDefault="00AB47EA">
      <w:pPr>
        <w:pStyle w:val="Textoindependiente"/>
        <w:spacing w:before="5"/>
        <w:rPr>
          <w:sz w:val="27"/>
        </w:rPr>
      </w:pPr>
    </w:p>
    <w:p w:rsidR="00AB47EA" w:rsidRDefault="001C1CD0">
      <w:pPr>
        <w:pStyle w:val="Textoindependiente"/>
        <w:spacing w:before="1" w:line="278" w:lineRule="auto"/>
        <w:ind w:left="1301" w:right="102"/>
        <w:jc w:val="both"/>
      </w:pPr>
      <w:r>
        <w:t>El resultado de que las recomendaciones estén en proceso, propicia que se mantengan firmes las acciones correctivas, incumpl</w:t>
      </w:r>
      <w:r>
        <w:t>imiento en los procedimientos establecidos; así como una posible sanción por parte del ente fiscalizador.</w:t>
      </w:r>
    </w:p>
    <w:p w:rsidR="00AB47EA" w:rsidRDefault="00AB47EA">
      <w:pPr>
        <w:pStyle w:val="Textoindependiente"/>
        <w:rPr>
          <w:sz w:val="26"/>
        </w:rPr>
      </w:pPr>
    </w:p>
    <w:p w:rsidR="00AB47EA" w:rsidRDefault="00AB47EA">
      <w:pPr>
        <w:pStyle w:val="Textoindependiente"/>
        <w:spacing w:before="5"/>
        <w:rPr>
          <w:sz w:val="29"/>
        </w:rPr>
      </w:pPr>
    </w:p>
    <w:p w:rsidR="00AB47EA" w:rsidRDefault="001C1CD0">
      <w:pPr>
        <w:ind w:left="1301"/>
        <w:rPr>
          <w:b/>
          <w:sz w:val="24"/>
        </w:rPr>
      </w:pPr>
      <w:r>
        <w:rPr>
          <w:b/>
          <w:sz w:val="24"/>
        </w:rPr>
        <w:t>COMPROMISO POR PARTE DE LOS RESPONSABLES</w:t>
      </w:r>
    </w:p>
    <w:p w:rsidR="00AB47EA" w:rsidRDefault="00AB47EA">
      <w:pPr>
        <w:pStyle w:val="Textoindependiente"/>
        <w:spacing w:before="8"/>
        <w:rPr>
          <w:b/>
          <w:sz w:val="32"/>
        </w:rPr>
      </w:pPr>
    </w:p>
    <w:p w:rsidR="00AB47EA" w:rsidRDefault="001C1CD0">
      <w:pPr>
        <w:pStyle w:val="Textoindependiente"/>
        <w:spacing w:line="278" w:lineRule="auto"/>
        <w:ind w:left="1301" w:right="101"/>
        <w:jc w:val="both"/>
      </w:pPr>
      <w:r>
        <w:t>A través del oficio No. O-DIDAI-01-107049-1-2021 de fecha 29 de enero del presente año, la Dirección de Auditoría Interna dio a conocer el formulario SR1, seguimiento a las recomendaciones a la Dirección Departamental de Educación de Santa Rosa a través de</w:t>
      </w:r>
      <w:r>
        <w:t xml:space="preserve"> correo electrónico; quién a través del oficio SRH-No. 30-2021 de fecha 29 de enero de 2021, trasladaron el formulario SR1 firmado, e informaron que, debido a que, para el cumplimiento de las recomendaciones, dependen de las acciones de otras entidades, co</w:t>
      </w:r>
      <w:r>
        <w:t>mo la Dirección de Recursos Humanos y la Procuraduría General de la Nación, no pueden estimar un tiempo específico en el cual se comprometen a cumplir con las recomendaciones que se encuentran en proceso. (Ver anexo No.</w:t>
      </w:r>
      <w:r>
        <w:rPr>
          <w:spacing w:val="-9"/>
        </w:rPr>
        <w:t xml:space="preserve"> </w:t>
      </w:r>
      <w:r>
        <w:t>3)</w:t>
      </w:r>
    </w:p>
    <w:p w:rsidR="00AB47EA" w:rsidRDefault="00AB47EA">
      <w:pPr>
        <w:spacing w:line="278" w:lineRule="auto"/>
        <w:jc w:val="both"/>
        <w:sectPr w:rsidR="00AB47EA">
          <w:pgSz w:w="12240" w:h="15840"/>
          <w:pgMar w:top="1060" w:right="1600" w:bottom="780" w:left="400" w:header="617" w:footer="596" w:gutter="0"/>
          <w:cols w:space="720"/>
        </w:sectPr>
      </w:pPr>
    </w:p>
    <w:p w:rsidR="00AB47EA" w:rsidRDefault="001C1CD0">
      <w:pPr>
        <w:pStyle w:val="Textoindependiente"/>
        <w:spacing w:before="82" w:line="278" w:lineRule="auto"/>
        <w:ind w:left="1301" w:right="103"/>
        <w:jc w:val="both"/>
      </w:pPr>
      <w:r>
        <w:lastRenderedPageBreak/>
        <w:t>En vista de lo anterior, se sugiere a la Dirección Departamental de Educación de Santa Rosa, realizar el seguimiento oportuno para el total cumplimiento de las recomendaciones formuladas por la Contraloría General de Cuentas.</w:t>
      </w: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spacing w:before="6"/>
        <w:rPr>
          <w:sz w:val="13"/>
        </w:rPr>
      </w:pPr>
    </w:p>
    <w:p w:rsidR="00AB47EA" w:rsidRDefault="00067EDB">
      <w:pPr>
        <w:tabs>
          <w:tab w:val="left" w:pos="5840"/>
        </w:tabs>
        <w:spacing w:line="20" w:lineRule="exact"/>
        <w:ind w:left="1436"/>
        <w:rPr>
          <w:sz w:val="2"/>
        </w:rPr>
      </w:pPr>
      <w:r>
        <w:rPr>
          <w:noProof/>
          <w:sz w:val="2"/>
          <w:lang w:val="es-GT" w:eastAsia="es-GT"/>
        </w:rPr>
        <mc:AlternateContent>
          <mc:Choice Requires="wpg">
            <w:drawing>
              <wp:inline distT="0" distB="0" distL="0" distR="0">
                <wp:extent cx="1642110" cy="9525"/>
                <wp:effectExtent l="3810" t="4445" r="1905" b="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9525"/>
                          <a:chOff x="0" y="0"/>
                          <a:chExt cx="2586" cy="15"/>
                        </a:xfrm>
                      </wpg:grpSpPr>
                      <wps:wsp>
                        <wps:cNvPr id="32" name="Rectangle 9"/>
                        <wps:cNvSpPr>
                          <a:spLocks noChangeArrowheads="1"/>
                        </wps:cNvSpPr>
                        <wps:spPr bwMode="auto">
                          <a:xfrm>
                            <a:off x="0" y="0"/>
                            <a:ext cx="258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0DF4A6" id="Group 8" o:spid="_x0000_s1026" style="width:129.3pt;height:.75pt;mso-position-horizontal-relative:char;mso-position-vertical-relative:line" coordsize="25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73xQIAAEg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">
                <v:rect id="Rectangle 9" o:spid="_x0000_s1027" style="position:absolute;width:25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sidR="001C1CD0">
        <w:rPr>
          <w:sz w:val="2"/>
        </w:rPr>
        <w:tab/>
      </w:r>
      <w:r>
        <w:rPr>
          <w:noProof/>
          <w:sz w:val="2"/>
          <w:lang w:val="es-GT" w:eastAsia="es-GT"/>
        </w:rPr>
        <mc:AlternateContent>
          <mc:Choice Requires="wpg">
            <w:drawing>
              <wp:inline distT="0" distB="0" distL="0" distR="0">
                <wp:extent cx="1582420" cy="9525"/>
                <wp:effectExtent l="0" t="4445" r="0"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8" name="Rectangle 7"/>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DF1C39"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fRxgIAAEg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">
                <v:rect id="Rectangle 7"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AB47EA" w:rsidRDefault="00AB47EA">
      <w:pPr>
        <w:spacing w:line="20" w:lineRule="exact"/>
        <w:rPr>
          <w:sz w:val="2"/>
        </w:rPr>
        <w:sectPr w:rsidR="00AB47EA">
          <w:pgSz w:w="12240" w:h="15840"/>
          <w:pgMar w:top="1060" w:right="1600" w:bottom="780" w:left="400" w:header="617" w:footer="596" w:gutter="0"/>
          <w:cols w:space="720"/>
        </w:sectPr>
      </w:pPr>
    </w:p>
    <w:p w:rsidR="00AB47EA" w:rsidRDefault="001C1CD0">
      <w:pPr>
        <w:spacing w:before="19"/>
        <w:ind w:left="1451"/>
        <w:rPr>
          <w:sz w:val="14"/>
        </w:rPr>
      </w:pPr>
      <w:r>
        <w:rPr>
          <w:sz w:val="14"/>
        </w:rPr>
        <w:lastRenderedPageBreak/>
        <w:t>HUGO RENE GONZALEZ MARROQUIN</w:t>
      </w:r>
    </w:p>
    <w:p w:rsidR="00AB47EA" w:rsidRDefault="001C1CD0">
      <w:pPr>
        <w:spacing w:before="86"/>
        <w:ind w:left="1451"/>
        <w:rPr>
          <w:sz w:val="14"/>
        </w:rPr>
      </w:pPr>
      <w:r>
        <w:rPr>
          <w:sz w:val="14"/>
        </w:rPr>
        <w:t>Auditor</w:t>
      </w:r>
    </w:p>
    <w:p w:rsidR="00AB47EA" w:rsidRDefault="001C1CD0">
      <w:pPr>
        <w:spacing w:before="19"/>
        <w:ind w:left="1451"/>
        <w:rPr>
          <w:sz w:val="14"/>
        </w:rPr>
      </w:pPr>
      <w:r>
        <w:br w:type="column"/>
      </w:r>
      <w:r>
        <w:rPr>
          <w:sz w:val="14"/>
        </w:rPr>
        <w:lastRenderedPageBreak/>
        <w:t>MARVIN RODOLFO CRUZ MARTINEZ</w:t>
      </w:r>
    </w:p>
    <w:p w:rsidR="00AB47EA" w:rsidRDefault="001C1CD0">
      <w:pPr>
        <w:spacing w:before="86"/>
        <w:ind w:left="1451"/>
        <w:rPr>
          <w:sz w:val="14"/>
        </w:rPr>
      </w:pPr>
      <w:r>
        <w:rPr>
          <w:sz w:val="14"/>
        </w:rPr>
        <w:t>Supervisor</w:t>
      </w:r>
    </w:p>
    <w:p w:rsidR="00AB47EA" w:rsidRDefault="00AB47EA">
      <w:pPr>
        <w:rPr>
          <w:sz w:val="14"/>
        </w:rPr>
        <w:sectPr w:rsidR="00AB47EA">
          <w:type w:val="continuous"/>
          <w:pgSz w:w="12240" w:h="15840"/>
          <w:pgMar w:top="1080" w:right="1600" w:bottom="0" w:left="400" w:header="720" w:footer="720" w:gutter="0"/>
          <w:cols w:num="2" w:space="720" w:equalWidth="0">
            <w:col w:w="4044" w:space="360"/>
            <w:col w:w="5836"/>
          </w:cols>
        </w:sect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rPr>
          <w:sz w:val="20"/>
        </w:rPr>
      </w:pPr>
    </w:p>
    <w:p w:rsidR="00AB47EA" w:rsidRDefault="00AB47EA">
      <w:pPr>
        <w:pStyle w:val="Textoindependiente"/>
        <w:spacing w:before="1"/>
        <w:rPr>
          <w:sz w:val="20"/>
        </w:rPr>
      </w:pPr>
    </w:p>
    <w:p w:rsidR="00AB47EA" w:rsidRDefault="00067EDB">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317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672DE0"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1C1CD0">
        <w:rPr>
          <w:sz w:val="2"/>
        </w:rPr>
        <w:tab/>
      </w:r>
      <w:r>
        <w:rPr>
          <w:noProof/>
          <w:sz w:val="2"/>
          <w:lang w:val="es-GT" w:eastAsia="es-GT"/>
        </w:rPr>
        <mc:AlternateContent>
          <mc:Choice Requires="wpg">
            <w:drawing>
              <wp:inline distT="0" distB="0" distL="0" distR="0">
                <wp:extent cx="1449070" cy="9525"/>
                <wp:effectExtent l="0" t="317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65B085"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AB47EA" w:rsidRDefault="00AB47EA">
      <w:pPr>
        <w:spacing w:line="20" w:lineRule="exact"/>
        <w:rPr>
          <w:sz w:val="2"/>
        </w:rPr>
        <w:sectPr w:rsidR="00AB47EA">
          <w:type w:val="continuous"/>
          <w:pgSz w:w="12240" w:h="15840"/>
          <w:pgMar w:top="1080" w:right="1600" w:bottom="0" w:left="400" w:header="720" w:footer="720" w:gutter="0"/>
          <w:cols w:space="720"/>
        </w:sectPr>
      </w:pPr>
    </w:p>
    <w:p w:rsidR="00AB47EA" w:rsidRDefault="001C1CD0">
      <w:pPr>
        <w:spacing w:before="19"/>
        <w:ind w:left="1451"/>
        <w:rPr>
          <w:sz w:val="14"/>
        </w:rPr>
      </w:pPr>
      <w:r>
        <w:rPr>
          <w:sz w:val="14"/>
        </w:rPr>
        <w:lastRenderedPageBreak/>
        <w:t>MILDRED LORENA FUENTES DE LEON</w:t>
      </w:r>
    </w:p>
    <w:p w:rsidR="00AB47EA" w:rsidRDefault="001C1CD0">
      <w:pPr>
        <w:spacing w:before="86"/>
        <w:ind w:left="1451"/>
        <w:rPr>
          <w:sz w:val="14"/>
        </w:rPr>
      </w:pPr>
      <w:r>
        <w:rPr>
          <w:sz w:val="14"/>
        </w:rPr>
        <w:t>Sub Director</w:t>
      </w:r>
    </w:p>
    <w:p w:rsidR="00AB47EA" w:rsidRDefault="001C1CD0">
      <w:pPr>
        <w:spacing w:before="19"/>
        <w:ind w:left="1451"/>
        <w:rPr>
          <w:sz w:val="14"/>
        </w:rPr>
      </w:pPr>
      <w:r>
        <w:br w:type="column"/>
      </w:r>
      <w:r>
        <w:rPr>
          <w:sz w:val="14"/>
        </w:rPr>
        <w:lastRenderedPageBreak/>
        <w:t>JULIA VICTORIA MONZON PEREZ</w:t>
      </w:r>
    </w:p>
    <w:p w:rsidR="00AB47EA" w:rsidRDefault="001C1CD0">
      <w:pPr>
        <w:spacing w:before="86"/>
        <w:ind w:left="1451"/>
        <w:rPr>
          <w:sz w:val="14"/>
        </w:rPr>
      </w:pPr>
      <w:r>
        <w:rPr>
          <w:sz w:val="14"/>
        </w:rPr>
        <w:t>Director</w:t>
      </w:r>
    </w:p>
    <w:p w:rsidR="00AB47EA" w:rsidRDefault="00AB47EA">
      <w:pPr>
        <w:rPr>
          <w:sz w:val="14"/>
        </w:rPr>
        <w:sectPr w:rsidR="00AB47EA">
          <w:type w:val="continuous"/>
          <w:pgSz w:w="12240" w:h="15840"/>
          <w:pgMar w:top="1080" w:right="1600" w:bottom="0" w:left="400" w:header="720" w:footer="720" w:gutter="0"/>
          <w:cols w:num="2" w:space="720" w:equalWidth="0">
            <w:col w:w="4083" w:space="321"/>
            <w:col w:w="5836"/>
          </w:cols>
        </w:sectPr>
      </w:pPr>
    </w:p>
    <w:p w:rsidR="00AB47EA" w:rsidRDefault="001C1CD0">
      <w:pPr>
        <w:pStyle w:val="Ttulo1"/>
        <w:spacing w:before="82"/>
      </w:pPr>
      <w:bookmarkStart w:id="4" w:name="_TOC_250000"/>
      <w:bookmarkEnd w:id="4"/>
      <w:r>
        <w:lastRenderedPageBreak/>
        <w:t>ANEXOS</w:t>
      </w:r>
    </w:p>
    <w:p w:rsidR="00AB47EA" w:rsidRDefault="00AB47EA">
      <w:pPr>
        <w:pStyle w:val="Textoindependiente"/>
        <w:spacing w:before="1"/>
        <w:rPr>
          <w:b/>
          <w:sz w:val="29"/>
        </w:rPr>
      </w:pPr>
    </w:p>
    <w:p w:rsidR="00AB47EA" w:rsidRDefault="001C1CD0">
      <w:pPr>
        <w:spacing w:before="94"/>
        <w:ind w:left="2350"/>
        <w:rPr>
          <w:sz w:val="16"/>
        </w:rPr>
      </w:pPr>
      <w:r>
        <w:rPr>
          <w:sz w:val="16"/>
        </w:rPr>
        <w:t>ANEXO</w:t>
      </w:r>
    </w:p>
    <w:p w:rsidR="00AB47EA" w:rsidRDefault="001C1CD0">
      <w:pPr>
        <w:pStyle w:val="Textoindependiente"/>
        <w:spacing w:before="1"/>
      </w:pPr>
      <w:r>
        <w:rPr>
          <w:noProof/>
          <w:lang w:val="es-GT" w:eastAsia="es-GT"/>
        </w:rPr>
        <w:drawing>
          <wp:anchor distT="0" distB="0" distL="0" distR="0" simplePos="0" relativeHeight="6" behindDoc="0" locked="0" layoutInCell="1" allowOverlap="1">
            <wp:simplePos x="0" y="0"/>
            <wp:positionH relativeFrom="page">
              <wp:posOffset>1136332</wp:posOffset>
            </wp:positionH>
            <wp:positionV relativeFrom="paragraph">
              <wp:posOffset>200673</wp:posOffset>
            </wp:positionV>
            <wp:extent cx="5379972" cy="707688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79972" cy="7076884"/>
                    </a:xfrm>
                    <a:prstGeom prst="rect">
                      <a:avLst/>
                    </a:prstGeom>
                  </pic:spPr>
                </pic:pic>
              </a:graphicData>
            </a:graphic>
          </wp:anchor>
        </w:drawing>
      </w:r>
    </w:p>
    <w:p w:rsidR="00AB47EA" w:rsidRDefault="00AB47EA">
      <w:p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1C1CD0">
      <w:pPr>
        <w:pStyle w:val="Textoindependiente"/>
        <w:spacing w:before="10"/>
        <w:rPr>
          <w:sz w:val="21"/>
        </w:rPr>
      </w:pPr>
      <w:r>
        <w:rPr>
          <w:noProof/>
          <w:lang w:val="es-GT" w:eastAsia="es-GT"/>
        </w:rPr>
        <w:drawing>
          <wp:anchor distT="0" distB="0" distL="0" distR="0" simplePos="0" relativeHeight="7" behindDoc="0" locked="0" layoutInCell="1" allowOverlap="1">
            <wp:simplePos x="0" y="0"/>
            <wp:positionH relativeFrom="page">
              <wp:posOffset>1145539</wp:posOffset>
            </wp:positionH>
            <wp:positionV relativeFrom="paragraph">
              <wp:posOffset>184690</wp:posOffset>
            </wp:positionV>
            <wp:extent cx="5352598" cy="6890004"/>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52598" cy="6890004"/>
                    </a:xfrm>
                    <a:prstGeom prst="rect">
                      <a:avLst/>
                    </a:prstGeom>
                  </pic:spPr>
                </pic:pic>
              </a:graphicData>
            </a:graphic>
          </wp:anchor>
        </w:drawing>
      </w:r>
    </w:p>
    <w:p w:rsidR="00AB47EA" w:rsidRDefault="00AB47EA">
      <w:pPr>
        <w:rPr>
          <w:sz w:val="21"/>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rPr>
          <w:sz w:val="11"/>
        </w:rPr>
      </w:pPr>
      <w:r>
        <w:rPr>
          <w:noProof/>
          <w:lang w:val="es-GT" w:eastAsia="es-GT"/>
        </w:rPr>
        <w:drawing>
          <wp:anchor distT="0" distB="0" distL="0" distR="0" simplePos="0" relativeHeight="8" behindDoc="0" locked="0" layoutInCell="1" allowOverlap="1">
            <wp:simplePos x="0" y="0"/>
            <wp:positionH relativeFrom="page">
              <wp:posOffset>1145539</wp:posOffset>
            </wp:positionH>
            <wp:positionV relativeFrom="paragraph">
              <wp:posOffset>105323</wp:posOffset>
            </wp:positionV>
            <wp:extent cx="5453807" cy="710793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53807" cy="7107935"/>
                    </a:xfrm>
                    <a:prstGeom prst="rect">
                      <a:avLst/>
                    </a:prstGeom>
                  </pic:spPr>
                </pic:pic>
              </a:graphicData>
            </a:graphic>
          </wp:anchor>
        </w:drawing>
      </w:r>
    </w:p>
    <w:p w:rsidR="00AB47EA" w:rsidRDefault="00AB47EA">
      <w:pPr>
        <w:rPr>
          <w:sz w:val="11"/>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268667</wp:posOffset>
            </wp:positionV>
            <wp:extent cx="5440967" cy="702716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40967" cy="7027164"/>
                    </a:xfrm>
                    <a:prstGeom prst="rect">
                      <a:avLst/>
                    </a:prstGeom>
                  </pic:spPr>
                </pic:pic>
              </a:graphicData>
            </a:graphic>
          </wp:anchor>
        </w:drawing>
      </w:r>
      <w:r>
        <w:rPr>
          <w:sz w:val="16"/>
        </w:rPr>
        <w:t>.</w:t>
      </w:r>
    </w:p>
    <w:p w:rsidR="00AB47EA" w:rsidRDefault="00AB47EA">
      <w:pPr>
        <w:jc w:val="center"/>
        <w:rPr>
          <w:sz w:val="16"/>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spacing w:before="9"/>
        <w:rPr>
          <w:sz w:val="10"/>
        </w:rPr>
      </w:pPr>
      <w:r>
        <w:rPr>
          <w:noProof/>
          <w:lang w:val="es-GT" w:eastAsia="es-GT"/>
        </w:rPr>
        <w:drawing>
          <wp:anchor distT="0" distB="0" distL="0" distR="0" simplePos="0" relativeHeight="10" behindDoc="0" locked="0" layoutInCell="1" allowOverlap="1">
            <wp:simplePos x="0" y="0"/>
            <wp:positionH relativeFrom="page">
              <wp:posOffset>1113313</wp:posOffset>
            </wp:positionH>
            <wp:positionV relativeFrom="paragraph">
              <wp:posOffset>103496</wp:posOffset>
            </wp:positionV>
            <wp:extent cx="5500827" cy="683656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00827" cy="6836568"/>
                    </a:xfrm>
                    <a:prstGeom prst="rect">
                      <a:avLst/>
                    </a:prstGeom>
                  </pic:spPr>
                </pic:pic>
              </a:graphicData>
            </a:graphic>
          </wp:anchor>
        </w:drawing>
      </w:r>
    </w:p>
    <w:p w:rsidR="00AB47EA" w:rsidRDefault="00AB47EA">
      <w:pPr>
        <w:rPr>
          <w:sz w:val="10"/>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rPr>
          <w:sz w:val="11"/>
        </w:rPr>
      </w:pPr>
      <w:r>
        <w:rPr>
          <w:noProof/>
          <w:lang w:val="es-GT" w:eastAsia="es-GT"/>
        </w:rPr>
        <w:drawing>
          <wp:anchor distT="0" distB="0" distL="0" distR="0" simplePos="0" relativeHeight="11" behindDoc="0" locked="0" layoutInCell="1" allowOverlap="1">
            <wp:simplePos x="0" y="0"/>
            <wp:positionH relativeFrom="page">
              <wp:posOffset>1108710</wp:posOffset>
            </wp:positionH>
            <wp:positionV relativeFrom="paragraph">
              <wp:posOffset>105092</wp:posOffset>
            </wp:positionV>
            <wp:extent cx="5524499" cy="704088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524499" cy="7040880"/>
                    </a:xfrm>
                    <a:prstGeom prst="rect">
                      <a:avLst/>
                    </a:prstGeom>
                  </pic:spPr>
                </pic:pic>
              </a:graphicData>
            </a:graphic>
          </wp:anchor>
        </w:drawing>
      </w:r>
    </w:p>
    <w:p w:rsidR="00AB47EA" w:rsidRDefault="00AB47EA">
      <w:pPr>
        <w:rPr>
          <w:sz w:val="11"/>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spacing w:before="3"/>
        <w:rPr>
          <w:sz w:val="15"/>
        </w:rPr>
      </w:pPr>
      <w:r>
        <w:rPr>
          <w:noProof/>
          <w:lang w:val="es-GT" w:eastAsia="es-GT"/>
        </w:rPr>
        <w:drawing>
          <wp:anchor distT="0" distB="0" distL="0" distR="0" simplePos="0" relativeHeight="12" behindDoc="0" locked="0" layoutInCell="1" allowOverlap="1">
            <wp:simplePos x="0" y="0"/>
            <wp:positionH relativeFrom="page">
              <wp:posOffset>1108710</wp:posOffset>
            </wp:positionH>
            <wp:positionV relativeFrom="paragraph">
              <wp:posOffset>136494</wp:posOffset>
            </wp:positionV>
            <wp:extent cx="5511657" cy="6977443"/>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511657" cy="6977443"/>
                    </a:xfrm>
                    <a:prstGeom prst="rect">
                      <a:avLst/>
                    </a:prstGeom>
                  </pic:spPr>
                </pic:pic>
              </a:graphicData>
            </a:graphic>
          </wp:anchor>
        </w:drawing>
      </w:r>
    </w:p>
    <w:p w:rsidR="00AB47EA" w:rsidRDefault="00AB47EA">
      <w:pPr>
        <w:rPr>
          <w:sz w:val="15"/>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rPr>
          <w:sz w:val="15"/>
        </w:rPr>
      </w:pPr>
      <w:r>
        <w:rPr>
          <w:noProof/>
          <w:lang w:val="es-GT" w:eastAsia="es-GT"/>
        </w:rPr>
        <w:drawing>
          <wp:anchor distT="0" distB="0" distL="0" distR="0" simplePos="0" relativeHeight="13" behindDoc="0" locked="0" layoutInCell="1" allowOverlap="1">
            <wp:simplePos x="0" y="0"/>
            <wp:positionH relativeFrom="page">
              <wp:posOffset>1127125</wp:posOffset>
            </wp:positionH>
            <wp:positionV relativeFrom="paragraph">
              <wp:posOffset>134406</wp:posOffset>
            </wp:positionV>
            <wp:extent cx="5442690" cy="7036498"/>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442690" cy="7036498"/>
                    </a:xfrm>
                    <a:prstGeom prst="rect">
                      <a:avLst/>
                    </a:prstGeom>
                  </pic:spPr>
                </pic:pic>
              </a:graphicData>
            </a:graphic>
          </wp:anchor>
        </w:drawing>
      </w:r>
    </w:p>
    <w:p w:rsidR="00AB47EA" w:rsidRDefault="00AB47EA">
      <w:pPr>
        <w:rPr>
          <w:sz w:val="15"/>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spacing w:before="4"/>
        <w:rPr>
          <w:sz w:val="16"/>
        </w:rPr>
      </w:pPr>
      <w:r>
        <w:rPr>
          <w:noProof/>
          <w:lang w:val="es-GT" w:eastAsia="es-GT"/>
        </w:rPr>
        <w:drawing>
          <wp:anchor distT="0" distB="0" distL="0" distR="0" simplePos="0" relativeHeight="14" behindDoc="0" locked="0" layoutInCell="1" allowOverlap="1">
            <wp:simplePos x="0" y="0"/>
            <wp:positionH relativeFrom="page">
              <wp:posOffset>1122521</wp:posOffset>
            </wp:positionH>
            <wp:positionV relativeFrom="paragraph">
              <wp:posOffset>144528</wp:posOffset>
            </wp:positionV>
            <wp:extent cx="5370755" cy="7052024"/>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370755" cy="7052024"/>
                    </a:xfrm>
                    <a:prstGeom prst="rect">
                      <a:avLst/>
                    </a:prstGeom>
                  </pic:spPr>
                </pic:pic>
              </a:graphicData>
            </a:graphic>
          </wp:anchor>
        </w:drawing>
      </w:r>
    </w:p>
    <w:p w:rsidR="00AB47EA" w:rsidRDefault="00AB47EA">
      <w:pPr>
        <w:rPr>
          <w:sz w:val="16"/>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spacing w:before="5"/>
        <w:rPr>
          <w:sz w:val="19"/>
        </w:rPr>
      </w:pPr>
      <w:r>
        <w:rPr>
          <w:noProof/>
          <w:lang w:val="es-GT" w:eastAsia="es-GT"/>
        </w:rPr>
        <w:drawing>
          <wp:anchor distT="0" distB="0" distL="0" distR="0" simplePos="0" relativeHeight="15" behindDoc="0" locked="0" layoutInCell="1" allowOverlap="1">
            <wp:simplePos x="0" y="0"/>
            <wp:positionH relativeFrom="page">
              <wp:posOffset>1117917</wp:posOffset>
            </wp:positionH>
            <wp:positionV relativeFrom="paragraph">
              <wp:posOffset>166742</wp:posOffset>
            </wp:positionV>
            <wp:extent cx="5500823" cy="7003732"/>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500823" cy="7003732"/>
                    </a:xfrm>
                    <a:prstGeom prst="rect">
                      <a:avLst/>
                    </a:prstGeom>
                  </pic:spPr>
                </pic:pic>
              </a:graphicData>
            </a:graphic>
          </wp:anchor>
        </w:drawing>
      </w:r>
    </w:p>
    <w:p w:rsidR="00AB47EA" w:rsidRDefault="00AB47EA">
      <w:pPr>
        <w:rPr>
          <w:sz w:val="19"/>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spacing w:before="8"/>
        <w:rPr>
          <w:sz w:val="19"/>
        </w:rPr>
      </w:pPr>
      <w:r>
        <w:rPr>
          <w:noProof/>
          <w:lang w:val="es-GT" w:eastAsia="es-GT"/>
        </w:rPr>
        <w:drawing>
          <wp:anchor distT="0" distB="0" distL="0" distR="0" simplePos="0" relativeHeight="16" behindDoc="0" locked="0" layoutInCell="1" allowOverlap="1">
            <wp:simplePos x="0" y="0"/>
            <wp:positionH relativeFrom="page">
              <wp:posOffset>1145539</wp:posOffset>
            </wp:positionH>
            <wp:positionV relativeFrom="paragraph">
              <wp:posOffset>169118</wp:posOffset>
            </wp:positionV>
            <wp:extent cx="5487313" cy="6894576"/>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487313" cy="6894576"/>
                    </a:xfrm>
                    <a:prstGeom prst="rect">
                      <a:avLst/>
                    </a:prstGeom>
                  </pic:spPr>
                </pic:pic>
              </a:graphicData>
            </a:graphic>
          </wp:anchor>
        </w:drawing>
      </w:r>
    </w:p>
    <w:p w:rsidR="00AB47EA" w:rsidRDefault="00AB47EA">
      <w:pPr>
        <w:rPr>
          <w:sz w:val="19"/>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sz w:val="16"/>
        </w:rPr>
        <w:lastRenderedPageBreak/>
        <w:t>.</w:t>
      </w:r>
    </w:p>
    <w:p w:rsidR="00AB47EA" w:rsidRDefault="00AB47EA">
      <w:pPr>
        <w:pStyle w:val="Textoindependiente"/>
        <w:rPr>
          <w:sz w:val="20"/>
        </w:rPr>
      </w:pPr>
    </w:p>
    <w:p w:rsidR="00AB47EA" w:rsidRDefault="001C1CD0">
      <w:pPr>
        <w:pStyle w:val="Textoindependiente"/>
        <w:spacing w:before="7"/>
        <w:rPr>
          <w:sz w:val="10"/>
        </w:rPr>
      </w:pPr>
      <w:r>
        <w:rPr>
          <w:noProof/>
          <w:lang w:val="es-GT" w:eastAsia="es-GT"/>
        </w:rPr>
        <w:drawing>
          <wp:anchor distT="0" distB="0" distL="0" distR="0" simplePos="0" relativeHeight="17" behindDoc="0" locked="0" layoutInCell="1" allowOverlap="1">
            <wp:simplePos x="0" y="0"/>
            <wp:positionH relativeFrom="page">
              <wp:posOffset>1108710</wp:posOffset>
            </wp:positionH>
            <wp:positionV relativeFrom="paragraph">
              <wp:posOffset>102595</wp:posOffset>
            </wp:positionV>
            <wp:extent cx="5380257" cy="7061073"/>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380257" cy="7061073"/>
                    </a:xfrm>
                    <a:prstGeom prst="rect">
                      <a:avLst/>
                    </a:prstGeom>
                  </pic:spPr>
                </pic:pic>
              </a:graphicData>
            </a:graphic>
          </wp:anchor>
        </w:drawing>
      </w:r>
    </w:p>
    <w:p w:rsidR="00AB47EA" w:rsidRDefault="00AB47EA">
      <w:pPr>
        <w:rPr>
          <w:sz w:val="10"/>
        </w:rPr>
        <w:sectPr w:rsidR="00AB47EA">
          <w:pgSz w:w="12240" w:h="15840"/>
          <w:pgMar w:top="1060" w:right="1600" w:bottom="780" w:left="400" w:header="617" w:footer="596" w:gutter="0"/>
          <w:cols w:space="720"/>
        </w:sectPr>
      </w:pPr>
    </w:p>
    <w:p w:rsidR="00AB47EA" w:rsidRDefault="001C1CD0">
      <w:pPr>
        <w:spacing w:before="121"/>
        <w:ind w:left="1968"/>
        <w:rPr>
          <w:sz w:val="16"/>
        </w:rPr>
      </w:pPr>
      <w:r>
        <w:rPr>
          <w:sz w:val="16"/>
        </w:rPr>
        <w:lastRenderedPageBreak/>
        <w:t>ANEXO No. 3</w:t>
      </w:r>
    </w:p>
    <w:p w:rsidR="00AB47EA" w:rsidRDefault="001C1CD0">
      <w:pPr>
        <w:pStyle w:val="Textoindependiente"/>
        <w:spacing w:before="10"/>
        <w:rPr>
          <w:sz w:val="17"/>
        </w:rPr>
      </w:pPr>
      <w:r>
        <w:rPr>
          <w:noProof/>
          <w:lang w:val="es-GT" w:eastAsia="es-GT"/>
        </w:rPr>
        <w:drawing>
          <wp:anchor distT="0" distB="0" distL="0" distR="0" simplePos="0" relativeHeight="18" behindDoc="0" locked="0" layoutInCell="1" allowOverlap="1">
            <wp:simplePos x="0" y="0"/>
            <wp:positionH relativeFrom="page">
              <wp:posOffset>1290711</wp:posOffset>
            </wp:positionH>
            <wp:positionV relativeFrom="paragraph">
              <wp:posOffset>155369</wp:posOffset>
            </wp:positionV>
            <wp:extent cx="5238077" cy="7070883"/>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238077" cy="7070883"/>
                    </a:xfrm>
                    <a:prstGeom prst="rect">
                      <a:avLst/>
                    </a:prstGeom>
                  </pic:spPr>
                </pic:pic>
              </a:graphicData>
            </a:graphic>
          </wp:anchor>
        </w:drawing>
      </w:r>
    </w:p>
    <w:p w:rsidR="00AB47EA" w:rsidRDefault="00AB47EA">
      <w:pPr>
        <w:rPr>
          <w:sz w:val="17"/>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noProof/>
          <w:lang w:val="es-GT" w:eastAsia="es-GT"/>
        </w:rPr>
        <w:lastRenderedPageBreak/>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452609" cy="7238809"/>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452609" cy="7238809"/>
                    </a:xfrm>
                    <a:prstGeom prst="rect">
                      <a:avLst/>
                    </a:prstGeom>
                  </pic:spPr>
                </pic:pic>
              </a:graphicData>
            </a:graphic>
          </wp:anchor>
        </w:drawing>
      </w:r>
      <w:r>
        <w:rPr>
          <w:sz w:val="16"/>
        </w:rPr>
        <w:t>.</w:t>
      </w:r>
    </w:p>
    <w:p w:rsidR="00AB47EA" w:rsidRDefault="00AB47EA">
      <w:pPr>
        <w:jc w:val="center"/>
        <w:rPr>
          <w:sz w:val="16"/>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noProof/>
          <w:lang w:val="es-GT" w:eastAsia="es-GT"/>
        </w:rPr>
        <w:lastRenderedPageBreak/>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403391" cy="7159752"/>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403391" cy="7159752"/>
                    </a:xfrm>
                    <a:prstGeom prst="rect">
                      <a:avLst/>
                    </a:prstGeom>
                  </pic:spPr>
                </pic:pic>
              </a:graphicData>
            </a:graphic>
          </wp:anchor>
        </w:drawing>
      </w:r>
      <w:r>
        <w:rPr>
          <w:sz w:val="16"/>
        </w:rPr>
        <w:t>.</w:t>
      </w:r>
    </w:p>
    <w:p w:rsidR="00AB47EA" w:rsidRDefault="00AB47EA">
      <w:pPr>
        <w:jc w:val="center"/>
        <w:rPr>
          <w:sz w:val="16"/>
        </w:rPr>
        <w:sectPr w:rsidR="00AB47EA">
          <w:pgSz w:w="12240" w:h="15840"/>
          <w:pgMar w:top="1060" w:right="1600" w:bottom="780" w:left="400" w:header="617" w:footer="596" w:gutter="0"/>
          <w:cols w:space="720"/>
        </w:sectPr>
      </w:pPr>
    </w:p>
    <w:p w:rsidR="00AB47EA" w:rsidRDefault="001C1CD0">
      <w:pPr>
        <w:spacing w:before="121"/>
        <w:ind w:left="1256"/>
        <w:jc w:val="center"/>
        <w:rPr>
          <w:sz w:val="16"/>
        </w:rPr>
      </w:pPr>
      <w:r>
        <w:rPr>
          <w:noProof/>
          <w:lang w:val="es-GT" w:eastAsia="es-GT"/>
        </w:rPr>
        <w:lastRenderedPageBreak/>
        <w:drawing>
          <wp:anchor distT="0" distB="0" distL="0" distR="0" simplePos="0" relativeHeight="21" behindDoc="0" locked="0" layoutInCell="1" allowOverlap="1">
            <wp:simplePos x="0" y="0"/>
            <wp:positionH relativeFrom="page">
              <wp:posOffset>1108710</wp:posOffset>
            </wp:positionH>
            <wp:positionV relativeFrom="paragraph">
              <wp:posOffset>243635</wp:posOffset>
            </wp:positionV>
            <wp:extent cx="5521630" cy="7245858"/>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5521630" cy="7245858"/>
                    </a:xfrm>
                    <a:prstGeom prst="rect">
                      <a:avLst/>
                    </a:prstGeom>
                  </pic:spPr>
                </pic:pic>
              </a:graphicData>
            </a:graphic>
          </wp:anchor>
        </w:drawing>
      </w:r>
      <w:r>
        <w:rPr>
          <w:sz w:val="16"/>
        </w:rPr>
        <w:t>.</w:t>
      </w:r>
    </w:p>
    <w:sectPr w:rsidR="00AB47E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CD0" w:rsidRDefault="001C1CD0">
      <w:r>
        <w:separator/>
      </w:r>
    </w:p>
  </w:endnote>
  <w:endnote w:type="continuationSeparator" w:id="0">
    <w:p w:rsidR="001C1CD0" w:rsidRDefault="001C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EA" w:rsidRDefault="00067EDB">
    <w:pPr>
      <w:pStyle w:val="Textoindependiente"/>
      <w:spacing w:line="14" w:lineRule="auto"/>
      <w:rPr>
        <w:sz w:val="20"/>
      </w:rPr>
    </w:pPr>
    <w:r>
      <w:rPr>
        <w:noProof/>
        <w:lang w:val="es-GT" w:eastAsia="es-GT"/>
      </w:rPr>
      <mc:AlternateContent>
        <mc:Choice Requires="wpg">
          <w:drawing>
            <wp:anchor distT="0" distB="0" distL="114300" distR="114300" simplePos="0" relativeHeight="48741273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005248" id="Group 3" o:spid="_x0000_s1026" style="position:absolute;margin-left:25pt;margin-top:748.2pt;width:502pt;height:28.8pt;z-index:-1590374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S9iP/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2XTHAAAA2wAAAA8AAABkcnMvZG93bnJldi54bWxEj0FPwzAMhe+T+A+RkXaZWLocJlaWTYC0&#10;CTggrYwDN6sxTUXjVE22df8eH5C42XrP731eb8fQqTMNqY1sYTEvQBHX0bXcWDh+7O7uQaWM7LCL&#10;TBaulGC7uZmssXTxwgc6V7lREsKpRAs+577UOtWeAqZ57IlF+45DwCzr0Gg34EXCQ6dNUSx1wJal&#10;wWNPz57qn+oULLwXp9V+Z/zy8/XrbWaaJ7O4Ho2109vx8QFUpjH/m/+uX5zgC738Ig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p2XTHAAAA2wAAAA8AAAAAAAAAAAAA&#10;AAAAnwIAAGRycy9kb3ducmV2LnhtbFBLBQYAAAAABAAEAPcAAACT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1324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7EA" w:rsidRDefault="001C1CD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AB47EA" w:rsidRDefault="001C1CD0">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376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7EA" w:rsidRDefault="001C1CD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67EDB">
                            <w:rPr>
                              <w:noProof/>
                              <w:color w:val="666666"/>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AB47EA" w:rsidRDefault="001C1CD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67EDB">
                      <w:rPr>
                        <w:noProof/>
                        <w:color w:val="666666"/>
                        <w:sz w:val="1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CD0" w:rsidRDefault="001C1CD0">
      <w:r>
        <w:separator/>
      </w:r>
    </w:p>
  </w:footnote>
  <w:footnote w:type="continuationSeparator" w:id="0">
    <w:p w:rsidR="001C1CD0" w:rsidRDefault="001C1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EA" w:rsidRDefault="00067EDB">
    <w:pPr>
      <w:pStyle w:val="Textoindependiente"/>
      <w:spacing w:line="14" w:lineRule="auto"/>
      <w:rPr>
        <w:sz w:val="20"/>
      </w:rPr>
    </w:pPr>
    <w:r>
      <w:rPr>
        <w:noProof/>
        <w:lang w:val="es-GT" w:eastAsia="es-GT"/>
      </w:rPr>
      <mc:AlternateContent>
        <mc:Choice Requires="wps">
          <w:drawing>
            <wp:anchor distT="0" distB="0" distL="114300" distR="114300" simplePos="0" relativeHeight="48741120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AF57" id="Freeform 8" o:spid="_x0000_s1026" style="position:absolute;margin-left:85.05pt;margin-top:40.1pt;width:442pt;height:.75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171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7EA" w:rsidRDefault="001C1CD0">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AB47EA" w:rsidRDefault="001C1CD0">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222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7EA" w:rsidRDefault="001C1CD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AB47EA" w:rsidRDefault="001C1CD0">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7EA"/>
    <w:rsid w:val="00067EDB"/>
    <w:rsid w:val="001C1CD0"/>
    <w:rsid w:val="00AB47E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D47076-BF90-454A-AB5C-1B86A34A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814</Words>
  <Characters>4477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2021-03-01T14:44:00Z</dcterms:created>
  <dcterms:modified xsi:type="dcterms:W3CDTF">2021-03-01T14:44:00Z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LastSaved">
    <vt:filetime>2021-03-01T00:00:00Z</vt:filetime>
  </property>
</Properties>
</file>