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6E" w:rsidRDefault="00C44C3D">
      <w:pPr>
        <w:spacing w:before="71" w:line="290" w:lineRule="auto"/>
        <w:ind w:left="4439" w:right="2858" w:hanging="378"/>
        <w:rPr>
          <w:b/>
          <w:sz w:val="24"/>
        </w:rPr>
      </w:pPr>
      <w:bookmarkStart w:id="0" w:name="_GoBack"/>
      <w:bookmarkEnd w:id="0"/>
      <w:r>
        <w:rPr>
          <w:b/>
          <w:sz w:val="24"/>
        </w:rPr>
        <w:t>MINISTERIO DE EDUCACIÓN AUDITORIA INTERNA CUA No.:109129</w:t>
      </w: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401A6E">
      <w:pPr>
        <w:pStyle w:val="Textoindependiente"/>
        <w:rPr>
          <w:b/>
          <w:sz w:val="26"/>
        </w:rPr>
      </w:pPr>
    </w:p>
    <w:p w:rsidR="00401A6E" w:rsidRDefault="00C44C3D">
      <w:pPr>
        <w:spacing w:before="185" w:line="340" w:lineRule="auto"/>
        <w:ind w:left="3767" w:right="2585" w:hanging="2"/>
        <w:jc w:val="center"/>
        <w:rPr>
          <w:b/>
          <w:sz w:val="24"/>
        </w:rPr>
      </w:pPr>
      <w:r>
        <w:rPr>
          <w:b/>
          <w:sz w:val="24"/>
        </w:rPr>
        <w:t>MINISTERIO DE EDUCACIÓN ACTIVIDADES ADMINISTRATIVAS</w:t>
      </w:r>
    </w:p>
    <w:p w:rsidR="00401A6E" w:rsidRDefault="00C44C3D">
      <w:pPr>
        <w:spacing w:before="3" w:line="290" w:lineRule="auto"/>
        <w:ind w:left="2352" w:right="1175"/>
        <w:jc w:val="center"/>
        <w:rPr>
          <w:b/>
          <w:sz w:val="24"/>
        </w:rPr>
      </w:pPr>
      <w:r>
        <w:rPr>
          <w:b/>
          <w:sz w:val="24"/>
        </w:rPr>
        <w:t>Auditoria Administrativa de fondos rotativos internos, caja chica y arqueo de combustible en la Dirección Departamental de Educación de Escuintla</w:t>
      </w: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rPr>
          <w:b/>
          <w:sz w:val="20"/>
        </w:rPr>
      </w:pPr>
    </w:p>
    <w:p w:rsidR="00401A6E" w:rsidRDefault="00401A6E">
      <w:pPr>
        <w:pStyle w:val="Textoindependiente"/>
        <w:spacing w:before="9"/>
        <w:rPr>
          <w:b/>
        </w:rPr>
      </w:pPr>
    </w:p>
    <w:p w:rsidR="00401A6E" w:rsidRDefault="00C44C3D">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JUNIO DE 2021</w:t>
      </w:r>
    </w:p>
    <w:p w:rsidR="00401A6E" w:rsidRDefault="00401A6E">
      <w:pPr>
        <w:rPr>
          <w:sz w:val="24"/>
        </w:rPr>
        <w:sectPr w:rsidR="00401A6E">
          <w:type w:val="continuous"/>
          <w:pgSz w:w="12240" w:h="15840"/>
          <w:pgMar w:top="1080" w:right="1580" w:bottom="0" w:left="400" w:header="720" w:footer="720" w:gutter="0"/>
          <w:cols w:space="720"/>
        </w:sectPr>
      </w:pPr>
    </w:p>
    <w:p w:rsidR="00401A6E" w:rsidRDefault="00C44C3D">
      <w:pPr>
        <w:spacing w:before="71"/>
        <w:ind w:left="1646" w:right="1175"/>
        <w:jc w:val="center"/>
        <w:rPr>
          <w:b/>
          <w:sz w:val="24"/>
        </w:rPr>
      </w:pPr>
      <w:r>
        <w:rPr>
          <w:b/>
          <w:sz w:val="24"/>
        </w:rPr>
        <w:lastRenderedPageBreak/>
        <w:t>INDICE</w:t>
      </w:r>
    </w:p>
    <w:sdt>
      <w:sdtPr>
        <w:id w:val="1813983146"/>
        <w:docPartObj>
          <w:docPartGallery w:val="Table of Contents"/>
          <w:docPartUnique/>
        </w:docPartObj>
      </w:sdtPr>
      <w:sdtEndPr/>
      <w:sdtContent>
        <w:p w:rsidR="00401A6E" w:rsidRDefault="00C44C3D">
          <w:pPr>
            <w:pStyle w:val="TDC1"/>
            <w:tabs>
              <w:tab w:val="right" w:pos="9427"/>
            </w:tabs>
            <w:spacing w:before="741"/>
            <w:rPr>
              <w:b w:val="0"/>
            </w:rPr>
          </w:pPr>
          <w:hyperlink w:anchor="_TOC_250002" w:history="1">
            <w:r>
              <w:t>INTRODUCCION</w:t>
            </w:r>
            <w:r>
              <w:tab/>
            </w:r>
            <w:r>
              <w:rPr>
                <w:b w:val="0"/>
                <w:position w:val="-3"/>
              </w:rPr>
              <w:t>1</w:t>
            </w:r>
          </w:hyperlink>
        </w:p>
        <w:p w:rsidR="00401A6E" w:rsidRDefault="00C44C3D">
          <w:pPr>
            <w:pStyle w:val="TDC1"/>
            <w:tabs>
              <w:tab w:val="right" w:pos="9427"/>
            </w:tabs>
            <w:rPr>
              <w:b w:val="0"/>
            </w:rPr>
          </w:pPr>
          <w:r>
            <w:t>OBJETIVOS</w:t>
          </w:r>
          <w:r>
            <w:tab/>
          </w:r>
          <w:r>
            <w:rPr>
              <w:b w:val="0"/>
              <w:position w:val="-3"/>
            </w:rPr>
            <w:t>1</w:t>
          </w:r>
        </w:p>
        <w:p w:rsidR="00401A6E" w:rsidRDefault="00C44C3D">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rsidR="00401A6E" w:rsidRDefault="00C44C3D">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2</w:t>
            </w:r>
          </w:hyperlink>
        </w:p>
      </w:sdtContent>
    </w:sdt>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C44C3D">
      <w:pPr>
        <w:pStyle w:val="Textoindependiente"/>
        <w:spacing w:before="5"/>
        <w:rPr>
          <w:sz w:val="19"/>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401A6E" w:rsidRDefault="00401A6E">
      <w:pPr>
        <w:rPr>
          <w:sz w:val="19"/>
        </w:rPr>
        <w:sectPr w:rsidR="00401A6E">
          <w:pgSz w:w="12240" w:h="15840"/>
          <w:pgMar w:top="1080" w:right="1580" w:bottom="0" w:left="400" w:header="720" w:footer="720" w:gutter="0"/>
          <w:cols w:space="720"/>
        </w:sectPr>
      </w:pPr>
    </w:p>
    <w:p w:rsidR="00401A6E" w:rsidRDefault="00C44C3D">
      <w:pPr>
        <w:pStyle w:val="Ttulo1"/>
        <w:spacing w:before="82"/>
      </w:pPr>
      <w:bookmarkStart w:id="1" w:name="_TOC_250002"/>
      <w:bookmarkEnd w:id="1"/>
      <w:r>
        <w:lastRenderedPageBreak/>
        <w:t>INTRODUCCION</w:t>
      </w:r>
    </w:p>
    <w:p w:rsidR="00401A6E" w:rsidRDefault="00401A6E">
      <w:pPr>
        <w:pStyle w:val="Textoindependiente"/>
        <w:spacing w:before="10"/>
        <w:rPr>
          <w:b/>
          <w:sz w:val="33"/>
        </w:rPr>
      </w:pPr>
    </w:p>
    <w:p w:rsidR="00401A6E" w:rsidRDefault="00C44C3D">
      <w:pPr>
        <w:pStyle w:val="Textoindependiente"/>
        <w:spacing w:line="278" w:lineRule="auto"/>
        <w:ind w:left="1301" w:right="123"/>
        <w:jc w:val="both"/>
      </w:pPr>
      <w:r>
        <w:t>De conformidad con el nombramiento de auditoría No. 109129-1-2021 de fecha 26 de mayo de 2021, fui nombrado para realizar auditoría administrativa de arqueo de fondos rotativos internos, caja chica y cupones de combustible, en la Dirección Departamental de</w:t>
      </w:r>
      <w:r>
        <w:t xml:space="preserve"> Educación de Escuintla.</w:t>
      </w:r>
    </w:p>
    <w:p w:rsidR="00401A6E" w:rsidRDefault="00401A6E">
      <w:pPr>
        <w:pStyle w:val="Textoindependiente"/>
        <w:spacing w:before="9"/>
        <w:rPr>
          <w:sz w:val="28"/>
        </w:rPr>
      </w:pPr>
    </w:p>
    <w:p w:rsidR="00401A6E" w:rsidRDefault="00C44C3D">
      <w:pPr>
        <w:spacing w:line="578" w:lineRule="auto"/>
        <w:ind w:left="1301" w:right="7565"/>
        <w:rPr>
          <w:b/>
          <w:sz w:val="24"/>
        </w:rPr>
      </w:pPr>
      <w:r>
        <w:rPr>
          <w:b/>
          <w:sz w:val="24"/>
        </w:rPr>
        <w:t>OBJETIVOS GENERAL</w:t>
      </w:r>
    </w:p>
    <w:p w:rsidR="00401A6E" w:rsidRDefault="00C44C3D">
      <w:pPr>
        <w:pStyle w:val="Textoindependiente"/>
        <w:spacing w:line="278" w:lineRule="auto"/>
        <w:ind w:left="1301" w:right="122"/>
        <w:jc w:val="both"/>
      </w:pPr>
      <w:r>
        <w:rPr>
          <w:spacing w:val="3"/>
        </w:rPr>
        <w:t xml:space="preserve">Practicar arqueos </w:t>
      </w:r>
      <w:r>
        <w:t xml:space="preserve">de </w:t>
      </w:r>
      <w:r>
        <w:rPr>
          <w:spacing w:val="3"/>
        </w:rPr>
        <w:t xml:space="preserve">fondos rotativos internos, caja chica </w:t>
      </w:r>
      <w:r>
        <w:t xml:space="preserve">y </w:t>
      </w:r>
      <w:r>
        <w:rPr>
          <w:spacing w:val="3"/>
        </w:rPr>
        <w:t xml:space="preserve">cupones </w:t>
      </w:r>
      <w:r>
        <w:t>de combustible para verificar el cumplimiento de la normativa y procedimientos de control</w:t>
      </w:r>
      <w:r>
        <w:rPr>
          <w:spacing w:val="-2"/>
        </w:rPr>
        <w:t xml:space="preserve"> </w:t>
      </w:r>
      <w:r>
        <w:t>interno.</w:t>
      </w:r>
    </w:p>
    <w:p w:rsidR="00401A6E" w:rsidRDefault="00401A6E">
      <w:pPr>
        <w:pStyle w:val="Textoindependiente"/>
        <w:spacing w:before="7"/>
        <w:rPr>
          <w:sz w:val="26"/>
        </w:rPr>
      </w:pPr>
    </w:p>
    <w:p w:rsidR="00401A6E" w:rsidRDefault="00C44C3D">
      <w:pPr>
        <w:spacing w:before="1"/>
        <w:ind w:left="1301"/>
        <w:rPr>
          <w:b/>
          <w:sz w:val="24"/>
        </w:rPr>
      </w:pPr>
      <w:r>
        <w:rPr>
          <w:b/>
          <w:sz w:val="24"/>
        </w:rPr>
        <w:t>ESPECIFICOS</w:t>
      </w:r>
    </w:p>
    <w:p w:rsidR="00401A6E" w:rsidRDefault="00401A6E">
      <w:pPr>
        <w:pStyle w:val="Textoindependiente"/>
        <w:rPr>
          <w:b/>
          <w:sz w:val="26"/>
        </w:rPr>
      </w:pPr>
    </w:p>
    <w:p w:rsidR="00401A6E" w:rsidRDefault="00401A6E">
      <w:pPr>
        <w:pStyle w:val="Textoindependiente"/>
        <w:rPr>
          <w:b/>
          <w:sz w:val="30"/>
        </w:rPr>
      </w:pPr>
    </w:p>
    <w:p w:rsidR="00401A6E" w:rsidRDefault="00C44C3D">
      <w:pPr>
        <w:pStyle w:val="Textoindependiente"/>
        <w:spacing w:line="278" w:lineRule="auto"/>
        <w:ind w:left="1901"/>
      </w:pPr>
      <w:r>
        <w:rPr>
          <w:noProof/>
          <w:lang w:val="es-GT" w:eastAsia="es-GT"/>
        </w:rPr>
        <w:drawing>
          <wp:anchor distT="0" distB="0" distL="0" distR="0" simplePos="0" relativeHeight="15729664"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67183" cy="67183"/>
                    </a:xfrm>
                    <a:prstGeom prst="rect">
                      <a:avLst/>
                    </a:prstGeom>
                  </pic:spPr>
                </pic:pic>
              </a:graphicData>
            </a:graphic>
          </wp:anchor>
        </w:drawing>
      </w:r>
      <w:r>
        <w:t>Verificar el cumplimiento de la normativa legal aplicable y procedimientos internos establecidos en la página del Sistema de Gestión de Calidad.</w:t>
      </w:r>
    </w:p>
    <w:p w:rsidR="00401A6E" w:rsidRDefault="00C44C3D">
      <w:pPr>
        <w:pStyle w:val="Textoindependiente"/>
        <w:spacing w:line="278" w:lineRule="auto"/>
        <w:ind w:left="1901"/>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67183" cy="67056"/>
                    </a:xfrm>
                    <a:prstGeom prst="rect">
                      <a:avLst/>
                    </a:prstGeom>
                  </pic:spPr>
                </pic:pic>
              </a:graphicData>
            </a:graphic>
          </wp:anchor>
        </w:drawing>
      </w:r>
      <w:r>
        <w:t>Verificar si se utiliza el Sistema de Gestión Financiera para registro de las operaciones de caja y bancos.</w:t>
      </w:r>
    </w:p>
    <w:p w:rsidR="00401A6E" w:rsidRDefault="00C44C3D">
      <w:pPr>
        <w:pStyle w:val="Textoindependiente"/>
        <w:spacing w:line="278" w:lineRule="auto"/>
        <w:ind w:left="1901"/>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33475</wp:posOffset>
            </wp:positionV>
            <wp:extent cx="67183" cy="67056"/>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67183" cy="67056"/>
                    </a:xfrm>
                    <a:prstGeom prst="rect">
                      <a:avLst/>
                    </a:prstGeom>
                  </pic:spPr>
                </pic:pic>
              </a:graphicData>
            </a:graphic>
          </wp:anchor>
        </w:drawing>
      </w:r>
      <w:r>
        <w:t>V</w:t>
      </w:r>
      <w:r>
        <w:t>erificar si el personal que tiene a cargo los fondos, está debidamente nombrado.</w:t>
      </w:r>
    </w:p>
    <w:p w:rsidR="00401A6E" w:rsidRDefault="00C44C3D">
      <w:pPr>
        <w:pStyle w:val="Textoindependiente"/>
        <w:spacing w:line="278" w:lineRule="auto"/>
        <w:ind w:left="1901" w:right="240"/>
      </w:pPr>
      <w:r>
        <w:rPr>
          <w:noProof/>
          <w:lang w:val="es-GT" w:eastAsia="es-GT"/>
        </w:rPr>
        <w:drawing>
          <wp:anchor distT="0" distB="0" distL="0" distR="0" simplePos="0" relativeHeight="15731200" behindDoc="0" locked="0" layoutInCell="1" allowOverlap="1">
            <wp:simplePos x="0" y="0"/>
            <wp:positionH relativeFrom="page">
              <wp:posOffset>1259713</wp:posOffset>
            </wp:positionH>
            <wp:positionV relativeFrom="paragraph">
              <wp:posOffset>33475</wp:posOffset>
            </wp:positionV>
            <wp:extent cx="67183" cy="6705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67183" cy="67055"/>
                    </a:xfrm>
                    <a:prstGeom prst="rect">
                      <a:avLst/>
                    </a:prstGeom>
                  </pic:spPr>
                </pic:pic>
              </a:graphicData>
            </a:graphic>
          </wp:anchor>
        </w:drawing>
      </w:r>
      <w:r>
        <w:rPr>
          <w:noProof/>
          <w:lang w:val="es-GT" w:eastAsia="es-GT"/>
        </w:rPr>
        <w:drawing>
          <wp:anchor distT="0" distB="0" distL="0" distR="0" simplePos="0" relativeHeight="15731712" behindDoc="0" locked="0" layoutInCell="1" allowOverlap="1">
            <wp:simplePos x="0" y="0"/>
            <wp:positionH relativeFrom="page">
              <wp:posOffset>1259713</wp:posOffset>
            </wp:positionH>
            <wp:positionV relativeFrom="paragraph">
              <wp:posOffset>236294</wp:posOffset>
            </wp:positionV>
            <wp:extent cx="67183" cy="67183"/>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9" cstate="print"/>
                    <a:stretch>
                      <a:fillRect/>
                    </a:stretch>
                  </pic:blipFill>
                  <pic:spPr>
                    <a:xfrm>
                      <a:off x="0" y="0"/>
                      <a:ext cx="67183" cy="67183"/>
                    </a:xfrm>
                    <a:prstGeom prst="rect">
                      <a:avLst/>
                    </a:prstGeom>
                  </pic:spPr>
                </pic:pic>
              </a:graphicData>
            </a:graphic>
          </wp:anchor>
        </w:drawing>
      </w:r>
      <w:r>
        <w:t>Practicar arqueos en la fecha de presentación a la unidad ejecutora. Verificar si el personal responsable cauciona fianza.</w:t>
      </w:r>
    </w:p>
    <w:p w:rsidR="00401A6E" w:rsidRDefault="00401A6E">
      <w:pPr>
        <w:pStyle w:val="Textoindependiente"/>
        <w:rPr>
          <w:sz w:val="26"/>
        </w:rPr>
      </w:pPr>
    </w:p>
    <w:p w:rsidR="00401A6E" w:rsidRDefault="00401A6E">
      <w:pPr>
        <w:pStyle w:val="Textoindependiente"/>
        <w:spacing w:before="10"/>
        <w:rPr>
          <w:sz w:val="25"/>
        </w:rPr>
      </w:pPr>
    </w:p>
    <w:p w:rsidR="00401A6E" w:rsidRDefault="00C44C3D">
      <w:pPr>
        <w:pStyle w:val="Ttulo1"/>
      </w:pPr>
      <w:bookmarkStart w:id="2" w:name="_TOC_250001"/>
      <w:bookmarkEnd w:id="2"/>
      <w:r>
        <w:t>ALCANCE DE LA ACTIVIDAD</w:t>
      </w:r>
    </w:p>
    <w:p w:rsidR="00401A6E" w:rsidRDefault="00401A6E">
      <w:pPr>
        <w:pStyle w:val="Textoindependiente"/>
        <w:spacing w:before="10"/>
        <w:rPr>
          <w:b/>
          <w:sz w:val="33"/>
        </w:rPr>
      </w:pPr>
    </w:p>
    <w:p w:rsidR="00401A6E" w:rsidRDefault="00C44C3D">
      <w:pPr>
        <w:pStyle w:val="Textoindependiente"/>
        <w:spacing w:line="278" w:lineRule="auto"/>
        <w:ind w:left="1301" w:right="119"/>
        <w:jc w:val="both"/>
      </w:pPr>
      <w:r>
        <w:t xml:space="preserve">Se practicó arqueo del fondo rotativo interno para gastos de funcionamiento, </w:t>
      </w:r>
      <w:r>
        <w:rPr>
          <w:spacing w:val="2"/>
        </w:rPr>
        <w:t xml:space="preserve">constituido según resolución </w:t>
      </w:r>
      <w:r>
        <w:t xml:space="preserve">No. 211 de </w:t>
      </w:r>
      <w:r>
        <w:rPr>
          <w:spacing w:val="2"/>
        </w:rPr>
        <w:t xml:space="preserve">fecha </w:t>
      </w:r>
      <w:r>
        <w:t xml:space="preserve">22 de </w:t>
      </w:r>
      <w:r>
        <w:rPr>
          <w:spacing w:val="2"/>
        </w:rPr>
        <w:t xml:space="preserve">enero </w:t>
      </w:r>
      <w:r>
        <w:t xml:space="preserve">de </w:t>
      </w:r>
      <w:r>
        <w:rPr>
          <w:spacing w:val="2"/>
        </w:rPr>
        <w:t xml:space="preserve">2021, </w:t>
      </w:r>
      <w:r>
        <w:t>por la cantidad de Q. 75,000.00; así mismo, al fondo rotativo interno para atender servicios básicos en los cent</w:t>
      </w:r>
      <w:r>
        <w:t xml:space="preserve">ros educativos públicos, el cual fue constituido según resolución No. 212 del 22 de enero de 2021, por Q. 100,000.00. Ambos fondos son resguardados en la cuenta bancaria No. 03-017-000020-8 del Banco Crédito Hipotecario Nacional, denominada FONDO ROTATIVO </w:t>
      </w:r>
      <w:r>
        <w:t>INTERNO DIDEDUC ESCUINTLA; se constató, que la Dirección Departamental de Educación de Escuintla no cuenta con fondo de caja chica. Se efectuó arqueo de cupones de combustible con fecha 28 de mayo de 2021, reflejando una existencia de 1,639 cupones a razón</w:t>
      </w:r>
      <w:r>
        <w:t xml:space="preserve"> de Q. 50.00 c/u la cual asciende a Q. 81,950.00. También se verificó</w:t>
      </w:r>
      <w:r>
        <w:rPr>
          <w:spacing w:val="10"/>
        </w:rPr>
        <w:t xml:space="preserve"> </w:t>
      </w:r>
      <w:r>
        <w:t>el</w:t>
      </w:r>
      <w:r>
        <w:rPr>
          <w:spacing w:val="10"/>
        </w:rPr>
        <w:t xml:space="preserve"> </w:t>
      </w:r>
      <w:r>
        <w:t>uso</w:t>
      </w:r>
      <w:r>
        <w:rPr>
          <w:spacing w:val="10"/>
        </w:rPr>
        <w:t xml:space="preserve"> </w:t>
      </w:r>
      <w:r>
        <w:t>del</w:t>
      </w:r>
      <w:r>
        <w:rPr>
          <w:spacing w:val="10"/>
        </w:rPr>
        <w:t xml:space="preserve"> </w:t>
      </w:r>
      <w:r>
        <w:t>Sistema</w:t>
      </w:r>
      <w:r>
        <w:rPr>
          <w:spacing w:val="10"/>
        </w:rPr>
        <w:t xml:space="preserve"> </w:t>
      </w:r>
      <w:r>
        <w:t>de</w:t>
      </w:r>
      <w:r>
        <w:rPr>
          <w:spacing w:val="10"/>
        </w:rPr>
        <w:t xml:space="preserve"> </w:t>
      </w:r>
      <w:r>
        <w:t>Gestión</w:t>
      </w:r>
      <w:r>
        <w:rPr>
          <w:spacing w:val="10"/>
        </w:rPr>
        <w:t xml:space="preserve"> </w:t>
      </w:r>
      <w:r>
        <w:t>Financiera.</w:t>
      </w:r>
      <w:r>
        <w:rPr>
          <w:spacing w:val="34"/>
        </w:rPr>
        <w:t xml:space="preserve"> </w:t>
      </w:r>
      <w:r>
        <w:t>Así</w:t>
      </w:r>
      <w:r>
        <w:rPr>
          <w:spacing w:val="10"/>
        </w:rPr>
        <w:t xml:space="preserve"> </w:t>
      </w:r>
      <w:r>
        <w:t>mismo,</w:t>
      </w:r>
      <w:r>
        <w:rPr>
          <w:spacing w:val="10"/>
        </w:rPr>
        <w:t xml:space="preserve"> </w:t>
      </w:r>
      <w:r>
        <w:t>se</w:t>
      </w:r>
      <w:r>
        <w:rPr>
          <w:spacing w:val="10"/>
        </w:rPr>
        <w:t xml:space="preserve"> </w:t>
      </w:r>
      <w:r>
        <w:t>verificó</w:t>
      </w:r>
      <w:r>
        <w:rPr>
          <w:spacing w:val="10"/>
        </w:rPr>
        <w:t xml:space="preserve"> </w:t>
      </w:r>
      <w:r>
        <w:t>que</w:t>
      </w:r>
      <w:r>
        <w:rPr>
          <w:spacing w:val="10"/>
        </w:rPr>
        <w:t xml:space="preserve"> </w:t>
      </w:r>
      <w:r>
        <w:t>los</w:t>
      </w:r>
    </w:p>
    <w:p w:rsidR="00401A6E" w:rsidRDefault="00401A6E">
      <w:pPr>
        <w:spacing w:line="278" w:lineRule="auto"/>
        <w:jc w:val="both"/>
        <w:sectPr w:rsidR="00401A6E">
          <w:headerReference w:type="default" r:id="rId10"/>
          <w:footerReference w:type="default" r:id="rId11"/>
          <w:pgSz w:w="12240" w:h="15840"/>
          <w:pgMar w:top="1060" w:right="1580" w:bottom="780" w:left="400" w:header="617" w:footer="596" w:gutter="0"/>
          <w:pgNumType w:start="1"/>
          <w:cols w:space="720"/>
        </w:sectPr>
      </w:pPr>
    </w:p>
    <w:p w:rsidR="00401A6E" w:rsidRDefault="00C44C3D">
      <w:pPr>
        <w:pStyle w:val="Textoindependiente"/>
        <w:spacing w:before="82" w:line="278" w:lineRule="auto"/>
        <w:ind w:left="1301" w:right="123"/>
        <w:jc w:val="both"/>
      </w:pPr>
      <w:r>
        <w:lastRenderedPageBreak/>
        <w:t>responsables de los fondos estén debidamente nombrados para su manejo y que caucionen su responsabilidad mediante el pago de fianza.</w:t>
      </w:r>
    </w:p>
    <w:p w:rsidR="00401A6E" w:rsidRDefault="00401A6E">
      <w:pPr>
        <w:pStyle w:val="Textoindependiente"/>
        <w:spacing w:before="10"/>
        <w:rPr>
          <w:sz w:val="28"/>
        </w:rPr>
      </w:pPr>
    </w:p>
    <w:p w:rsidR="00401A6E" w:rsidRDefault="00C44C3D">
      <w:pPr>
        <w:pStyle w:val="Ttulo1"/>
      </w:pPr>
      <w:bookmarkStart w:id="3" w:name="_TOC_250000"/>
      <w:bookmarkEnd w:id="3"/>
      <w:r>
        <w:t>RESULTADOS DE LA ACTIVIDAD</w:t>
      </w:r>
    </w:p>
    <w:p w:rsidR="00401A6E" w:rsidRDefault="00401A6E">
      <w:pPr>
        <w:pStyle w:val="Textoindependiente"/>
        <w:spacing w:before="10"/>
        <w:rPr>
          <w:b/>
          <w:sz w:val="33"/>
        </w:rPr>
      </w:pPr>
    </w:p>
    <w:p w:rsidR="00401A6E" w:rsidRDefault="00C44C3D">
      <w:pPr>
        <w:pStyle w:val="Textoindependiente"/>
        <w:ind w:left="1301"/>
        <w:jc w:val="both"/>
      </w:pPr>
      <w:r>
        <w:t>Los resultados del trabajo realizado se describen a continuación:</w:t>
      </w:r>
    </w:p>
    <w:p w:rsidR="00401A6E" w:rsidRDefault="00401A6E">
      <w:pPr>
        <w:pStyle w:val="Textoindependiente"/>
        <w:spacing w:before="7"/>
        <w:rPr>
          <w:sz w:val="31"/>
        </w:rPr>
      </w:pPr>
    </w:p>
    <w:p w:rsidR="00401A6E" w:rsidRDefault="00C44C3D">
      <w:pPr>
        <w:pStyle w:val="Ttulo1"/>
      </w:pPr>
      <w:r>
        <w:t>FONDO ROTATIVO INTERNO</w:t>
      </w:r>
    </w:p>
    <w:p w:rsidR="00401A6E" w:rsidRDefault="00C44C3D">
      <w:pPr>
        <w:pStyle w:val="Textoindependiente"/>
        <w:spacing w:before="57" w:line="278" w:lineRule="auto"/>
        <w:ind w:left="1301" w:right="122"/>
        <w:jc w:val="both"/>
      </w:pPr>
      <w:r>
        <w:t>Se determinó el uso del sistema de gestión financiera y módulo de cuenta corriente, para el fondo rotativo interno para gastos de funciona</w:t>
      </w:r>
      <w:r>
        <w:t>miento y fondos para atender servicios básicos en los centros educativos públicos de la Dirección Departamental de Educación de Escuintla.</w:t>
      </w:r>
    </w:p>
    <w:p w:rsidR="00401A6E" w:rsidRDefault="00401A6E">
      <w:pPr>
        <w:pStyle w:val="Textoindependiente"/>
        <w:spacing w:before="6"/>
        <w:rPr>
          <w:sz w:val="27"/>
        </w:rPr>
      </w:pPr>
    </w:p>
    <w:p w:rsidR="00401A6E" w:rsidRDefault="00C44C3D">
      <w:pPr>
        <w:pStyle w:val="Textoindependiente"/>
        <w:spacing w:line="278" w:lineRule="auto"/>
        <w:ind w:left="1301" w:right="122"/>
        <w:jc w:val="both"/>
      </w:pPr>
      <w:r>
        <w:t>Al 31 de mayo de 2021 el arqueo del fondo rotativo interno para gastos de funcionamiento y para atender servicios bá</w:t>
      </w:r>
      <w:r>
        <w:t>sicos de los centros educativos públicos, estaban integrados de la siguiente forma:</w:t>
      </w:r>
    </w:p>
    <w:p w:rsidR="00401A6E" w:rsidRDefault="00401A6E">
      <w:pPr>
        <w:pStyle w:val="Textoindependiente"/>
        <w:spacing w:before="8"/>
        <w:rPr>
          <w:sz w:val="27"/>
        </w:rPr>
      </w:pPr>
    </w:p>
    <w:p w:rsidR="00401A6E" w:rsidRDefault="00C44C3D">
      <w:pPr>
        <w:spacing w:line="290" w:lineRule="auto"/>
        <w:ind w:left="1509" w:right="338" w:firstLine="7"/>
        <w:jc w:val="center"/>
        <w:rPr>
          <w:b/>
          <w:sz w:val="24"/>
        </w:rPr>
      </w:pPr>
      <w:r>
        <w:rPr>
          <w:b/>
          <w:sz w:val="24"/>
        </w:rPr>
        <w:t>DIRECCION DEPARTAMENTAL DE EDUCACIÓN DE ESCUINTLA ARQUEO DEL FONDO ROTATIVO INTERNO PARA GASTOS DE FUNCIONAMIENTO Y FONDOS PARA ATENDER SERVICIOS BÁSICOS</w:t>
      </w:r>
      <w:r>
        <w:rPr>
          <w:b/>
          <w:spacing w:val="-49"/>
          <w:sz w:val="24"/>
        </w:rPr>
        <w:t xml:space="preserve"> </w:t>
      </w:r>
      <w:r>
        <w:rPr>
          <w:b/>
          <w:sz w:val="24"/>
        </w:rPr>
        <w:t>DE LOS CENTROS ED</w:t>
      </w:r>
      <w:r>
        <w:rPr>
          <w:b/>
          <w:sz w:val="24"/>
        </w:rPr>
        <w:t>UCATIVOS</w:t>
      </w:r>
      <w:r>
        <w:rPr>
          <w:b/>
          <w:spacing w:val="-6"/>
          <w:sz w:val="24"/>
        </w:rPr>
        <w:t xml:space="preserve"> </w:t>
      </w:r>
      <w:r>
        <w:rPr>
          <w:b/>
          <w:sz w:val="24"/>
        </w:rPr>
        <w:t>PÚBLICOS</w:t>
      </w:r>
    </w:p>
    <w:p w:rsidR="00401A6E" w:rsidRDefault="00C44C3D">
      <w:pPr>
        <w:spacing w:line="272" w:lineRule="exact"/>
        <w:ind w:left="2352" w:right="1171"/>
        <w:jc w:val="center"/>
        <w:rPr>
          <w:b/>
          <w:sz w:val="24"/>
        </w:rPr>
      </w:pPr>
      <w:r>
        <w:rPr>
          <w:b/>
          <w:sz w:val="24"/>
        </w:rPr>
        <w:t>AL 31 DE MAYO DE 2021</w:t>
      </w:r>
    </w:p>
    <w:p w:rsidR="00401A6E" w:rsidRDefault="00C44C3D">
      <w:pPr>
        <w:spacing w:before="57"/>
        <w:ind w:left="2352" w:right="1173"/>
        <w:jc w:val="center"/>
        <w:rPr>
          <w:b/>
          <w:sz w:val="24"/>
        </w:rPr>
      </w:pPr>
      <w:r>
        <w:rPr>
          <w:b/>
          <w:sz w:val="24"/>
        </w:rPr>
        <w:t>(Cifras expresadas en quetzales)</w:t>
      </w:r>
    </w:p>
    <w:p w:rsidR="00401A6E" w:rsidRDefault="00401A6E">
      <w:pPr>
        <w:pStyle w:val="Textoindependiente"/>
        <w:rPr>
          <w:b/>
          <w:sz w:val="20"/>
        </w:rPr>
      </w:pPr>
    </w:p>
    <w:p w:rsidR="00401A6E" w:rsidRDefault="00401A6E">
      <w:pPr>
        <w:pStyle w:val="Textoindependiente"/>
        <w:spacing w:before="4" w:after="1"/>
        <w:rPr>
          <w:b/>
          <w:sz w:val="10"/>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25"/>
        <w:gridCol w:w="1169"/>
        <w:gridCol w:w="1080"/>
        <w:gridCol w:w="553"/>
      </w:tblGrid>
      <w:tr w:rsidR="00401A6E">
        <w:trPr>
          <w:trHeight w:val="185"/>
        </w:trPr>
        <w:tc>
          <w:tcPr>
            <w:tcW w:w="6025" w:type="dxa"/>
            <w:tcBorders>
              <w:left w:val="single" w:sz="6" w:space="0" w:color="000000"/>
            </w:tcBorders>
            <w:shd w:val="clear" w:color="auto" w:fill="D8D8D8"/>
          </w:tcPr>
          <w:p w:rsidR="00401A6E" w:rsidRDefault="00C44C3D">
            <w:pPr>
              <w:pStyle w:val="TableParagraph"/>
              <w:spacing w:line="160" w:lineRule="exact"/>
              <w:ind w:left="2586" w:right="2574"/>
              <w:jc w:val="center"/>
              <w:rPr>
                <w:b/>
                <w:sz w:val="14"/>
              </w:rPr>
            </w:pPr>
            <w:r>
              <w:rPr>
                <w:b/>
                <w:sz w:val="14"/>
              </w:rPr>
              <w:t>Descripción</w:t>
            </w:r>
          </w:p>
        </w:tc>
        <w:tc>
          <w:tcPr>
            <w:tcW w:w="1169" w:type="dxa"/>
            <w:shd w:val="clear" w:color="auto" w:fill="D8D8D8"/>
          </w:tcPr>
          <w:p w:rsidR="00401A6E" w:rsidRDefault="00C44C3D">
            <w:pPr>
              <w:pStyle w:val="TableParagraph"/>
              <w:spacing w:line="160" w:lineRule="exact"/>
              <w:ind w:left="201"/>
              <w:rPr>
                <w:b/>
                <w:sz w:val="14"/>
              </w:rPr>
            </w:pPr>
            <w:r>
              <w:rPr>
                <w:b/>
                <w:sz w:val="14"/>
              </w:rPr>
              <w:t>Subtotal Q.</w:t>
            </w:r>
          </w:p>
        </w:tc>
        <w:tc>
          <w:tcPr>
            <w:tcW w:w="1080" w:type="dxa"/>
            <w:shd w:val="clear" w:color="auto" w:fill="D8D8D8"/>
          </w:tcPr>
          <w:p w:rsidR="00401A6E" w:rsidRDefault="00C44C3D">
            <w:pPr>
              <w:pStyle w:val="TableParagraph"/>
              <w:spacing w:line="160" w:lineRule="exact"/>
              <w:ind w:left="269"/>
              <w:rPr>
                <w:b/>
                <w:sz w:val="14"/>
              </w:rPr>
            </w:pPr>
            <w:r>
              <w:rPr>
                <w:b/>
                <w:sz w:val="14"/>
              </w:rPr>
              <w:t>Total Q.</w:t>
            </w:r>
          </w:p>
        </w:tc>
        <w:tc>
          <w:tcPr>
            <w:tcW w:w="553" w:type="dxa"/>
            <w:tcBorders>
              <w:right w:val="single" w:sz="4" w:space="0" w:color="000000"/>
            </w:tcBorders>
            <w:shd w:val="clear" w:color="auto" w:fill="D8D8D8"/>
          </w:tcPr>
          <w:p w:rsidR="00401A6E" w:rsidRDefault="00C44C3D">
            <w:pPr>
              <w:pStyle w:val="TableParagraph"/>
              <w:spacing w:line="160" w:lineRule="exact"/>
              <w:ind w:left="93" w:right="87"/>
              <w:jc w:val="center"/>
              <w:rPr>
                <w:b/>
                <w:sz w:val="14"/>
              </w:rPr>
            </w:pPr>
            <w:r>
              <w:rPr>
                <w:b/>
                <w:sz w:val="14"/>
              </w:rPr>
              <w:t>Nota</w:t>
            </w:r>
          </w:p>
        </w:tc>
      </w:tr>
      <w:tr w:rsidR="00401A6E">
        <w:trPr>
          <w:trHeight w:val="185"/>
        </w:trPr>
        <w:tc>
          <w:tcPr>
            <w:tcW w:w="6025" w:type="dxa"/>
            <w:tcBorders>
              <w:left w:val="single" w:sz="6" w:space="0" w:color="000000"/>
            </w:tcBorders>
          </w:tcPr>
          <w:p w:rsidR="00401A6E" w:rsidRDefault="00C44C3D">
            <w:pPr>
              <w:pStyle w:val="TableParagraph"/>
              <w:spacing w:line="160" w:lineRule="exact"/>
              <w:ind w:left="110"/>
              <w:rPr>
                <w:b/>
                <w:sz w:val="14"/>
              </w:rPr>
            </w:pPr>
            <w:r>
              <w:rPr>
                <w:b/>
                <w:sz w:val="14"/>
              </w:rPr>
              <w:t>Constitución de fondos rotativos</w:t>
            </w:r>
          </w:p>
        </w:tc>
        <w:tc>
          <w:tcPr>
            <w:tcW w:w="1169" w:type="dxa"/>
          </w:tcPr>
          <w:p w:rsidR="00401A6E" w:rsidRDefault="00401A6E">
            <w:pPr>
              <w:pStyle w:val="TableParagraph"/>
              <w:spacing w:before="0" w:line="240" w:lineRule="auto"/>
              <w:rPr>
                <w:rFonts w:ascii="Times New Roman"/>
                <w:sz w:val="12"/>
              </w:rPr>
            </w:pPr>
          </w:p>
        </w:tc>
        <w:tc>
          <w:tcPr>
            <w:tcW w:w="1080" w:type="dxa"/>
          </w:tcPr>
          <w:p w:rsidR="00401A6E" w:rsidRDefault="00C44C3D">
            <w:pPr>
              <w:pStyle w:val="TableParagraph"/>
              <w:spacing w:line="160" w:lineRule="exact"/>
              <w:ind w:right="95"/>
              <w:jc w:val="right"/>
              <w:rPr>
                <w:b/>
                <w:sz w:val="14"/>
              </w:rPr>
            </w:pPr>
            <w:r>
              <w:rPr>
                <w:b/>
                <w:sz w:val="14"/>
              </w:rPr>
              <w:t>175,000.00</w:t>
            </w:r>
          </w:p>
        </w:tc>
        <w:tc>
          <w:tcPr>
            <w:tcW w:w="553" w:type="dxa"/>
            <w:tcBorders>
              <w:right w:val="single" w:sz="4" w:space="0" w:color="000000"/>
            </w:tcBorders>
          </w:tcPr>
          <w:p w:rsidR="00401A6E" w:rsidRDefault="00401A6E">
            <w:pPr>
              <w:pStyle w:val="TableParagraph"/>
              <w:spacing w:before="0" w:line="240" w:lineRule="auto"/>
              <w:rPr>
                <w:rFonts w:ascii="Times New Roman"/>
                <w:sz w:val="12"/>
              </w:rPr>
            </w:pPr>
          </w:p>
        </w:tc>
      </w:tr>
      <w:tr w:rsidR="00401A6E">
        <w:trPr>
          <w:trHeight w:val="177"/>
        </w:trPr>
        <w:tc>
          <w:tcPr>
            <w:tcW w:w="6025" w:type="dxa"/>
            <w:tcBorders>
              <w:left w:val="single" w:sz="6" w:space="0" w:color="000000"/>
            </w:tcBorders>
          </w:tcPr>
          <w:p w:rsidR="00401A6E" w:rsidRDefault="00C44C3D">
            <w:pPr>
              <w:pStyle w:val="TableParagraph"/>
              <w:spacing w:before="4"/>
              <w:ind w:left="110"/>
              <w:rPr>
                <w:sz w:val="14"/>
              </w:rPr>
            </w:pPr>
            <w:r>
              <w:rPr>
                <w:sz w:val="14"/>
              </w:rPr>
              <w:t>Para Gastos de funcionamiento, resolución No. 211</w:t>
            </w:r>
          </w:p>
        </w:tc>
        <w:tc>
          <w:tcPr>
            <w:tcW w:w="1169" w:type="dxa"/>
          </w:tcPr>
          <w:p w:rsidR="00401A6E" w:rsidRDefault="00C44C3D">
            <w:pPr>
              <w:pStyle w:val="TableParagraph"/>
              <w:spacing w:before="4"/>
              <w:ind w:right="95"/>
              <w:jc w:val="right"/>
              <w:rPr>
                <w:sz w:val="14"/>
              </w:rPr>
            </w:pPr>
            <w:r>
              <w:rPr>
                <w:sz w:val="14"/>
              </w:rPr>
              <w:t>75,000.00</w:t>
            </w:r>
          </w:p>
        </w:tc>
        <w:tc>
          <w:tcPr>
            <w:tcW w:w="1080" w:type="dxa"/>
          </w:tcPr>
          <w:p w:rsidR="00401A6E" w:rsidRDefault="00401A6E">
            <w:pPr>
              <w:pStyle w:val="TableParagraph"/>
              <w:spacing w:before="0" w:line="240" w:lineRule="auto"/>
              <w:rPr>
                <w:rFonts w:ascii="Times New Roman"/>
                <w:sz w:val="10"/>
              </w:rPr>
            </w:pPr>
          </w:p>
        </w:tc>
        <w:tc>
          <w:tcPr>
            <w:tcW w:w="553" w:type="dxa"/>
            <w:tcBorders>
              <w:right w:val="single" w:sz="4" w:space="0" w:color="000000"/>
            </w:tcBorders>
          </w:tcPr>
          <w:p w:rsidR="00401A6E" w:rsidRDefault="00C44C3D">
            <w:pPr>
              <w:pStyle w:val="TableParagraph"/>
              <w:spacing w:before="4"/>
              <w:ind w:left="6"/>
              <w:jc w:val="center"/>
              <w:rPr>
                <w:sz w:val="14"/>
              </w:rPr>
            </w:pPr>
            <w:r>
              <w:rPr>
                <w:sz w:val="14"/>
              </w:rPr>
              <w:t>1</w:t>
            </w:r>
          </w:p>
        </w:tc>
      </w:tr>
      <w:tr w:rsidR="00401A6E">
        <w:trPr>
          <w:trHeight w:val="177"/>
        </w:trPr>
        <w:tc>
          <w:tcPr>
            <w:tcW w:w="6025" w:type="dxa"/>
            <w:tcBorders>
              <w:left w:val="single" w:sz="6" w:space="0" w:color="000000"/>
            </w:tcBorders>
          </w:tcPr>
          <w:p w:rsidR="00401A6E" w:rsidRDefault="00C44C3D">
            <w:pPr>
              <w:pStyle w:val="TableParagraph"/>
              <w:spacing w:before="4"/>
              <w:ind w:left="110"/>
              <w:rPr>
                <w:sz w:val="14"/>
              </w:rPr>
            </w:pPr>
            <w:r>
              <w:rPr>
                <w:sz w:val="14"/>
              </w:rPr>
              <w:t>Para atender servicios básicos en los centros educativos públicos, resolución No. 212</w:t>
            </w:r>
          </w:p>
        </w:tc>
        <w:tc>
          <w:tcPr>
            <w:tcW w:w="1169" w:type="dxa"/>
          </w:tcPr>
          <w:p w:rsidR="00401A6E" w:rsidRDefault="00C44C3D">
            <w:pPr>
              <w:pStyle w:val="TableParagraph"/>
              <w:spacing w:before="4"/>
              <w:ind w:right="95"/>
              <w:jc w:val="right"/>
              <w:rPr>
                <w:sz w:val="14"/>
              </w:rPr>
            </w:pPr>
            <w:r>
              <w:rPr>
                <w:sz w:val="14"/>
              </w:rPr>
              <w:t>100,000.00</w:t>
            </w:r>
          </w:p>
        </w:tc>
        <w:tc>
          <w:tcPr>
            <w:tcW w:w="1080" w:type="dxa"/>
          </w:tcPr>
          <w:p w:rsidR="00401A6E" w:rsidRDefault="00401A6E">
            <w:pPr>
              <w:pStyle w:val="TableParagraph"/>
              <w:spacing w:before="0" w:line="240" w:lineRule="auto"/>
              <w:rPr>
                <w:rFonts w:ascii="Times New Roman"/>
                <w:sz w:val="10"/>
              </w:rPr>
            </w:pPr>
          </w:p>
        </w:tc>
        <w:tc>
          <w:tcPr>
            <w:tcW w:w="553" w:type="dxa"/>
            <w:tcBorders>
              <w:right w:val="single" w:sz="4" w:space="0" w:color="000000"/>
            </w:tcBorders>
          </w:tcPr>
          <w:p w:rsidR="00401A6E" w:rsidRDefault="00C44C3D">
            <w:pPr>
              <w:pStyle w:val="TableParagraph"/>
              <w:spacing w:before="4"/>
              <w:ind w:left="6"/>
              <w:jc w:val="center"/>
              <w:rPr>
                <w:sz w:val="14"/>
              </w:rPr>
            </w:pPr>
            <w:r>
              <w:rPr>
                <w:sz w:val="14"/>
              </w:rPr>
              <w:t>1</w:t>
            </w:r>
          </w:p>
        </w:tc>
      </w:tr>
      <w:tr w:rsidR="00401A6E">
        <w:trPr>
          <w:trHeight w:val="185"/>
        </w:trPr>
        <w:tc>
          <w:tcPr>
            <w:tcW w:w="6025" w:type="dxa"/>
            <w:tcBorders>
              <w:left w:val="single" w:sz="6" w:space="0" w:color="000000"/>
            </w:tcBorders>
          </w:tcPr>
          <w:p w:rsidR="00401A6E" w:rsidRDefault="00C44C3D">
            <w:pPr>
              <w:pStyle w:val="TableParagraph"/>
              <w:spacing w:line="160" w:lineRule="exact"/>
              <w:ind w:left="110"/>
              <w:rPr>
                <w:b/>
                <w:sz w:val="14"/>
              </w:rPr>
            </w:pPr>
            <w:r>
              <w:rPr>
                <w:b/>
                <w:sz w:val="14"/>
              </w:rPr>
              <w:t>Bancos y documentos de legítimo abono</w:t>
            </w:r>
          </w:p>
        </w:tc>
        <w:tc>
          <w:tcPr>
            <w:tcW w:w="1169" w:type="dxa"/>
          </w:tcPr>
          <w:p w:rsidR="00401A6E" w:rsidRDefault="00401A6E">
            <w:pPr>
              <w:pStyle w:val="TableParagraph"/>
              <w:spacing w:before="0" w:line="240" w:lineRule="auto"/>
              <w:rPr>
                <w:rFonts w:ascii="Times New Roman"/>
                <w:sz w:val="12"/>
              </w:rPr>
            </w:pPr>
          </w:p>
        </w:tc>
        <w:tc>
          <w:tcPr>
            <w:tcW w:w="1080" w:type="dxa"/>
          </w:tcPr>
          <w:p w:rsidR="00401A6E" w:rsidRDefault="00C44C3D">
            <w:pPr>
              <w:pStyle w:val="TableParagraph"/>
              <w:spacing w:line="160" w:lineRule="exact"/>
              <w:ind w:right="95"/>
              <w:jc w:val="right"/>
              <w:rPr>
                <w:b/>
                <w:sz w:val="14"/>
              </w:rPr>
            </w:pPr>
            <w:r>
              <w:rPr>
                <w:b/>
                <w:sz w:val="14"/>
              </w:rPr>
              <w:t>175,000.00</w:t>
            </w:r>
          </w:p>
        </w:tc>
        <w:tc>
          <w:tcPr>
            <w:tcW w:w="553" w:type="dxa"/>
            <w:tcBorders>
              <w:right w:val="single" w:sz="4" w:space="0" w:color="000000"/>
            </w:tcBorders>
          </w:tcPr>
          <w:p w:rsidR="00401A6E" w:rsidRDefault="00401A6E">
            <w:pPr>
              <w:pStyle w:val="TableParagraph"/>
              <w:spacing w:before="0" w:line="240" w:lineRule="auto"/>
              <w:rPr>
                <w:rFonts w:ascii="Times New Roman"/>
                <w:sz w:val="12"/>
              </w:rPr>
            </w:pPr>
          </w:p>
        </w:tc>
      </w:tr>
      <w:tr w:rsidR="00401A6E">
        <w:trPr>
          <w:trHeight w:val="176"/>
        </w:trPr>
        <w:tc>
          <w:tcPr>
            <w:tcW w:w="6025" w:type="dxa"/>
            <w:tcBorders>
              <w:left w:val="single" w:sz="6" w:space="0" w:color="000000"/>
            </w:tcBorders>
          </w:tcPr>
          <w:p w:rsidR="00401A6E" w:rsidRDefault="00C44C3D">
            <w:pPr>
              <w:pStyle w:val="TableParagraph"/>
              <w:spacing w:before="4"/>
              <w:ind w:left="110"/>
              <w:rPr>
                <w:sz w:val="14"/>
              </w:rPr>
            </w:pPr>
            <w:r>
              <w:rPr>
                <w:sz w:val="14"/>
              </w:rPr>
              <w:t>Saldo según banco al 31/05/2021 (conciliado)</w:t>
            </w:r>
          </w:p>
        </w:tc>
        <w:tc>
          <w:tcPr>
            <w:tcW w:w="1169" w:type="dxa"/>
          </w:tcPr>
          <w:p w:rsidR="00401A6E" w:rsidRDefault="00C44C3D">
            <w:pPr>
              <w:pStyle w:val="TableParagraph"/>
              <w:spacing w:before="4"/>
              <w:ind w:right="95"/>
              <w:jc w:val="right"/>
              <w:rPr>
                <w:sz w:val="14"/>
              </w:rPr>
            </w:pPr>
            <w:r>
              <w:rPr>
                <w:sz w:val="14"/>
              </w:rPr>
              <w:t>163,681.11</w:t>
            </w:r>
          </w:p>
        </w:tc>
        <w:tc>
          <w:tcPr>
            <w:tcW w:w="1080" w:type="dxa"/>
          </w:tcPr>
          <w:p w:rsidR="00401A6E" w:rsidRDefault="00401A6E">
            <w:pPr>
              <w:pStyle w:val="TableParagraph"/>
              <w:spacing w:before="0" w:line="240" w:lineRule="auto"/>
              <w:rPr>
                <w:rFonts w:ascii="Times New Roman"/>
                <w:sz w:val="10"/>
              </w:rPr>
            </w:pPr>
          </w:p>
        </w:tc>
        <w:tc>
          <w:tcPr>
            <w:tcW w:w="553" w:type="dxa"/>
            <w:tcBorders>
              <w:right w:val="single" w:sz="4" w:space="0" w:color="000000"/>
            </w:tcBorders>
          </w:tcPr>
          <w:p w:rsidR="00401A6E" w:rsidRDefault="00C44C3D">
            <w:pPr>
              <w:pStyle w:val="TableParagraph"/>
              <w:spacing w:before="4"/>
              <w:ind w:left="6"/>
              <w:jc w:val="center"/>
              <w:rPr>
                <w:sz w:val="14"/>
              </w:rPr>
            </w:pPr>
            <w:r>
              <w:rPr>
                <w:sz w:val="14"/>
              </w:rPr>
              <w:t>2</w:t>
            </w:r>
          </w:p>
        </w:tc>
      </w:tr>
      <w:tr w:rsidR="00401A6E">
        <w:trPr>
          <w:trHeight w:val="177"/>
        </w:trPr>
        <w:tc>
          <w:tcPr>
            <w:tcW w:w="6025" w:type="dxa"/>
            <w:tcBorders>
              <w:left w:val="single" w:sz="6" w:space="0" w:color="000000"/>
            </w:tcBorders>
          </w:tcPr>
          <w:p w:rsidR="00401A6E" w:rsidRDefault="00C44C3D">
            <w:pPr>
              <w:pStyle w:val="TableParagraph"/>
              <w:spacing w:before="4"/>
              <w:ind w:left="110"/>
              <w:rPr>
                <w:sz w:val="14"/>
              </w:rPr>
            </w:pPr>
            <w:r>
              <w:rPr>
                <w:sz w:val="14"/>
              </w:rPr>
              <w:t>Documentos de legítimo abono FRI</w:t>
            </w:r>
          </w:p>
        </w:tc>
        <w:tc>
          <w:tcPr>
            <w:tcW w:w="1169" w:type="dxa"/>
          </w:tcPr>
          <w:p w:rsidR="00401A6E" w:rsidRDefault="00C44C3D">
            <w:pPr>
              <w:pStyle w:val="TableParagraph"/>
              <w:spacing w:before="4"/>
              <w:ind w:right="95"/>
              <w:jc w:val="right"/>
              <w:rPr>
                <w:sz w:val="14"/>
              </w:rPr>
            </w:pPr>
            <w:r>
              <w:rPr>
                <w:sz w:val="14"/>
              </w:rPr>
              <w:t>11,318.89</w:t>
            </w:r>
          </w:p>
        </w:tc>
        <w:tc>
          <w:tcPr>
            <w:tcW w:w="1080" w:type="dxa"/>
          </w:tcPr>
          <w:p w:rsidR="00401A6E" w:rsidRDefault="00401A6E">
            <w:pPr>
              <w:pStyle w:val="TableParagraph"/>
              <w:spacing w:before="0" w:line="240" w:lineRule="auto"/>
              <w:rPr>
                <w:rFonts w:ascii="Times New Roman"/>
                <w:sz w:val="10"/>
              </w:rPr>
            </w:pPr>
          </w:p>
        </w:tc>
        <w:tc>
          <w:tcPr>
            <w:tcW w:w="553" w:type="dxa"/>
            <w:tcBorders>
              <w:right w:val="single" w:sz="4" w:space="0" w:color="000000"/>
            </w:tcBorders>
          </w:tcPr>
          <w:p w:rsidR="00401A6E" w:rsidRDefault="00C44C3D">
            <w:pPr>
              <w:pStyle w:val="TableParagraph"/>
              <w:spacing w:before="4"/>
              <w:ind w:left="6"/>
              <w:jc w:val="center"/>
              <w:rPr>
                <w:sz w:val="14"/>
              </w:rPr>
            </w:pPr>
            <w:r>
              <w:rPr>
                <w:sz w:val="14"/>
              </w:rPr>
              <w:t>3</w:t>
            </w:r>
          </w:p>
        </w:tc>
      </w:tr>
      <w:tr w:rsidR="00401A6E">
        <w:trPr>
          <w:trHeight w:val="185"/>
        </w:trPr>
        <w:tc>
          <w:tcPr>
            <w:tcW w:w="6025" w:type="dxa"/>
            <w:tcBorders>
              <w:left w:val="single" w:sz="6" w:space="0" w:color="000000"/>
            </w:tcBorders>
          </w:tcPr>
          <w:p w:rsidR="00401A6E" w:rsidRDefault="00C44C3D">
            <w:pPr>
              <w:pStyle w:val="TableParagraph"/>
              <w:spacing w:line="160" w:lineRule="exact"/>
              <w:ind w:left="110"/>
              <w:rPr>
                <w:b/>
                <w:sz w:val="14"/>
              </w:rPr>
            </w:pPr>
            <w:r>
              <w:rPr>
                <w:b/>
                <w:sz w:val="14"/>
              </w:rPr>
              <w:t>Diferencia</w:t>
            </w:r>
          </w:p>
        </w:tc>
        <w:tc>
          <w:tcPr>
            <w:tcW w:w="1169" w:type="dxa"/>
          </w:tcPr>
          <w:p w:rsidR="00401A6E" w:rsidRDefault="00401A6E">
            <w:pPr>
              <w:pStyle w:val="TableParagraph"/>
              <w:spacing w:before="0" w:line="240" w:lineRule="auto"/>
              <w:rPr>
                <w:rFonts w:ascii="Times New Roman"/>
                <w:sz w:val="12"/>
              </w:rPr>
            </w:pPr>
          </w:p>
        </w:tc>
        <w:tc>
          <w:tcPr>
            <w:tcW w:w="1080" w:type="dxa"/>
          </w:tcPr>
          <w:p w:rsidR="00401A6E" w:rsidRDefault="00C44C3D">
            <w:pPr>
              <w:pStyle w:val="TableParagraph"/>
              <w:spacing w:line="160" w:lineRule="exact"/>
              <w:ind w:right="95"/>
              <w:jc w:val="right"/>
              <w:rPr>
                <w:b/>
                <w:sz w:val="14"/>
              </w:rPr>
            </w:pPr>
            <w:r>
              <w:rPr>
                <w:b/>
                <w:sz w:val="14"/>
              </w:rPr>
              <w:t>0.00</w:t>
            </w:r>
          </w:p>
        </w:tc>
        <w:tc>
          <w:tcPr>
            <w:tcW w:w="553" w:type="dxa"/>
            <w:tcBorders>
              <w:right w:val="single" w:sz="4" w:space="0" w:color="000000"/>
            </w:tcBorders>
          </w:tcPr>
          <w:p w:rsidR="00401A6E" w:rsidRDefault="00401A6E">
            <w:pPr>
              <w:pStyle w:val="TableParagraph"/>
              <w:spacing w:before="0" w:line="240" w:lineRule="auto"/>
              <w:rPr>
                <w:rFonts w:ascii="Times New Roman"/>
                <w:sz w:val="12"/>
              </w:rPr>
            </w:pPr>
          </w:p>
        </w:tc>
      </w:tr>
    </w:tbl>
    <w:p w:rsidR="00401A6E" w:rsidRDefault="00C44C3D">
      <w:pPr>
        <w:pStyle w:val="Textoindependiente"/>
        <w:spacing w:before="6" w:line="278" w:lineRule="auto"/>
        <w:ind w:left="1301" w:right="123"/>
        <w:jc w:val="both"/>
      </w:pPr>
      <w:r>
        <w:t>Fuente: Documentación e información proporcionada por los responsables de la Dirección Departamental de Educación de Escuintla.</w:t>
      </w:r>
    </w:p>
    <w:p w:rsidR="00401A6E" w:rsidRDefault="00401A6E">
      <w:pPr>
        <w:pStyle w:val="Textoindependiente"/>
        <w:spacing w:before="8"/>
        <w:rPr>
          <w:sz w:val="27"/>
        </w:rPr>
      </w:pPr>
    </w:p>
    <w:p w:rsidR="00401A6E" w:rsidRDefault="00C44C3D">
      <w:pPr>
        <w:ind w:left="1301"/>
        <w:rPr>
          <w:b/>
          <w:sz w:val="24"/>
        </w:rPr>
      </w:pPr>
      <w:r>
        <w:rPr>
          <w:b/>
          <w:sz w:val="24"/>
        </w:rPr>
        <w:t>NOTAS</w:t>
      </w:r>
    </w:p>
    <w:p w:rsidR="00401A6E" w:rsidRDefault="00401A6E">
      <w:pPr>
        <w:pStyle w:val="Textoindependiente"/>
        <w:spacing w:before="8"/>
        <w:rPr>
          <w:b/>
          <w:sz w:val="32"/>
        </w:rPr>
      </w:pPr>
    </w:p>
    <w:p w:rsidR="00401A6E" w:rsidRDefault="00C44C3D">
      <w:pPr>
        <w:ind w:left="1301"/>
        <w:jc w:val="both"/>
        <w:rPr>
          <w:b/>
          <w:sz w:val="24"/>
        </w:rPr>
      </w:pPr>
      <w:r>
        <w:rPr>
          <w:b/>
          <w:sz w:val="24"/>
        </w:rPr>
        <w:t>Nota</w:t>
      </w:r>
      <w:r>
        <w:rPr>
          <w:b/>
          <w:spacing w:val="-4"/>
          <w:sz w:val="24"/>
        </w:rPr>
        <w:t xml:space="preserve"> </w:t>
      </w:r>
      <w:r>
        <w:rPr>
          <w:b/>
          <w:sz w:val="24"/>
        </w:rPr>
        <w:t>1</w:t>
      </w:r>
    </w:p>
    <w:p w:rsidR="00401A6E" w:rsidRDefault="00C44C3D">
      <w:pPr>
        <w:pStyle w:val="Textoindependiente"/>
        <w:spacing w:before="57" w:line="278" w:lineRule="auto"/>
        <w:ind w:left="1301" w:right="121"/>
        <w:jc w:val="both"/>
      </w:pPr>
      <w:r>
        <w:t>Los fondos constituidos de la Dirección Departamental de Educación de Escuintla, son administrados por la Licenciada Valeska Maribel Salam Godoy, Coordinadora de Operaciones de Caja, y no cauciona su responsabilidad mediante el pago de fianza. (Ver hallazg</w:t>
      </w:r>
      <w:r>
        <w:t>o) Se encuentra debidamente nombrada por la autoridad superior del MINEDUC, mediante Acuerdo Ministerial de Nombramiento No. DIREH-1698-A-2018 de fecha 06 de abril de 2018.</w:t>
      </w:r>
    </w:p>
    <w:p w:rsidR="00401A6E" w:rsidRDefault="00401A6E">
      <w:pPr>
        <w:spacing w:line="278" w:lineRule="auto"/>
        <w:jc w:val="both"/>
        <w:sectPr w:rsidR="00401A6E">
          <w:pgSz w:w="12240" w:h="15840"/>
          <w:pgMar w:top="1060" w:right="1580" w:bottom="780" w:left="400" w:header="617" w:footer="596" w:gutter="0"/>
          <w:cols w:space="720"/>
        </w:sectPr>
      </w:pPr>
    </w:p>
    <w:p w:rsidR="00401A6E" w:rsidRDefault="00401A6E">
      <w:pPr>
        <w:pStyle w:val="Textoindependiente"/>
        <w:spacing w:before="11"/>
        <w:rPr>
          <w:sz w:val="26"/>
        </w:rPr>
      </w:pPr>
    </w:p>
    <w:p w:rsidR="00401A6E" w:rsidRDefault="00C44C3D">
      <w:pPr>
        <w:spacing w:before="92"/>
        <w:ind w:left="1301"/>
        <w:jc w:val="both"/>
        <w:rPr>
          <w:b/>
          <w:sz w:val="24"/>
        </w:rPr>
      </w:pPr>
      <w:r>
        <w:rPr>
          <w:b/>
          <w:sz w:val="24"/>
        </w:rPr>
        <w:t>Nota 2</w:t>
      </w:r>
    </w:p>
    <w:p w:rsidR="00401A6E" w:rsidRDefault="00C44C3D">
      <w:pPr>
        <w:pStyle w:val="Textoindependiente"/>
        <w:spacing w:before="56" w:line="278" w:lineRule="auto"/>
        <w:ind w:left="1301" w:right="121"/>
        <w:jc w:val="both"/>
      </w:pPr>
      <w:r>
        <w:t>Se constató la conciliación bancaria al 31/05/2021 entre la Cuenta No. 03-017-000020-8 a nombre de Fondo Rotativo Interno DIDEDUC Escuintla, constituida en el Banco Crédito Hipotecario Nacional y libro de bancos, la cual refleja un saldo conciliado de Q. 1</w:t>
      </w:r>
      <w:r>
        <w:t>63,681.11, integrado por fondo de funcionamiento por la cantidad de Q. 67,762.50 y fondo para atender servicios básicos de los centros educativos públicos por Q. 95,918.61.</w:t>
      </w:r>
    </w:p>
    <w:p w:rsidR="00401A6E" w:rsidRDefault="00401A6E">
      <w:pPr>
        <w:pStyle w:val="Textoindependiente"/>
        <w:spacing w:before="6"/>
        <w:rPr>
          <w:sz w:val="27"/>
        </w:rPr>
      </w:pPr>
    </w:p>
    <w:p w:rsidR="00401A6E" w:rsidRDefault="00C44C3D">
      <w:pPr>
        <w:ind w:left="1301"/>
        <w:jc w:val="both"/>
        <w:rPr>
          <w:b/>
          <w:sz w:val="24"/>
        </w:rPr>
      </w:pPr>
      <w:r>
        <w:rPr>
          <w:b/>
          <w:sz w:val="24"/>
        </w:rPr>
        <w:t>Nota 3</w:t>
      </w:r>
    </w:p>
    <w:p w:rsidR="00401A6E" w:rsidRDefault="00C44C3D">
      <w:pPr>
        <w:pStyle w:val="Textoindependiente"/>
        <w:spacing w:before="56" w:line="278" w:lineRule="auto"/>
        <w:ind w:left="1301" w:right="122"/>
        <w:jc w:val="both"/>
      </w:pPr>
      <w:r>
        <w:t>De conformidad con la integración presentada por la Coordinadora de Operaci</w:t>
      </w:r>
      <w:r>
        <w:t>ones de Caja y arqueo efectuado, los documentos de legítimo abono ascienden a la cantidad de Q. 11,318.89, los cuales se integran así: Para el fondo de funcionamiento Q. 7,237.50 y para atender servicios básicos de los centros educativos públicos Q. 4,081.</w:t>
      </w:r>
      <w:r>
        <w:t>39.</w:t>
      </w:r>
    </w:p>
    <w:p w:rsidR="00401A6E" w:rsidRDefault="00401A6E">
      <w:pPr>
        <w:pStyle w:val="Textoindependiente"/>
        <w:spacing w:before="7"/>
        <w:rPr>
          <w:sz w:val="27"/>
        </w:rPr>
      </w:pPr>
    </w:p>
    <w:p w:rsidR="00401A6E" w:rsidRDefault="00C44C3D">
      <w:pPr>
        <w:ind w:left="1301"/>
        <w:rPr>
          <w:b/>
          <w:sz w:val="24"/>
        </w:rPr>
      </w:pPr>
      <w:r>
        <w:rPr>
          <w:b/>
          <w:sz w:val="24"/>
        </w:rPr>
        <w:t>COMBUSTIBLE</w:t>
      </w:r>
    </w:p>
    <w:p w:rsidR="00401A6E" w:rsidRDefault="00C44C3D">
      <w:pPr>
        <w:pStyle w:val="Textoindependiente"/>
        <w:spacing w:before="56" w:line="278" w:lineRule="auto"/>
        <w:ind w:left="1301" w:right="124"/>
        <w:jc w:val="both"/>
      </w:pPr>
      <w:r>
        <w:t>Al 28 de mayo de 2021, se realizó arqueo de cupones de combustibles que estaban integrados de la siguiente forma:</w:t>
      </w:r>
    </w:p>
    <w:p w:rsidR="00401A6E" w:rsidRDefault="00401A6E">
      <w:pPr>
        <w:pStyle w:val="Textoindependiente"/>
        <w:spacing w:before="9"/>
        <w:rPr>
          <w:sz w:val="27"/>
        </w:rPr>
      </w:pPr>
    </w:p>
    <w:p w:rsidR="00401A6E" w:rsidRDefault="00C44C3D">
      <w:pPr>
        <w:spacing w:line="290" w:lineRule="auto"/>
        <w:ind w:left="2039" w:right="860"/>
        <w:jc w:val="center"/>
        <w:rPr>
          <w:b/>
          <w:sz w:val="24"/>
        </w:rPr>
      </w:pPr>
      <w:r>
        <w:rPr>
          <w:b/>
          <w:sz w:val="24"/>
        </w:rPr>
        <w:t>DIRECCIÓN DEPARTAMENTAL DE EDUCACIÓN DE ESCUINTLA EXISTENCIA DE CUPONES DE COMBUSTIBLE POR UTILIZAR AL 28 DE MAYO DE 2021</w:t>
      </w:r>
    </w:p>
    <w:p w:rsidR="00401A6E" w:rsidRDefault="00C44C3D">
      <w:pPr>
        <w:spacing w:line="273" w:lineRule="exact"/>
        <w:ind w:left="2352" w:right="1175"/>
        <w:jc w:val="center"/>
        <w:rPr>
          <w:b/>
          <w:sz w:val="24"/>
        </w:rPr>
      </w:pPr>
      <w:r>
        <w:rPr>
          <w:b/>
          <w:sz w:val="24"/>
        </w:rPr>
        <w:t>(C</w:t>
      </w:r>
      <w:r>
        <w:rPr>
          <w:b/>
          <w:sz w:val="24"/>
        </w:rPr>
        <w:t>ifras expresadas en quetzales)</w:t>
      </w:r>
    </w:p>
    <w:p w:rsidR="00401A6E" w:rsidRDefault="00401A6E">
      <w:pPr>
        <w:pStyle w:val="Textoindependiente"/>
        <w:rPr>
          <w:b/>
          <w:sz w:val="20"/>
        </w:rPr>
      </w:pPr>
    </w:p>
    <w:p w:rsidR="00401A6E" w:rsidRDefault="00401A6E">
      <w:pPr>
        <w:pStyle w:val="Textoindependiente"/>
        <w:spacing w:before="6" w:after="1"/>
        <w:rPr>
          <w:b/>
          <w:sz w:val="11"/>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8"/>
        <w:gridCol w:w="1094"/>
        <w:gridCol w:w="2369"/>
        <w:gridCol w:w="1549"/>
        <w:gridCol w:w="1640"/>
        <w:gridCol w:w="1089"/>
      </w:tblGrid>
      <w:tr w:rsidR="00401A6E">
        <w:trPr>
          <w:trHeight w:val="185"/>
        </w:trPr>
        <w:tc>
          <w:tcPr>
            <w:tcW w:w="2182" w:type="dxa"/>
            <w:gridSpan w:val="2"/>
            <w:tcBorders>
              <w:left w:val="single" w:sz="6" w:space="0" w:color="000000"/>
            </w:tcBorders>
            <w:shd w:val="clear" w:color="auto" w:fill="D8D8D8"/>
          </w:tcPr>
          <w:p w:rsidR="00401A6E" w:rsidRDefault="00C44C3D">
            <w:pPr>
              <w:pStyle w:val="TableParagraph"/>
              <w:spacing w:line="160" w:lineRule="exact"/>
              <w:ind w:left="716"/>
              <w:rPr>
                <w:b/>
                <w:sz w:val="14"/>
              </w:rPr>
            </w:pPr>
            <w:r>
              <w:rPr>
                <w:b/>
                <w:sz w:val="14"/>
              </w:rPr>
              <w:t>Correlativo</w:t>
            </w:r>
          </w:p>
        </w:tc>
        <w:tc>
          <w:tcPr>
            <w:tcW w:w="2369" w:type="dxa"/>
            <w:vMerge w:val="restart"/>
            <w:shd w:val="clear" w:color="auto" w:fill="D8D8D8"/>
          </w:tcPr>
          <w:p w:rsidR="00401A6E" w:rsidRDefault="00C44C3D">
            <w:pPr>
              <w:pStyle w:val="TableParagraph"/>
              <w:spacing w:line="240" w:lineRule="auto"/>
              <w:ind w:left="441"/>
              <w:rPr>
                <w:b/>
                <w:sz w:val="14"/>
              </w:rPr>
            </w:pPr>
            <w:r>
              <w:rPr>
                <w:b/>
                <w:sz w:val="14"/>
              </w:rPr>
              <w:t>Fecha de vencimiento</w:t>
            </w:r>
          </w:p>
        </w:tc>
        <w:tc>
          <w:tcPr>
            <w:tcW w:w="1549" w:type="dxa"/>
            <w:vMerge w:val="restart"/>
            <w:shd w:val="clear" w:color="auto" w:fill="D8D8D8"/>
          </w:tcPr>
          <w:p w:rsidR="00401A6E" w:rsidRDefault="00C44C3D">
            <w:pPr>
              <w:pStyle w:val="TableParagraph"/>
              <w:spacing w:line="240" w:lineRule="auto"/>
              <w:ind w:left="304"/>
              <w:rPr>
                <w:b/>
                <w:sz w:val="14"/>
              </w:rPr>
            </w:pPr>
            <w:r>
              <w:rPr>
                <w:b/>
                <w:sz w:val="14"/>
              </w:rPr>
              <w:t>Valor Unitario</w:t>
            </w:r>
          </w:p>
        </w:tc>
        <w:tc>
          <w:tcPr>
            <w:tcW w:w="1640" w:type="dxa"/>
            <w:vMerge w:val="restart"/>
            <w:shd w:val="clear" w:color="auto" w:fill="D8D8D8"/>
          </w:tcPr>
          <w:p w:rsidR="00401A6E" w:rsidRDefault="00C44C3D">
            <w:pPr>
              <w:pStyle w:val="TableParagraph"/>
              <w:spacing w:line="240" w:lineRule="auto"/>
              <w:ind w:left="334"/>
              <w:rPr>
                <w:b/>
                <w:sz w:val="14"/>
              </w:rPr>
            </w:pPr>
            <w:r>
              <w:rPr>
                <w:b/>
                <w:sz w:val="14"/>
              </w:rPr>
              <w:t>Total cupones</w:t>
            </w:r>
          </w:p>
        </w:tc>
        <w:tc>
          <w:tcPr>
            <w:tcW w:w="1089" w:type="dxa"/>
            <w:vMerge w:val="restart"/>
            <w:tcBorders>
              <w:right w:val="single" w:sz="4" w:space="0" w:color="000000"/>
            </w:tcBorders>
            <w:shd w:val="clear" w:color="auto" w:fill="D8D8D8"/>
          </w:tcPr>
          <w:p w:rsidR="00401A6E" w:rsidRDefault="00C44C3D">
            <w:pPr>
              <w:pStyle w:val="TableParagraph"/>
              <w:spacing w:line="240" w:lineRule="auto"/>
              <w:ind w:left="348" w:right="345"/>
              <w:jc w:val="center"/>
              <w:rPr>
                <w:b/>
                <w:sz w:val="14"/>
              </w:rPr>
            </w:pPr>
            <w:r>
              <w:rPr>
                <w:b/>
                <w:sz w:val="14"/>
              </w:rPr>
              <w:t>Total</w:t>
            </w:r>
          </w:p>
        </w:tc>
      </w:tr>
      <w:tr w:rsidR="00401A6E">
        <w:trPr>
          <w:trHeight w:val="185"/>
        </w:trPr>
        <w:tc>
          <w:tcPr>
            <w:tcW w:w="1088" w:type="dxa"/>
            <w:tcBorders>
              <w:left w:val="single" w:sz="6" w:space="0" w:color="000000"/>
            </w:tcBorders>
            <w:shd w:val="clear" w:color="auto" w:fill="D8D8D8"/>
          </w:tcPr>
          <w:p w:rsidR="00401A6E" w:rsidRDefault="00C44C3D">
            <w:pPr>
              <w:pStyle w:val="TableParagraph"/>
              <w:spacing w:line="160" w:lineRule="exact"/>
              <w:ind w:left="207" w:right="194"/>
              <w:jc w:val="center"/>
              <w:rPr>
                <w:b/>
                <w:sz w:val="14"/>
              </w:rPr>
            </w:pPr>
            <w:r>
              <w:rPr>
                <w:b/>
                <w:sz w:val="14"/>
              </w:rPr>
              <w:t>Del</w:t>
            </w:r>
          </w:p>
        </w:tc>
        <w:tc>
          <w:tcPr>
            <w:tcW w:w="1094" w:type="dxa"/>
            <w:shd w:val="clear" w:color="auto" w:fill="D8D8D8"/>
          </w:tcPr>
          <w:p w:rsidR="00401A6E" w:rsidRDefault="00C44C3D">
            <w:pPr>
              <w:pStyle w:val="TableParagraph"/>
              <w:spacing w:line="160" w:lineRule="exact"/>
              <w:ind w:left="204" w:right="195"/>
              <w:jc w:val="center"/>
              <w:rPr>
                <w:b/>
                <w:sz w:val="14"/>
              </w:rPr>
            </w:pPr>
            <w:r>
              <w:rPr>
                <w:b/>
                <w:sz w:val="14"/>
              </w:rPr>
              <w:t>Al</w:t>
            </w:r>
          </w:p>
        </w:tc>
        <w:tc>
          <w:tcPr>
            <w:tcW w:w="2369" w:type="dxa"/>
            <w:vMerge/>
            <w:tcBorders>
              <w:top w:val="nil"/>
            </w:tcBorders>
            <w:shd w:val="clear" w:color="auto" w:fill="D8D8D8"/>
          </w:tcPr>
          <w:p w:rsidR="00401A6E" w:rsidRDefault="00401A6E">
            <w:pPr>
              <w:rPr>
                <w:sz w:val="2"/>
                <w:szCs w:val="2"/>
              </w:rPr>
            </w:pPr>
          </w:p>
        </w:tc>
        <w:tc>
          <w:tcPr>
            <w:tcW w:w="1549" w:type="dxa"/>
            <w:vMerge/>
            <w:tcBorders>
              <w:top w:val="nil"/>
            </w:tcBorders>
            <w:shd w:val="clear" w:color="auto" w:fill="D8D8D8"/>
          </w:tcPr>
          <w:p w:rsidR="00401A6E" w:rsidRDefault="00401A6E">
            <w:pPr>
              <w:rPr>
                <w:sz w:val="2"/>
                <w:szCs w:val="2"/>
              </w:rPr>
            </w:pPr>
          </w:p>
        </w:tc>
        <w:tc>
          <w:tcPr>
            <w:tcW w:w="1640" w:type="dxa"/>
            <w:vMerge/>
            <w:tcBorders>
              <w:top w:val="nil"/>
            </w:tcBorders>
            <w:shd w:val="clear" w:color="auto" w:fill="D8D8D8"/>
          </w:tcPr>
          <w:p w:rsidR="00401A6E" w:rsidRDefault="00401A6E">
            <w:pPr>
              <w:rPr>
                <w:sz w:val="2"/>
                <w:szCs w:val="2"/>
              </w:rPr>
            </w:pPr>
          </w:p>
        </w:tc>
        <w:tc>
          <w:tcPr>
            <w:tcW w:w="1089" w:type="dxa"/>
            <w:vMerge/>
            <w:tcBorders>
              <w:top w:val="nil"/>
              <w:right w:val="single" w:sz="4" w:space="0" w:color="000000"/>
            </w:tcBorders>
            <w:shd w:val="clear" w:color="auto" w:fill="D8D8D8"/>
          </w:tcPr>
          <w:p w:rsidR="00401A6E" w:rsidRDefault="00401A6E">
            <w:pPr>
              <w:rPr>
                <w:sz w:val="2"/>
                <w:szCs w:val="2"/>
              </w:rPr>
            </w:pPr>
          </w:p>
        </w:tc>
      </w:tr>
      <w:tr w:rsidR="00401A6E">
        <w:trPr>
          <w:trHeight w:val="176"/>
        </w:trPr>
        <w:tc>
          <w:tcPr>
            <w:tcW w:w="1088" w:type="dxa"/>
            <w:tcBorders>
              <w:left w:val="single" w:sz="6" w:space="0" w:color="000000"/>
            </w:tcBorders>
          </w:tcPr>
          <w:p w:rsidR="00401A6E" w:rsidRDefault="00C44C3D">
            <w:pPr>
              <w:pStyle w:val="TableParagraph"/>
              <w:ind w:left="207" w:right="195"/>
              <w:jc w:val="center"/>
              <w:rPr>
                <w:sz w:val="14"/>
              </w:rPr>
            </w:pPr>
            <w:r>
              <w:rPr>
                <w:sz w:val="14"/>
              </w:rPr>
              <w:t>2212531</w:t>
            </w:r>
          </w:p>
        </w:tc>
        <w:tc>
          <w:tcPr>
            <w:tcW w:w="1094" w:type="dxa"/>
          </w:tcPr>
          <w:p w:rsidR="00401A6E" w:rsidRDefault="00C44C3D">
            <w:pPr>
              <w:pStyle w:val="TableParagraph"/>
              <w:ind w:left="204" w:right="196"/>
              <w:jc w:val="center"/>
              <w:rPr>
                <w:sz w:val="14"/>
              </w:rPr>
            </w:pPr>
            <w:r>
              <w:rPr>
                <w:sz w:val="14"/>
              </w:rPr>
              <w:t>2212542</w:t>
            </w:r>
          </w:p>
        </w:tc>
        <w:tc>
          <w:tcPr>
            <w:tcW w:w="2369" w:type="dxa"/>
          </w:tcPr>
          <w:p w:rsidR="00401A6E" w:rsidRDefault="00C44C3D">
            <w:pPr>
              <w:pStyle w:val="TableParagraph"/>
              <w:ind w:left="802" w:right="795"/>
              <w:jc w:val="center"/>
              <w:rPr>
                <w:sz w:val="14"/>
              </w:rPr>
            </w:pPr>
            <w:r>
              <w:rPr>
                <w:sz w:val="14"/>
              </w:rPr>
              <w:t>18/08/2022</w:t>
            </w:r>
          </w:p>
        </w:tc>
        <w:tc>
          <w:tcPr>
            <w:tcW w:w="1549" w:type="dxa"/>
          </w:tcPr>
          <w:p w:rsidR="00401A6E" w:rsidRDefault="00C44C3D">
            <w:pPr>
              <w:pStyle w:val="TableParagraph"/>
              <w:ind w:left="567" w:right="560"/>
              <w:jc w:val="center"/>
              <w:rPr>
                <w:sz w:val="14"/>
              </w:rPr>
            </w:pPr>
            <w:r>
              <w:rPr>
                <w:sz w:val="14"/>
              </w:rPr>
              <w:t>50.00</w:t>
            </w:r>
          </w:p>
        </w:tc>
        <w:tc>
          <w:tcPr>
            <w:tcW w:w="1640" w:type="dxa"/>
          </w:tcPr>
          <w:p w:rsidR="00401A6E" w:rsidRDefault="00C44C3D">
            <w:pPr>
              <w:pStyle w:val="TableParagraph"/>
              <w:ind w:left="632" w:right="625"/>
              <w:jc w:val="center"/>
              <w:rPr>
                <w:sz w:val="14"/>
              </w:rPr>
            </w:pPr>
            <w:r>
              <w:rPr>
                <w:sz w:val="14"/>
              </w:rPr>
              <w:t>12</w:t>
            </w:r>
          </w:p>
        </w:tc>
        <w:tc>
          <w:tcPr>
            <w:tcW w:w="1089" w:type="dxa"/>
            <w:tcBorders>
              <w:right w:val="single" w:sz="4" w:space="0" w:color="000000"/>
            </w:tcBorders>
          </w:tcPr>
          <w:p w:rsidR="00401A6E" w:rsidRDefault="00C44C3D">
            <w:pPr>
              <w:pStyle w:val="TableParagraph"/>
              <w:ind w:right="102"/>
              <w:jc w:val="right"/>
              <w:rPr>
                <w:sz w:val="14"/>
              </w:rPr>
            </w:pPr>
            <w:r>
              <w:rPr>
                <w:sz w:val="14"/>
              </w:rPr>
              <w:t>600.00</w:t>
            </w:r>
          </w:p>
        </w:tc>
      </w:tr>
      <w:tr w:rsidR="00401A6E">
        <w:trPr>
          <w:trHeight w:val="177"/>
        </w:trPr>
        <w:tc>
          <w:tcPr>
            <w:tcW w:w="1088" w:type="dxa"/>
            <w:tcBorders>
              <w:left w:val="single" w:sz="6" w:space="0" w:color="000000"/>
            </w:tcBorders>
          </w:tcPr>
          <w:p w:rsidR="00401A6E" w:rsidRDefault="00C44C3D">
            <w:pPr>
              <w:pStyle w:val="TableParagraph"/>
              <w:ind w:left="207" w:right="195"/>
              <w:jc w:val="center"/>
              <w:rPr>
                <w:sz w:val="14"/>
              </w:rPr>
            </w:pPr>
            <w:r>
              <w:rPr>
                <w:sz w:val="14"/>
              </w:rPr>
              <w:t>15154685</w:t>
            </w:r>
          </w:p>
        </w:tc>
        <w:tc>
          <w:tcPr>
            <w:tcW w:w="1094" w:type="dxa"/>
          </w:tcPr>
          <w:p w:rsidR="00401A6E" w:rsidRDefault="00C44C3D">
            <w:pPr>
              <w:pStyle w:val="TableParagraph"/>
              <w:ind w:left="204" w:right="196"/>
              <w:jc w:val="center"/>
              <w:rPr>
                <w:sz w:val="14"/>
              </w:rPr>
            </w:pPr>
            <w:r>
              <w:rPr>
                <w:sz w:val="14"/>
              </w:rPr>
              <w:t>15156311</w:t>
            </w:r>
          </w:p>
        </w:tc>
        <w:tc>
          <w:tcPr>
            <w:tcW w:w="2369" w:type="dxa"/>
          </w:tcPr>
          <w:p w:rsidR="00401A6E" w:rsidRDefault="00C44C3D">
            <w:pPr>
              <w:pStyle w:val="TableParagraph"/>
              <w:ind w:left="802" w:right="795"/>
              <w:jc w:val="center"/>
              <w:rPr>
                <w:sz w:val="14"/>
              </w:rPr>
            </w:pPr>
            <w:r>
              <w:rPr>
                <w:sz w:val="14"/>
              </w:rPr>
              <w:t>23/03/2022</w:t>
            </w:r>
          </w:p>
        </w:tc>
        <w:tc>
          <w:tcPr>
            <w:tcW w:w="1549" w:type="dxa"/>
          </w:tcPr>
          <w:p w:rsidR="00401A6E" w:rsidRDefault="00C44C3D">
            <w:pPr>
              <w:pStyle w:val="TableParagraph"/>
              <w:ind w:left="567" w:right="560"/>
              <w:jc w:val="center"/>
              <w:rPr>
                <w:sz w:val="14"/>
              </w:rPr>
            </w:pPr>
            <w:r>
              <w:rPr>
                <w:sz w:val="14"/>
              </w:rPr>
              <w:t>50.00</w:t>
            </w:r>
          </w:p>
        </w:tc>
        <w:tc>
          <w:tcPr>
            <w:tcW w:w="1640" w:type="dxa"/>
          </w:tcPr>
          <w:p w:rsidR="00401A6E" w:rsidRDefault="00C44C3D">
            <w:pPr>
              <w:pStyle w:val="TableParagraph"/>
              <w:ind w:left="632" w:right="625"/>
              <w:jc w:val="center"/>
              <w:rPr>
                <w:sz w:val="14"/>
              </w:rPr>
            </w:pPr>
            <w:r>
              <w:rPr>
                <w:sz w:val="14"/>
              </w:rPr>
              <w:t>1627</w:t>
            </w:r>
          </w:p>
        </w:tc>
        <w:tc>
          <w:tcPr>
            <w:tcW w:w="1089" w:type="dxa"/>
            <w:tcBorders>
              <w:right w:val="single" w:sz="4" w:space="0" w:color="000000"/>
            </w:tcBorders>
          </w:tcPr>
          <w:p w:rsidR="00401A6E" w:rsidRDefault="00C44C3D">
            <w:pPr>
              <w:pStyle w:val="TableParagraph"/>
              <w:ind w:right="102"/>
              <w:jc w:val="right"/>
              <w:rPr>
                <w:sz w:val="14"/>
              </w:rPr>
            </w:pPr>
            <w:r>
              <w:rPr>
                <w:sz w:val="14"/>
              </w:rPr>
              <w:t>81,350.00</w:t>
            </w:r>
          </w:p>
        </w:tc>
      </w:tr>
      <w:tr w:rsidR="00401A6E">
        <w:trPr>
          <w:trHeight w:val="185"/>
        </w:trPr>
        <w:tc>
          <w:tcPr>
            <w:tcW w:w="6100" w:type="dxa"/>
            <w:gridSpan w:val="4"/>
            <w:tcBorders>
              <w:left w:val="single" w:sz="6" w:space="0" w:color="000000"/>
            </w:tcBorders>
          </w:tcPr>
          <w:p w:rsidR="00401A6E" w:rsidRDefault="00C44C3D">
            <w:pPr>
              <w:pStyle w:val="TableParagraph"/>
              <w:spacing w:line="160" w:lineRule="exact"/>
              <w:ind w:left="2697" w:right="2687"/>
              <w:jc w:val="center"/>
              <w:rPr>
                <w:b/>
                <w:sz w:val="14"/>
              </w:rPr>
            </w:pPr>
            <w:r>
              <w:rPr>
                <w:b/>
                <w:sz w:val="14"/>
              </w:rPr>
              <w:t>TOTALES</w:t>
            </w:r>
          </w:p>
        </w:tc>
        <w:tc>
          <w:tcPr>
            <w:tcW w:w="1640" w:type="dxa"/>
          </w:tcPr>
          <w:p w:rsidR="00401A6E" w:rsidRDefault="00C44C3D">
            <w:pPr>
              <w:pStyle w:val="TableParagraph"/>
              <w:spacing w:line="160" w:lineRule="exact"/>
              <w:ind w:left="632" w:right="625"/>
              <w:jc w:val="center"/>
              <w:rPr>
                <w:b/>
                <w:sz w:val="14"/>
              </w:rPr>
            </w:pPr>
            <w:r>
              <w:rPr>
                <w:b/>
                <w:sz w:val="14"/>
              </w:rPr>
              <w:t>1639</w:t>
            </w:r>
          </w:p>
        </w:tc>
        <w:tc>
          <w:tcPr>
            <w:tcW w:w="1089" w:type="dxa"/>
            <w:tcBorders>
              <w:right w:val="single" w:sz="4" w:space="0" w:color="000000"/>
            </w:tcBorders>
          </w:tcPr>
          <w:p w:rsidR="00401A6E" w:rsidRDefault="00C44C3D">
            <w:pPr>
              <w:pStyle w:val="TableParagraph"/>
              <w:spacing w:line="160" w:lineRule="exact"/>
              <w:ind w:right="102"/>
              <w:jc w:val="right"/>
              <w:rPr>
                <w:b/>
                <w:sz w:val="14"/>
              </w:rPr>
            </w:pPr>
            <w:r>
              <w:rPr>
                <w:b/>
                <w:sz w:val="14"/>
              </w:rPr>
              <w:t>81,950.00</w:t>
            </w:r>
          </w:p>
        </w:tc>
      </w:tr>
    </w:tbl>
    <w:p w:rsidR="00401A6E" w:rsidRDefault="00C44C3D">
      <w:pPr>
        <w:pStyle w:val="Textoindependiente"/>
        <w:spacing w:before="6" w:line="278" w:lineRule="auto"/>
        <w:ind w:left="1301" w:right="124"/>
        <w:jc w:val="both"/>
      </w:pPr>
      <w:r>
        <w:t>Fuente: Conteo físico verificado con el libro de control y entrega de cupones de combustible.</w:t>
      </w:r>
    </w:p>
    <w:p w:rsidR="00401A6E" w:rsidRDefault="00401A6E">
      <w:pPr>
        <w:pStyle w:val="Textoindependiente"/>
        <w:spacing w:before="7"/>
        <w:rPr>
          <w:sz w:val="27"/>
        </w:rPr>
      </w:pPr>
    </w:p>
    <w:p w:rsidR="00401A6E" w:rsidRDefault="00C44C3D">
      <w:pPr>
        <w:pStyle w:val="Textoindependiente"/>
        <w:spacing w:line="278" w:lineRule="auto"/>
        <w:ind w:left="1301" w:right="122"/>
        <w:jc w:val="both"/>
      </w:pPr>
      <w:r>
        <w:t>La guarda y custodia de los cupones de combustible, a la fecha del arqueo se encontraba a cargo del Licenciado Hermenegildo Ramírez Carrillo, Coordinador de Alma</w:t>
      </w:r>
      <w:r>
        <w:t>cén y el registro y control a cargo de la Perito Contador Flor Angélica Boror Coreas de Medina, Asistente de Almacén, ambos caucionan su responsabilidad mediante el pago de fianza.</w:t>
      </w:r>
    </w:p>
    <w:p w:rsidR="00401A6E" w:rsidRDefault="00401A6E">
      <w:pPr>
        <w:spacing w:line="278" w:lineRule="auto"/>
        <w:jc w:val="both"/>
        <w:sectPr w:rsidR="00401A6E">
          <w:pgSz w:w="12240" w:h="15840"/>
          <w:pgMar w:top="1060" w:right="1580" w:bottom="780" w:left="400" w:header="617" w:footer="596" w:gutter="0"/>
          <w:cols w:space="720"/>
        </w:sectPr>
      </w:pPr>
    </w:p>
    <w:p w:rsidR="00401A6E" w:rsidRDefault="00C44C3D">
      <w:pPr>
        <w:spacing w:before="82" w:line="290" w:lineRule="auto"/>
        <w:ind w:left="1301" w:right="240"/>
        <w:rPr>
          <w:b/>
          <w:sz w:val="24"/>
        </w:rPr>
      </w:pPr>
      <w:r>
        <w:rPr>
          <w:b/>
          <w:sz w:val="24"/>
        </w:rPr>
        <w:lastRenderedPageBreak/>
        <w:t xml:space="preserve">DE </w:t>
      </w:r>
      <w:r>
        <w:rPr>
          <w:b/>
          <w:spacing w:val="2"/>
          <w:sz w:val="24"/>
        </w:rPr>
        <w:t xml:space="preserve">CONFORMIDAD  </w:t>
      </w:r>
      <w:r>
        <w:rPr>
          <w:b/>
          <w:sz w:val="24"/>
        </w:rPr>
        <w:t xml:space="preserve">A  LA  </w:t>
      </w:r>
      <w:r>
        <w:rPr>
          <w:b/>
          <w:spacing w:val="2"/>
          <w:sz w:val="24"/>
        </w:rPr>
        <w:t xml:space="preserve">VERIFICACIÓN  REALIZADA  </w:t>
      </w:r>
      <w:r>
        <w:rPr>
          <w:b/>
          <w:sz w:val="24"/>
        </w:rPr>
        <w:t xml:space="preserve">SE  </w:t>
      </w:r>
      <w:r>
        <w:rPr>
          <w:b/>
          <w:spacing w:val="2"/>
          <w:sz w:val="24"/>
        </w:rPr>
        <w:t>DETERMINÓ</w:t>
      </w:r>
      <w:r>
        <w:rPr>
          <w:b/>
          <w:spacing w:val="2"/>
          <w:sz w:val="24"/>
        </w:rPr>
        <w:t xml:space="preserve"> </w:t>
      </w:r>
      <w:r>
        <w:rPr>
          <w:b/>
          <w:sz w:val="24"/>
        </w:rPr>
        <w:t>EL SIGUIENTE</w:t>
      </w:r>
      <w:r>
        <w:rPr>
          <w:b/>
          <w:spacing w:val="-3"/>
          <w:sz w:val="24"/>
        </w:rPr>
        <w:t xml:space="preserve"> </w:t>
      </w:r>
      <w:r>
        <w:rPr>
          <w:b/>
          <w:sz w:val="24"/>
        </w:rPr>
        <w:t>HALLAZGO</w:t>
      </w:r>
    </w:p>
    <w:p w:rsidR="00401A6E" w:rsidRDefault="00C44C3D">
      <w:pPr>
        <w:spacing w:before="24" w:line="666" w:lineRule="exact"/>
        <w:ind w:left="1301" w:right="2858"/>
        <w:rPr>
          <w:b/>
          <w:sz w:val="24"/>
        </w:rPr>
      </w:pPr>
      <w:r>
        <w:rPr>
          <w:b/>
          <w:sz w:val="24"/>
        </w:rPr>
        <w:t>Jefe de Tesorería no cauciona fianza de fidelidad. Condición</w:t>
      </w:r>
    </w:p>
    <w:p w:rsidR="00401A6E" w:rsidRDefault="00C44C3D">
      <w:pPr>
        <w:pStyle w:val="Textoindependiente"/>
        <w:spacing w:line="250" w:lineRule="exact"/>
        <w:ind w:left="1301"/>
        <w:jc w:val="both"/>
      </w:pPr>
      <w:r>
        <w:t>Al realizar arqueo de fondos rotativos al 31 de mayo de 2021 y evaluar el control</w:t>
      </w:r>
    </w:p>
    <w:p w:rsidR="00401A6E" w:rsidRDefault="00C44C3D">
      <w:pPr>
        <w:pStyle w:val="Textoindependiente"/>
        <w:spacing w:before="44" w:line="278" w:lineRule="auto"/>
        <w:ind w:left="1301" w:right="123"/>
        <w:jc w:val="both"/>
      </w:pPr>
      <w:r>
        <w:t>interno, se determinó que la Licenciada Valeska Maribel Salam Godoy, Jefe de Tesorería quien es responsable de los fondos rotativos internos, no cauciona fianza de</w:t>
      </w:r>
      <w:r>
        <w:rPr>
          <w:spacing w:val="-3"/>
        </w:rPr>
        <w:t xml:space="preserve"> </w:t>
      </w:r>
      <w:r>
        <w:t>fidelidad.</w:t>
      </w:r>
    </w:p>
    <w:p w:rsidR="00401A6E" w:rsidRDefault="00401A6E">
      <w:pPr>
        <w:pStyle w:val="Textoindependiente"/>
        <w:spacing w:before="7"/>
        <w:rPr>
          <w:sz w:val="27"/>
        </w:rPr>
      </w:pPr>
    </w:p>
    <w:p w:rsidR="00401A6E" w:rsidRDefault="00C44C3D">
      <w:pPr>
        <w:ind w:left="1301"/>
        <w:rPr>
          <w:b/>
          <w:sz w:val="24"/>
        </w:rPr>
      </w:pPr>
      <w:r>
        <w:rPr>
          <w:b/>
          <w:sz w:val="24"/>
        </w:rPr>
        <w:t>Criterio</w:t>
      </w:r>
    </w:p>
    <w:p w:rsidR="00401A6E" w:rsidRDefault="00C44C3D">
      <w:pPr>
        <w:pStyle w:val="Textoindependiente"/>
        <w:spacing w:before="57" w:line="278" w:lineRule="auto"/>
        <w:ind w:left="1301" w:right="121"/>
        <w:jc w:val="both"/>
      </w:pPr>
      <w:r>
        <w:t>Según Decreto número 101-97, Ley Orgánica del Presupuesto, en el artícu</w:t>
      </w:r>
      <w:r>
        <w:t>lo 79, establece lo siguiente: Los funcionarios y empleados públicos que recauden, administren o custodien bienes, fondos o valores del Estado y de sus entidades descentralizadas y autónomas, deben caucionar su responsabilidad mediante fianza de conformida</w:t>
      </w:r>
      <w:r>
        <w:t>d con la ley respectiva.</w:t>
      </w:r>
    </w:p>
    <w:p w:rsidR="00401A6E" w:rsidRDefault="00401A6E">
      <w:pPr>
        <w:pStyle w:val="Textoindependiente"/>
        <w:spacing w:before="6"/>
        <w:rPr>
          <w:sz w:val="27"/>
        </w:rPr>
      </w:pPr>
    </w:p>
    <w:p w:rsidR="00401A6E" w:rsidRDefault="00C44C3D">
      <w:pPr>
        <w:ind w:left="1301"/>
        <w:rPr>
          <w:b/>
          <w:sz w:val="24"/>
        </w:rPr>
      </w:pPr>
      <w:r>
        <w:rPr>
          <w:b/>
          <w:sz w:val="24"/>
        </w:rPr>
        <w:t>Causa</w:t>
      </w:r>
    </w:p>
    <w:p w:rsidR="00401A6E" w:rsidRDefault="00C44C3D">
      <w:pPr>
        <w:pStyle w:val="Textoindependiente"/>
        <w:spacing w:before="57"/>
        <w:ind w:left="1301"/>
      </w:pPr>
      <w:r>
        <w:t>Omisión, falta de control e incumplimiento a la normativa vigente.</w:t>
      </w:r>
    </w:p>
    <w:p w:rsidR="00401A6E" w:rsidRDefault="00401A6E">
      <w:pPr>
        <w:pStyle w:val="Textoindependiente"/>
        <w:spacing w:before="7"/>
        <w:rPr>
          <w:sz w:val="31"/>
        </w:rPr>
      </w:pPr>
    </w:p>
    <w:p w:rsidR="00401A6E" w:rsidRDefault="00C44C3D">
      <w:pPr>
        <w:ind w:left="1301"/>
        <w:rPr>
          <w:b/>
          <w:sz w:val="24"/>
        </w:rPr>
      </w:pPr>
      <w:r>
        <w:rPr>
          <w:b/>
          <w:sz w:val="24"/>
        </w:rPr>
        <w:t>Efecto</w:t>
      </w:r>
    </w:p>
    <w:p w:rsidR="00401A6E" w:rsidRDefault="00C44C3D">
      <w:pPr>
        <w:pStyle w:val="Textoindependiente"/>
        <w:spacing w:before="56" w:line="278" w:lineRule="auto"/>
        <w:ind w:left="1301"/>
      </w:pPr>
      <w:r>
        <w:t>Lo que provoca que al momento de alteración o pago indebido se afecte los intereses del Estado al no contar con la respectiva fianza.</w:t>
      </w:r>
    </w:p>
    <w:p w:rsidR="00401A6E" w:rsidRDefault="00401A6E">
      <w:pPr>
        <w:pStyle w:val="Textoindependiente"/>
        <w:spacing w:before="8"/>
        <w:rPr>
          <w:sz w:val="27"/>
        </w:rPr>
      </w:pPr>
    </w:p>
    <w:p w:rsidR="00401A6E" w:rsidRDefault="00C44C3D">
      <w:pPr>
        <w:spacing w:before="1"/>
        <w:ind w:left="1301"/>
        <w:rPr>
          <w:b/>
          <w:sz w:val="24"/>
        </w:rPr>
      </w:pPr>
      <w:r>
        <w:rPr>
          <w:b/>
          <w:sz w:val="24"/>
        </w:rPr>
        <w:t>Recomendación</w:t>
      </w:r>
    </w:p>
    <w:p w:rsidR="00401A6E" w:rsidRDefault="00C44C3D">
      <w:pPr>
        <w:pStyle w:val="Textoindependiente"/>
        <w:spacing w:before="56" w:line="278" w:lineRule="auto"/>
        <w:ind w:left="1301" w:right="123"/>
        <w:jc w:val="both"/>
      </w:pPr>
      <w:r>
        <w:t>Que la Directora Departamental de Educación de Escuintla, gire sus instrucciones por escrito a la Jefe del Departamento Administrativo Financiero y esta a su vez a la Jefe de la Sección Financiera, a efecto de dar seguimiento a la solicitud para el descuen</w:t>
      </w:r>
      <w:r>
        <w:t>to de la fianza de fidelidad para la Jefe de Tesorería.</w:t>
      </w:r>
    </w:p>
    <w:p w:rsidR="00401A6E" w:rsidRDefault="00401A6E">
      <w:pPr>
        <w:pStyle w:val="Textoindependiente"/>
        <w:spacing w:before="9"/>
        <w:rPr>
          <w:sz w:val="28"/>
        </w:rPr>
      </w:pPr>
    </w:p>
    <w:p w:rsidR="00401A6E" w:rsidRDefault="00C44C3D">
      <w:pPr>
        <w:ind w:left="1301"/>
        <w:jc w:val="both"/>
        <w:rPr>
          <w:b/>
          <w:sz w:val="24"/>
        </w:rPr>
      </w:pPr>
      <w:r>
        <w:rPr>
          <w:b/>
          <w:sz w:val="24"/>
        </w:rPr>
        <w:t>Comentario de los responsables</w:t>
      </w:r>
    </w:p>
    <w:p w:rsidR="00401A6E" w:rsidRDefault="00C44C3D">
      <w:pPr>
        <w:pStyle w:val="Textoindependiente"/>
        <w:spacing w:before="57" w:line="278" w:lineRule="auto"/>
        <w:ind w:left="1301" w:right="122"/>
        <w:jc w:val="both"/>
      </w:pPr>
      <w:r>
        <w:t>A través del oficio DDEE-SF-0002-2021 de fecha 09 de junio de 2021, firmado por la Jefa Financiera y Jefa Administrativa Financiera, indican literalmente lo siguiente:</w:t>
      </w:r>
    </w:p>
    <w:p w:rsidR="00401A6E" w:rsidRDefault="00401A6E">
      <w:pPr>
        <w:pStyle w:val="Textoindependiente"/>
        <w:spacing w:before="6"/>
        <w:rPr>
          <w:sz w:val="27"/>
        </w:rPr>
      </w:pPr>
    </w:p>
    <w:p w:rsidR="00401A6E" w:rsidRDefault="00C44C3D">
      <w:pPr>
        <w:pStyle w:val="Textoindependiente"/>
        <w:spacing w:before="1" w:line="278" w:lineRule="auto"/>
        <w:ind w:left="1301"/>
      </w:pPr>
      <w:r>
        <w:t>“…Por medio del presente y en seguimiento al Acta DIDAI-07-2021 de fecha 08 de junio del presente año, donde se expone el posible hallazgo:</w:t>
      </w:r>
    </w:p>
    <w:p w:rsidR="00401A6E" w:rsidRDefault="00401A6E">
      <w:pPr>
        <w:pStyle w:val="Textoindependiente"/>
        <w:spacing w:before="7"/>
        <w:rPr>
          <w:sz w:val="27"/>
        </w:rPr>
      </w:pPr>
    </w:p>
    <w:p w:rsidR="00401A6E" w:rsidRDefault="00C44C3D">
      <w:pPr>
        <w:pStyle w:val="Textoindependiente"/>
        <w:ind w:left="1607"/>
      </w:pPr>
      <w:r>
        <w:t>Jefe de Tesorería no cauciona fianza de fidelidad.</w:t>
      </w:r>
    </w:p>
    <w:p w:rsidR="00401A6E" w:rsidRDefault="00401A6E">
      <w:pPr>
        <w:sectPr w:rsidR="00401A6E">
          <w:pgSz w:w="12240" w:h="15840"/>
          <w:pgMar w:top="1060" w:right="1580" w:bottom="780" w:left="400" w:header="617" w:footer="596" w:gutter="0"/>
          <w:cols w:space="720"/>
        </w:sectPr>
      </w:pPr>
    </w:p>
    <w:p w:rsidR="00401A6E" w:rsidRDefault="00C44C3D">
      <w:pPr>
        <w:pStyle w:val="Textoindependiente"/>
        <w:spacing w:before="82" w:line="278" w:lineRule="auto"/>
        <w:ind w:left="1301" w:right="124"/>
        <w:jc w:val="both"/>
      </w:pPr>
      <w:r>
        <w:lastRenderedPageBreak/>
        <w:t>Por lo anterior se adjunta la solicitud para el d</w:t>
      </w:r>
      <w:r>
        <w:t>escuento de fianza del Jefe de Tesorería; Licda. Valeska Maribel Salam Godoy ante la Dirección de Nóminas de Recursos Humanos.</w:t>
      </w:r>
    </w:p>
    <w:p w:rsidR="00401A6E" w:rsidRDefault="00401A6E">
      <w:pPr>
        <w:pStyle w:val="Textoindependiente"/>
        <w:spacing w:before="7"/>
        <w:rPr>
          <w:sz w:val="27"/>
        </w:rPr>
      </w:pPr>
    </w:p>
    <w:p w:rsidR="00401A6E" w:rsidRDefault="00C44C3D">
      <w:pPr>
        <w:pStyle w:val="Textoindependiente"/>
        <w:spacing w:line="278" w:lineRule="auto"/>
        <w:ind w:left="1301" w:right="122"/>
        <w:jc w:val="both"/>
      </w:pPr>
      <w:r>
        <w:t>Dicho documento se ingresa al Licenciado Edgar Neftalí Chávez Montepeque, Coordinador de la unidad de gestión y desarrollo de pe</w:t>
      </w:r>
      <w:r>
        <w:t>rsonal, para que continúe el proceso correspondiente…”</w:t>
      </w:r>
    </w:p>
    <w:p w:rsidR="00401A6E" w:rsidRDefault="00401A6E">
      <w:pPr>
        <w:pStyle w:val="Textoindependiente"/>
        <w:spacing w:before="8"/>
        <w:rPr>
          <w:sz w:val="27"/>
        </w:rPr>
      </w:pPr>
    </w:p>
    <w:p w:rsidR="00401A6E" w:rsidRDefault="00C44C3D">
      <w:pPr>
        <w:ind w:left="1301"/>
        <w:jc w:val="both"/>
        <w:rPr>
          <w:b/>
          <w:sz w:val="24"/>
        </w:rPr>
      </w:pPr>
      <w:r>
        <w:rPr>
          <w:b/>
          <w:sz w:val="24"/>
        </w:rPr>
        <w:t>Comentario de auditoría interna</w:t>
      </w:r>
    </w:p>
    <w:p w:rsidR="00401A6E" w:rsidRDefault="00C44C3D">
      <w:pPr>
        <w:pStyle w:val="Textoindependiente"/>
        <w:spacing w:before="56" w:line="278" w:lineRule="auto"/>
        <w:ind w:left="1301" w:right="123"/>
        <w:jc w:val="both"/>
      </w:pPr>
      <w:r>
        <w:t>No obstante, la prueba presentada por la Jefa Financiera y Jefa Administrativa Financiera de que la solicitud para el descuento de fianza de la Jefe de Tesorería está e</w:t>
      </w:r>
      <w:r>
        <w:t>n trámite, la deficiencia se puede dar por solventada cuando se concrete el descuento de la fianza, por lo tanto, la deficiencia señalada se confirma.</w:t>
      </w:r>
    </w:p>
    <w:p w:rsidR="00401A6E" w:rsidRDefault="00401A6E">
      <w:pPr>
        <w:pStyle w:val="Textoindependiente"/>
        <w:spacing w:before="8"/>
        <w:rPr>
          <w:sz w:val="28"/>
        </w:rPr>
      </w:pPr>
    </w:p>
    <w:p w:rsidR="00401A6E" w:rsidRDefault="00C44C3D">
      <w:pPr>
        <w:pStyle w:val="Textoindependiente"/>
        <w:spacing w:line="278" w:lineRule="auto"/>
        <w:ind w:left="1301" w:right="123"/>
        <w:jc w:val="both"/>
      </w:pPr>
      <w:r>
        <w:t>El hallazgo mencionado anteriormente, fue dado a conocer mediante Acta DIDAI-07-2021 de fecha 8 de junio</w:t>
      </w:r>
      <w:r>
        <w:t xml:space="preserve"> de 2021, del libro autorizado por la Contraloría General de Cuentas, según registro L2 45562 de fecha 25 de junio de 2019.</w:t>
      </w:r>
    </w:p>
    <w:p w:rsidR="00401A6E" w:rsidRDefault="00401A6E">
      <w:pPr>
        <w:pStyle w:val="Textoindependiente"/>
        <w:spacing w:before="8"/>
        <w:rPr>
          <w:sz w:val="27"/>
        </w:rPr>
      </w:pPr>
    </w:p>
    <w:p w:rsidR="00401A6E" w:rsidRDefault="00C44C3D">
      <w:pPr>
        <w:ind w:left="1301"/>
        <w:jc w:val="both"/>
        <w:rPr>
          <w:b/>
          <w:sz w:val="24"/>
        </w:rPr>
      </w:pPr>
      <w:r>
        <w:rPr>
          <w:b/>
          <w:sz w:val="24"/>
        </w:rPr>
        <w:t>OTROS COMENTARIOS DE AUDITORÍA</w:t>
      </w:r>
    </w:p>
    <w:p w:rsidR="00401A6E" w:rsidRDefault="00401A6E">
      <w:pPr>
        <w:pStyle w:val="Textoindependiente"/>
        <w:spacing w:before="8"/>
        <w:rPr>
          <w:b/>
          <w:sz w:val="32"/>
        </w:rPr>
      </w:pPr>
    </w:p>
    <w:p w:rsidR="00401A6E" w:rsidRDefault="00C44C3D">
      <w:pPr>
        <w:pStyle w:val="Textoindependiente"/>
        <w:spacing w:line="278" w:lineRule="auto"/>
        <w:ind w:left="1301" w:right="124"/>
        <w:jc w:val="both"/>
      </w:pPr>
      <w:r>
        <w:t>Como resultado del trabajo efectuado, durante la ejecución de la auditoría se fortaleció el control interno del área siguiente:</w:t>
      </w:r>
    </w:p>
    <w:p w:rsidR="00401A6E" w:rsidRDefault="00401A6E">
      <w:pPr>
        <w:pStyle w:val="Textoindependiente"/>
        <w:spacing w:before="8"/>
        <w:rPr>
          <w:sz w:val="27"/>
        </w:rPr>
      </w:pPr>
    </w:p>
    <w:p w:rsidR="00401A6E" w:rsidRDefault="00C44C3D">
      <w:pPr>
        <w:spacing w:before="1"/>
        <w:ind w:left="1301"/>
        <w:jc w:val="both"/>
        <w:rPr>
          <w:b/>
          <w:sz w:val="24"/>
        </w:rPr>
      </w:pPr>
      <w:r>
        <w:rPr>
          <w:b/>
          <w:sz w:val="24"/>
        </w:rPr>
        <w:t>Falta</w:t>
      </w:r>
      <w:r>
        <w:rPr>
          <w:b/>
          <w:spacing w:val="-6"/>
          <w:sz w:val="24"/>
        </w:rPr>
        <w:t xml:space="preserve"> </w:t>
      </w:r>
      <w:r>
        <w:rPr>
          <w:b/>
          <w:sz w:val="24"/>
        </w:rPr>
        <w:t>de</w:t>
      </w:r>
      <w:r>
        <w:rPr>
          <w:b/>
          <w:spacing w:val="-5"/>
          <w:sz w:val="24"/>
        </w:rPr>
        <w:t xml:space="preserve"> </w:t>
      </w:r>
      <w:r>
        <w:rPr>
          <w:b/>
          <w:sz w:val="24"/>
        </w:rPr>
        <w:t>registro</w:t>
      </w:r>
      <w:r>
        <w:rPr>
          <w:b/>
          <w:spacing w:val="-5"/>
          <w:sz w:val="24"/>
        </w:rPr>
        <w:t xml:space="preserve"> </w:t>
      </w:r>
      <w:r>
        <w:rPr>
          <w:b/>
          <w:sz w:val="24"/>
        </w:rPr>
        <w:t>de</w:t>
      </w:r>
      <w:r>
        <w:rPr>
          <w:b/>
          <w:spacing w:val="-5"/>
          <w:sz w:val="24"/>
        </w:rPr>
        <w:t xml:space="preserve"> </w:t>
      </w:r>
      <w:r>
        <w:rPr>
          <w:b/>
          <w:sz w:val="24"/>
        </w:rPr>
        <w:t>cupones</w:t>
      </w:r>
      <w:r>
        <w:rPr>
          <w:b/>
          <w:spacing w:val="-5"/>
          <w:sz w:val="24"/>
        </w:rPr>
        <w:t xml:space="preserve"> </w:t>
      </w:r>
      <w:r>
        <w:rPr>
          <w:b/>
          <w:sz w:val="24"/>
        </w:rPr>
        <w:t>en</w:t>
      </w:r>
      <w:r>
        <w:rPr>
          <w:b/>
          <w:spacing w:val="-5"/>
          <w:sz w:val="24"/>
        </w:rPr>
        <w:t xml:space="preserve"> </w:t>
      </w:r>
      <w:r>
        <w:rPr>
          <w:b/>
          <w:sz w:val="24"/>
        </w:rPr>
        <w:t>el</w:t>
      </w:r>
      <w:r>
        <w:rPr>
          <w:b/>
          <w:spacing w:val="-5"/>
          <w:sz w:val="24"/>
        </w:rPr>
        <w:t xml:space="preserve"> </w:t>
      </w:r>
      <w:r>
        <w:rPr>
          <w:b/>
          <w:sz w:val="24"/>
        </w:rPr>
        <w:t>libro</w:t>
      </w:r>
      <w:r>
        <w:rPr>
          <w:b/>
          <w:spacing w:val="-5"/>
          <w:sz w:val="24"/>
        </w:rPr>
        <w:t xml:space="preserve"> </w:t>
      </w:r>
      <w:r>
        <w:rPr>
          <w:b/>
          <w:sz w:val="24"/>
        </w:rPr>
        <w:t>de</w:t>
      </w:r>
      <w:r>
        <w:rPr>
          <w:b/>
          <w:spacing w:val="-5"/>
          <w:sz w:val="24"/>
        </w:rPr>
        <w:t xml:space="preserve"> </w:t>
      </w:r>
      <w:r>
        <w:rPr>
          <w:b/>
          <w:sz w:val="24"/>
        </w:rPr>
        <w:t>control</w:t>
      </w:r>
      <w:r>
        <w:rPr>
          <w:b/>
          <w:spacing w:val="-5"/>
          <w:sz w:val="24"/>
        </w:rPr>
        <w:t xml:space="preserve"> </w:t>
      </w:r>
      <w:r>
        <w:rPr>
          <w:b/>
          <w:sz w:val="24"/>
        </w:rPr>
        <w:t>de</w:t>
      </w:r>
      <w:r>
        <w:rPr>
          <w:b/>
          <w:spacing w:val="-5"/>
          <w:sz w:val="24"/>
        </w:rPr>
        <w:t xml:space="preserve"> </w:t>
      </w:r>
      <w:r>
        <w:rPr>
          <w:b/>
          <w:sz w:val="24"/>
        </w:rPr>
        <w:t>combustible.</w:t>
      </w:r>
    </w:p>
    <w:p w:rsidR="00401A6E" w:rsidRDefault="00C44C3D">
      <w:pPr>
        <w:pStyle w:val="Textoindependiente"/>
        <w:spacing w:before="56" w:line="278" w:lineRule="auto"/>
        <w:ind w:left="1301" w:right="120"/>
        <w:jc w:val="both"/>
      </w:pPr>
      <w:r>
        <w:t>No estaban registrados 1,627 cupones de la Empresa Uno Guat</w:t>
      </w:r>
      <w:r>
        <w:t xml:space="preserve">emala, S.A., del rango 15154685 al 15156311 de Q. 50.00 c/u, para un total de Q. 81,350.00, lo </w:t>
      </w:r>
      <w:r>
        <w:rPr>
          <w:spacing w:val="7"/>
        </w:rPr>
        <w:t xml:space="preserve">anterior </w:t>
      </w:r>
      <w:r>
        <w:rPr>
          <w:spacing w:val="6"/>
        </w:rPr>
        <w:t>fue  dado</w:t>
      </w:r>
      <w:r>
        <w:rPr>
          <w:spacing w:val="78"/>
        </w:rPr>
        <w:t xml:space="preserve"> </w:t>
      </w:r>
      <w:r>
        <w:t xml:space="preserve">a </w:t>
      </w:r>
      <w:r>
        <w:rPr>
          <w:spacing w:val="7"/>
        </w:rPr>
        <w:t xml:space="preserve">conocer </w:t>
      </w:r>
      <w:r>
        <w:t xml:space="preserve">a </w:t>
      </w:r>
      <w:r>
        <w:rPr>
          <w:spacing w:val="7"/>
        </w:rPr>
        <w:t xml:space="preserve">través </w:t>
      </w:r>
      <w:r>
        <w:rPr>
          <w:spacing w:val="4"/>
        </w:rPr>
        <w:t xml:space="preserve">de </w:t>
      </w:r>
      <w:r>
        <w:rPr>
          <w:spacing w:val="6"/>
        </w:rPr>
        <w:t xml:space="preserve">Nota  </w:t>
      </w:r>
      <w:r>
        <w:rPr>
          <w:spacing w:val="4"/>
        </w:rPr>
        <w:t xml:space="preserve">de </w:t>
      </w:r>
      <w:r>
        <w:rPr>
          <w:spacing w:val="8"/>
        </w:rPr>
        <w:t xml:space="preserve">Auditoría </w:t>
      </w:r>
      <w:r>
        <w:rPr>
          <w:spacing w:val="6"/>
        </w:rPr>
        <w:t xml:space="preserve">No. </w:t>
      </w:r>
      <w:r>
        <w:t>DIDAI-1-109129-1-2021 de fecha 28 de mayo de 2021; y como resultado del trabajo efectuado los aud</w:t>
      </w:r>
      <w:r>
        <w:t>itados presentaron copia de los folios 106 y 107 del libro de control de combustibles con el registro de los cupones ya</w:t>
      </w:r>
      <w:r>
        <w:rPr>
          <w:spacing w:val="-17"/>
        </w:rPr>
        <w:t xml:space="preserve"> </w:t>
      </w:r>
      <w:r>
        <w:t>indicados.</w:t>
      </w:r>
    </w:p>
    <w:p w:rsidR="00401A6E" w:rsidRDefault="00401A6E">
      <w:pPr>
        <w:spacing w:line="278" w:lineRule="auto"/>
        <w:jc w:val="both"/>
        <w:sectPr w:rsidR="00401A6E">
          <w:pgSz w:w="12240" w:h="15840"/>
          <w:pgMar w:top="1060" w:right="1580" w:bottom="780" w:left="400" w:header="617" w:footer="596" w:gutter="0"/>
          <w:cols w:space="720"/>
        </w:sect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spacing w:before="9" w:after="1"/>
        <w:rPr>
          <w:sz w:val="20"/>
        </w:rPr>
      </w:pPr>
    </w:p>
    <w:p w:rsidR="00401A6E" w:rsidRDefault="004C5AAC">
      <w:pPr>
        <w:tabs>
          <w:tab w:val="left" w:pos="5840"/>
        </w:tabs>
        <w:spacing w:line="20" w:lineRule="exact"/>
        <w:ind w:left="1436"/>
        <w:rPr>
          <w:sz w:val="2"/>
        </w:rPr>
      </w:pPr>
      <w:r>
        <w:rPr>
          <w:noProof/>
          <w:sz w:val="2"/>
          <w:lang w:val="es-GT" w:eastAsia="es-GT"/>
        </w:rPr>
        <mc:AlternateContent>
          <mc:Choice Requires="wpg">
            <w:drawing>
              <wp:inline distT="0" distB="0" distL="0" distR="0">
                <wp:extent cx="1562735" cy="9525"/>
                <wp:effectExtent l="3810" t="0" r="0" b="254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735" cy="9525"/>
                          <a:chOff x="0" y="0"/>
                          <a:chExt cx="2461" cy="15"/>
                        </a:xfrm>
                      </wpg:grpSpPr>
                      <wps:wsp>
                        <wps:cNvPr id="23" name="Rectangle 9"/>
                        <wps:cNvSpPr>
                          <a:spLocks noChangeArrowheads="1"/>
                        </wps:cNvSpPr>
                        <wps:spPr bwMode="auto">
                          <a:xfrm>
                            <a:off x="0" y="0"/>
                            <a:ext cx="24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E92CEA" id="Group 8" o:spid="_x0000_s1026" style="width:123.05pt;height:.75pt;mso-position-horizontal-relative:char;mso-position-vertical-relative:line" coordsize="24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">
                <v:rect id="Rectangle 9" o:spid="_x0000_s1027" style="position:absolute;width:246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r w:rsidR="00C44C3D">
        <w:rPr>
          <w:sz w:val="2"/>
        </w:rPr>
        <w:tab/>
      </w:r>
      <w:r>
        <w:rPr>
          <w:noProof/>
          <w:sz w:val="2"/>
          <w:lang w:val="es-GT" w:eastAsia="es-GT"/>
        </w:rPr>
        <mc:AlternateContent>
          <mc:Choice Requires="wpg">
            <w:drawing>
              <wp:inline distT="0" distB="0" distL="0" distR="0">
                <wp:extent cx="1112520" cy="9525"/>
                <wp:effectExtent l="0" t="0" r="1905" b="2540"/>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21" name="Rectangle 7"/>
                        <wps:cNvSpPr>
                          <a:spLocks noChangeArrowheads="1"/>
                        </wps:cNvSpPr>
                        <wps:spPr bwMode="auto">
                          <a:xfrm>
                            <a:off x="0" y="0"/>
                            <a:ext cx="17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9A0F47" id="Group 6"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8ZxAIAAEg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">
                <v:rect id="Rectangle 7" o:spid="_x0000_s1027" style="position:absolute;width:17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anchorlock/>
              </v:group>
            </w:pict>
          </mc:Fallback>
        </mc:AlternateContent>
      </w:r>
    </w:p>
    <w:p w:rsidR="00401A6E" w:rsidRDefault="00401A6E">
      <w:pPr>
        <w:spacing w:line="20" w:lineRule="exact"/>
        <w:rPr>
          <w:sz w:val="2"/>
        </w:rPr>
        <w:sectPr w:rsidR="00401A6E">
          <w:pgSz w:w="12240" w:h="15840"/>
          <w:pgMar w:top="1060" w:right="1580" w:bottom="780" w:left="400" w:header="617" w:footer="596" w:gutter="0"/>
          <w:cols w:space="720"/>
        </w:sectPr>
      </w:pPr>
    </w:p>
    <w:p w:rsidR="00401A6E" w:rsidRDefault="00C44C3D">
      <w:pPr>
        <w:spacing w:before="19"/>
        <w:ind w:left="1451"/>
        <w:rPr>
          <w:sz w:val="14"/>
        </w:rPr>
      </w:pPr>
      <w:r>
        <w:rPr>
          <w:sz w:val="14"/>
        </w:rPr>
        <w:lastRenderedPageBreak/>
        <w:t>FREDY ROSENIEL NIEVES NICOLAS</w:t>
      </w:r>
    </w:p>
    <w:p w:rsidR="00401A6E" w:rsidRDefault="00C44C3D">
      <w:pPr>
        <w:spacing w:before="86"/>
        <w:ind w:left="1451"/>
        <w:rPr>
          <w:sz w:val="14"/>
        </w:rPr>
      </w:pPr>
      <w:r>
        <w:rPr>
          <w:sz w:val="14"/>
        </w:rPr>
        <w:t>Auditor</w:t>
      </w:r>
    </w:p>
    <w:p w:rsidR="00401A6E" w:rsidRDefault="00C44C3D">
      <w:pPr>
        <w:spacing w:before="19"/>
        <w:ind w:left="1451"/>
        <w:rPr>
          <w:sz w:val="14"/>
        </w:rPr>
      </w:pPr>
      <w:r>
        <w:br w:type="column"/>
      </w:r>
      <w:r>
        <w:rPr>
          <w:sz w:val="14"/>
        </w:rPr>
        <w:lastRenderedPageBreak/>
        <w:t>JORGE EFRAIN YOC COY</w:t>
      </w:r>
    </w:p>
    <w:p w:rsidR="00401A6E" w:rsidRDefault="00C44C3D">
      <w:pPr>
        <w:spacing w:before="86"/>
        <w:ind w:left="1451"/>
        <w:rPr>
          <w:sz w:val="14"/>
        </w:rPr>
      </w:pPr>
      <w:r>
        <w:rPr>
          <w:sz w:val="14"/>
        </w:rPr>
        <w:t>Supervisor</w:t>
      </w:r>
    </w:p>
    <w:p w:rsidR="00401A6E" w:rsidRDefault="00401A6E">
      <w:pPr>
        <w:rPr>
          <w:sz w:val="14"/>
        </w:rPr>
        <w:sectPr w:rsidR="00401A6E">
          <w:type w:val="continuous"/>
          <w:pgSz w:w="12240" w:h="15840"/>
          <w:pgMar w:top="1080" w:right="1580" w:bottom="0" w:left="400" w:header="720" w:footer="720" w:gutter="0"/>
          <w:cols w:num="2" w:space="720" w:equalWidth="0">
            <w:col w:w="3920" w:space="484"/>
            <w:col w:w="5856"/>
          </w:cols>
        </w:sect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rPr>
          <w:sz w:val="20"/>
        </w:rPr>
      </w:pPr>
    </w:p>
    <w:p w:rsidR="00401A6E" w:rsidRDefault="00401A6E">
      <w:pPr>
        <w:pStyle w:val="Textoindependiente"/>
        <w:spacing w:before="1"/>
        <w:rPr>
          <w:sz w:val="20"/>
        </w:rPr>
      </w:pPr>
    </w:p>
    <w:p w:rsidR="00401A6E" w:rsidRDefault="004C5AAC">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381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9"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69A917"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r w:rsidR="00C44C3D">
        <w:rPr>
          <w:sz w:val="2"/>
        </w:rPr>
        <w:tab/>
      </w:r>
      <w:r>
        <w:rPr>
          <w:noProof/>
          <w:sz w:val="2"/>
          <w:lang w:val="es-GT" w:eastAsia="es-GT"/>
        </w:rPr>
        <mc:AlternateContent>
          <mc:Choice Requires="wpg">
            <w:drawing>
              <wp:inline distT="0" distB="0" distL="0" distR="0">
                <wp:extent cx="1449070" cy="9525"/>
                <wp:effectExtent l="0" t="0" r="0" b="381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7"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751344"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rsidR="00401A6E" w:rsidRDefault="00401A6E">
      <w:pPr>
        <w:spacing w:line="20" w:lineRule="exact"/>
        <w:rPr>
          <w:sz w:val="2"/>
        </w:rPr>
        <w:sectPr w:rsidR="00401A6E">
          <w:type w:val="continuous"/>
          <w:pgSz w:w="12240" w:h="15840"/>
          <w:pgMar w:top="1080" w:right="1580" w:bottom="0" w:left="400" w:header="720" w:footer="720" w:gutter="0"/>
          <w:cols w:space="720"/>
        </w:sectPr>
      </w:pPr>
    </w:p>
    <w:p w:rsidR="00401A6E" w:rsidRDefault="00C44C3D">
      <w:pPr>
        <w:spacing w:before="19"/>
        <w:ind w:left="1451"/>
        <w:rPr>
          <w:sz w:val="14"/>
        </w:rPr>
      </w:pPr>
      <w:r>
        <w:rPr>
          <w:sz w:val="14"/>
        </w:rPr>
        <w:lastRenderedPageBreak/>
        <w:t>MILDRED LORENA FUENTES DE LEON</w:t>
      </w:r>
    </w:p>
    <w:p w:rsidR="00401A6E" w:rsidRDefault="00C44C3D">
      <w:pPr>
        <w:spacing w:before="86"/>
        <w:ind w:left="1451"/>
        <w:rPr>
          <w:sz w:val="14"/>
        </w:rPr>
      </w:pPr>
      <w:r>
        <w:rPr>
          <w:sz w:val="14"/>
        </w:rPr>
        <w:t>Sub Director</w:t>
      </w:r>
    </w:p>
    <w:p w:rsidR="00401A6E" w:rsidRDefault="00C44C3D">
      <w:pPr>
        <w:spacing w:before="19"/>
        <w:ind w:left="1451"/>
        <w:rPr>
          <w:sz w:val="14"/>
        </w:rPr>
      </w:pPr>
      <w:r>
        <w:br w:type="column"/>
      </w:r>
      <w:r>
        <w:rPr>
          <w:sz w:val="14"/>
        </w:rPr>
        <w:lastRenderedPageBreak/>
        <w:t>JULIA VICTORIA MONZON PEREZ</w:t>
      </w:r>
    </w:p>
    <w:p w:rsidR="00401A6E" w:rsidRDefault="00C44C3D">
      <w:pPr>
        <w:spacing w:before="86"/>
        <w:ind w:left="1451"/>
        <w:rPr>
          <w:sz w:val="14"/>
        </w:rPr>
      </w:pPr>
      <w:r>
        <w:rPr>
          <w:sz w:val="14"/>
        </w:rPr>
        <w:t>Director</w:t>
      </w:r>
    </w:p>
    <w:sectPr w:rsidR="00401A6E">
      <w:type w:val="continuous"/>
      <w:pgSz w:w="12240" w:h="15840"/>
      <w:pgMar w:top="1080" w:right="1580" w:bottom="0" w:left="400" w:header="720" w:footer="720" w:gutter="0"/>
      <w:cols w:num="2" w:space="720" w:equalWidth="0">
        <w:col w:w="4083" w:space="321"/>
        <w:col w:w="58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C3D" w:rsidRDefault="00C44C3D">
      <w:r>
        <w:separator/>
      </w:r>
    </w:p>
  </w:endnote>
  <w:endnote w:type="continuationSeparator" w:id="0">
    <w:p w:rsidR="00C44C3D" w:rsidRDefault="00C4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6E" w:rsidRDefault="004C5AAC">
    <w:pPr>
      <w:pStyle w:val="Textoindependiente"/>
      <w:spacing w:line="14" w:lineRule="auto"/>
      <w:rPr>
        <w:sz w:val="20"/>
      </w:rPr>
    </w:pPr>
    <w:r>
      <w:rPr>
        <w:noProof/>
        <w:lang w:val="es-GT" w:eastAsia="es-GT"/>
      </w:rPr>
      <mc:AlternateContent>
        <mc:Choice Requires="wpg">
          <w:drawing>
            <wp:anchor distT="0" distB="0" distL="114300" distR="114300" simplePos="0" relativeHeight="487332864"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4DDB1C" id="Group 3" o:spid="_x0000_s1026" style="position:absolute;margin-left:25pt;margin-top:748.2pt;width:502pt;height:28.8pt;z-index:-15983616;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bBwTEAAAA2wAAAA8AAABkcnMvZG93bnJldi54bWxEj0FLw0AQhe+C/2EZwYvYTYsEid0WkQg9&#10;6MG29DzNjklIdjZkxyb6652D4G2G9+a9b9bbOfTmQmNqIztYLjIwxFX0LdcOjofX+0cwSZA99pHJ&#10;wTcl2G6ur9ZY+DjxB132UhsN4VSgg0ZkKKxNVUMB0yIOxKp9xjGg6DrW1o84aXjo7SrLchuwZW1o&#10;cKCXhqpu/xUcvP8sO7Z3+emUT1KW53Mnbw+lc7c38/MTGKFZ/s1/1zuv+Eqvv+gAd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bBwTEAAAA2wAAAA8AAAAAAAAAAAAAAAAA&#10;nwIAAGRycy9kb3ducmV2LnhtbFBLBQYAAAAABAAEAPcAAACQAw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333376"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A6E" w:rsidRDefault="00C44C3D">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401A6E" w:rsidRDefault="00C44C3D">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33888"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A6E" w:rsidRDefault="00C44C3D">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4C5AAC">
                            <w:rPr>
                              <w:noProof/>
                              <w:color w:val="666666"/>
                              <w:sz w:val="1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401A6E" w:rsidRDefault="00C44C3D">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4C5AAC">
                      <w:rPr>
                        <w:noProof/>
                        <w:color w:val="666666"/>
                        <w:sz w:val="1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C3D" w:rsidRDefault="00C44C3D">
      <w:r>
        <w:separator/>
      </w:r>
    </w:p>
  </w:footnote>
  <w:footnote w:type="continuationSeparator" w:id="0">
    <w:p w:rsidR="00C44C3D" w:rsidRDefault="00C44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6E" w:rsidRDefault="004C5AAC">
    <w:pPr>
      <w:pStyle w:val="Textoindependiente"/>
      <w:spacing w:line="14" w:lineRule="auto"/>
      <w:rPr>
        <w:sz w:val="20"/>
      </w:rPr>
    </w:pPr>
    <w:r>
      <w:rPr>
        <w:noProof/>
        <w:lang w:val="es-GT" w:eastAsia="es-GT"/>
      </w:rPr>
      <mc:AlternateContent>
        <mc:Choice Requires="wps">
          <w:drawing>
            <wp:anchor distT="0" distB="0" distL="114300" distR="114300" simplePos="0" relativeHeight="487331328"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DF91" id="Freeform 8" o:spid="_x0000_s1026" style="position:absolute;margin-left:85.05pt;margin-top:40.1pt;width:442pt;height:.7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UwRQ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331840"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A6E" w:rsidRDefault="00C44C3D">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qi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BfjiqirAIAAKkFAAAOAAAAAAAA&#10;AAAAAAAAAC4CAABkcnMvZTJvRG9jLnhtbFBLAQItABQABgAIAAAAIQBvF2dR3gAAAAkBAAAPAAAA&#10;AAAAAAAAAAAAAAYFAABkcnMvZG93bnJldi54bWxQSwUGAAAAAAQABADzAAAAEQYAAAAA&#10;" filled="f" stroked="f">
              <v:textbox inset="0,0,0,0">
                <w:txbxContent>
                  <w:p w:rsidR="00401A6E" w:rsidRDefault="00C44C3D">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332352"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A6E" w:rsidRDefault="00C44C3D">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rsidR="00401A6E" w:rsidRDefault="00C44C3D">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6E"/>
    <w:rsid w:val="00401A6E"/>
    <w:rsid w:val="004C5AAC"/>
    <w:rsid w:val="00C44C3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9FE8A-2F5D-4383-9D9D-A54821BA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5" w:line="15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8156</Characters>
  <Application>Microsoft Office Word</Application>
  <DocSecurity>0</DocSecurity>
  <Lines>67</Lines>
  <Paragraphs>19</Paragraphs>
  <ScaleCrop>false</ScaleCrop>
  <Company>MINEDUC</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2021-08-02T18:22:00Z</dcterms:created>
  <dcterms:modified xsi:type="dcterms:W3CDTF">2021-08-02T18:22:00Z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LastSaved">
    <vt:filetime>2021-08-02T00:00:00Z</vt:filetime>
  </property>
</Properties>
</file>