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82F" w:rsidRDefault="00316F69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No.:105296</w:t>
      </w: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316F69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5B482F" w:rsidRDefault="00316F69">
      <w:pPr>
        <w:spacing w:before="3" w:line="290" w:lineRule="auto"/>
        <w:ind w:left="2273" w:right="1086" w:firstLine="9"/>
        <w:jc w:val="center"/>
        <w:rPr>
          <w:b/>
          <w:sz w:val="24"/>
        </w:rPr>
      </w:pPr>
      <w:r>
        <w:rPr>
          <w:b/>
          <w:sz w:val="24"/>
        </w:rPr>
        <w:t>Segundo seguimiento a recomendaciones emitidas por la CGC, derivado de la auditoria del presupuesto de ingresos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y egresos año 2019, DIDEDUC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Chimaltenango</w:t>
      </w: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rPr>
          <w:b/>
          <w:sz w:val="20"/>
        </w:rPr>
      </w:pPr>
    </w:p>
    <w:p w:rsidR="005B482F" w:rsidRDefault="005B482F">
      <w:pPr>
        <w:pStyle w:val="Textoindependiente"/>
        <w:spacing w:before="9"/>
        <w:rPr>
          <w:b/>
        </w:rPr>
      </w:pPr>
    </w:p>
    <w:p w:rsidR="005B482F" w:rsidRDefault="00316F69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5B482F" w:rsidRDefault="005B482F">
      <w:pPr>
        <w:rPr>
          <w:sz w:val="24"/>
        </w:rPr>
        <w:sectPr w:rsidR="005B482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5B482F" w:rsidRDefault="00316F69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rPr>
          <w:b w:val="0"/>
          <w:bCs w:val="0"/>
          <w:sz w:val="22"/>
          <w:szCs w:val="22"/>
        </w:rPr>
        <w:id w:val="552822470"/>
        <w:docPartObj>
          <w:docPartGallery w:val="Table of Contents"/>
          <w:docPartUnique/>
        </w:docPartObj>
      </w:sdtPr>
      <w:sdtEndPr/>
      <w:sdtContent>
        <w:p w:rsidR="005B482F" w:rsidRDefault="00316F69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5B482F" w:rsidRDefault="00316F69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3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5B482F" w:rsidRDefault="00316F6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5B482F" w:rsidRDefault="00316F69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5B482F" w:rsidRDefault="00316F6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  <w:p w:rsidR="005B482F" w:rsidRDefault="00316F69">
          <w:pPr>
            <w:rPr>
              <w:sz w:val="20"/>
            </w:rPr>
          </w:pPr>
          <w:r>
            <w:fldChar w:fldCharType="end"/>
          </w:r>
        </w:p>
      </w:sdtContent>
    </w:sdt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316F69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82F" w:rsidRDefault="005B482F">
      <w:pPr>
        <w:rPr>
          <w:sz w:val="18"/>
        </w:rPr>
        <w:sectPr w:rsidR="005B482F">
          <w:pgSz w:w="12240" w:h="15840"/>
          <w:pgMar w:top="1080" w:right="1600" w:bottom="0" w:left="400" w:header="720" w:footer="720" w:gutter="0"/>
          <w:cols w:space="720"/>
        </w:sectPr>
      </w:pPr>
    </w:p>
    <w:p w:rsidR="005B482F" w:rsidRDefault="00316F69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spacing w:before="8"/>
        <w:rPr>
          <w:b/>
          <w:sz w:val="35"/>
        </w:rPr>
      </w:pPr>
    </w:p>
    <w:p w:rsidR="005B482F" w:rsidRDefault="00316F69">
      <w:pPr>
        <w:pStyle w:val="Textoindependiente"/>
        <w:spacing w:line="278" w:lineRule="auto"/>
        <w:ind w:left="1301" w:right="102"/>
        <w:jc w:val="both"/>
      </w:pPr>
      <w:r>
        <w:t>De conformidad con el nombramiento de auditoría No. 105296-1-2021 de fecha 15 de enero de 2021, fui nombrado para realizar segundo seguimiento a las recomendaciones emitidas por la Contraloría General de Cuentas del informe Auditoría Financiera y de Cumpli</w:t>
      </w:r>
      <w:r>
        <w:t>miento de la ejecución del presupuesto de ingresos y egresos del período 01 de enero al 31 de diciembre de 2019, en la Dirección Departamental de Educación de Chimaltenango.</w:t>
      </w:r>
    </w:p>
    <w:p w:rsidR="005B482F" w:rsidRDefault="005B482F">
      <w:pPr>
        <w:pStyle w:val="Textoindependiente"/>
        <w:spacing w:before="8"/>
        <w:rPr>
          <w:sz w:val="28"/>
        </w:rPr>
      </w:pPr>
    </w:p>
    <w:p w:rsidR="005B482F" w:rsidRDefault="00316F69">
      <w:pPr>
        <w:pStyle w:val="Ttulo1"/>
      </w:pPr>
      <w:bookmarkStart w:id="2" w:name="_TOC_250003"/>
      <w:bookmarkEnd w:id="2"/>
      <w:r>
        <w:t>OBJETIVOS</w:t>
      </w: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spacing w:before="8"/>
        <w:rPr>
          <w:b/>
          <w:sz w:val="35"/>
        </w:rPr>
      </w:pPr>
    </w:p>
    <w:p w:rsidR="005B482F" w:rsidRDefault="00316F69">
      <w:pPr>
        <w:ind w:left="1301"/>
        <w:rPr>
          <w:b/>
          <w:sz w:val="24"/>
        </w:rPr>
      </w:pPr>
      <w:r>
        <w:rPr>
          <w:b/>
          <w:sz w:val="24"/>
        </w:rPr>
        <w:t>GENERAL</w:t>
      </w:r>
    </w:p>
    <w:p w:rsidR="005B482F" w:rsidRDefault="00316F69">
      <w:pPr>
        <w:pStyle w:val="Textoindependiente"/>
        <w:spacing w:before="56" w:line="278" w:lineRule="auto"/>
        <w:ind w:left="1301" w:right="103"/>
        <w:jc w:val="both"/>
      </w:pPr>
      <w:r>
        <w:t>Realizar segundo seguimiento a las recomendaciones emitidas p</w:t>
      </w:r>
      <w:r>
        <w:t>or la Contraloría General de Cuentas.</w:t>
      </w:r>
    </w:p>
    <w:p w:rsidR="005B482F" w:rsidRDefault="005B482F">
      <w:pPr>
        <w:pStyle w:val="Textoindependiente"/>
        <w:spacing w:before="9"/>
        <w:rPr>
          <w:sz w:val="27"/>
        </w:rPr>
      </w:pPr>
    </w:p>
    <w:p w:rsidR="005B482F" w:rsidRDefault="00316F69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5B482F" w:rsidRDefault="00316F69">
      <w:pPr>
        <w:pStyle w:val="Textoindependiente"/>
        <w:spacing w:before="56"/>
        <w:ind w:left="1301"/>
        <w:jc w:val="both"/>
      </w:pPr>
      <w:r>
        <w:t>Verificar si existen recomendaciones implementadas, en proceso e incumplidas.</w:t>
      </w:r>
    </w:p>
    <w:p w:rsidR="005B482F" w:rsidRDefault="005B482F">
      <w:pPr>
        <w:pStyle w:val="Textoindependiente"/>
        <w:spacing w:before="9"/>
        <w:rPr>
          <w:sz w:val="32"/>
        </w:rPr>
      </w:pPr>
    </w:p>
    <w:p w:rsidR="005B482F" w:rsidRDefault="00316F69">
      <w:pPr>
        <w:pStyle w:val="Ttulo1"/>
      </w:pPr>
      <w:bookmarkStart w:id="3" w:name="_TOC_250002"/>
      <w:bookmarkEnd w:id="3"/>
      <w:r>
        <w:t>ALCANCE DE LA ACTIVIDAD</w:t>
      </w:r>
    </w:p>
    <w:p w:rsidR="005B482F" w:rsidRDefault="005B482F">
      <w:pPr>
        <w:pStyle w:val="Textoindependiente"/>
        <w:spacing w:before="10"/>
        <w:rPr>
          <w:b/>
          <w:sz w:val="33"/>
        </w:rPr>
      </w:pPr>
    </w:p>
    <w:p w:rsidR="005B482F" w:rsidRDefault="00316F69">
      <w:pPr>
        <w:pStyle w:val="Textoindependiente"/>
        <w:spacing w:line="278" w:lineRule="auto"/>
        <w:ind w:left="1301" w:right="103"/>
        <w:jc w:val="both"/>
      </w:pPr>
      <w:r>
        <w:t xml:space="preserve">Se </w:t>
      </w:r>
      <w:r>
        <w:rPr>
          <w:spacing w:val="2"/>
        </w:rPr>
        <w:t xml:space="preserve">efectuó segundo seguimiento </w:t>
      </w:r>
      <w:r>
        <w:t xml:space="preserve">a dos </w:t>
      </w:r>
      <w:r>
        <w:rPr>
          <w:spacing w:val="2"/>
        </w:rPr>
        <w:t xml:space="preserve">recomendaciones emitidas </w:t>
      </w:r>
      <w:r>
        <w:t>por la Contraloría General de Cuentas, d</w:t>
      </w:r>
      <w:r>
        <w:t>e la auditoría Financiera y de Cumplimiento de la ejecución del presupuesto de ingresos y egresos, del período del 01 de enero</w:t>
      </w:r>
      <w:r>
        <w:rPr>
          <w:spacing w:val="40"/>
        </w:rPr>
        <w:t xml:space="preserve"> </w:t>
      </w:r>
      <w:r>
        <w:t>al</w:t>
      </w:r>
    </w:p>
    <w:p w:rsidR="005B482F" w:rsidRDefault="00316F69">
      <w:pPr>
        <w:pStyle w:val="Textoindependiente"/>
        <w:spacing w:line="278" w:lineRule="auto"/>
        <w:ind w:left="1301" w:right="103"/>
        <w:jc w:val="both"/>
      </w:pPr>
      <w:r>
        <w:t>31 de diciembre de 2019, en la Dirección Departamental de Educación de Chimaltenango, las cuales quedaron en proceso en el pri</w:t>
      </w:r>
      <w:r>
        <w:t>mer seguimiento, según informe CUA 88557-1-2020.</w:t>
      </w:r>
    </w:p>
    <w:p w:rsidR="005B482F" w:rsidRDefault="005B482F">
      <w:pPr>
        <w:pStyle w:val="Textoindependiente"/>
        <w:spacing w:before="8"/>
        <w:rPr>
          <w:sz w:val="28"/>
        </w:rPr>
      </w:pPr>
    </w:p>
    <w:p w:rsidR="005B482F" w:rsidRDefault="00316F69">
      <w:pPr>
        <w:pStyle w:val="Ttulo1"/>
      </w:pPr>
      <w:bookmarkStart w:id="4" w:name="_TOC_250001"/>
      <w:bookmarkEnd w:id="4"/>
      <w:r>
        <w:t>RESULTADOS DE LA ACTIVIDAD</w:t>
      </w:r>
    </w:p>
    <w:p w:rsidR="005B482F" w:rsidRDefault="005B482F">
      <w:pPr>
        <w:pStyle w:val="Textoindependiente"/>
        <w:rPr>
          <w:b/>
          <w:sz w:val="26"/>
        </w:rPr>
      </w:pPr>
    </w:p>
    <w:p w:rsidR="005B482F" w:rsidRDefault="005B482F">
      <w:pPr>
        <w:pStyle w:val="Textoindependiente"/>
        <w:spacing w:before="7"/>
        <w:rPr>
          <w:b/>
          <w:sz w:val="35"/>
        </w:rPr>
      </w:pPr>
    </w:p>
    <w:p w:rsidR="005B482F" w:rsidRDefault="00316F69">
      <w:pPr>
        <w:pStyle w:val="Textoindependiente"/>
        <w:ind w:left="1301"/>
        <w:jc w:val="both"/>
      </w:pPr>
      <w:r>
        <w:t>Los resultados del trabajo realizado se resumen a continuación:</w:t>
      </w:r>
    </w:p>
    <w:p w:rsidR="005B482F" w:rsidRDefault="005B482F">
      <w:pPr>
        <w:pStyle w:val="Textoindependiente"/>
        <w:spacing w:before="8"/>
        <w:rPr>
          <w:sz w:val="31"/>
        </w:rPr>
      </w:pPr>
    </w:p>
    <w:p w:rsidR="005B482F" w:rsidRDefault="00316F69">
      <w:pPr>
        <w:ind w:left="1301"/>
        <w:rPr>
          <w:b/>
          <w:sz w:val="24"/>
        </w:rPr>
      </w:pPr>
      <w:r>
        <w:rPr>
          <w:b/>
          <w:sz w:val="24"/>
        </w:rPr>
        <w:t>RECOMENDACIÓN IMPLEMENTADA</w:t>
      </w:r>
    </w:p>
    <w:p w:rsidR="005B482F" w:rsidRDefault="00316F69">
      <w:pPr>
        <w:pStyle w:val="Textoindependiente"/>
        <w:spacing w:before="56" w:line="278" w:lineRule="auto"/>
        <w:ind w:left="1301" w:right="102"/>
        <w:jc w:val="both"/>
      </w:pPr>
      <w:r>
        <w:t>De conformidad con el Formularlo SR1, Implementación de recomendaciones; así como evidencia, documentación y evaluación realizada, se estableció que la recomendación del siguiente hallazgo fue implementada en su totalidad:</w:t>
      </w:r>
    </w:p>
    <w:p w:rsidR="005B482F" w:rsidRDefault="005B482F">
      <w:pPr>
        <w:pStyle w:val="Textoindependiente"/>
        <w:spacing w:before="7"/>
        <w:rPr>
          <w:sz w:val="27"/>
        </w:rPr>
      </w:pPr>
    </w:p>
    <w:p w:rsidR="005B482F" w:rsidRDefault="00316F69">
      <w:pPr>
        <w:pStyle w:val="Textoindependiente"/>
        <w:spacing w:line="278" w:lineRule="auto"/>
        <w:ind w:left="1301" w:right="101"/>
        <w:jc w:val="both"/>
      </w:pPr>
      <w:r>
        <w:t>Hallazgo No. 4 “Asignación de bo</w:t>
      </w:r>
      <w:r>
        <w:t>lsas de estudio no son trasladadas oportunamente a beneficiarios”, al analizar los argumentos y pruebas de descargo</w:t>
      </w:r>
    </w:p>
    <w:p w:rsidR="005B482F" w:rsidRDefault="005B482F">
      <w:pPr>
        <w:spacing w:line="278" w:lineRule="auto"/>
        <w:jc w:val="both"/>
        <w:sectPr w:rsidR="005B482F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5B482F" w:rsidRDefault="00316F69">
      <w:pPr>
        <w:pStyle w:val="Textoindependiente"/>
        <w:spacing w:before="82" w:line="278" w:lineRule="auto"/>
        <w:ind w:left="1301" w:right="101"/>
        <w:jc w:val="both"/>
      </w:pPr>
      <w:r>
        <w:lastRenderedPageBreak/>
        <w:t>presentadas por el Director Departamental de Educación y la Jefatura del Departamento de Fortalecimiento a la Comunidad Educativa a.i., respecto a las gestiones realizadas para cumplir con lo</w:t>
      </w:r>
      <w:r>
        <w:t xml:space="preserve">s pagos del programa de Becas y Bolsas de Estudio, evidencia que los recursos financieros fueron trasladados a los alumnos beneficiados con dicho programa. Por lo que la recomendación queda en implementada ( </w:t>
      </w:r>
      <w:r>
        <w:rPr>
          <w:b/>
        </w:rPr>
        <w:t>Ver anexo</w:t>
      </w:r>
      <w:r>
        <w:t>).</w:t>
      </w:r>
    </w:p>
    <w:p w:rsidR="005B482F" w:rsidRDefault="005B482F">
      <w:pPr>
        <w:pStyle w:val="Textoindependiente"/>
        <w:spacing w:before="7"/>
        <w:rPr>
          <w:sz w:val="20"/>
        </w:rPr>
      </w:pPr>
    </w:p>
    <w:p w:rsidR="005B482F" w:rsidRDefault="00316F69">
      <w:pPr>
        <w:pStyle w:val="Textoindependiente"/>
        <w:spacing w:before="92" w:line="278" w:lineRule="auto"/>
        <w:ind w:left="1301" w:right="102"/>
        <w:jc w:val="both"/>
      </w:pPr>
      <w:r>
        <w:t>El beneficio y resultado de la impl</w:t>
      </w:r>
      <w:r>
        <w:t>ementación de las recomendaciones, asegura el cumplimiento de la normativa legal vigente; y de los requisitos formales, lo cual permite que se pueda realizar una mejor toma de decisiones y una adecuada rendición de cuentas ante la Contraloría General de Cu</w:t>
      </w:r>
      <w:r>
        <w:t>entas.</w:t>
      </w:r>
    </w:p>
    <w:p w:rsidR="005B482F" w:rsidRDefault="005B482F">
      <w:pPr>
        <w:pStyle w:val="Textoindependiente"/>
        <w:spacing w:before="7"/>
        <w:rPr>
          <w:sz w:val="27"/>
        </w:rPr>
      </w:pPr>
    </w:p>
    <w:p w:rsidR="005B482F" w:rsidRDefault="00316F69">
      <w:pPr>
        <w:ind w:left="1301"/>
        <w:jc w:val="both"/>
        <w:rPr>
          <w:b/>
          <w:sz w:val="24"/>
        </w:rPr>
      </w:pPr>
      <w:r>
        <w:rPr>
          <w:b/>
          <w:sz w:val="24"/>
        </w:rPr>
        <w:t>RECOMENDACIÓN EN PROCESO</w:t>
      </w:r>
    </w:p>
    <w:p w:rsidR="005B482F" w:rsidRDefault="00316F69">
      <w:pPr>
        <w:pStyle w:val="Textoindependiente"/>
        <w:spacing w:before="56" w:line="278" w:lineRule="auto"/>
        <w:ind w:left="1301" w:right="101"/>
        <w:jc w:val="both"/>
      </w:pPr>
      <w:r>
        <w:t xml:space="preserve">De conformidad con el Formularlo SR1, Implementación de recomendaciones; los </w:t>
      </w:r>
      <w:r>
        <w:rPr>
          <w:spacing w:val="3"/>
        </w:rPr>
        <w:t xml:space="preserve">responsables </w:t>
      </w:r>
      <w:r>
        <w:t xml:space="preserve">no se </w:t>
      </w:r>
      <w:r>
        <w:rPr>
          <w:spacing w:val="3"/>
        </w:rPr>
        <w:t xml:space="preserve">manifestaron referente </w:t>
      </w:r>
      <w:r>
        <w:t xml:space="preserve">al </w:t>
      </w:r>
      <w:r>
        <w:rPr>
          <w:spacing w:val="3"/>
        </w:rPr>
        <w:t xml:space="preserve">Hallazgo </w:t>
      </w:r>
      <w:r>
        <w:rPr>
          <w:spacing w:val="2"/>
        </w:rPr>
        <w:t xml:space="preserve">No. </w:t>
      </w:r>
      <w:r>
        <w:t xml:space="preserve">2  </w:t>
      </w:r>
      <w:r>
        <w:rPr>
          <w:spacing w:val="3"/>
        </w:rPr>
        <w:t xml:space="preserve">“Falta  </w:t>
      </w:r>
      <w:r>
        <w:t xml:space="preserve">de  Gestión”, razón por la cual la recomendación queda en proceso ( </w:t>
      </w:r>
      <w:r>
        <w:rPr>
          <w:b/>
        </w:rPr>
        <w:t>Ver</w:t>
      </w:r>
      <w:r>
        <w:rPr>
          <w:b/>
          <w:spacing w:val="-20"/>
        </w:rPr>
        <w:t xml:space="preserve"> </w:t>
      </w:r>
      <w:r>
        <w:rPr>
          <w:b/>
        </w:rPr>
        <w:t>anexo</w:t>
      </w:r>
      <w:r>
        <w:t>).</w:t>
      </w:r>
    </w:p>
    <w:p w:rsidR="005B482F" w:rsidRDefault="005B482F">
      <w:pPr>
        <w:pStyle w:val="Textoindependiente"/>
        <w:spacing w:before="9"/>
        <w:rPr>
          <w:sz w:val="20"/>
        </w:rPr>
      </w:pPr>
    </w:p>
    <w:p w:rsidR="005B482F" w:rsidRDefault="00316F69">
      <w:pPr>
        <w:pStyle w:val="Textoindependiente"/>
        <w:spacing w:before="93" w:line="278" w:lineRule="auto"/>
        <w:ind w:left="1301" w:right="102"/>
        <w:jc w:val="both"/>
      </w:pPr>
      <w:r>
        <w:t>El resultado que la recomendación esté en proceso, propicia que se mantenga firme la acción correctiva y que exista atraso en el proceso administrativo, así mismo, riesgo de sanción económica por la Contraloría General de Cuentas, por incumplimiento de rec</w:t>
      </w:r>
      <w:r>
        <w:t>omendaciones. Así mismo, cabe mencionar que derivado a que la Dirección de Auditoría Interna, efectuó el segundo y último seguimiento a la recomendación emitida por la Contraloría General de Cuentas y la misma no fue debidamente implementada, queda bajo la</w:t>
      </w:r>
      <w:r>
        <w:t xml:space="preserve"> responsabilidad de la Dirección Departamental de Educación de Chimaltenango, realizar las acciones para dar cumplimiento a la misma.</w:t>
      </w:r>
    </w:p>
    <w:p w:rsidR="005B482F" w:rsidRDefault="005B482F">
      <w:pPr>
        <w:pStyle w:val="Textoindependiente"/>
        <w:rPr>
          <w:sz w:val="26"/>
        </w:rPr>
      </w:pPr>
    </w:p>
    <w:p w:rsidR="005B482F" w:rsidRDefault="005B482F">
      <w:pPr>
        <w:pStyle w:val="Textoindependiente"/>
        <w:rPr>
          <w:sz w:val="29"/>
        </w:rPr>
      </w:pPr>
    </w:p>
    <w:p w:rsidR="005B482F" w:rsidRDefault="00316F69">
      <w:pPr>
        <w:pStyle w:val="Textoindependiente"/>
        <w:spacing w:line="278" w:lineRule="auto"/>
        <w:ind w:left="1301" w:right="102"/>
        <w:jc w:val="both"/>
      </w:pPr>
      <w:r>
        <w:t xml:space="preserve">El estado de la implementación de las recomendaciones, quedó anotado en el Acta No. DIDAI-01-2021, de fecha 21/01/2021, </w:t>
      </w:r>
      <w:r>
        <w:t>Folio 10577 del Libro autorizado por la Contraloría General de Cuentas, con el registro</w:t>
      </w:r>
      <w:r>
        <w:rPr>
          <w:spacing w:val="-18"/>
        </w:rPr>
        <w:t xml:space="preserve"> </w:t>
      </w:r>
      <w:r>
        <w:t>L2-30432.</w:t>
      </w:r>
    </w:p>
    <w:p w:rsidR="005B482F" w:rsidRDefault="005B482F">
      <w:pPr>
        <w:pStyle w:val="Textoindependiente"/>
        <w:spacing w:before="7"/>
        <w:rPr>
          <w:sz w:val="27"/>
        </w:rPr>
      </w:pPr>
    </w:p>
    <w:p w:rsidR="005B482F" w:rsidRDefault="00316F69">
      <w:pPr>
        <w:pStyle w:val="Textoindependiente"/>
        <w:spacing w:before="1"/>
        <w:ind w:left="1301"/>
      </w:pPr>
      <w:r>
        <w:t>Atentamente,</w:t>
      </w: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spacing w:before="5"/>
        <w:rPr>
          <w:sz w:val="17"/>
        </w:rPr>
      </w:pPr>
    </w:p>
    <w:p w:rsidR="005B482F" w:rsidRDefault="00D85BE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10640" cy="9525"/>
                <wp:effectExtent l="3810" t="4445" r="0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9525"/>
                          <a:chOff x="0" y="0"/>
                          <a:chExt cx="2064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6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6822D" id="Group 8" o:spid="_x0000_s1026" style="width:103.2pt;height:.75pt;mso-position-horizontal-relative:char;mso-position-vertical-relative:line" coordsize="20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">
                <v:rect id="Rectangle 9" o:spid="_x0000_s1027" style="position:absolute;width:206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316F6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12520" cy="9525"/>
                <wp:effectExtent l="0" t="4445" r="1905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D9683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NAxA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">
                <v:rect id="Rectangle 7" o:spid="_x0000_s1027" style="position:absolute;width:17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5B482F" w:rsidRDefault="005B482F">
      <w:pPr>
        <w:spacing w:line="20" w:lineRule="exact"/>
        <w:rPr>
          <w:sz w:val="2"/>
        </w:rPr>
        <w:sectPr w:rsidR="005B482F">
          <w:pgSz w:w="12240" w:h="15840"/>
          <w:pgMar w:top="1060" w:right="1600" w:bottom="780" w:left="400" w:header="617" w:footer="596" w:gutter="0"/>
          <w:cols w:space="720"/>
        </w:sectPr>
      </w:pPr>
    </w:p>
    <w:p w:rsidR="005B482F" w:rsidRDefault="00316F6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MAXIMILIANO ABAJ SUBUYUC</w:t>
      </w:r>
    </w:p>
    <w:p w:rsidR="005B482F" w:rsidRDefault="00316F69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5B482F" w:rsidRDefault="00316F6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 EFRAIN YOC COY</w:t>
      </w:r>
    </w:p>
    <w:p w:rsidR="005B482F" w:rsidRDefault="00316F69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5B482F" w:rsidRDefault="005B482F">
      <w:pPr>
        <w:rPr>
          <w:sz w:val="14"/>
        </w:rPr>
        <w:sectPr w:rsidR="005B482F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522" w:space="882"/>
            <w:col w:w="5836"/>
          </w:cols>
        </w:sect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5B482F">
      <w:pPr>
        <w:pStyle w:val="Textoindependiente"/>
        <w:rPr>
          <w:sz w:val="20"/>
        </w:rPr>
      </w:pPr>
    </w:p>
    <w:p w:rsidR="005B482F" w:rsidRDefault="00D85BE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810" r="0" b="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52C28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316F6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810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A73C6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5B482F" w:rsidRDefault="005B482F">
      <w:pPr>
        <w:spacing w:line="20" w:lineRule="exact"/>
        <w:rPr>
          <w:sz w:val="2"/>
        </w:rPr>
        <w:sectPr w:rsidR="005B482F">
          <w:pgSz w:w="12240" w:h="15840"/>
          <w:pgMar w:top="1060" w:right="1600" w:bottom="780" w:left="400" w:header="617" w:footer="596" w:gutter="0"/>
          <w:cols w:space="720"/>
        </w:sectPr>
      </w:pPr>
    </w:p>
    <w:p w:rsidR="005B482F" w:rsidRDefault="00316F6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5B482F" w:rsidRDefault="00316F69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5B482F" w:rsidRDefault="00316F6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5B482F" w:rsidRDefault="00316F69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5B482F" w:rsidRDefault="005B482F">
      <w:pPr>
        <w:rPr>
          <w:sz w:val="14"/>
        </w:rPr>
        <w:sectPr w:rsidR="005B482F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5B482F" w:rsidRDefault="00316F69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5B482F" w:rsidRDefault="005B482F">
      <w:pPr>
        <w:pStyle w:val="Textoindependiente"/>
        <w:spacing w:before="3"/>
        <w:rPr>
          <w:b/>
          <w:sz w:val="37"/>
        </w:rPr>
      </w:pPr>
    </w:p>
    <w:p w:rsidR="005B482F" w:rsidRDefault="00316F69">
      <w:pPr>
        <w:ind w:left="1481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85398" cy="7282338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IMPLEMENTACIÓN DE RECOMENDACIONES EMITIDAS POR LA CONTRALORÍA</w:t>
      </w:r>
    </w:p>
    <w:p w:rsidR="005B482F" w:rsidRDefault="005B482F">
      <w:pPr>
        <w:rPr>
          <w:sz w:val="16"/>
        </w:rPr>
        <w:sectPr w:rsidR="005B482F">
          <w:pgSz w:w="12240" w:h="15840"/>
          <w:pgMar w:top="1060" w:right="1600" w:bottom="780" w:left="400" w:header="617" w:footer="596" w:gutter="0"/>
          <w:cols w:space="720"/>
        </w:sectPr>
      </w:pPr>
    </w:p>
    <w:p w:rsidR="005B482F" w:rsidRDefault="00316F69">
      <w:pPr>
        <w:spacing w:before="121"/>
        <w:ind w:left="148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IMPLEMENTACIÓN DE RECOMENDACIONES EMITIDAS POR LA CONTRALORÍA</w:t>
      </w:r>
    </w:p>
    <w:p w:rsidR="005B482F" w:rsidRDefault="005B482F">
      <w:pPr>
        <w:rPr>
          <w:sz w:val="16"/>
        </w:rPr>
        <w:sectPr w:rsidR="005B482F">
          <w:pgSz w:w="12240" w:h="15840"/>
          <w:pgMar w:top="1060" w:right="1600" w:bottom="780" w:left="400" w:header="617" w:footer="596" w:gutter="0"/>
          <w:cols w:space="720"/>
        </w:sectPr>
      </w:pPr>
    </w:p>
    <w:p w:rsidR="005B482F" w:rsidRDefault="00316F69">
      <w:pPr>
        <w:spacing w:before="121"/>
        <w:ind w:left="148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IMPLEMENTACIÓN DE RECOMENDACIONES EMITIDAS POR LA CONTRALORÍA</w:t>
      </w:r>
    </w:p>
    <w:sectPr w:rsidR="005B482F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F69" w:rsidRDefault="00316F69">
      <w:r>
        <w:separator/>
      </w:r>
    </w:p>
  </w:endnote>
  <w:endnote w:type="continuationSeparator" w:id="0">
    <w:p w:rsidR="00316F69" w:rsidRDefault="0031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82F" w:rsidRDefault="00D85BE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6CE513" id="Group 3" o:spid="_x0000_s1026" style="position:absolute;margin-left:25pt;margin-top:748.2pt;width:502pt;height:28.8pt;z-index:-1586380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V2yWw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ME7DAAAA2wAAAA8AAABkcnMvZG93bnJldi54bWxEj0FPAjEQhe8m/odmTLxJVw9mWSjEkBgF&#10;wwH0B0y2w25hO23aCuu/dw4k3Gby3rz3zXw5+kGdKWUX2MDzpAJF3AbruDPw8/3+VIPKBdniEJgM&#10;/FGG5eL+bo6NDRfe0XlfOiUhnBs00JcSG61z25PHPAmRWLRDSB6LrKnTNuFFwv2gX6rqVXt0LA09&#10;Rlr11J72v95A7DbHOk2H8rWd8ma9iu6jXjtjHh/GtxmoQmO5ma/Xn1bwhV5+kQH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YwTs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82F" w:rsidRDefault="00316F6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5B482F" w:rsidRDefault="00316F6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82F" w:rsidRDefault="00316F6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5BE8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5B482F" w:rsidRDefault="00316F6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5BE8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F69" w:rsidRDefault="00316F69">
      <w:r>
        <w:separator/>
      </w:r>
    </w:p>
  </w:footnote>
  <w:footnote w:type="continuationSeparator" w:id="0">
    <w:p w:rsidR="00316F69" w:rsidRDefault="00316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82F" w:rsidRDefault="00D85BE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A9838" id="Freeform 8" o:spid="_x0000_s1026" style="position:absolute;margin-left:85.05pt;margin-top:40.1pt;width:442pt;height:.7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82F" w:rsidRDefault="00316F6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5B482F" w:rsidRDefault="00316F6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82F" w:rsidRDefault="00316F6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5B482F" w:rsidRDefault="00316F6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2F"/>
    <w:rsid w:val="00316F69"/>
    <w:rsid w:val="005B482F"/>
    <w:rsid w:val="00D8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44A6EE4-A7D1-404B-BB8D-D4ED4941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2021-03-01T13:53:00Z</dcterms:created>
  <dcterms:modified xsi:type="dcterms:W3CDTF">2021-03-01T13:53:00Z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