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A4" w:rsidRDefault="007A066C">
      <w:pPr>
        <w:spacing w:line="204" w:lineRule="auto"/>
        <w:ind w:left="2376"/>
        <w:rPr>
          <w:rFonts w:ascii="Times New Roman" w:hAnsi="Times New Roman"/>
          <w:color w:val="000000"/>
          <w:spacing w:val="4"/>
          <w:sz w:val="28"/>
          <w:lang w:val="es-ES"/>
        </w:rPr>
      </w:pPr>
      <w:r>
        <w:rPr>
          <w:rFonts w:ascii="Times New Roman" w:hAnsi="Times New Roman"/>
          <w:color w:val="000000"/>
          <w:spacing w:val="4"/>
          <w:sz w:val="28"/>
          <w:lang w:val="es-ES"/>
        </w:rPr>
        <w:t>Ministerio de Educación</w:t>
      </w:r>
    </w:p>
    <w:p w:rsidR="00C14DA4" w:rsidRDefault="007A066C">
      <w:pPr>
        <w:spacing w:before="792"/>
        <w:ind w:left="432"/>
        <w:rPr>
          <w:rFonts w:ascii="Tahoma" w:hAnsi="Tahoma"/>
          <w:color w:val="000000"/>
          <w:sz w:val="15"/>
          <w:lang w:val="es-ES"/>
        </w:rPr>
      </w:pPr>
      <w:r>
        <w:rPr>
          <w:rFonts w:ascii="Tahoma" w:hAnsi="Tahoma"/>
          <w:color w:val="000000"/>
          <w:sz w:val="15"/>
          <w:lang w:val="es-ES"/>
        </w:rPr>
        <w:t>Guatemala, C.A.</w:t>
      </w:r>
    </w:p>
    <w:p w:rsidR="00C14DA4" w:rsidRDefault="007A066C">
      <w:pPr>
        <w:tabs>
          <w:tab w:val="right" w:pos="6657"/>
        </w:tabs>
        <w:spacing w:before="36" w:line="201" w:lineRule="auto"/>
        <w:ind w:left="2664"/>
        <w:rPr>
          <w:rFonts w:ascii="Arial" w:hAnsi="Arial"/>
          <w:b/>
          <w:color w:val="000000"/>
          <w:spacing w:val="-8"/>
          <w:sz w:val="20"/>
          <w:lang w:val="es-ES"/>
        </w:rPr>
      </w:pPr>
      <w:r>
        <w:rPr>
          <w:rFonts w:ascii="Arial" w:hAnsi="Arial"/>
          <w:b/>
          <w:color w:val="000000"/>
          <w:spacing w:val="-8"/>
          <w:sz w:val="20"/>
          <w:lang w:val="es-ES"/>
        </w:rPr>
        <w:t>ACUERDO MINISTERIAL No.</w:t>
      </w:r>
      <w:r>
        <w:rPr>
          <w:rFonts w:ascii="Arial" w:hAnsi="Arial"/>
          <w:b/>
          <w:color w:val="000000"/>
          <w:spacing w:val="-8"/>
          <w:sz w:val="20"/>
          <w:lang w:val="es-ES"/>
        </w:rPr>
        <w:tab/>
      </w:r>
      <w:r>
        <w:rPr>
          <w:rFonts w:ascii="Times New Roman" w:hAnsi="Times New Roman"/>
          <w:color w:val="000000"/>
          <w:sz w:val="28"/>
          <w:lang w:val="es-ES"/>
        </w:rPr>
        <w:t>02,2015</w:t>
      </w:r>
    </w:p>
    <w:p w:rsidR="00C14DA4" w:rsidRDefault="007A066C">
      <w:pPr>
        <w:spacing w:before="180"/>
        <w:ind w:left="3600"/>
        <w:rPr>
          <w:rFonts w:ascii="Arial" w:hAnsi="Arial"/>
          <w:b/>
          <w:color w:val="000000"/>
          <w:spacing w:val="-10"/>
          <w:sz w:val="15"/>
          <w:lang w:val="es-ES"/>
        </w:rPr>
      </w:pPr>
      <w:r>
        <w:rPr>
          <w:rFonts w:ascii="Arial" w:hAnsi="Arial"/>
          <w:b/>
          <w:color w:val="000000"/>
          <w:spacing w:val="-10"/>
          <w:sz w:val="15"/>
          <w:lang w:val="es-ES"/>
        </w:rPr>
        <w:t xml:space="preserve">Guatemala, </w:t>
      </w:r>
      <w:r>
        <w:rPr>
          <w:rFonts w:ascii="Times New Roman" w:hAnsi="Times New Roman"/>
          <w:color w:val="000000"/>
          <w:spacing w:val="-10"/>
          <w:sz w:val="28"/>
          <w:lang w:val="es-ES"/>
        </w:rPr>
        <w:t>O 5 ENE 2015</w:t>
      </w:r>
    </w:p>
    <w:p w:rsidR="00C14DA4" w:rsidRDefault="007A066C">
      <w:pPr>
        <w:spacing w:before="288" w:line="624" w:lineRule="auto"/>
        <w:jc w:val="center"/>
        <w:rPr>
          <w:rFonts w:ascii="Arial" w:hAnsi="Arial"/>
          <w:b/>
          <w:color w:val="000000"/>
          <w:sz w:val="15"/>
          <w:lang w:val="es-ES"/>
        </w:rPr>
      </w:pPr>
      <w:r>
        <w:rPr>
          <w:rFonts w:ascii="Arial" w:hAnsi="Arial"/>
          <w:b/>
          <w:color w:val="000000"/>
          <w:sz w:val="15"/>
          <w:lang w:val="es-ES"/>
        </w:rPr>
        <w:t xml:space="preserve">LA MINISTRA DE EDUCACIÓN </w:t>
      </w:r>
      <w:r>
        <w:rPr>
          <w:rFonts w:ascii="Arial" w:hAnsi="Arial"/>
          <w:b/>
          <w:color w:val="000000"/>
          <w:sz w:val="15"/>
          <w:lang w:val="es-ES"/>
        </w:rPr>
        <w:br/>
        <w:t>CONSIDERANDO:</w:t>
      </w:r>
    </w:p>
    <w:p w:rsidR="00C14DA4" w:rsidRDefault="007A066C">
      <w:pPr>
        <w:spacing w:before="180" w:line="283" w:lineRule="auto"/>
        <w:ind w:left="360" w:right="144"/>
        <w:jc w:val="both"/>
        <w:rPr>
          <w:rFonts w:ascii="Tahoma" w:hAnsi="Tahoma"/>
          <w:color w:val="000000"/>
          <w:spacing w:val="8"/>
          <w:sz w:val="15"/>
          <w:lang w:val="es-ES"/>
        </w:rPr>
      </w:pPr>
      <w:r>
        <w:rPr>
          <w:rFonts w:ascii="Tahoma" w:hAnsi="Tahoma"/>
          <w:color w:val="000000"/>
          <w:spacing w:val="8"/>
          <w:sz w:val="15"/>
          <w:lang w:val="es-ES"/>
        </w:rPr>
        <w:t xml:space="preserve">Que, la Constitución Política de la República de Guatemala, consagra el principio de igualdad para </w:t>
      </w:r>
      <w:r>
        <w:rPr>
          <w:rFonts w:ascii="Tahoma" w:hAnsi="Tahoma"/>
          <w:color w:val="000000"/>
          <w:spacing w:val="3"/>
          <w:sz w:val="15"/>
          <w:lang w:val="es-ES"/>
        </w:rPr>
        <w:t xml:space="preserve">todos los </w:t>
      </w:r>
      <w:r>
        <w:rPr>
          <w:rFonts w:ascii="Verdana" w:hAnsi="Verdana"/>
          <w:color w:val="000000"/>
          <w:spacing w:val="3"/>
          <w:sz w:val="15"/>
          <w:lang w:val="es-ES"/>
        </w:rPr>
        <w:t xml:space="preserve">habitantes, sin discriminación alguna, además dicho Texto Supremo reconoce a </w:t>
      </w:r>
      <w:r>
        <w:rPr>
          <w:rFonts w:ascii="Tahoma" w:hAnsi="Tahoma"/>
          <w:color w:val="000000"/>
          <w:spacing w:val="3"/>
          <w:sz w:val="15"/>
          <w:lang w:val="es-ES"/>
        </w:rPr>
        <w:t xml:space="preserve">los </w:t>
      </w:r>
      <w:r>
        <w:rPr>
          <w:rFonts w:ascii="Tahoma" w:hAnsi="Tahoma"/>
          <w:color w:val="000000"/>
          <w:spacing w:val="12"/>
          <w:sz w:val="15"/>
          <w:lang w:val="es-ES"/>
        </w:rPr>
        <w:t xml:space="preserve">derechos humanos, señalando que en esa materia prevalecen los Tratados y Convenciones </w:t>
      </w:r>
      <w:r>
        <w:rPr>
          <w:rFonts w:ascii="Tahoma" w:hAnsi="Tahoma"/>
          <w:color w:val="000000"/>
          <w:spacing w:val="6"/>
          <w:sz w:val="15"/>
          <w:lang w:val="es-ES"/>
        </w:rPr>
        <w:t>Internacionales sobre el Derecho Interno.</w:t>
      </w:r>
    </w:p>
    <w:p w:rsidR="00C14DA4" w:rsidRDefault="007A066C">
      <w:pPr>
        <w:spacing w:before="216"/>
        <w:ind w:left="3312"/>
        <w:rPr>
          <w:rFonts w:ascii="Arial" w:hAnsi="Arial"/>
          <w:b/>
          <w:color w:val="000000"/>
          <w:sz w:val="16"/>
          <w:lang w:val="es-ES"/>
        </w:rPr>
      </w:pPr>
      <w:r>
        <w:rPr>
          <w:rFonts w:ascii="Arial" w:hAnsi="Arial"/>
          <w:b/>
          <w:color w:val="000000"/>
          <w:sz w:val="16"/>
          <w:lang w:val="es-ES"/>
        </w:rPr>
        <w:t>CONSIDERANDO:</w:t>
      </w:r>
    </w:p>
    <w:p w:rsidR="00C14DA4" w:rsidRDefault="007A066C">
      <w:pPr>
        <w:spacing w:before="180" w:line="292" w:lineRule="auto"/>
        <w:ind w:left="360" w:right="144"/>
        <w:jc w:val="both"/>
        <w:rPr>
          <w:rFonts w:ascii="Tahoma" w:hAnsi="Tahoma"/>
          <w:color w:val="000000"/>
          <w:spacing w:val="11"/>
          <w:sz w:val="15"/>
          <w:lang w:val="es-ES"/>
        </w:rPr>
      </w:pPr>
      <w:r>
        <w:rPr>
          <w:rFonts w:ascii="Tahoma" w:hAnsi="Tahoma"/>
          <w:color w:val="000000"/>
          <w:spacing w:val="11"/>
          <w:sz w:val="15"/>
          <w:lang w:val="es-ES"/>
        </w:rPr>
        <w:t xml:space="preserve">Que, el Acuerdo Gubernativo número 260-2013 de fecha 27 de junio de 2013, regula que los </w:t>
      </w:r>
      <w:proofErr w:type="spellStart"/>
      <w:r>
        <w:rPr>
          <w:rFonts w:ascii="Tahoma" w:hAnsi="Tahoma"/>
          <w:color w:val="000000"/>
          <w:spacing w:val="8"/>
          <w:sz w:val="15"/>
          <w:lang w:val="es-ES"/>
        </w:rPr>
        <w:t>Ministeríos</w:t>
      </w:r>
      <w:proofErr w:type="spellEnd"/>
      <w:r>
        <w:rPr>
          <w:rFonts w:ascii="Tahoma" w:hAnsi="Tahoma"/>
          <w:color w:val="000000"/>
          <w:spacing w:val="8"/>
          <w:sz w:val="15"/>
          <w:lang w:val="es-ES"/>
        </w:rPr>
        <w:t xml:space="preserve"> y Secretarías del Organismo Ejecutivo, deben crear en su estructura organizativa, una </w:t>
      </w:r>
      <w:r>
        <w:rPr>
          <w:rFonts w:ascii="Tahoma" w:hAnsi="Tahoma"/>
          <w:color w:val="000000"/>
          <w:spacing w:val="11"/>
          <w:sz w:val="15"/>
          <w:lang w:val="es-ES"/>
        </w:rPr>
        <w:t xml:space="preserve">Unidad de Género adscrita al Despacho Superior, que será el enlace técnico con el Gabinete </w:t>
      </w:r>
      <w:r>
        <w:rPr>
          <w:rFonts w:ascii="Tahoma" w:hAnsi="Tahoma"/>
          <w:color w:val="000000"/>
          <w:spacing w:val="6"/>
          <w:sz w:val="15"/>
          <w:lang w:val="es-ES"/>
        </w:rPr>
        <w:t>Específico de la Mujer.</w:t>
      </w:r>
    </w:p>
    <w:p w:rsidR="00C14DA4" w:rsidRDefault="007A066C">
      <w:pPr>
        <w:spacing w:before="252"/>
        <w:ind w:left="3312"/>
        <w:rPr>
          <w:rFonts w:ascii="Arial" w:hAnsi="Arial"/>
          <w:b/>
          <w:color w:val="000000"/>
          <w:sz w:val="16"/>
          <w:lang w:val="es-ES"/>
        </w:rPr>
      </w:pPr>
      <w:r>
        <w:rPr>
          <w:rFonts w:ascii="Arial" w:hAnsi="Arial"/>
          <w:b/>
          <w:color w:val="000000"/>
          <w:sz w:val="16"/>
          <w:lang w:val="es-ES"/>
        </w:rPr>
        <w:t>CONSIDERANDO:</w:t>
      </w:r>
    </w:p>
    <w:p w:rsidR="00C14DA4" w:rsidRDefault="007A066C">
      <w:pPr>
        <w:spacing w:before="216" w:line="295" w:lineRule="auto"/>
        <w:ind w:left="360" w:right="144"/>
        <w:jc w:val="both"/>
        <w:rPr>
          <w:rFonts w:ascii="Tahoma" w:hAnsi="Tahoma"/>
          <w:color w:val="000000"/>
          <w:spacing w:val="9"/>
          <w:sz w:val="15"/>
          <w:lang w:val="es-ES"/>
        </w:rPr>
      </w:pPr>
      <w:r>
        <w:rPr>
          <w:rFonts w:ascii="Tahoma" w:hAnsi="Tahoma"/>
          <w:color w:val="000000"/>
          <w:spacing w:val="9"/>
          <w:sz w:val="15"/>
          <w:lang w:val="es-ES"/>
        </w:rPr>
        <w:t xml:space="preserve">Que, conforme lo mencionado en el considerando anterior, el Ministerio de Educación procedió a crear su Unidad de Género, siendo el caso que el principal objetivo institucional es la formación integral del estudiante, como sujeto del proceso educativo, es necesario fortalecer la unidad </w:t>
      </w:r>
      <w:r>
        <w:rPr>
          <w:rFonts w:ascii="Tahoma" w:hAnsi="Tahoma"/>
          <w:color w:val="000000"/>
          <w:spacing w:val="11"/>
          <w:sz w:val="15"/>
          <w:lang w:val="es-ES"/>
        </w:rPr>
        <w:t xml:space="preserve">implementando la protección de la niñez y la juventud; en consecuencia esta unidad tendrá </w:t>
      </w:r>
      <w:r>
        <w:rPr>
          <w:rFonts w:ascii="Tahoma" w:hAnsi="Tahoma"/>
          <w:color w:val="000000"/>
          <w:spacing w:val="9"/>
          <w:sz w:val="15"/>
          <w:lang w:val="es-ES"/>
        </w:rPr>
        <w:t xml:space="preserve">facultades para conocer ambos tópicos la que deberá integrarse al esquema organizativo de la </w:t>
      </w:r>
      <w:r>
        <w:rPr>
          <w:rFonts w:ascii="Tahoma" w:hAnsi="Tahoma"/>
          <w:color w:val="000000"/>
          <w:spacing w:val="6"/>
          <w:sz w:val="15"/>
          <w:lang w:val="es-ES"/>
        </w:rPr>
        <w:t xml:space="preserve">Dirección General de Coordinación de Direcciones Departamentales de Educación —DIGECOR-, por </w:t>
      </w:r>
      <w:r>
        <w:rPr>
          <w:rFonts w:ascii="Tahoma" w:hAnsi="Tahoma"/>
          <w:color w:val="000000"/>
          <w:spacing w:val="10"/>
          <w:sz w:val="15"/>
          <w:lang w:val="es-ES"/>
        </w:rPr>
        <w:t xml:space="preserve">constituir una dependencia adscrita al Despacho Superior y ser enlace entre las Direcciones </w:t>
      </w:r>
      <w:r>
        <w:rPr>
          <w:rFonts w:ascii="Tahoma" w:hAnsi="Tahoma"/>
          <w:color w:val="000000"/>
          <w:spacing w:val="6"/>
          <w:sz w:val="15"/>
          <w:lang w:val="es-ES"/>
        </w:rPr>
        <w:t>Departamentales de Educación y del Nivel Central.</w:t>
      </w:r>
    </w:p>
    <w:p w:rsidR="00C14DA4" w:rsidRDefault="007A066C">
      <w:pPr>
        <w:spacing w:before="324" w:line="216" w:lineRule="auto"/>
        <w:ind w:left="3600"/>
        <w:rPr>
          <w:rFonts w:ascii="Arial" w:hAnsi="Arial"/>
          <w:b/>
          <w:color w:val="000000"/>
          <w:spacing w:val="-6"/>
          <w:sz w:val="16"/>
          <w:lang w:val="es-ES"/>
        </w:rPr>
      </w:pPr>
      <w:r>
        <w:rPr>
          <w:rFonts w:ascii="Arial" w:hAnsi="Arial"/>
          <w:b/>
          <w:color w:val="000000"/>
          <w:spacing w:val="-6"/>
          <w:sz w:val="16"/>
          <w:lang w:val="es-ES"/>
        </w:rPr>
        <w:t>POR TANTO:</w:t>
      </w:r>
    </w:p>
    <w:p w:rsidR="00C14DA4" w:rsidRDefault="007A066C">
      <w:pPr>
        <w:spacing w:before="180" w:line="292" w:lineRule="auto"/>
        <w:ind w:left="360" w:right="144"/>
        <w:jc w:val="both"/>
        <w:rPr>
          <w:rFonts w:ascii="Tahoma" w:hAnsi="Tahoma"/>
          <w:color w:val="000000"/>
          <w:spacing w:val="8"/>
          <w:sz w:val="15"/>
          <w:lang w:val="es-ES"/>
        </w:rPr>
      </w:pPr>
      <w:r>
        <w:rPr>
          <w:rFonts w:ascii="Tahoma" w:hAnsi="Tahoma"/>
          <w:color w:val="000000"/>
          <w:spacing w:val="8"/>
          <w:sz w:val="15"/>
          <w:lang w:val="es-ES"/>
        </w:rPr>
        <w:t xml:space="preserve">En ejercicio de las funciones que le confieren los artículos 194, literales a) y f) de la Constitución </w:t>
      </w:r>
      <w:r>
        <w:rPr>
          <w:rFonts w:ascii="Tahoma" w:hAnsi="Tahoma"/>
          <w:color w:val="000000"/>
          <w:spacing w:val="1"/>
          <w:sz w:val="15"/>
          <w:lang w:val="es-ES"/>
        </w:rPr>
        <w:t xml:space="preserve">Política de la República de </w:t>
      </w:r>
      <w:r>
        <w:rPr>
          <w:rFonts w:ascii="Verdana" w:hAnsi="Verdana"/>
          <w:color w:val="000000"/>
          <w:spacing w:val="1"/>
          <w:sz w:val="15"/>
          <w:lang w:val="es-ES"/>
        </w:rPr>
        <w:t xml:space="preserve">Guatemala; 27 literales a) y m) del Decreto número 114-97 del Congreso </w:t>
      </w:r>
      <w:r>
        <w:rPr>
          <w:rFonts w:ascii="Verdana" w:hAnsi="Verdana"/>
          <w:color w:val="000000"/>
          <w:spacing w:val="-5"/>
          <w:sz w:val="15"/>
          <w:lang w:val="es-ES"/>
        </w:rPr>
        <w:t xml:space="preserve">de la República de Guatemala, Ley del Organismo Ejecutivo; Ley de Protección Integral de la Niñez </w:t>
      </w:r>
      <w:r>
        <w:rPr>
          <w:rFonts w:ascii="Tahoma" w:hAnsi="Tahoma"/>
          <w:color w:val="000000"/>
          <w:spacing w:val="-5"/>
          <w:sz w:val="15"/>
          <w:lang w:val="es-ES"/>
        </w:rPr>
        <w:t xml:space="preserve">y </w:t>
      </w:r>
      <w:r>
        <w:rPr>
          <w:rFonts w:ascii="Tahoma" w:hAnsi="Tahoma"/>
          <w:color w:val="000000"/>
          <w:spacing w:val="5"/>
          <w:sz w:val="15"/>
          <w:lang w:val="es-ES"/>
        </w:rPr>
        <w:t xml:space="preserve">Adolescencia, Decreto 27-2003 del Congreso de la República de Guatemala y el Acuerdo Gubernativo </w:t>
      </w:r>
      <w:r>
        <w:rPr>
          <w:rFonts w:ascii="Tahoma" w:hAnsi="Tahoma"/>
          <w:color w:val="000000"/>
          <w:spacing w:val="6"/>
          <w:sz w:val="15"/>
          <w:lang w:val="es-ES"/>
        </w:rPr>
        <w:t>Número 260-2013 de fecha 27 de junio de 2013.</w:t>
      </w:r>
    </w:p>
    <w:p w:rsidR="00C14DA4" w:rsidRDefault="007A066C">
      <w:pPr>
        <w:spacing w:before="180"/>
        <w:ind w:left="3672"/>
        <w:rPr>
          <w:rFonts w:ascii="Arial" w:hAnsi="Arial"/>
          <w:b/>
          <w:color w:val="000000"/>
          <w:sz w:val="15"/>
          <w:lang w:val="es-ES"/>
        </w:rPr>
      </w:pPr>
      <w:r>
        <w:rPr>
          <w:rFonts w:ascii="Arial" w:hAnsi="Arial"/>
          <w:b/>
          <w:color w:val="000000"/>
          <w:sz w:val="15"/>
          <w:lang w:val="es-ES"/>
        </w:rPr>
        <w:t>ACUERDA:</w:t>
      </w:r>
    </w:p>
    <w:p w:rsidR="00C14DA4" w:rsidRDefault="007A066C">
      <w:pPr>
        <w:spacing w:before="180" w:line="307" w:lineRule="auto"/>
        <w:ind w:left="216"/>
        <w:jc w:val="center"/>
        <w:rPr>
          <w:rFonts w:ascii="Arial" w:hAnsi="Arial"/>
          <w:b/>
          <w:color w:val="000000"/>
          <w:spacing w:val="-1"/>
          <w:sz w:val="15"/>
          <w:lang w:val="es-ES"/>
        </w:rPr>
      </w:pPr>
      <w:r>
        <w:rPr>
          <w:rFonts w:ascii="Arial" w:hAnsi="Arial"/>
          <w:b/>
          <w:color w:val="000000"/>
          <w:spacing w:val="-1"/>
          <w:sz w:val="15"/>
          <w:lang w:val="es-ES"/>
        </w:rPr>
        <w:t xml:space="preserve">CREAR LA UNIDAD DE EQUIDAD DE GÉNERO CON PERTINENCIA CULTURAL Y PROTECCIÓN </w:t>
      </w:r>
      <w:r>
        <w:rPr>
          <w:rFonts w:ascii="Arial" w:hAnsi="Arial"/>
          <w:b/>
          <w:color w:val="000000"/>
          <w:spacing w:val="-1"/>
          <w:sz w:val="15"/>
          <w:lang w:val="es-ES"/>
        </w:rPr>
        <w:br/>
        <w:t>INTEGRAL DE LA NIÑEZ, ADOLESCENCIA Y JUVENTUD -UGP-</w:t>
      </w:r>
    </w:p>
    <w:p w:rsidR="00C14DA4" w:rsidRDefault="007A066C">
      <w:pPr>
        <w:spacing w:before="144" w:line="292" w:lineRule="auto"/>
        <w:ind w:left="360" w:right="144"/>
        <w:jc w:val="both"/>
        <w:rPr>
          <w:rFonts w:ascii="Arial" w:hAnsi="Arial"/>
          <w:b/>
          <w:color w:val="000000"/>
          <w:spacing w:val="2"/>
          <w:sz w:val="16"/>
          <w:lang w:val="es-ES"/>
        </w:rPr>
      </w:pPr>
      <w:r>
        <w:rPr>
          <w:rFonts w:ascii="Arial" w:hAnsi="Arial"/>
          <w:b/>
          <w:color w:val="000000"/>
          <w:spacing w:val="2"/>
          <w:sz w:val="16"/>
          <w:lang w:val="es-ES"/>
        </w:rPr>
        <w:t xml:space="preserve">ARTÍCULO 1. </w:t>
      </w:r>
      <w:r>
        <w:rPr>
          <w:rFonts w:ascii="Arial" w:hAnsi="Arial"/>
          <w:b/>
          <w:color w:val="000000"/>
          <w:spacing w:val="2"/>
          <w:sz w:val="15"/>
          <w:lang w:val="es-ES"/>
        </w:rPr>
        <w:t xml:space="preserve">Creación. </w:t>
      </w:r>
      <w:r>
        <w:rPr>
          <w:rFonts w:ascii="Verdana" w:hAnsi="Verdana"/>
          <w:color w:val="000000"/>
          <w:spacing w:val="2"/>
          <w:sz w:val="15"/>
          <w:lang w:val="es-ES"/>
        </w:rPr>
        <w:t xml:space="preserve">Se crea la </w:t>
      </w:r>
      <w:r>
        <w:rPr>
          <w:rFonts w:ascii="Arial" w:hAnsi="Arial"/>
          <w:b/>
          <w:color w:val="000000"/>
          <w:spacing w:val="2"/>
          <w:sz w:val="16"/>
          <w:lang w:val="es-ES"/>
        </w:rPr>
        <w:t xml:space="preserve">Unidad de Equidad de Género con Pertinencia Cultural y </w:t>
      </w:r>
      <w:r>
        <w:rPr>
          <w:rFonts w:ascii="Arial" w:hAnsi="Arial"/>
          <w:b/>
          <w:color w:val="000000"/>
          <w:sz w:val="16"/>
          <w:lang w:val="es-ES"/>
        </w:rPr>
        <w:t xml:space="preserve">Protección integral de la Niñez, Adolescencia y Juventud —UGP-, </w:t>
      </w:r>
      <w:r>
        <w:rPr>
          <w:rFonts w:ascii="Tahoma" w:hAnsi="Tahoma"/>
          <w:color w:val="000000"/>
          <w:sz w:val="15"/>
          <w:lang w:val="es-ES"/>
        </w:rPr>
        <w:t xml:space="preserve">dentro de la estructura organizativa </w:t>
      </w:r>
      <w:r>
        <w:rPr>
          <w:rFonts w:ascii="Tahoma" w:hAnsi="Tahoma"/>
          <w:color w:val="000000"/>
          <w:spacing w:val="8"/>
          <w:sz w:val="15"/>
          <w:lang w:val="es-ES"/>
        </w:rPr>
        <w:t>de la Dirección General de Coordinación de Direcciones Departamentales de Educación —DIGECOR</w:t>
      </w:r>
      <w:r w:rsidR="003B49C8">
        <w:rPr>
          <w:rFonts w:ascii="Tahoma" w:hAnsi="Tahoma"/>
          <w:color w:val="000000"/>
          <w:spacing w:val="8"/>
          <w:sz w:val="15"/>
          <w:lang w:val="es-ES"/>
        </w:rPr>
        <w:t xml:space="preserve"> </w:t>
      </w:r>
      <w:r>
        <w:rPr>
          <w:rFonts w:ascii="Tahoma" w:hAnsi="Tahoma"/>
          <w:color w:val="000000"/>
          <w:spacing w:val="8"/>
          <w:sz w:val="15"/>
          <w:lang w:val="es-ES"/>
        </w:rPr>
        <w:softHyphen/>
      </w:r>
      <w:r>
        <w:rPr>
          <w:rFonts w:ascii="Tahoma" w:hAnsi="Tahoma"/>
          <w:color w:val="000000"/>
          <w:spacing w:val="7"/>
          <w:sz w:val="15"/>
          <w:lang w:val="es-ES"/>
        </w:rPr>
        <w:t>del Ministerio de Educación, por ser ésta una dependencia adscrita al Despacho Superior, debiendo dicha unidad actuar como enlace técnico con el Gabinete Específico de la Mujer.</w:t>
      </w:r>
    </w:p>
    <w:p w:rsidR="00C14DA4" w:rsidRDefault="007A066C">
      <w:pPr>
        <w:spacing w:before="180" w:line="292" w:lineRule="auto"/>
        <w:ind w:left="360" w:right="144"/>
        <w:jc w:val="both"/>
        <w:rPr>
          <w:rFonts w:ascii="Arial" w:hAnsi="Arial"/>
          <w:b/>
          <w:color w:val="000000"/>
          <w:spacing w:val="5"/>
          <w:sz w:val="16"/>
          <w:lang w:val="es-ES"/>
        </w:rPr>
      </w:pPr>
      <w:r>
        <w:rPr>
          <w:rFonts w:ascii="Arial" w:hAnsi="Arial"/>
          <w:b/>
          <w:color w:val="000000"/>
          <w:spacing w:val="5"/>
          <w:sz w:val="16"/>
          <w:lang w:val="es-ES"/>
        </w:rPr>
        <w:t xml:space="preserve">ARTÍCULO 2. Objeto. </w:t>
      </w:r>
      <w:r>
        <w:rPr>
          <w:rFonts w:ascii="Tahoma" w:hAnsi="Tahoma"/>
          <w:color w:val="000000"/>
          <w:spacing w:val="5"/>
          <w:sz w:val="15"/>
          <w:lang w:val="es-ES"/>
        </w:rPr>
        <w:t xml:space="preserve">La Unidad de Equidad de Género con Pertinencia Cultural y Protección Integral </w:t>
      </w:r>
      <w:r>
        <w:rPr>
          <w:rFonts w:ascii="Tahoma" w:hAnsi="Tahoma"/>
          <w:color w:val="000000"/>
          <w:spacing w:val="6"/>
          <w:sz w:val="15"/>
          <w:lang w:val="es-ES"/>
        </w:rPr>
        <w:t xml:space="preserve">de la Niñez, Adolescencia y Juventud —UGP-, deberá apoyar al Despacho Superior, por lo que se le </w:t>
      </w:r>
      <w:r>
        <w:rPr>
          <w:rFonts w:ascii="Tahoma" w:hAnsi="Tahoma"/>
          <w:color w:val="000000"/>
          <w:spacing w:val="7"/>
          <w:sz w:val="15"/>
          <w:lang w:val="es-ES"/>
        </w:rPr>
        <w:t xml:space="preserve">faculta para verificar que las dependencias del Ministerio concreten el desarrollo de los procesos </w:t>
      </w:r>
      <w:r>
        <w:rPr>
          <w:rFonts w:ascii="Tahoma" w:hAnsi="Tahoma"/>
          <w:color w:val="000000"/>
          <w:spacing w:val="8"/>
          <w:sz w:val="15"/>
          <w:lang w:val="es-ES"/>
        </w:rPr>
        <w:t xml:space="preserve">relacionados con los derechos humanos en materia de equidad de género y pertinencia cultural, </w:t>
      </w:r>
      <w:r>
        <w:rPr>
          <w:rFonts w:ascii="Tahoma" w:hAnsi="Tahoma"/>
          <w:color w:val="000000"/>
          <w:spacing w:val="6"/>
          <w:sz w:val="15"/>
          <w:lang w:val="es-ES"/>
        </w:rPr>
        <w:t>educación integral en sexualidad, prevención de la violencia y regulaciones vinculadas.</w:t>
      </w:r>
    </w:p>
    <w:p w:rsidR="00C14DA4" w:rsidRDefault="00C14DA4">
      <w:pPr>
        <w:jc w:val="right"/>
        <w:rPr>
          <w:rFonts w:ascii="Tahoma" w:hAnsi="Tahoma"/>
          <w:color w:val="000000"/>
          <w:spacing w:val="984"/>
          <w:sz w:val="15"/>
          <w:lang w:val="es-ES"/>
        </w:rPr>
      </w:pPr>
    </w:p>
    <w:p w:rsidR="00C14DA4" w:rsidRDefault="00C14DA4">
      <w:pPr>
        <w:sectPr w:rsidR="00C14DA4">
          <w:pgSz w:w="12240" w:h="15840"/>
          <w:pgMar w:top="1078" w:right="2086" w:bottom="211" w:left="2154" w:header="720" w:footer="720" w:gutter="0"/>
          <w:cols w:space="720"/>
        </w:sectPr>
      </w:pPr>
    </w:p>
    <w:p w:rsidR="00C14DA4" w:rsidRDefault="007A066C">
      <w:pPr>
        <w:spacing w:after="720" w:line="204" w:lineRule="auto"/>
        <w:ind w:left="2088"/>
        <w:rPr>
          <w:rFonts w:ascii="Times New Roman" w:hAnsi="Times New Roman"/>
          <w:color w:val="000000"/>
          <w:spacing w:val="8"/>
          <w:sz w:val="27"/>
          <w:lang w:val="es-ES"/>
        </w:rPr>
      </w:pPr>
      <w:r>
        <w:rPr>
          <w:rFonts w:ascii="Times New Roman" w:hAnsi="Times New Roman"/>
          <w:color w:val="000000"/>
          <w:spacing w:val="8"/>
          <w:sz w:val="27"/>
          <w:lang w:val="es-ES"/>
        </w:rPr>
        <w:lastRenderedPageBreak/>
        <w:t>Ministerio de Educación</w:t>
      </w:r>
    </w:p>
    <w:p w:rsidR="00C14DA4" w:rsidRDefault="00C14DA4">
      <w:pPr>
        <w:sectPr w:rsidR="00C14DA4">
          <w:pgSz w:w="12240" w:h="15840"/>
          <w:pgMar w:top="1040" w:right="1974" w:bottom="4231" w:left="2089" w:header="720" w:footer="720" w:gutter="0"/>
          <w:cols w:space="720"/>
        </w:sectPr>
      </w:pPr>
    </w:p>
    <w:p w:rsidR="00C14DA4" w:rsidRDefault="007A066C">
      <w:pPr>
        <w:ind w:left="288"/>
        <w:rPr>
          <w:rFonts w:ascii="Times New Roman" w:hAnsi="Times New Roman"/>
          <w:color w:val="000000"/>
          <w:spacing w:val="-4"/>
          <w:sz w:val="17"/>
          <w:lang w:val="es-ES"/>
        </w:rPr>
      </w:pPr>
      <w:r>
        <w:rPr>
          <w:rFonts w:ascii="Times New Roman" w:hAnsi="Times New Roman"/>
          <w:color w:val="000000"/>
          <w:spacing w:val="-4"/>
          <w:sz w:val="17"/>
          <w:lang w:val="es-ES"/>
        </w:rPr>
        <w:t>Guatemala, C. A.</w:t>
      </w:r>
    </w:p>
    <w:p w:rsidR="00C14DA4" w:rsidRDefault="007A066C">
      <w:pPr>
        <w:spacing w:before="252" w:line="300" w:lineRule="auto"/>
        <w:ind w:left="216" w:right="288"/>
        <w:jc w:val="both"/>
        <w:rPr>
          <w:rFonts w:ascii="Tahoma" w:hAnsi="Tahoma"/>
          <w:b/>
          <w:color w:val="000000"/>
          <w:spacing w:val="5"/>
          <w:sz w:val="15"/>
          <w:lang w:val="es-ES"/>
        </w:rPr>
      </w:pPr>
      <w:r>
        <w:rPr>
          <w:rFonts w:ascii="Tahoma" w:hAnsi="Tahoma"/>
          <w:b/>
          <w:color w:val="000000"/>
          <w:spacing w:val="5"/>
          <w:sz w:val="15"/>
          <w:lang w:val="es-ES"/>
        </w:rPr>
        <w:t xml:space="preserve">ARTÍCULO 3. Estructura administrativa. </w:t>
      </w:r>
      <w:r>
        <w:rPr>
          <w:rFonts w:ascii="Tahoma" w:hAnsi="Tahoma"/>
          <w:color w:val="000000"/>
          <w:spacing w:val="5"/>
          <w:sz w:val="15"/>
          <w:lang w:val="es-ES"/>
        </w:rPr>
        <w:t xml:space="preserve">El Despacho Superior del Ministerio de Educación a través </w:t>
      </w:r>
      <w:r>
        <w:rPr>
          <w:rFonts w:ascii="Tahoma" w:hAnsi="Tahoma"/>
          <w:color w:val="000000"/>
          <w:spacing w:val="7"/>
          <w:sz w:val="15"/>
          <w:lang w:val="es-ES"/>
        </w:rPr>
        <w:t xml:space="preserve">de la Dirección General de Coordinación de Direcciones Departamentales de Educación —DIGECOR-, </w:t>
      </w:r>
      <w:r>
        <w:rPr>
          <w:rFonts w:ascii="Tahoma" w:hAnsi="Tahoma"/>
          <w:color w:val="000000"/>
          <w:spacing w:val="3"/>
          <w:sz w:val="15"/>
          <w:lang w:val="es-ES"/>
        </w:rPr>
        <w:t xml:space="preserve">con el apoyo de la Dirección de Desarrollo y Fortalecimiento Institucional —DIDEFI-, adicionará en el </w:t>
      </w:r>
      <w:r>
        <w:rPr>
          <w:rFonts w:ascii="Tahoma" w:hAnsi="Tahoma"/>
          <w:color w:val="000000"/>
          <w:spacing w:val="7"/>
          <w:sz w:val="15"/>
          <w:lang w:val="es-ES"/>
        </w:rPr>
        <w:t xml:space="preserve">reglamento y manual de funciones de la DIGECOR, la estructura y funcionamiento de la Unidad de </w:t>
      </w:r>
      <w:r>
        <w:rPr>
          <w:rFonts w:ascii="Tahoma" w:hAnsi="Tahoma"/>
          <w:color w:val="000000"/>
          <w:spacing w:val="11"/>
          <w:sz w:val="15"/>
          <w:lang w:val="es-ES"/>
        </w:rPr>
        <w:t xml:space="preserve">Equidad de Género con Pertinencia Cultural y Protección Integral de la Niñez, Adolescencia y </w:t>
      </w:r>
      <w:r>
        <w:rPr>
          <w:rFonts w:ascii="Tahoma" w:hAnsi="Tahoma"/>
          <w:color w:val="000000"/>
          <w:spacing w:val="2"/>
          <w:sz w:val="15"/>
          <w:lang w:val="es-ES"/>
        </w:rPr>
        <w:t>Juventud —UGP-.</w:t>
      </w:r>
    </w:p>
    <w:p w:rsidR="00C14DA4" w:rsidRDefault="007A066C">
      <w:pPr>
        <w:spacing w:before="216" w:line="290" w:lineRule="auto"/>
        <w:ind w:left="216" w:right="288"/>
        <w:jc w:val="both"/>
        <w:rPr>
          <w:rFonts w:ascii="Tahoma" w:hAnsi="Tahoma"/>
          <w:b/>
          <w:color w:val="000000"/>
          <w:spacing w:val="2"/>
          <w:sz w:val="15"/>
          <w:lang w:val="es-ES"/>
        </w:rPr>
      </w:pPr>
      <w:r>
        <w:rPr>
          <w:rFonts w:ascii="Tahoma" w:hAnsi="Tahoma"/>
          <w:b/>
          <w:color w:val="000000"/>
          <w:spacing w:val="2"/>
          <w:sz w:val="15"/>
          <w:lang w:val="es-ES"/>
        </w:rPr>
        <w:t xml:space="preserve">ARTÍCULO 4. Recursos materiales, humanos y financieros. Para </w:t>
      </w:r>
      <w:r>
        <w:rPr>
          <w:rFonts w:ascii="Tahoma" w:hAnsi="Tahoma"/>
          <w:color w:val="000000"/>
          <w:spacing w:val="2"/>
          <w:sz w:val="15"/>
          <w:lang w:val="es-ES"/>
        </w:rPr>
        <w:t xml:space="preserve">el desarrollo de lo regulado en el </w:t>
      </w:r>
      <w:r>
        <w:rPr>
          <w:rFonts w:ascii="Tahoma" w:hAnsi="Tahoma"/>
          <w:color w:val="000000"/>
          <w:spacing w:val="6"/>
          <w:sz w:val="15"/>
          <w:lang w:val="es-ES"/>
        </w:rPr>
        <w:t xml:space="preserve">artículo precedente, la Dirección de Recursos Humanos —DIREH- y la Dirección de Administración </w:t>
      </w:r>
      <w:r>
        <w:rPr>
          <w:rFonts w:ascii="Tahoma" w:hAnsi="Tahoma"/>
          <w:color w:val="000000"/>
          <w:spacing w:val="5"/>
          <w:sz w:val="15"/>
          <w:lang w:val="es-ES"/>
        </w:rPr>
        <w:t>Financiera —DAFI-, gestionarán la dotación de recurso humano y financiero.</w:t>
      </w:r>
    </w:p>
    <w:p w:rsidR="00C14DA4" w:rsidRDefault="007A066C">
      <w:pPr>
        <w:spacing w:before="216" w:line="295" w:lineRule="auto"/>
        <w:ind w:left="216" w:right="288"/>
        <w:rPr>
          <w:rFonts w:ascii="Tahoma" w:hAnsi="Tahoma"/>
          <w:b/>
          <w:color w:val="000000"/>
          <w:spacing w:val="5"/>
          <w:sz w:val="15"/>
          <w:lang w:val="es-ES"/>
        </w:rPr>
      </w:pPr>
      <w:r>
        <w:rPr>
          <w:rFonts w:ascii="Tahoma" w:hAnsi="Tahoma"/>
          <w:b/>
          <w:color w:val="000000"/>
          <w:spacing w:val="5"/>
          <w:sz w:val="15"/>
          <w:lang w:val="es-ES"/>
        </w:rPr>
        <w:t xml:space="preserve">ARTÍCULO 5. Casos no previstos. </w:t>
      </w:r>
      <w:r>
        <w:rPr>
          <w:rFonts w:ascii="Tahoma" w:hAnsi="Tahoma"/>
          <w:color w:val="000000"/>
          <w:spacing w:val="5"/>
          <w:sz w:val="15"/>
          <w:lang w:val="es-ES"/>
        </w:rPr>
        <w:t xml:space="preserve">Los casos no previstos en el presente Acuerdo serán resueltos por </w:t>
      </w:r>
      <w:r>
        <w:rPr>
          <w:rFonts w:ascii="Tahoma" w:hAnsi="Tahoma"/>
          <w:color w:val="000000"/>
          <w:spacing w:val="6"/>
          <w:sz w:val="15"/>
          <w:lang w:val="es-ES"/>
        </w:rPr>
        <w:t>el Despacho Superior.</w:t>
      </w:r>
    </w:p>
    <w:p w:rsidR="00C14DA4" w:rsidRDefault="007A066C">
      <w:pPr>
        <w:spacing w:before="216" w:line="290" w:lineRule="auto"/>
        <w:ind w:left="216" w:right="288"/>
        <w:rPr>
          <w:rFonts w:ascii="Tahoma" w:hAnsi="Tahoma"/>
          <w:b/>
          <w:color w:val="000000"/>
          <w:spacing w:val="6"/>
          <w:sz w:val="15"/>
          <w:lang w:val="es-ES"/>
        </w:rPr>
      </w:pPr>
      <w:r>
        <w:rPr>
          <w:rFonts w:ascii="Tahoma" w:hAnsi="Tahoma"/>
          <w:b/>
          <w:color w:val="000000"/>
          <w:spacing w:val="6"/>
          <w:sz w:val="15"/>
          <w:lang w:val="es-ES"/>
        </w:rPr>
        <w:t xml:space="preserve">ARTÍCULO 6. Derogatoria. </w:t>
      </w:r>
      <w:r>
        <w:rPr>
          <w:rFonts w:ascii="Tahoma" w:hAnsi="Tahoma"/>
          <w:color w:val="000000"/>
          <w:spacing w:val="6"/>
          <w:sz w:val="15"/>
          <w:lang w:val="es-ES"/>
        </w:rPr>
        <w:t>Se derogan los Acuerdos Ministeriales 1121-2014 y 2480-2014 de fechas 12 de junio y 4 de diciembre de 2014 respectivamente.</w:t>
      </w:r>
    </w:p>
    <w:p w:rsidR="00C14DA4" w:rsidRDefault="007A066C">
      <w:pPr>
        <w:spacing w:before="180" w:after="216" w:line="292" w:lineRule="auto"/>
        <w:ind w:left="216"/>
        <w:rPr>
          <w:rFonts w:ascii="Tahoma" w:hAnsi="Tahoma"/>
          <w:b/>
          <w:color w:val="000000"/>
          <w:spacing w:val="6"/>
          <w:sz w:val="15"/>
          <w:lang w:val="es-ES"/>
        </w:rPr>
      </w:pPr>
      <w:r>
        <w:rPr>
          <w:rFonts w:ascii="Tahoma" w:hAnsi="Tahoma"/>
          <w:b/>
          <w:color w:val="000000"/>
          <w:spacing w:val="6"/>
          <w:sz w:val="15"/>
          <w:lang w:val="es-ES"/>
        </w:rPr>
        <w:t xml:space="preserve">ARTÍCULO 7. Vigencia. </w:t>
      </w:r>
      <w:r>
        <w:rPr>
          <w:rFonts w:ascii="Tahoma" w:hAnsi="Tahoma"/>
          <w:color w:val="000000"/>
          <w:spacing w:val="6"/>
          <w:sz w:val="15"/>
          <w:lang w:val="es-ES"/>
        </w:rPr>
        <w:t>El presente Acuerdo empieza a regir inmediatamente.</w:t>
      </w:r>
    </w:p>
    <w:p w:rsidR="00C14DA4" w:rsidRDefault="00C14DA4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5"/>
        <w:gridCol w:w="3025"/>
      </w:tblGrid>
      <w:tr w:rsidR="00C14DA4">
        <w:trPr>
          <w:trHeight w:hRule="exact" w:val="674"/>
        </w:trPr>
        <w:tc>
          <w:tcPr>
            <w:tcW w:w="4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4DA4" w:rsidRDefault="007A066C">
            <w:pPr>
              <w:ind w:right="313"/>
              <w:jc w:val="right"/>
              <w:rPr>
                <w:rFonts w:ascii="Times New Roman" w:hAnsi="Times New Roman"/>
                <w:color w:val="000000"/>
                <w:sz w:val="17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7"/>
                <w:lang w:val="es-ES"/>
              </w:rPr>
              <w:t>COMUNÍQUESE.</w:t>
            </w:r>
          </w:p>
        </w:tc>
        <w:tc>
          <w:tcPr>
            <w:tcW w:w="3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4DA4" w:rsidRPr="003B49C8" w:rsidRDefault="00C14DA4" w:rsidP="003B49C8">
            <w:pPr>
              <w:spacing w:line="145" w:lineRule="exact"/>
              <w:ind w:right="1916"/>
              <w:jc w:val="center"/>
              <w:rPr>
                <w:rFonts w:ascii="Times New Roman" w:hAnsi="Times New Roman"/>
                <w:color w:val="000000"/>
                <w:spacing w:val="14"/>
                <w:sz w:val="11"/>
                <w:lang w:val="es-ES"/>
              </w:rPr>
            </w:pPr>
          </w:p>
        </w:tc>
      </w:tr>
    </w:tbl>
    <w:p w:rsidR="00C14DA4" w:rsidRDefault="003B49C8" w:rsidP="003B49C8">
      <w:pPr>
        <w:spacing w:before="166" w:line="288" w:lineRule="exact"/>
        <w:ind w:left="708"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CINTHY</w:t>
      </w:r>
      <w:r w:rsidR="00CB1F1E">
        <w:rPr>
          <w:rFonts w:ascii="Times New Roman" w:hAnsi="Times New Roman"/>
          <w:color w:val="000000"/>
          <w:sz w:val="24"/>
        </w:rPr>
        <w:t xml:space="preserve">A CAROLINA DEL AGUILA MENDIZABAL       </w:t>
      </w:r>
      <w:r w:rsidR="00CB1F1E">
        <w:rPr>
          <w:rFonts w:ascii="Times New Roman" w:hAnsi="Times New Roman"/>
          <w:color w:val="000000"/>
          <w:sz w:val="24"/>
        </w:rPr>
        <w:tab/>
      </w:r>
      <w:r w:rsidR="00CB1F1E">
        <w:rPr>
          <w:rFonts w:ascii="Times New Roman" w:hAnsi="Times New Roman"/>
          <w:color w:val="000000"/>
          <w:sz w:val="24"/>
        </w:rPr>
        <w:tab/>
      </w:r>
      <w:r w:rsidR="00CB1F1E">
        <w:rPr>
          <w:rFonts w:ascii="Times New Roman" w:hAnsi="Times New Roman"/>
          <w:color w:val="000000"/>
          <w:sz w:val="24"/>
        </w:rPr>
        <w:tab/>
      </w:r>
      <w:r w:rsidR="00CB1F1E">
        <w:rPr>
          <w:rFonts w:ascii="Times New Roman" w:hAnsi="Times New Roman"/>
          <w:color w:val="000000"/>
          <w:sz w:val="24"/>
        </w:rPr>
        <w:tab/>
        <w:t>MINISTRA DE EDUCACIÓN</w:t>
      </w:r>
    </w:p>
    <w:p w:rsidR="00CB1F1E" w:rsidRDefault="00CB1F1E" w:rsidP="003B49C8">
      <w:pPr>
        <w:spacing w:before="166" w:line="288" w:lineRule="exact"/>
        <w:ind w:left="708" w:firstLine="708"/>
        <w:rPr>
          <w:rFonts w:ascii="Times New Roman" w:hAnsi="Times New Roman"/>
          <w:color w:val="000000"/>
          <w:sz w:val="24"/>
        </w:rPr>
      </w:pPr>
    </w:p>
    <w:p w:rsidR="00C14DA4" w:rsidRDefault="00C14DA4"/>
    <w:p w:rsidR="003B49C8" w:rsidRDefault="003B49C8"/>
    <w:p w:rsidR="003B49C8" w:rsidRDefault="003B49C8">
      <w:pPr>
        <w:sectPr w:rsidR="003B49C8">
          <w:type w:val="continuous"/>
          <w:pgSz w:w="12240" w:h="15840"/>
          <w:pgMar w:top="1040" w:right="2032" w:bottom="4231" w:left="2091" w:header="720" w:footer="720" w:gutter="0"/>
          <w:cols w:space="720"/>
        </w:sectPr>
      </w:pPr>
    </w:p>
    <w:p w:rsidR="00C14DA4" w:rsidRPr="00CB1F1E" w:rsidRDefault="003B49C8">
      <w:pPr>
        <w:spacing w:before="180" w:line="271" w:lineRule="auto"/>
        <w:ind w:left="72"/>
        <w:rPr>
          <w:rFonts w:ascii="Tahoma" w:hAnsi="Tahoma"/>
          <w:b/>
          <w:color w:val="000000"/>
          <w:spacing w:val="3"/>
          <w:sz w:val="18"/>
          <w:szCs w:val="18"/>
          <w:lang w:val="es-ES"/>
        </w:rPr>
      </w:pPr>
      <w:r w:rsidRPr="00CB1F1E">
        <w:rPr>
          <w:rFonts w:ascii="Tahoma" w:hAnsi="Tahoma"/>
          <w:b/>
          <w:color w:val="000000"/>
          <w:spacing w:val="3"/>
          <w:sz w:val="18"/>
          <w:szCs w:val="18"/>
          <w:lang w:val="es-ES"/>
        </w:rPr>
        <w:t>LOS VICEMINISTROS DE EDUCACIÓN</w:t>
      </w:r>
    </w:p>
    <w:p w:rsidR="00C14DA4" w:rsidRDefault="007A066C" w:rsidP="003B49C8">
      <w:pPr>
        <w:spacing w:line="624" w:lineRule="auto"/>
        <w:rPr>
          <w:rFonts w:ascii="Tahoma" w:hAnsi="Tahoma"/>
          <w:b/>
          <w:color w:val="000000"/>
          <w:spacing w:val="-6"/>
          <w:sz w:val="15"/>
          <w:lang w:val="es-ES"/>
        </w:rPr>
      </w:pPr>
      <w:bookmarkStart w:id="0" w:name="_GoBack"/>
      <w:bookmarkEnd w:id="0"/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5774055</wp:posOffset>
                </wp:positionH>
                <wp:positionV relativeFrom="page">
                  <wp:posOffset>6469380</wp:posOffset>
                </wp:positionV>
                <wp:extent cx="706755" cy="254000"/>
                <wp:effectExtent l="1905" t="1905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DA4" w:rsidRDefault="00C14DA4">
                            <w:pPr>
                              <w:ind w:left="36" w:right="16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65pt;margin-top:509.4pt;width:55.65pt;height:20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" filled="f" stroked="f">
                <v:textbox inset="0,0,0,0">
                  <w:txbxContent>
                    <w:p w:rsidR="00C14DA4" w:rsidRDefault="00C14DA4">
                      <w:pPr>
                        <w:ind w:left="36" w:right="166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B1F1E" w:rsidRDefault="003B49C8" w:rsidP="003B49C8">
      <w:pPr>
        <w:spacing w:line="624" w:lineRule="auto"/>
        <w:rPr>
          <w:rFonts w:ascii="Tahoma" w:hAnsi="Tahoma"/>
          <w:b/>
          <w:color w:val="000000"/>
          <w:spacing w:val="-6"/>
          <w:sz w:val="15"/>
          <w:lang w:val="es-ES"/>
        </w:rPr>
      </w:pPr>
      <w:r>
        <w:rPr>
          <w:rFonts w:ascii="Tahoma" w:hAnsi="Tahoma"/>
          <w:b/>
          <w:color w:val="000000"/>
          <w:spacing w:val="-6"/>
          <w:sz w:val="15"/>
          <w:lang w:val="es-ES"/>
        </w:rPr>
        <w:t>OLG</w:t>
      </w:r>
      <w:r w:rsidR="00CB1F1E">
        <w:rPr>
          <w:rFonts w:ascii="Tahoma" w:hAnsi="Tahoma"/>
          <w:b/>
          <w:color w:val="000000"/>
          <w:spacing w:val="-6"/>
          <w:sz w:val="15"/>
          <w:lang w:val="es-ES"/>
        </w:rPr>
        <w:t>A EVELYN AMADO JACOBO DE SEGURA</w:t>
      </w:r>
    </w:p>
    <w:p w:rsidR="003B49C8" w:rsidRDefault="003B49C8" w:rsidP="003B49C8">
      <w:pPr>
        <w:spacing w:line="624" w:lineRule="auto"/>
        <w:rPr>
          <w:rFonts w:ascii="Tahoma" w:hAnsi="Tahoma"/>
          <w:b/>
          <w:color w:val="000000"/>
          <w:spacing w:val="-6"/>
          <w:sz w:val="15"/>
          <w:lang w:val="es-ES"/>
        </w:rPr>
      </w:pPr>
      <w:r>
        <w:rPr>
          <w:rFonts w:ascii="Tahoma" w:hAnsi="Tahoma"/>
          <w:b/>
          <w:color w:val="000000"/>
          <w:spacing w:val="-6"/>
          <w:sz w:val="15"/>
          <w:lang w:val="es-ES"/>
        </w:rPr>
        <w:t>ALFREDO GUSTAVO GARCÍA ARCHILA</w:t>
      </w:r>
    </w:p>
    <w:p w:rsidR="003B49C8" w:rsidRDefault="003B49C8" w:rsidP="003B49C8">
      <w:pPr>
        <w:spacing w:line="624" w:lineRule="auto"/>
        <w:rPr>
          <w:rFonts w:ascii="Tahoma" w:hAnsi="Tahoma"/>
          <w:b/>
          <w:color w:val="000000"/>
          <w:spacing w:val="-6"/>
          <w:sz w:val="15"/>
          <w:lang w:val="es-ES"/>
        </w:rPr>
      </w:pPr>
      <w:r>
        <w:rPr>
          <w:rFonts w:ascii="Tahoma" w:hAnsi="Tahoma"/>
          <w:b/>
          <w:color w:val="000000"/>
          <w:spacing w:val="-6"/>
          <w:sz w:val="15"/>
          <w:lang w:val="es-ES"/>
        </w:rPr>
        <w:t>GUTBERTO NICOLÁS LEIVA ALVAREZ</w:t>
      </w:r>
    </w:p>
    <w:p w:rsidR="003B49C8" w:rsidRPr="003B49C8" w:rsidRDefault="00CB1F1E" w:rsidP="003B49C8">
      <w:pPr>
        <w:spacing w:line="624" w:lineRule="auto"/>
        <w:rPr>
          <w:rFonts w:ascii="Tahoma" w:hAnsi="Tahoma"/>
          <w:b/>
          <w:color w:val="000000"/>
          <w:spacing w:val="-6"/>
          <w:sz w:val="15"/>
          <w:lang w:val="es-ES"/>
        </w:rPr>
      </w:pPr>
      <w:r>
        <w:rPr>
          <w:rFonts w:ascii="Tahoma" w:hAnsi="Tahoma"/>
          <w:b/>
          <w:color w:val="000000"/>
          <w:spacing w:val="-6"/>
          <w:sz w:val="15"/>
          <w:lang w:val="es-ES"/>
        </w:rPr>
        <w:t>ELIGIO IXPANCOC</w:t>
      </w:r>
    </w:p>
    <w:sectPr w:rsidR="003B49C8" w:rsidRPr="003B49C8">
      <w:type w:val="continuous"/>
      <w:pgSz w:w="12240" w:h="15840"/>
      <w:pgMar w:top="1040" w:right="1974" w:bottom="4231" w:left="2089" w:header="720" w:footer="720" w:gutter="0"/>
      <w:cols w:num="2" w:space="0" w:equalWidth="0">
        <w:col w:w="3820" w:space="477"/>
        <w:col w:w="38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A4"/>
    <w:rsid w:val="003B49C8"/>
    <w:rsid w:val="007A066C"/>
    <w:rsid w:val="00C14DA4"/>
    <w:rsid w:val="00C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0ED0F3-69C1-4C0A-BEE5-CCC381E0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Lorena Ramirez Alvarez</dc:creator>
  <cp:lastModifiedBy>Wendy Lorena Ramirez Alvarez</cp:lastModifiedBy>
  <cp:revision>3</cp:revision>
  <dcterms:created xsi:type="dcterms:W3CDTF">2021-01-20T18:05:00Z</dcterms:created>
  <dcterms:modified xsi:type="dcterms:W3CDTF">2021-01-21T15:09:00Z</dcterms:modified>
</cp:coreProperties>
</file>