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29AE" w14:textId="77777777" w:rsidR="00CA6FCF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>
        <w:rPr>
          <w:b/>
          <w:sz w:val="24"/>
        </w:rPr>
        <w:t xml:space="preserve">MINISTERIO DE EDUCACIÓN AUDITORIA INTERNA </w:t>
      </w:r>
    </w:p>
    <w:p w14:paraId="4234B474" w14:textId="77777777" w:rsidR="00A255F0" w:rsidRDefault="00EB12F7" w:rsidP="00EB12F7">
      <w:pPr>
        <w:spacing w:line="290" w:lineRule="auto"/>
        <w:ind w:right="34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177A94">
        <w:rPr>
          <w:b/>
          <w:sz w:val="24"/>
        </w:rPr>
        <w:t xml:space="preserve">Informe </w:t>
      </w:r>
      <w:r w:rsidR="00A255F0">
        <w:rPr>
          <w:b/>
          <w:sz w:val="24"/>
        </w:rPr>
        <w:t>O</w:t>
      </w:r>
      <w:r w:rsidR="00177A94">
        <w:rPr>
          <w:b/>
          <w:sz w:val="24"/>
        </w:rPr>
        <w:t>-</w:t>
      </w:r>
      <w:r w:rsidR="00A255F0">
        <w:rPr>
          <w:b/>
          <w:sz w:val="24"/>
        </w:rPr>
        <w:t>DIDAI/SUB</w:t>
      </w:r>
      <w:r w:rsidR="0058670E">
        <w:rPr>
          <w:b/>
          <w:sz w:val="24"/>
        </w:rPr>
        <w:t>-</w:t>
      </w:r>
      <w:r w:rsidR="00514BCE">
        <w:rPr>
          <w:b/>
          <w:sz w:val="24"/>
        </w:rPr>
        <w:t>122</w:t>
      </w:r>
      <w:r w:rsidR="00A255F0">
        <w:rPr>
          <w:b/>
          <w:sz w:val="24"/>
        </w:rPr>
        <w:t>-2022</w:t>
      </w:r>
    </w:p>
    <w:p w14:paraId="7AFBA17A" w14:textId="77777777" w:rsidR="00177A94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SIAD </w:t>
      </w:r>
      <w:r w:rsidR="00514BCE">
        <w:rPr>
          <w:b/>
          <w:sz w:val="24"/>
        </w:rPr>
        <w:t>608182</w:t>
      </w:r>
    </w:p>
    <w:p w14:paraId="226EAF45" w14:textId="77777777" w:rsidR="00CA6FCF" w:rsidRDefault="00CA6FCF">
      <w:pPr>
        <w:pStyle w:val="Textoindependiente"/>
        <w:rPr>
          <w:b/>
          <w:sz w:val="26"/>
        </w:rPr>
      </w:pPr>
    </w:p>
    <w:p w14:paraId="0B46BDEA" w14:textId="77777777" w:rsidR="00CA6FCF" w:rsidRDefault="00EB12F7">
      <w:pPr>
        <w:pStyle w:val="Textoindependiente"/>
        <w:rPr>
          <w:b/>
          <w:sz w:val="26"/>
        </w:rPr>
      </w:pPr>
      <w:r>
        <w:rPr>
          <w:b/>
          <w:sz w:val="26"/>
        </w:rPr>
        <w:t xml:space="preserve">   </w:t>
      </w:r>
    </w:p>
    <w:p w14:paraId="33F0774D" w14:textId="77777777" w:rsidR="00CA6FCF" w:rsidRDefault="00CA6FCF">
      <w:pPr>
        <w:pStyle w:val="Textoindependiente"/>
        <w:rPr>
          <w:b/>
          <w:sz w:val="26"/>
        </w:rPr>
      </w:pPr>
    </w:p>
    <w:p w14:paraId="2B1D8EC7" w14:textId="77777777" w:rsidR="00CA6FCF" w:rsidRDefault="00CA6FCF">
      <w:pPr>
        <w:pStyle w:val="Textoindependiente"/>
        <w:rPr>
          <w:b/>
          <w:sz w:val="26"/>
        </w:rPr>
      </w:pPr>
    </w:p>
    <w:p w14:paraId="27FB3EE9" w14:textId="77777777" w:rsidR="00CA6FCF" w:rsidRDefault="00CA6FCF">
      <w:pPr>
        <w:pStyle w:val="Textoindependiente"/>
        <w:rPr>
          <w:b/>
          <w:sz w:val="26"/>
        </w:rPr>
      </w:pPr>
    </w:p>
    <w:p w14:paraId="6CA94995" w14:textId="77777777" w:rsidR="00CA6FCF" w:rsidRDefault="00CA6FCF">
      <w:pPr>
        <w:pStyle w:val="Textoindependiente"/>
        <w:rPr>
          <w:b/>
          <w:sz w:val="26"/>
        </w:rPr>
      </w:pPr>
    </w:p>
    <w:p w14:paraId="3578CA46" w14:textId="77777777" w:rsidR="00CA6FCF" w:rsidRDefault="00CA6FCF">
      <w:pPr>
        <w:pStyle w:val="Textoindependiente"/>
        <w:rPr>
          <w:b/>
          <w:sz w:val="26"/>
        </w:rPr>
      </w:pPr>
    </w:p>
    <w:p w14:paraId="75F49DB1" w14:textId="77777777" w:rsidR="00CA6FCF" w:rsidRDefault="00CA6FCF">
      <w:pPr>
        <w:pStyle w:val="Textoindependiente"/>
        <w:rPr>
          <w:b/>
          <w:sz w:val="26"/>
        </w:rPr>
      </w:pPr>
    </w:p>
    <w:p w14:paraId="44528D55" w14:textId="77777777" w:rsidR="00CA6FCF" w:rsidRDefault="00CA6FCF">
      <w:pPr>
        <w:pStyle w:val="Textoindependiente"/>
        <w:rPr>
          <w:b/>
          <w:sz w:val="26"/>
        </w:rPr>
      </w:pPr>
    </w:p>
    <w:p w14:paraId="2E04BD70" w14:textId="77777777" w:rsidR="00CA6FCF" w:rsidRDefault="00CA6FCF">
      <w:pPr>
        <w:pStyle w:val="Textoindependiente"/>
        <w:rPr>
          <w:b/>
          <w:sz w:val="26"/>
        </w:rPr>
      </w:pPr>
    </w:p>
    <w:p w14:paraId="06E43713" w14:textId="77777777" w:rsidR="00CA6FCF" w:rsidRDefault="00CA6FCF">
      <w:pPr>
        <w:pStyle w:val="Textoindependiente"/>
        <w:rPr>
          <w:b/>
          <w:sz w:val="26"/>
        </w:rPr>
      </w:pPr>
    </w:p>
    <w:p w14:paraId="7C218F04" w14:textId="77777777" w:rsidR="00CA6FCF" w:rsidRDefault="00CA6FCF">
      <w:pPr>
        <w:pStyle w:val="Textoindependiente"/>
        <w:rPr>
          <w:b/>
          <w:sz w:val="26"/>
        </w:rPr>
      </w:pPr>
    </w:p>
    <w:p w14:paraId="2E7898B8" w14:textId="77777777" w:rsidR="00CA6FCF" w:rsidRDefault="00CA6FCF">
      <w:pPr>
        <w:pStyle w:val="Textoindependiente"/>
        <w:rPr>
          <w:b/>
          <w:sz w:val="26"/>
        </w:rPr>
      </w:pPr>
    </w:p>
    <w:p w14:paraId="6387A5E1" w14:textId="77777777" w:rsidR="00CA6FCF" w:rsidRDefault="00CA6FCF">
      <w:pPr>
        <w:pStyle w:val="Textoindependiente"/>
        <w:rPr>
          <w:b/>
          <w:sz w:val="26"/>
        </w:rPr>
      </w:pPr>
    </w:p>
    <w:p w14:paraId="65F39D2D" w14:textId="77777777" w:rsidR="00CA6FCF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>
        <w:rPr>
          <w:b/>
          <w:sz w:val="24"/>
        </w:rPr>
        <w:t xml:space="preserve">Consejo o consultoría </w:t>
      </w:r>
      <w:r w:rsidR="00514BCE">
        <w:rPr>
          <w:b/>
          <w:sz w:val="24"/>
        </w:rPr>
        <w:t>de arqueo de fondo rotativo, caja chica y cupones de combustible</w:t>
      </w:r>
      <w:r w:rsidR="00345AA4">
        <w:rPr>
          <w:b/>
          <w:sz w:val="24"/>
        </w:rPr>
        <w:t xml:space="preserve">, en </w:t>
      </w:r>
      <w:r w:rsidR="00514BCE">
        <w:rPr>
          <w:b/>
          <w:sz w:val="24"/>
        </w:rPr>
        <w:t>el Jurado Nacional de Oposición</w:t>
      </w:r>
      <w:r w:rsidR="00596353">
        <w:rPr>
          <w:b/>
          <w:sz w:val="24"/>
        </w:rPr>
        <w:t xml:space="preserve"> -JNO-</w:t>
      </w:r>
    </w:p>
    <w:p w14:paraId="4DE1AB87" w14:textId="77777777" w:rsidR="00CA6FCF" w:rsidRDefault="00CA6FCF">
      <w:pPr>
        <w:pStyle w:val="Textoindependiente"/>
        <w:rPr>
          <w:b/>
          <w:sz w:val="20"/>
        </w:rPr>
      </w:pPr>
    </w:p>
    <w:p w14:paraId="657E2E43" w14:textId="77777777" w:rsidR="00CA6FCF" w:rsidRDefault="00CA6FCF">
      <w:pPr>
        <w:pStyle w:val="Textoindependiente"/>
        <w:rPr>
          <w:b/>
          <w:sz w:val="20"/>
        </w:rPr>
      </w:pPr>
    </w:p>
    <w:p w14:paraId="34C1A079" w14:textId="77777777" w:rsidR="00CA6FCF" w:rsidRDefault="00CA6FCF">
      <w:pPr>
        <w:pStyle w:val="Textoindependiente"/>
        <w:rPr>
          <w:b/>
          <w:sz w:val="20"/>
        </w:rPr>
      </w:pPr>
    </w:p>
    <w:p w14:paraId="03361D86" w14:textId="77777777" w:rsidR="00CA6FCF" w:rsidRDefault="00CA6FCF">
      <w:pPr>
        <w:pStyle w:val="Textoindependiente"/>
        <w:rPr>
          <w:b/>
          <w:sz w:val="20"/>
        </w:rPr>
      </w:pPr>
    </w:p>
    <w:p w14:paraId="4E174FCE" w14:textId="77777777" w:rsidR="00CA6FCF" w:rsidRDefault="00CA6FCF">
      <w:pPr>
        <w:pStyle w:val="Textoindependiente"/>
        <w:rPr>
          <w:b/>
          <w:sz w:val="20"/>
        </w:rPr>
      </w:pPr>
    </w:p>
    <w:p w14:paraId="6F5D7F88" w14:textId="77777777" w:rsidR="00CA6FCF" w:rsidRDefault="00CA6FCF">
      <w:pPr>
        <w:pStyle w:val="Textoindependiente"/>
        <w:rPr>
          <w:b/>
          <w:sz w:val="20"/>
        </w:rPr>
      </w:pPr>
    </w:p>
    <w:p w14:paraId="70F27240" w14:textId="77777777" w:rsidR="00CA6FCF" w:rsidRDefault="00CA6FCF">
      <w:pPr>
        <w:pStyle w:val="Textoindependiente"/>
        <w:rPr>
          <w:b/>
          <w:sz w:val="20"/>
        </w:rPr>
      </w:pPr>
    </w:p>
    <w:p w14:paraId="2015E62E" w14:textId="77777777" w:rsidR="00CA6FCF" w:rsidRDefault="00CA6FCF">
      <w:pPr>
        <w:pStyle w:val="Textoindependiente"/>
        <w:rPr>
          <w:b/>
          <w:sz w:val="20"/>
        </w:rPr>
      </w:pPr>
    </w:p>
    <w:p w14:paraId="032C3FF7" w14:textId="77777777" w:rsidR="00CA6FCF" w:rsidRDefault="00CA6FCF">
      <w:pPr>
        <w:pStyle w:val="Textoindependiente"/>
        <w:rPr>
          <w:b/>
          <w:sz w:val="20"/>
        </w:rPr>
      </w:pPr>
    </w:p>
    <w:p w14:paraId="539EA49F" w14:textId="77777777" w:rsidR="00CA6FCF" w:rsidRDefault="00CA6FCF">
      <w:pPr>
        <w:pStyle w:val="Textoindependiente"/>
        <w:rPr>
          <w:b/>
          <w:sz w:val="20"/>
        </w:rPr>
      </w:pPr>
    </w:p>
    <w:p w14:paraId="081E42F5" w14:textId="77777777" w:rsidR="00CA6FCF" w:rsidRDefault="00CA6FCF">
      <w:pPr>
        <w:pStyle w:val="Textoindependiente"/>
        <w:rPr>
          <w:b/>
          <w:sz w:val="20"/>
        </w:rPr>
      </w:pPr>
    </w:p>
    <w:p w14:paraId="0BFB574C" w14:textId="77777777" w:rsidR="00CA6FCF" w:rsidRDefault="00CA6FCF">
      <w:pPr>
        <w:pStyle w:val="Textoindependiente"/>
        <w:rPr>
          <w:b/>
          <w:sz w:val="20"/>
        </w:rPr>
      </w:pPr>
    </w:p>
    <w:p w14:paraId="4450AB1E" w14:textId="77777777" w:rsidR="00CA6FCF" w:rsidRDefault="00CA6FCF">
      <w:pPr>
        <w:pStyle w:val="Textoindependiente"/>
        <w:rPr>
          <w:b/>
          <w:sz w:val="20"/>
        </w:rPr>
      </w:pPr>
    </w:p>
    <w:p w14:paraId="65C173B0" w14:textId="77777777" w:rsidR="00CA6FCF" w:rsidRDefault="00CA6FCF">
      <w:pPr>
        <w:pStyle w:val="Textoindependiente"/>
        <w:rPr>
          <w:b/>
          <w:sz w:val="20"/>
        </w:rPr>
      </w:pPr>
    </w:p>
    <w:p w14:paraId="49802651" w14:textId="77777777" w:rsidR="00CA6FCF" w:rsidRDefault="00CA6FCF">
      <w:pPr>
        <w:pStyle w:val="Textoindependiente"/>
        <w:rPr>
          <w:b/>
          <w:sz w:val="20"/>
        </w:rPr>
      </w:pPr>
    </w:p>
    <w:p w14:paraId="544AC32C" w14:textId="77777777" w:rsidR="00CA6FCF" w:rsidRDefault="00CA6FCF">
      <w:pPr>
        <w:pStyle w:val="Textoindependiente"/>
        <w:rPr>
          <w:b/>
          <w:sz w:val="20"/>
        </w:rPr>
      </w:pPr>
    </w:p>
    <w:p w14:paraId="532E4F57" w14:textId="77777777" w:rsidR="00CA6FCF" w:rsidRDefault="00CA6FCF">
      <w:pPr>
        <w:pStyle w:val="Textoindependiente"/>
        <w:rPr>
          <w:b/>
          <w:sz w:val="20"/>
        </w:rPr>
      </w:pPr>
    </w:p>
    <w:p w14:paraId="32A6AD13" w14:textId="77777777" w:rsidR="00CA6FCF" w:rsidRDefault="00CA6FCF">
      <w:pPr>
        <w:pStyle w:val="Textoindependiente"/>
        <w:rPr>
          <w:b/>
          <w:sz w:val="20"/>
        </w:rPr>
      </w:pPr>
    </w:p>
    <w:p w14:paraId="3F4A7E08" w14:textId="77777777" w:rsidR="00CA6FCF" w:rsidRDefault="00CA6FCF">
      <w:pPr>
        <w:pStyle w:val="Textoindependiente"/>
        <w:rPr>
          <w:b/>
          <w:sz w:val="20"/>
        </w:rPr>
      </w:pPr>
    </w:p>
    <w:p w14:paraId="27D1C15D" w14:textId="77777777" w:rsidR="00CA6FCF" w:rsidRDefault="00CA6FCF">
      <w:pPr>
        <w:pStyle w:val="Textoindependiente"/>
        <w:rPr>
          <w:b/>
          <w:sz w:val="20"/>
        </w:rPr>
      </w:pPr>
    </w:p>
    <w:p w14:paraId="34F3D910" w14:textId="77777777" w:rsidR="00CA6FCF" w:rsidRDefault="00CA6FCF">
      <w:pPr>
        <w:pStyle w:val="Textoindependiente"/>
        <w:rPr>
          <w:b/>
          <w:sz w:val="20"/>
        </w:rPr>
      </w:pPr>
    </w:p>
    <w:p w14:paraId="09DB1135" w14:textId="77777777" w:rsidR="00CA6FCF" w:rsidRDefault="00CA6FCF">
      <w:pPr>
        <w:pStyle w:val="Textoindependiente"/>
        <w:rPr>
          <w:b/>
          <w:sz w:val="20"/>
        </w:rPr>
      </w:pPr>
    </w:p>
    <w:p w14:paraId="342FE24A" w14:textId="77777777" w:rsidR="00CA6FCF" w:rsidRDefault="00CA6FCF">
      <w:pPr>
        <w:pStyle w:val="Textoindependiente"/>
        <w:rPr>
          <w:b/>
          <w:sz w:val="20"/>
        </w:rPr>
      </w:pPr>
    </w:p>
    <w:p w14:paraId="2C090807" w14:textId="77777777" w:rsidR="00CA6FCF" w:rsidRDefault="00CA6FCF">
      <w:pPr>
        <w:pStyle w:val="Textoindependiente"/>
        <w:rPr>
          <w:b/>
          <w:sz w:val="20"/>
        </w:rPr>
      </w:pPr>
    </w:p>
    <w:p w14:paraId="7185B188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30F8A911" w14:textId="77777777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514BCE">
        <w:rPr>
          <w:b/>
          <w:sz w:val="24"/>
        </w:rPr>
        <w:t>AGOSTO</w:t>
      </w:r>
      <w:r w:rsidR="00EB12F7">
        <w:rPr>
          <w:b/>
          <w:sz w:val="24"/>
        </w:rPr>
        <w:t xml:space="preserve">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4E7AB1FD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40B1552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483DBF88" w14:textId="77777777" w:rsidR="00CA6FCF" w:rsidRDefault="00A250B6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03E9AEF5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36E9ABB8" w14:textId="77777777" w:rsidR="00CA6FCF" w:rsidRDefault="00A250B6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3D6D8CF5" w14:textId="77777777" w:rsidR="00CA6FCF" w:rsidRDefault="00A250B6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</w:t>
            </w:r>
            <w:r w:rsidR="00045632">
              <w:t>T</w:t>
            </w:r>
            <w:r w:rsidR="00345AA4">
              <w:t>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2EC5680D" w14:textId="77777777" w:rsidR="00CA6FCF" w:rsidRDefault="00514BCE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r>
            <w:rPr>
              <w:position w:val="-3"/>
            </w:rPr>
            <w:t xml:space="preserve">ANEXOS                                                                                                        </w:t>
          </w:r>
          <w:r w:rsidRPr="003726D3">
            <w:rPr>
              <w:b w:val="0"/>
              <w:position w:val="-3"/>
            </w:rPr>
            <w:t>5</w:t>
          </w:r>
        </w:p>
      </w:sdtContent>
    </w:sdt>
    <w:p w14:paraId="6635746A" w14:textId="77777777" w:rsidR="00CA6FCF" w:rsidRDefault="00CA6FCF">
      <w:pPr>
        <w:pStyle w:val="Textoindependiente"/>
        <w:rPr>
          <w:sz w:val="20"/>
        </w:rPr>
      </w:pPr>
    </w:p>
    <w:p w14:paraId="2BC00177" w14:textId="77777777" w:rsidR="00CA6FCF" w:rsidRDefault="00CA6FCF">
      <w:pPr>
        <w:pStyle w:val="Textoindependiente"/>
        <w:rPr>
          <w:sz w:val="20"/>
        </w:rPr>
      </w:pPr>
    </w:p>
    <w:p w14:paraId="00050ED9" w14:textId="77777777" w:rsidR="00CA6FCF" w:rsidRDefault="00CA6FCF">
      <w:pPr>
        <w:pStyle w:val="Textoindependiente"/>
        <w:rPr>
          <w:sz w:val="20"/>
        </w:rPr>
      </w:pPr>
    </w:p>
    <w:p w14:paraId="5D173B6D" w14:textId="77777777" w:rsidR="00CA6FCF" w:rsidRDefault="00CA6FCF">
      <w:pPr>
        <w:pStyle w:val="Textoindependiente"/>
        <w:rPr>
          <w:sz w:val="20"/>
        </w:rPr>
      </w:pPr>
    </w:p>
    <w:p w14:paraId="5F4F9EF6" w14:textId="77777777" w:rsidR="00CA6FCF" w:rsidRDefault="00CA6FCF">
      <w:pPr>
        <w:pStyle w:val="Textoindependiente"/>
        <w:rPr>
          <w:sz w:val="20"/>
        </w:rPr>
      </w:pPr>
    </w:p>
    <w:p w14:paraId="0C922D52" w14:textId="77777777" w:rsidR="00CA6FCF" w:rsidRDefault="00CA6FCF">
      <w:pPr>
        <w:pStyle w:val="Textoindependiente"/>
        <w:rPr>
          <w:sz w:val="20"/>
        </w:rPr>
      </w:pPr>
    </w:p>
    <w:p w14:paraId="5EE1501E" w14:textId="77777777" w:rsidR="00CA6FCF" w:rsidRDefault="00CA6FCF">
      <w:pPr>
        <w:pStyle w:val="Textoindependiente"/>
        <w:rPr>
          <w:sz w:val="20"/>
        </w:rPr>
      </w:pPr>
    </w:p>
    <w:p w14:paraId="04CB8AFC" w14:textId="77777777" w:rsidR="00CA6FCF" w:rsidRDefault="00CA6FCF">
      <w:pPr>
        <w:pStyle w:val="Textoindependiente"/>
        <w:rPr>
          <w:sz w:val="20"/>
        </w:rPr>
      </w:pPr>
    </w:p>
    <w:p w14:paraId="0F9F913C" w14:textId="77777777" w:rsidR="00CA6FCF" w:rsidRDefault="00CA6FCF">
      <w:pPr>
        <w:pStyle w:val="Textoindependiente"/>
        <w:rPr>
          <w:sz w:val="20"/>
        </w:rPr>
      </w:pPr>
    </w:p>
    <w:p w14:paraId="77935A4C" w14:textId="77777777" w:rsidR="00CA6FCF" w:rsidRDefault="00CA6FCF">
      <w:pPr>
        <w:pStyle w:val="Textoindependiente"/>
        <w:rPr>
          <w:sz w:val="20"/>
        </w:rPr>
      </w:pPr>
    </w:p>
    <w:p w14:paraId="6AFC1BF4" w14:textId="77777777" w:rsidR="00CA6FCF" w:rsidRDefault="00CA6FCF">
      <w:pPr>
        <w:pStyle w:val="Textoindependiente"/>
        <w:rPr>
          <w:sz w:val="20"/>
        </w:rPr>
      </w:pPr>
    </w:p>
    <w:p w14:paraId="64C953B4" w14:textId="77777777" w:rsidR="00CA6FCF" w:rsidRDefault="00CA6FCF">
      <w:pPr>
        <w:pStyle w:val="Textoindependiente"/>
        <w:rPr>
          <w:sz w:val="20"/>
        </w:rPr>
      </w:pPr>
    </w:p>
    <w:p w14:paraId="1A9D082B" w14:textId="77777777" w:rsidR="00CA6FCF" w:rsidRDefault="00CA6FCF">
      <w:pPr>
        <w:pStyle w:val="Textoindependiente"/>
        <w:rPr>
          <w:sz w:val="20"/>
        </w:rPr>
      </w:pPr>
    </w:p>
    <w:p w14:paraId="154F230E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180083DD" w14:textId="77777777" w:rsidR="00CA6FCF" w:rsidRDefault="00CA6FCF">
      <w:pPr>
        <w:pStyle w:val="Textoindependiente"/>
        <w:rPr>
          <w:sz w:val="20"/>
        </w:rPr>
      </w:pPr>
    </w:p>
    <w:p w14:paraId="66CF7C77" w14:textId="77777777" w:rsidR="00CA6FCF" w:rsidRDefault="00CA6FCF">
      <w:pPr>
        <w:pStyle w:val="Textoindependiente"/>
        <w:rPr>
          <w:sz w:val="20"/>
        </w:rPr>
      </w:pPr>
    </w:p>
    <w:p w14:paraId="40E6D080" w14:textId="77777777" w:rsidR="00CA6FCF" w:rsidRDefault="00CA6FCF">
      <w:pPr>
        <w:pStyle w:val="Textoindependiente"/>
        <w:rPr>
          <w:sz w:val="20"/>
        </w:rPr>
      </w:pPr>
    </w:p>
    <w:p w14:paraId="71D98E39" w14:textId="77777777" w:rsidR="00CA6FCF" w:rsidRDefault="00CA6FCF">
      <w:pPr>
        <w:pStyle w:val="Textoindependiente"/>
        <w:rPr>
          <w:sz w:val="20"/>
        </w:rPr>
      </w:pPr>
    </w:p>
    <w:p w14:paraId="423204BD" w14:textId="77777777" w:rsidR="00CA6FCF" w:rsidRDefault="00CA6FCF">
      <w:pPr>
        <w:pStyle w:val="Textoindependiente"/>
        <w:rPr>
          <w:sz w:val="20"/>
        </w:rPr>
      </w:pPr>
    </w:p>
    <w:p w14:paraId="13EC8D05" w14:textId="77777777" w:rsidR="00CA6FCF" w:rsidRDefault="00CA6FCF">
      <w:pPr>
        <w:pStyle w:val="Textoindependiente"/>
        <w:rPr>
          <w:sz w:val="20"/>
        </w:rPr>
      </w:pPr>
    </w:p>
    <w:p w14:paraId="74EAC1CB" w14:textId="77777777" w:rsidR="00CA6FCF" w:rsidRDefault="00CA6FCF">
      <w:pPr>
        <w:pStyle w:val="Textoindependiente"/>
        <w:rPr>
          <w:sz w:val="20"/>
        </w:rPr>
      </w:pPr>
    </w:p>
    <w:p w14:paraId="6D1985CD" w14:textId="77777777" w:rsidR="00CA6FCF" w:rsidRDefault="00CA6FCF">
      <w:pPr>
        <w:pStyle w:val="Textoindependiente"/>
        <w:rPr>
          <w:sz w:val="20"/>
        </w:rPr>
      </w:pPr>
    </w:p>
    <w:p w14:paraId="072EE976" w14:textId="77777777" w:rsidR="00CA6FCF" w:rsidRDefault="00CA6FCF">
      <w:pPr>
        <w:pStyle w:val="Textoindependiente"/>
        <w:rPr>
          <w:sz w:val="20"/>
        </w:rPr>
      </w:pPr>
    </w:p>
    <w:p w14:paraId="2DBEFB35" w14:textId="77777777" w:rsidR="00CA6FCF" w:rsidRDefault="00CA6FCF">
      <w:pPr>
        <w:pStyle w:val="Textoindependiente"/>
        <w:rPr>
          <w:sz w:val="20"/>
        </w:rPr>
      </w:pPr>
    </w:p>
    <w:p w14:paraId="12B7E198" w14:textId="77777777" w:rsidR="00CA6FCF" w:rsidRDefault="00CA6FCF">
      <w:pPr>
        <w:pStyle w:val="Textoindependiente"/>
        <w:rPr>
          <w:sz w:val="20"/>
        </w:rPr>
      </w:pPr>
    </w:p>
    <w:p w14:paraId="335646AE" w14:textId="77777777" w:rsidR="00CA6FCF" w:rsidRDefault="00CA6FCF">
      <w:pPr>
        <w:pStyle w:val="Textoindependiente"/>
        <w:rPr>
          <w:sz w:val="20"/>
        </w:rPr>
      </w:pPr>
    </w:p>
    <w:p w14:paraId="0FE25F79" w14:textId="77777777" w:rsidR="00CA6FCF" w:rsidRDefault="00CA6FCF">
      <w:pPr>
        <w:pStyle w:val="Textoindependiente"/>
        <w:rPr>
          <w:sz w:val="20"/>
        </w:rPr>
      </w:pPr>
    </w:p>
    <w:p w14:paraId="7A756BC3" w14:textId="77777777" w:rsidR="00CA6FCF" w:rsidRDefault="00CA6FCF">
      <w:pPr>
        <w:pStyle w:val="Textoindependiente"/>
        <w:rPr>
          <w:sz w:val="20"/>
        </w:rPr>
      </w:pPr>
    </w:p>
    <w:p w14:paraId="05B40AA2" w14:textId="77777777" w:rsidR="00CA6FCF" w:rsidRDefault="00CA6FCF">
      <w:pPr>
        <w:pStyle w:val="Textoindependiente"/>
        <w:rPr>
          <w:sz w:val="20"/>
        </w:rPr>
      </w:pPr>
    </w:p>
    <w:p w14:paraId="6708A6D1" w14:textId="77777777" w:rsidR="00CA6FCF" w:rsidRDefault="00CA6FCF">
      <w:pPr>
        <w:pStyle w:val="Textoindependiente"/>
        <w:rPr>
          <w:sz w:val="20"/>
        </w:rPr>
      </w:pPr>
    </w:p>
    <w:p w14:paraId="51F48215" w14:textId="77777777" w:rsidR="00CA6FCF" w:rsidRDefault="00CA6FCF">
      <w:pPr>
        <w:pStyle w:val="Textoindependiente"/>
        <w:rPr>
          <w:sz w:val="20"/>
        </w:rPr>
      </w:pPr>
    </w:p>
    <w:p w14:paraId="2C2F3785" w14:textId="77777777" w:rsidR="00CA6FCF" w:rsidRDefault="00CA6FCF">
      <w:pPr>
        <w:pStyle w:val="Textoindependiente"/>
        <w:rPr>
          <w:sz w:val="20"/>
        </w:rPr>
      </w:pPr>
    </w:p>
    <w:p w14:paraId="2A71C5A1" w14:textId="77777777" w:rsidR="00CA6FCF" w:rsidRDefault="00CA6FCF">
      <w:pPr>
        <w:pStyle w:val="Textoindependiente"/>
        <w:rPr>
          <w:sz w:val="20"/>
        </w:rPr>
      </w:pPr>
    </w:p>
    <w:p w14:paraId="69B782EF" w14:textId="77777777" w:rsidR="00CA6FCF" w:rsidRDefault="00CA6FCF">
      <w:pPr>
        <w:pStyle w:val="Textoindependiente"/>
        <w:rPr>
          <w:sz w:val="20"/>
        </w:rPr>
      </w:pPr>
    </w:p>
    <w:p w14:paraId="4026F5AC" w14:textId="77777777" w:rsidR="00CA6FCF" w:rsidRDefault="00CA6FCF">
      <w:pPr>
        <w:pStyle w:val="Textoindependiente"/>
        <w:rPr>
          <w:sz w:val="20"/>
        </w:rPr>
      </w:pPr>
    </w:p>
    <w:p w14:paraId="31ABA213" w14:textId="77777777" w:rsidR="00CA6FCF" w:rsidRDefault="00CA6FCF">
      <w:pPr>
        <w:pStyle w:val="Textoindependiente"/>
        <w:rPr>
          <w:sz w:val="20"/>
        </w:rPr>
      </w:pPr>
    </w:p>
    <w:p w14:paraId="20757D88" w14:textId="77777777" w:rsidR="00CA6FCF" w:rsidRDefault="00CA6FCF">
      <w:pPr>
        <w:pStyle w:val="Textoindependiente"/>
        <w:rPr>
          <w:sz w:val="20"/>
        </w:rPr>
      </w:pPr>
    </w:p>
    <w:p w14:paraId="565DA0F3" w14:textId="77777777" w:rsidR="00CA6FCF" w:rsidRDefault="00CA6FCF">
      <w:pPr>
        <w:pStyle w:val="Textoindependiente"/>
        <w:rPr>
          <w:sz w:val="20"/>
        </w:rPr>
      </w:pPr>
    </w:p>
    <w:p w14:paraId="60F45C3F" w14:textId="77777777" w:rsidR="00CA6FCF" w:rsidRDefault="00CA6FCF">
      <w:pPr>
        <w:pStyle w:val="Textoindependiente"/>
        <w:rPr>
          <w:sz w:val="20"/>
        </w:rPr>
      </w:pPr>
    </w:p>
    <w:p w14:paraId="1983D227" w14:textId="77777777" w:rsidR="00CA6FCF" w:rsidRDefault="00CA6FCF">
      <w:pPr>
        <w:pStyle w:val="Textoindependiente"/>
        <w:rPr>
          <w:sz w:val="20"/>
        </w:rPr>
      </w:pPr>
    </w:p>
    <w:p w14:paraId="7121DFE8" w14:textId="77777777" w:rsidR="00CA6FCF" w:rsidRDefault="00CA6FCF">
      <w:pPr>
        <w:pStyle w:val="Textoindependiente"/>
        <w:rPr>
          <w:sz w:val="20"/>
        </w:rPr>
      </w:pPr>
    </w:p>
    <w:p w14:paraId="3B97BAE5" w14:textId="77777777" w:rsidR="00CA6FCF" w:rsidRDefault="00CA6FCF">
      <w:pPr>
        <w:pStyle w:val="Textoindependiente"/>
        <w:rPr>
          <w:sz w:val="20"/>
        </w:rPr>
      </w:pPr>
    </w:p>
    <w:p w14:paraId="46E9C785" w14:textId="77777777" w:rsidR="00CA6FCF" w:rsidRDefault="00CA6FCF">
      <w:pPr>
        <w:pStyle w:val="Textoindependiente"/>
        <w:rPr>
          <w:sz w:val="20"/>
        </w:rPr>
      </w:pPr>
    </w:p>
    <w:p w14:paraId="11981B7A" w14:textId="77777777" w:rsidR="00CA6FCF" w:rsidRDefault="00CA6FCF">
      <w:pPr>
        <w:pStyle w:val="Textoindependiente"/>
        <w:rPr>
          <w:sz w:val="20"/>
        </w:rPr>
      </w:pPr>
    </w:p>
    <w:p w14:paraId="1362C8DA" w14:textId="77777777" w:rsidR="00CA6FCF" w:rsidRDefault="00CA6FCF">
      <w:pPr>
        <w:pStyle w:val="Textoindependiente"/>
        <w:rPr>
          <w:sz w:val="20"/>
        </w:rPr>
      </w:pPr>
    </w:p>
    <w:p w14:paraId="4FC00925" w14:textId="77777777" w:rsidR="00CA6FCF" w:rsidRDefault="00CA6FCF">
      <w:pPr>
        <w:pStyle w:val="Textoindependiente"/>
        <w:spacing w:before="7"/>
        <w:rPr>
          <w:sz w:val="18"/>
        </w:rPr>
      </w:pPr>
    </w:p>
    <w:p w14:paraId="152BA1E4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45EE6C50" w14:textId="77777777" w:rsidR="00514BCE" w:rsidRPr="006F7380" w:rsidRDefault="00514BCE" w:rsidP="00514BCE">
      <w:pPr>
        <w:jc w:val="both"/>
        <w:rPr>
          <w:b/>
        </w:rPr>
      </w:pPr>
      <w:bookmarkStart w:id="0" w:name="_TOC_250003"/>
      <w:bookmarkEnd w:id="0"/>
      <w:r>
        <w:rPr>
          <w:b/>
        </w:rPr>
        <w:lastRenderedPageBreak/>
        <w:t>INTRODUCCIÓN</w:t>
      </w:r>
    </w:p>
    <w:p w14:paraId="66BE13A6" w14:textId="77777777" w:rsidR="00514BCE" w:rsidRDefault="00514BCE" w:rsidP="00514BCE">
      <w:pPr>
        <w:adjustRightInd w:val="0"/>
        <w:jc w:val="both"/>
      </w:pPr>
      <w:r w:rsidRPr="006F7380">
        <w:t xml:space="preserve">De conformidad con el </w:t>
      </w:r>
      <w:r>
        <w:t>nombramiento de auditoría O-DIDAI/SUB-122-2022 de fecha 25 de julio de 2022, fui nombrado para realizar consejo o consultoría de arqueo de fondo rotativo interno, caja chica y cupones de combustible, en el Jurado Nacional de Oposición -JNO-.</w:t>
      </w:r>
    </w:p>
    <w:p w14:paraId="2504B84C" w14:textId="77777777" w:rsidR="00514BCE" w:rsidRPr="006F7380" w:rsidRDefault="00514BCE" w:rsidP="00514BCE">
      <w:pPr>
        <w:adjustRightInd w:val="0"/>
        <w:jc w:val="both"/>
      </w:pPr>
      <w:r w:rsidRPr="006F7380">
        <w:t xml:space="preserve"> </w:t>
      </w:r>
    </w:p>
    <w:p w14:paraId="411F1227" w14:textId="77777777" w:rsidR="00514BCE" w:rsidRPr="009D7582" w:rsidRDefault="00514BCE" w:rsidP="00514BCE">
      <w:pPr>
        <w:adjustRightInd w:val="0"/>
        <w:jc w:val="both"/>
        <w:rPr>
          <w:b/>
        </w:rPr>
      </w:pPr>
      <w:r w:rsidRPr="009D7582">
        <w:rPr>
          <w:b/>
        </w:rPr>
        <w:t>OBJETIVOS</w:t>
      </w:r>
    </w:p>
    <w:p w14:paraId="60083423" w14:textId="77777777" w:rsidR="00514BCE" w:rsidRDefault="00514BCE" w:rsidP="00514BCE">
      <w:pPr>
        <w:adjustRightInd w:val="0"/>
        <w:jc w:val="both"/>
      </w:pPr>
    </w:p>
    <w:p w14:paraId="35C517FB" w14:textId="77777777" w:rsidR="00514BCE" w:rsidRPr="009D7582" w:rsidRDefault="00514BCE" w:rsidP="00514BCE">
      <w:pPr>
        <w:adjustRightInd w:val="0"/>
        <w:jc w:val="both"/>
        <w:rPr>
          <w:b/>
        </w:rPr>
      </w:pPr>
      <w:r w:rsidRPr="009D7582">
        <w:rPr>
          <w:b/>
        </w:rPr>
        <w:t>GENERAL</w:t>
      </w:r>
    </w:p>
    <w:p w14:paraId="6535B5EC" w14:textId="77777777" w:rsidR="00514BCE" w:rsidRDefault="00514BCE" w:rsidP="00514BCE">
      <w:pPr>
        <w:adjustRightInd w:val="0"/>
        <w:jc w:val="both"/>
      </w:pPr>
    </w:p>
    <w:p w14:paraId="58911259" w14:textId="77777777" w:rsidR="00514BCE" w:rsidRPr="006F7380" w:rsidRDefault="00514BCE" w:rsidP="00514BCE">
      <w:pPr>
        <w:adjustRightInd w:val="0"/>
        <w:jc w:val="both"/>
      </w:pPr>
      <w:r>
        <w:t xml:space="preserve">Practicar arqueos de fondo rotativo interno, caja chica y cupones de combustible para verificar el cumplimiento de la normativa y procedimientos de control interno. </w:t>
      </w:r>
    </w:p>
    <w:p w14:paraId="5079C496" w14:textId="77777777" w:rsidR="00514BCE" w:rsidRPr="006F7380" w:rsidRDefault="00514BCE" w:rsidP="00514BCE">
      <w:pPr>
        <w:adjustRightInd w:val="0"/>
        <w:jc w:val="both"/>
      </w:pPr>
    </w:p>
    <w:p w14:paraId="6A7789AD" w14:textId="77777777" w:rsidR="00514BCE" w:rsidRPr="006F7380" w:rsidRDefault="00514BCE" w:rsidP="00514BCE">
      <w:pPr>
        <w:adjustRightInd w:val="0"/>
        <w:jc w:val="both"/>
        <w:rPr>
          <w:b/>
        </w:rPr>
      </w:pPr>
      <w:r w:rsidRPr="006F7380">
        <w:rPr>
          <w:b/>
        </w:rPr>
        <w:t>ESPECIFICOS</w:t>
      </w:r>
    </w:p>
    <w:p w14:paraId="06E9B43A" w14:textId="77777777" w:rsidR="00514BCE" w:rsidRDefault="00514BCE" w:rsidP="00514BCE">
      <w:pPr>
        <w:adjustRightInd w:val="0"/>
        <w:jc w:val="both"/>
      </w:pPr>
    </w:p>
    <w:p w14:paraId="4EB3CAA5" w14:textId="77777777" w:rsidR="00514BCE" w:rsidRDefault="00514BCE" w:rsidP="00514BCE">
      <w:pPr>
        <w:adjustRightInd w:val="0"/>
        <w:jc w:val="both"/>
      </w:pPr>
      <w:r w:rsidRPr="00581C95">
        <w:t>Verificar el cumplimiento de la normativa legal aplicable y procedimientos internos establecidos en la página del Sistema de Gestión de Calidad.</w:t>
      </w:r>
    </w:p>
    <w:p w14:paraId="6271F0E9" w14:textId="77777777" w:rsidR="00514BCE" w:rsidRPr="00581C95" w:rsidRDefault="00514BCE" w:rsidP="00514BCE">
      <w:pPr>
        <w:adjustRightInd w:val="0"/>
        <w:jc w:val="both"/>
      </w:pPr>
    </w:p>
    <w:p w14:paraId="4833F3BC" w14:textId="77777777" w:rsidR="00514BCE" w:rsidRDefault="00514BCE" w:rsidP="00514BCE">
      <w:pPr>
        <w:adjustRightInd w:val="0"/>
        <w:jc w:val="both"/>
      </w:pPr>
      <w:r w:rsidRPr="00581C95">
        <w:t>Verificar si se utiliza el Sistema de Gestión Financiera para registro de las operaciones de caja y bancos.</w:t>
      </w:r>
    </w:p>
    <w:p w14:paraId="0C1A4C04" w14:textId="77777777" w:rsidR="00514BCE" w:rsidRPr="00581C95" w:rsidRDefault="00514BCE" w:rsidP="00514BCE">
      <w:pPr>
        <w:adjustRightInd w:val="0"/>
        <w:jc w:val="both"/>
      </w:pPr>
    </w:p>
    <w:p w14:paraId="67E2EB53" w14:textId="77777777" w:rsidR="00514BCE" w:rsidRDefault="00514BCE" w:rsidP="00514BCE">
      <w:pPr>
        <w:adjustRightInd w:val="0"/>
        <w:jc w:val="both"/>
      </w:pPr>
      <w:r w:rsidRPr="00581C95">
        <w:t>Verificar si el personal que tiene a cargo los fondos, está debidamente nombrado.</w:t>
      </w:r>
    </w:p>
    <w:p w14:paraId="076AC000" w14:textId="77777777" w:rsidR="00514BCE" w:rsidRPr="00581C95" w:rsidRDefault="00514BCE" w:rsidP="00514BCE">
      <w:pPr>
        <w:adjustRightInd w:val="0"/>
        <w:jc w:val="both"/>
      </w:pPr>
    </w:p>
    <w:p w14:paraId="2554623F" w14:textId="77777777" w:rsidR="00514BCE" w:rsidRDefault="00514BCE" w:rsidP="00514BCE">
      <w:pPr>
        <w:adjustRightInd w:val="0"/>
        <w:jc w:val="both"/>
      </w:pPr>
      <w:r w:rsidRPr="00581C95">
        <w:t>Practicar arqueos en la fecha de presentación a la unidad ejecutora.</w:t>
      </w:r>
    </w:p>
    <w:p w14:paraId="3149BEBD" w14:textId="77777777" w:rsidR="00514BCE" w:rsidRPr="00581C95" w:rsidRDefault="00514BCE" w:rsidP="00514BCE">
      <w:pPr>
        <w:adjustRightInd w:val="0"/>
        <w:jc w:val="both"/>
      </w:pPr>
    </w:p>
    <w:p w14:paraId="752726CF" w14:textId="77777777" w:rsidR="00514BCE" w:rsidRPr="00581C95" w:rsidRDefault="00514BCE" w:rsidP="00514BCE">
      <w:pPr>
        <w:adjustRightInd w:val="0"/>
        <w:jc w:val="both"/>
      </w:pPr>
      <w:r w:rsidRPr="00581C95">
        <w:t>Verificar si el personal responsable cauciona fianza.</w:t>
      </w:r>
    </w:p>
    <w:p w14:paraId="7A08BE58" w14:textId="77777777" w:rsidR="00514BCE" w:rsidRPr="008542A2" w:rsidRDefault="00514BCE" w:rsidP="00514BCE">
      <w:pPr>
        <w:pStyle w:val="Prrafodelista"/>
        <w:adjustRightInd w:val="0"/>
        <w:jc w:val="both"/>
      </w:pPr>
    </w:p>
    <w:p w14:paraId="3C7B2C95" w14:textId="77777777" w:rsidR="00514BCE" w:rsidRPr="006F7380" w:rsidRDefault="00514BCE" w:rsidP="00514BCE">
      <w:pPr>
        <w:adjustRightInd w:val="0"/>
        <w:jc w:val="both"/>
        <w:rPr>
          <w:b/>
        </w:rPr>
      </w:pPr>
      <w:r w:rsidRPr="006F7380">
        <w:rPr>
          <w:b/>
        </w:rPr>
        <w:t>ALCANCE</w:t>
      </w:r>
      <w:r>
        <w:rPr>
          <w:b/>
        </w:rPr>
        <w:t xml:space="preserve"> DE LA ACTIVIDAD</w:t>
      </w:r>
    </w:p>
    <w:p w14:paraId="5C6A1849" w14:textId="77777777" w:rsidR="00514BCE" w:rsidRPr="006F7380" w:rsidRDefault="00514BCE" w:rsidP="00514BCE">
      <w:pPr>
        <w:adjustRightInd w:val="0"/>
        <w:jc w:val="both"/>
      </w:pPr>
    </w:p>
    <w:p w14:paraId="6D327F49" w14:textId="77777777" w:rsidR="00514BCE" w:rsidRDefault="00514BCE" w:rsidP="00514BCE">
      <w:pPr>
        <w:adjustRightInd w:val="0"/>
        <w:jc w:val="both"/>
      </w:pPr>
      <w:r>
        <w:t xml:space="preserve">Se practicó arqueo del fondo rotativo interno para gastos de funcionamiento, constituido según resolución No.170 de fecha 18 de febrero de 2022, por la cantidad de Q. 20,000.00; Dicho fondo es resguardado en la cuenta bancaria No. 3-663-00670-6 del Banco de Desarrollo Rural –BANRURAL-, denominada FONDO ROTATIVO JURADO NACIONAL DE OPOSICION; se constató, que el Jurado Nacional de Oposición –JNO- cuenta con fondo de caja chica por la cantidad de Q. 5,000.00. Se efectuó arqueo de cupones de combustible con fecha 29 de julio de 2022. </w:t>
      </w:r>
      <w:r w:rsidR="003726D3">
        <w:t>También se verificó el uso del sistema de gestión f</w:t>
      </w:r>
      <w:r>
        <w:t xml:space="preserve">inanciera. Así mismo, se verificó que las responsables de los fondos estén debidamente nombradas para su manejo y que caucionen su responsabilidad mediante el pago de fianza.    </w:t>
      </w:r>
    </w:p>
    <w:p w14:paraId="4549FA65" w14:textId="77777777" w:rsidR="00514BCE" w:rsidRPr="006F7380" w:rsidRDefault="00514BCE" w:rsidP="00514BCE">
      <w:pPr>
        <w:adjustRightInd w:val="0"/>
        <w:jc w:val="both"/>
        <w:rPr>
          <w:b/>
          <w:bCs/>
        </w:rPr>
      </w:pPr>
      <w:r>
        <w:t xml:space="preserve">   </w:t>
      </w:r>
    </w:p>
    <w:p w14:paraId="4217DDAB" w14:textId="77777777" w:rsidR="00514BCE" w:rsidRPr="006F7380" w:rsidRDefault="00514BCE" w:rsidP="00514BCE">
      <w:pPr>
        <w:adjustRightInd w:val="0"/>
        <w:rPr>
          <w:b/>
          <w:bCs/>
        </w:rPr>
      </w:pPr>
      <w:r>
        <w:rPr>
          <w:b/>
          <w:bCs/>
        </w:rPr>
        <w:t>RESULTADOS DE LA ACTIVIDAD</w:t>
      </w:r>
    </w:p>
    <w:p w14:paraId="289FAEF5" w14:textId="77777777" w:rsidR="00514BCE" w:rsidRDefault="00514BCE" w:rsidP="00514BCE">
      <w:pPr>
        <w:adjustRightInd w:val="0"/>
        <w:jc w:val="both"/>
      </w:pPr>
    </w:p>
    <w:p w14:paraId="1107AB92" w14:textId="77777777" w:rsidR="00514BCE" w:rsidRDefault="00514BCE" w:rsidP="00514BCE">
      <w:pPr>
        <w:adjustRightInd w:val="0"/>
        <w:jc w:val="both"/>
      </w:pPr>
      <w:r>
        <w:t>Los resultados del trabajo realizado se describen a continuación:</w:t>
      </w:r>
    </w:p>
    <w:p w14:paraId="6E4DCD36" w14:textId="77777777" w:rsidR="00514BCE" w:rsidRDefault="00514BCE" w:rsidP="00514BCE">
      <w:pPr>
        <w:adjustRightInd w:val="0"/>
        <w:jc w:val="both"/>
      </w:pPr>
    </w:p>
    <w:p w14:paraId="39C69444" w14:textId="77777777" w:rsidR="00514BCE" w:rsidRPr="00CC3436" w:rsidRDefault="00514BCE" w:rsidP="00514BCE">
      <w:pPr>
        <w:adjustRightInd w:val="0"/>
        <w:jc w:val="both"/>
        <w:rPr>
          <w:b/>
        </w:rPr>
      </w:pPr>
      <w:r w:rsidRPr="00CC3436">
        <w:rPr>
          <w:b/>
        </w:rPr>
        <w:t>FONDO ROTATIVO INTERNO</w:t>
      </w:r>
    </w:p>
    <w:p w14:paraId="1232D417" w14:textId="77777777" w:rsidR="00514BCE" w:rsidRDefault="00514BCE" w:rsidP="00514BCE">
      <w:pPr>
        <w:adjustRightInd w:val="0"/>
        <w:jc w:val="both"/>
      </w:pPr>
      <w:r>
        <w:t xml:space="preserve">Se determinó el uso del sistema de gestión financiera y módulo de cuenta corriente, para el fondo rotativo interno para gastos de funcionamiento del Jurado Nacional de Oposición </w:t>
      </w:r>
      <w:r w:rsidR="00DB159F">
        <w:t xml:space="preserve">           </w:t>
      </w:r>
      <w:r>
        <w:t>-JNO-.</w:t>
      </w:r>
    </w:p>
    <w:p w14:paraId="42FF3299" w14:textId="77777777" w:rsidR="00514BCE" w:rsidRDefault="00514BCE" w:rsidP="00514BCE">
      <w:pPr>
        <w:adjustRightInd w:val="0"/>
        <w:jc w:val="both"/>
      </w:pPr>
    </w:p>
    <w:p w14:paraId="5344F2EB" w14:textId="77777777" w:rsidR="00514BCE" w:rsidRDefault="00514BCE" w:rsidP="00514BCE">
      <w:pPr>
        <w:adjustRightInd w:val="0"/>
        <w:jc w:val="both"/>
      </w:pPr>
      <w:r>
        <w:t>Al 01 de agosto de 2022 el arqueo del fondo rotativo interno para gastos de funcionamiento, estaba integrado de la siguiente forma:</w:t>
      </w:r>
    </w:p>
    <w:p w14:paraId="17280B53" w14:textId="77777777" w:rsidR="00514BCE" w:rsidRDefault="00514BCE" w:rsidP="00514BCE">
      <w:pPr>
        <w:adjustRightInd w:val="0"/>
        <w:jc w:val="both"/>
      </w:pPr>
    </w:p>
    <w:p w14:paraId="76471C7B" w14:textId="77777777" w:rsidR="00514BCE" w:rsidRDefault="00514BCE" w:rsidP="00514BCE">
      <w:pPr>
        <w:adjustRightInd w:val="0"/>
        <w:jc w:val="both"/>
      </w:pPr>
    </w:p>
    <w:p w14:paraId="211C96C4" w14:textId="77777777" w:rsidR="00514BCE" w:rsidRDefault="00514BCE" w:rsidP="00514BCE">
      <w:pPr>
        <w:adjustRightInd w:val="0"/>
        <w:jc w:val="both"/>
      </w:pPr>
    </w:p>
    <w:p w14:paraId="60D0AF3F" w14:textId="77777777" w:rsidR="002E0F12" w:rsidRDefault="002E0F12" w:rsidP="00514BCE">
      <w:pPr>
        <w:adjustRightInd w:val="0"/>
        <w:jc w:val="both"/>
      </w:pPr>
    </w:p>
    <w:p w14:paraId="40E0001E" w14:textId="77777777" w:rsidR="002E0F12" w:rsidRDefault="002E0F12" w:rsidP="00514BCE">
      <w:pPr>
        <w:adjustRightInd w:val="0"/>
        <w:jc w:val="both"/>
      </w:pPr>
    </w:p>
    <w:p w14:paraId="6C715EE1" w14:textId="77777777" w:rsidR="002E0F12" w:rsidRDefault="002E0F12" w:rsidP="00514BCE">
      <w:pPr>
        <w:adjustRightInd w:val="0"/>
        <w:jc w:val="both"/>
      </w:pPr>
    </w:p>
    <w:p w14:paraId="5451D1BA" w14:textId="77777777" w:rsidR="00514BCE" w:rsidRPr="009004E1" w:rsidRDefault="00514BCE" w:rsidP="00514BCE">
      <w:pPr>
        <w:adjustRightInd w:val="0"/>
        <w:jc w:val="center"/>
        <w:rPr>
          <w:b/>
        </w:rPr>
      </w:pPr>
      <w:r>
        <w:rPr>
          <w:b/>
        </w:rPr>
        <w:lastRenderedPageBreak/>
        <w:t>JURADO NACIONAL DE OPOSICION -JNO-</w:t>
      </w:r>
    </w:p>
    <w:p w14:paraId="61E7AD4D" w14:textId="77777777" w:rsidR="00514BCE" w:rsidRPr="009004E1" w:rsidRDefault="00514BCE" w:rsidP="00514BCE">
      <w:pPr>
        <w:adjustRightInd w:val="0"/>
        <w:jc w:val="center"/>
        <w:rPr>
          <w:b/>
        </w:rPr>
      </w:pPr>
      <w:r w:rsidRPr="009004E1">
        <w:rPr>
          <w:b/>
        </w:rPr>
        <w:t xml:space="preserve">ARQUEO DEL FONDO ROTATIVO INTERNO PARA GASTOS DE FUNCIONAMIENTO AL </w:t>
      </w:r>
      <w:r>
        <w:rPr>
          <w:b/>
        </w:rPr>
        <w:t xml:space="preserve">01 </w:t>
      </w:r>
      <w:r w:rsidRPr="009004E1">
        <w:rPr>
          <w:b/>
        </w:rPr>
        <w:t xml:space="preserve">DE </w:t>
      </w:r>
      <w:r>
        <w:rPr>
          <w:b/>
        </w:rPr>
        <w:t xml:space="preserve">AGOSTO </w:t>
      </w:r>
      <w:r w:rsidRPr="009004E1">
        <w:rPr>
          <w:b/>
        </w:rPr>
        <w:t>DE 202</w:t>
      </w:r>
      <w:r>
        <w:rPr>
          <w:b/>
        </w:rPr>
        <w:t>2</w:t>
      </w:r>
    </w:p>
    <w:p w14:paraId="0FF04FEC" w14:textId="77777777" w:rsidR="00514BCE" w:rsidRDefault="00514BCE" w:rsidP="00514BCE">
      <w:pPr>
        <w:adjustRightInd w:val="0"/>
        <w:jc w:val="center"/>
        <w:rPr>
          <w:b/>
        </w:rPr>
      </w:pPr>
      <w:r>
        <w:rPr>
          <w:b/>
        </w:rPr>
        <w:t>(Cifras expresadas en quetzales)</w:t>
      </w:r>
    </w:p>
    <w:p w14:paraId="1136C842" w14:textId="77777777" w:rsidR="00514BCE" w:rsidRPr="00895589" w:rsidRDefault="00514BCE" w:rsidP="00514BCE">
      <w:pPr>
        <w:adjustRightInd w:val="0"/>
        <w:jc w:val="center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99"/>
        <w:gridCol w:w="1177"/>
        <w:gridCol w:w="1130"/>
        <w:gridCol w:w="623"/>
      </w:tblGrid>
      <w:tr w:rsidR="00514BCE" w:rsidRPr="00895589" w14:paraId="4BB6A9B5" w14:textId="77777777" w:rsidTr="0094555B">
        <w:tc>
          <w:tcPr>
            <w:tcW w:w="3359" w:type="pct"/>
            <w:shd w:val="clear" w:color="auto" w:fill="D9D9D9" w:themeFill="background1" w:themeFillShade="D9"/>
          </w:tcPr>
          <w:p w14:paraId="7DAD564D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659" w:type="pct"/>
            <w:shd w:val="clear" w:color="auto" w:fill="D9D9D9" w:themeFill="background1" w:themeFillShade="D9"/>
          </w:tcPr>
          <w:p w14:paraId="7DD4CF5D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Subtotal Q.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68242BAD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Total Q.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4EAC86A8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5589">
              <w:rPr>
                <w:b/>
                <w:sz w:val="18"/>
                <w:szCs w:val="18"/>
              </w:rPr>
              <w:t>Nota</w:t>
            </w:r>
          </w:p>
        </w:tc>
      </w:tr>
      <w:tr w:rsidR="00514BCE" w:rsidRPr="00895589" w14:paraId="0D623A66" w14:textId="77777777" w:rsidTr="0094555B">
        <w:tc>
          <w:tcPr>
            <w:tcW w:w="3359" w:type="pct"/>
          </w:tcPr>
          <w:p w14:paraId="399953F4" w14:textId="77777777" w:rsidR="00514BCE" w:rsidRPr="00895589" w:rsidRDefault="003726D3" w:rsidP="0094555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Constitución de fondo rotativo</w:t>
            </w:r>
          </w:p>
        </w:tc>
        <w:tc>
          <w:tcPr>
            <w:tcW w:w="659" w:type="pct"/>
          </w:tcPr>
          <w:p w14:paraId="4A369141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A6F4DBF" w14:textId="77777777" w:rsidR="00514BCE" w:rsidRPr="00940B3E" w:rsidRDefault="00514BCE" w:rsidP="00945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940B3E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349" w:type="pct"/>
          </w:tcPr>
          <w:p w14:paraId="0B0657C8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14BCE" w:rsidRPr="00895589" w14:paraId="54C85963" w14:textId="77777777" w:rsidTr="0094555B">
        <w:tc>
          <w:tcPr>
            <w:tcW w:w="3359" w:type="pct"/>
          </w:tcPr>
          <w:p w14:paraId="0C670B03" w14:textId="77777777" w:rsidR="00514BCE" w:rsidRPr="00895589" w:rsidRDefault="00514BCE" w:rsidP="004176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 </w:t>
            </w:r>
            <w:r w:rsidR="0041760E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astos de funcionamiento, resolución No. 170</w:t>
            </w:r>
          </w:p>
        </w:tc>
        <w:tc>
          <w:tcPr>
            <w:tcW w:w="659" w:type="pct"/>
            <w:vAlign w:val="center"/>
          </w:tcPr>
          <w:p w14:paraId="681E2F27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20,000.00</w:t>
            </w:r>
          </w:p>
        </w:tc>
        <w:tc>
          <w:tcPr>
            <w:tcW w:w="633" w:type="pct"/>
            <w:vAlign w:val="center"/>
          </w:tcPr>
          <w:p w14:paraId="6903ECCB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56A00ABA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14BCE" w:rsidRPr="00895589" w14:paraId="259182AF" w14:textId="77777777" w:rsidTr="0094555B">
        <w:tc>
          <w:tcPr>
            <w:tcW w:w="3359" w:type="pct"/>
          </w:tcPr>
          <w:p w14:paraId="251A004F" w14:textId="77777777" w:rsidR="00514BCE" w:rsidRPr="00B22A86" w:rsidRDefault="00514BCE" w:rsidP="0094555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Banco, efectivo </w:t>
            </w:r>
            <w:r w:rsidRPr="00B22A86">
              <w:rPr>
                <w:b/>
                <w:sz w:val="18"/>
                <w:szCs w:val="18"/>
              </w:rPr>
              <w:t>y documentos de legítimo abono</w:t>
            </w:r>
          </w:p>
        </w:tc>
        <w:tc>
          <w:tcPr>
            <w:tcW w:w="659" w:type="pct"/>
            <w:vAlign w:val="center"/>
          </w:tcPr>
          <w:p w14:paraId="718AAC44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6FFF972C" w14:textId="77777777" w:rsidR="00514BCE" w:rsidRPr="00F81139" w:rsidRDefault="00514BCE" w:rsidP="00945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F81139">
              <w:rPr>
                <w:b/>
                <w:sz w:val="18"/>
                <w:szCs w:val="18"/>
              </w:rPr>
              <w:t>,000.00</w:t>
            </w:r>
          </w:p>
        </w:tc>
        <w:tc>
          <w:tcPr>
            <w:tcW w:w="349" w:type="pct"/>
            <w:vAlign w:val="center"/>
          </w:tcPr>
          <w:p w14:paraId="3B577788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14BCE" w:rsidRPr="00895589" w14:paraId="47FE13CC" w14:textId="77777777" w:rsidTr="0094555B">
        <w:tc>
          <w:tcPr>
            <w:tcW w:w="3359" w:type="pct"/>
          </w:tcPr>
          <w:p w14:paraId="5A4F4B17" w14:textId="77777777" w:rsidR="00514BCE" w:rsidRPr="00895589" w:rsidRDefault="00514BCE" w:rsidP="004176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Saldo según banco al 31/0</w:t>
            </w:r>
            <w:r w:rsidR="0041760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/2021 (conciliado) </w:t>
            </w:r>
          </w:p>
        </w:tc>
        <w:tc>
          <w:tcPr>
            <w:tcW w:w="659" w:type="pct"/>
            <w:vAlign w:val="center"/>
          </w:tcPr>
          <w:p w14:paraId="2F009131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8,555.00</w:t>
            </w:r>
          </w:p>
        </w:tc>
        <w:tc>
          <w:tcPr>
            <w:tcW w:w="633" w:type="pct"/>
            <w:vAlign w:val="center"/>
          </w:tcPr>
          <w:p w14:paraId="43CEC47D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6E54D862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14BCE" w:rsidRPr="00895589" w14:paraId="5ECB227A" w14:textId="77777777" w:rsidTr="0094555B">
        <w:tc>
          <w:tcPr>
            <w:tcW w:w="3359" w:type="pct"/>
          </w:tcPr>
          <w:p w14:paraId="794A5E09" w14:textId="77777777" w:rsidR="00514BCE" w:rsidRPr="00895589" w:rsidRDefault="00514BCE" w:rsidP="009455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de legitimo abono FRI</w:t>
            </w:r>
          </w:p>
        </w:tc>
        <w:tc>
          <w:tcPr>
            <w:tcW w:w="659" w:type="pct"/>
            <w:vAlign w:val="center"/>
          </w:tcPr>
          <w:p w14:paraId="350672CF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6,445.00</w:t>
            </w:r>
          </w:p>
        </w:tc>
        <w:tc>
          <w:tcPr>
            <w:tcW w:w="633" w:type="pct"/>
            <w:vAlign w:val="center"/>
          </w:tcPr>
          <w:p w14:paraId="536F4CA2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6FDBD018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14BCE" w:rsidRPr="00895589" w14:paraId="422C84E7" w14:textId="77777777" w:rsidTr="0094555B">
        <w:tc>
          <w:tcPr>
            <w:tcW w:w="3359" w:type="pct"/>
          </w:tcPr>
          <w:p w14:paraId="31F6829B" w14:textId="77777777" w:rsidR="00514BCE" w:rsidRDefault="00514BCE" w:rsidP="009455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Efectivo en caja chica</w:t>
            </w:r>
          </w:p>
        </w:tc>
        <w:tc>
          <w:tcPr>
            <w:tcW w:w="659" w:type="pct"/>
            <w:vAlign w:val="center"/>
          </w:tcPr>
          <w:p w14:paraId="58FD3771" w14:textId="77777777" w:rsidR="00514BCE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4,275.00</w:t>
            </w:r>
          </w:p>
        </w:tc>
        <w:tc>
          <w:tcPr>
            <w:tcW w:w="633" w:type="pct"/>
            <w:vAlign w:val="center"/>
          </w:tcPr>
          <w:p w14:paraId="0544E0AB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3E6BA1D7" w14:textId="77777777" w:rsidR="00514BCE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14BCE" w:rsidRPr="00895589" w14:paraId="0E8AFD95" w14:textId="77777777" w:rsidTr="0094555B">
        <w:tc>
          <w:tcPr>
            <w:tcW w:w="3359" w:type="pct"/>
          </w:tcPr>
          <w:p w14:paraId="40F37CEA" w14:textId="77777777" w:rsidR="00514BCE" w:rsidRDefault="00514BCE" w:rsidP="009455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Documentos de legitimo abono caja chica</w:t>
            </w:r>
          </w:p>
        </w:tc>
        <w:tc>
          <w:tcPr>
            <w:tcW w:w="659" w:type="pct"/>
            <w:vAlign w:val="center"/>
          </w:tcPr>
          <w:p w14:paraId="580C0588" w14:textId="77777777" w:rsidR="00514BCE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725.00</w:t>
            </w:r>
          </w:p>
        </w:tc>
        <w:tc>
          <w:tcPr>
            <w:tcW w:w="633" w:type="pct"/>
            <w:vAlign w:val="center"/>
          </w:tcPr>
          <w:p w14:paraId="603D1B28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14:paraId="2347A4D3" w14:textId="77777777" w:rsidR="00514BCE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14BCE" w:rsidRPr="00895589" w14:paraId="256BEB25" w14:textId="77777777" w:rsidTr="0094555B">
        <w:tc>
          <w:tcPr>
            <w:tcW w:w="3359" w:type="pct"/>
          </w:tcPr>
          <w:p w14:paraId="052F092F" w14:textId="77777777" w:rsidR="00514BCE" w:rsidRPr="00F81139" w:rsidRDefault="00514BCE" w:rsidP="0094555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 xml:space="preserve">Diferencia </w:t>
            </w:r>
          </w:p>
        </w:tc>
        <w:tc>
          <w:tcPr>
            <w:tcW w:w="659" w:type="pct"/>
            <w:vAlign w:val="center"/>
          </w:tcPr>
          <w:p w14:paraId="7880118F" w14:textId="77777777" w:rsidR="00514BCE" w:rsidRPr="00F81139" w:rsidRDefault="00514BCE" w:rsidP="00945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642E91B5" w14:textId="77777777" w:rsidR="00514BCE" w:rsidRPr="00F81139" w:rsidRDefault="00514BCE" w:rsidP="00945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81139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349" w:type="pct"/>
            <w:vAlign w:val="center"/>
          </w:tcPr>
          <w:p w14:paraId="6998C935" w14:textId="77777777" w:rsidR="00514BCE" w:rsidRPr="00895589" w:rsidRDefault="00514BCE" w:rsidP="009455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828ABB4" w14:textId="77777777" w:rsidR="00514BCE" w:rsidRPr="00940B3E" w:rsidRDefault="00514BCE" w:rsidP="00514BCE">
      <w:pPr>
        <w:adjustRightInd w:val="0"/>
        <w:jc w:val="both"/>
        <w:rPr>
          <w:sz w:val="18"/>
          <w:szCs w:val="18"/>
        </w:rPr>
      </w:pPr>
      <w:r w:rsidRPr="00940B3E">
        <w:rPr>
          <w:sz w:val="18"/>
          <w:szCs w:val="18"/>
        </w:rPr>
        <w:t>Fuente: Documentación e información proporcio</w:t>
      </w:r>
      <w:r>
        <w:rPr>
          <w:sz w:val="18"/>
          <w:szCs w:val="18"/>
        </w:rPr>
        <w:t xml:space="preserve">nada por los responsables del Jurado Nacional de Oposición </w:t>
      </w:r>
      <w:r w:rsidR="0041760E">
        <w:rPr>
          <w:sz w:val="18"/>
          <w:szCs w:val="18"/>
        </w:rPr>
        <w:t xml:space="preserve">       </w:t>
      </w:r>
      <w:r>
        <w:rPr>
          <w:sz w:val="18"/>
          <w:szCs w:val="18"/>
        </w:rPr>
        <w:t>-JNO-</w:t>
      </w:r>
      <w:r w:rsidRPr="00940B3E">
        <w:rPr>
          <w:sz w:val="18"/>
          <w:szCs w:val="18"/>
        </w:rPr>
        <w:t xml:space="preserve"> </w:t>
      </w:r>
    </w:p>
    <w:p w14:paraId="0B4FFA40" w14:textId="77777777" w:rsidR="00514BCE" w:rsidRDefault="00514BCE" w:rsidP="00514BCE">
      <w:pPr>
        <w:adjustRightInd w:val="0"/>
        <w:jc w:val="both"/>
      </w:pPr>
    </w:p>
    <w:p w14:paraId="16402545" w14:textId="77777777" w:rsidR="00B26867" w:rsidRDefault="00B26867" w:rsidP="00514BCE">
      <w:pPr>
        <w:adjustRightInd w:val="0"/>
        <w:jc w:val="both"/>
      </w:pPr>
    </w:p>
    <w:p w14:paraId="35E28E80" w14:textId="77777777" w:rsidR="00B26867" w:rsidRDefault="00B26867" w:rsidP="00514BCE">
      <w:pPr>
        <w:adjustRightInd w:val="0"/>
        <w:jc w:val="both"/>
      </w:pPr>
    </w:p>
    <w:p w14:paraId="4F819473" w14:textId="77777777" w:rsidR="00514BCE" w:rsidRPr="0084052B" w:rsidRDefault="00514BCE" w:rsidP="00514BCE">
      <w:pPr>
        <w:adjustRightInd w:val="0"/>
        <w:jc w:val="both"/>
        <w:rPr>
          <w:b/>
        </w:rPr>
      </w:pPr>
      <w:r w:rsidRPr="0084052B">
        <w:rPr>
          <w:b/>
        </w:rPr>
        <w:t>NOTAS</w:t>
      </w:r>
    </w:p>
    <w:p w14:paraId="3928D259" w14:textId="77777777" w:rsidR="00514BCE" w:rsidRDefault="00514BCE" w:rsidP="00514BCE">
      <w:pPr>
        <w:adjustRightInd w:val="0"/>
        <w:jc w:val="both"/>
      </w:pPr>
    </w:p>
    <w:p w14:paraId="6E1A809D" w14:textId="77777777" w:rsidR="00514BCE" w:rsidRPr="0084052B" w:rsidRDefault="00514BCE" w:rsidP="00514BCE">
      <w:pPr>
        <w:adjustRightInd w:val="0"/>
        <w:jc w:val="both"/>
        <w:rPr>
          <w:b/>
        </w:rPr>
      </w:pPr>
      <w:r w:rsidRPr="0084052B">
        <w:rPr>
          <w:b/>
        </w:rPr>
        <w:t>Nota 1</w:t>
      </w:r>
    </w:p>
    <w:p w14:paraId="09C4F08A" w14:textId="77777777" w:rsidR="00514BCE" w:rsidRDefault="00514BCE" w:rsidP="00514BCE">
      <w:pPr>
        <w:adjustRightInd w:val="0"/>
        <w:jc w:val="both"/>
      </w:pPr>
      <w:r>
        <w:t>El fondo rotativo para gastos de funcionamiento constituido es administrado por la Licenciada Mildred</w:t>
      </w:r>
      <w:r w:rsidR="00D2083D">
        <w:t xml:space="preserve"> </w:t>
      </w:r>
      <w:r>
        <w:t xml:space="preserve">Floridalma Valdez </w:t>
      </w:r>
      <w:r w:rsidR="0076305E">
        <w:t>Velásquez</w:t>
      </w:r>
      <w:r>
        <w:t xml:space="preserve">, Asistente del Departamento Administrativo Financiero, y cauciona su responsabilidad mediante el pago de fianza. Se encuentra nombrada por el director del Jurado Nacional de Oposición </w:t>
      </w:r>
      <w:r w:rsidR="001B04AF">
        <w:t>-</w:t>
      </w:r>
      <w:r>
        <w:t>JNO-, mediante oficio No. JNO-44-2022 de fecha 03 de febrero de 2022.</w:t>
      </w:r>
    </w:p>
    <w:p w14:paraId="634C8804" w14:textId="77777777" w:rsidR="00514BCE" w:rsidRDefault="00514BCE" w:rsidP="00514BCE">
      <w:pPr>
        <w:adjustRightInd w:val="0"/>
        <w:jc w:val="both"/>
      </w:pPr>
      <w:r>
        <w:t xml:space="preserve"> </w:t>
      </w:r>
    </w:p>
    <w:p w14:paraId="0A0AEFE7" w14:textId="77777777" w:rsidR="00514BCE" w:rsidRPr="0084052B" w:rsidRDefault="00514BCE" w:rsidP="00514BCE">
      <w:pPr>
        <w:adjustRightInd w:val="0"/>
        <w:jc w:val="both"/>
        <w:rPr>
          <w:b/>
        </w:rPr>
      </w:pPr>
      <w:r w:rsidRPr="0084052B">
        <w:rPr>
          <w:b/>
        </w:rPr>
        <w:t xml:space="preserve">Nota 2 </w:t>
      </w:r>
    </w:p>
    <w:p w14:paraId="60A21A5A" w14:textId="77777777" w:rsidR="00514BCE" w:rsidRDefault="00514BCE" w:rsidP="00514BCE">
      <w:pPr>
        <w:adjustRightInd w:val="0"/>
        <w:jc w:val="both"/>
      </w:pPr>
      <w:r>
        <w:t xml:space="preserve">Se constató la conciliación bancaria al 01/08/2022 entre la </w:t>
      </w:r>
      <w:r w:rsidR="00F675D2">
        <w:t>c</w:t>
      </w:r>
      <w:r w:rsidR="003726D3">
        <w:t>uenta No.  No. 3663006706</w:t>
      </w:r>
      <w:r>
        <w:t>, denominada FONDO ROTATIVO JURADO NACIONAL DE OPOSICION</w:t>
      </w:r>
      <w:r w:rsidR="00D15F44">
        <w:t xml:space="preserve">, </w:t>
      </w:r>
      <w:r>
        <w:t>constituida en el Banco de Desarrollo Rural –BANRURAL- y libro de bancos, la cual refleja un saldo conciliado de Q. 8,555.00.</w:t>
      </w:r>
    </w:p>
    <w:p w14:paraId="45D9D9B1" w14:textId="77777777" w:rsidR="00514BCE" w:rsidRPr="00EE7C6B" w:rsidRDefault="00514BCE" w:rsidP="00514BCE">
      <w:pPr>
        <w:adjustRightInd w:val="0"/>
        <w:jc w:val="both"/>
      </w:pPr>
    </w:p>
    <w:p w14:paraId="518143D3" w14:textId="77777777" w:rsidR="00514BCE" w:rsidRDefault="00514BCE" w:rsidP="00514BCE">
      <w:pPr>
        <w:adjustRightInd w:val="0"/>
        <w:jc w:val="both"/>
        <w:rPr>
          <w:b/>
        </w:rPr>
      </w:pPr>
      <w:r w:rsidRPr="00EE7C6B">
        <w:rPr>
          <w:b/>
        </w:rPr>
        <w:t>Nota 3</w:t>
      </w:r>
    </w:p>
    <w:p w14:paraId="6713DE66" w14:textId="77777777" w:rsidR="00514BCE" w:rsidRPr="00AB3FCB" w:rsidRDefault="00514BCE" w:rsidP="00514BCE">
      <w:pPr>
        <w:adjustRightInd w:val="0"/>
        <w:jc w:val="both"/>
      </w:pPr>
      <w:r w:rsidRPr="00AB3FCB">
        <w:t xml:space="preserve">Al efectuar el arqueo de fondo rotativo interno presenta documentos de </w:t>
      </w:r>
      <w:r w:rsidR="003726D3" w:rsidRPr="00AB3FCB">
        <w:t>legítimo</w:t>
      </w:r>
      <w:r w:rsidRPr="00AB3FCB">
        <w:t xml:space="preserve"> abono por la cantidad de Q. 6,445.00.</w:t>
      </w:r>
    </w:p>
    <w:p w14:paraId="0047ECB7" w14:textId="77777777" w:rsidR="00514BCE" w:rsidRDefault="00514BCE" w:rsidP="00514BCE">
      <w:pPr>
        <w:adjustRightInd w:val="0"/>
        <w:jc w:val="both"/>
        <w:rPr>
          <w:b/>
        </w:rPr>
      </w:pPr>
    </w:p>
    <w:p w14:paraId="6250CD0B" w14:textId="77777777" w:rsidR="00514BCE" w:rsidRDefault="00514BCE" w:rsidP="00514BCE">
      <w:pPr>
        <w:adjustRightInd w:val="0"/>
        <w:jc w:val="both"/>
        <w:rPr>
          <w:b/>
        </w:rPr>
      </w:pPr>
      <w:r>
        <w:rPr>
          <w:b/>
        </w:rPr>
        <w:t>Nota 4</w:t>
      </w:r>
    </w:p>
    <w:p w14:paraId="50D7116A" w14:textId="77777777" w:rsidR="00514BCE" w:rsidRDefault="00514BCE" w:rsidP="00514BCE">
      <w:pPr>
        <w:adjustRightInd w:val="0"/>
        <w:jc w:val="both"/>
        <w:rPr>
          <w:bCs/>
        </w:rPr>
      </w:pPr>
      <w:r>
        <w:rPr>
          <w:bCs/>
        </w:rPr>
        <w:t xml:space="preserve">El fondo de caja chica de Q. 5,000.00 es administrado por la </w:t>
      </w:r>
      <w:r w:rsidR="00F30D52">
        <w:rPr>
          <w:bCs/>
        </w:rPr>
        <w:t>l</w:t>
      </w:r>
      <w:r>
        <w:rPr>
          <w:bCs/>
        </w:rPr>
        <w:t xml:space="preserve">icenciada </w:t>
      </w:r>
      <w:proofErr w:type="spellStart"/>
      <w:r>
        <w:rPr>
          <w:bCs/>
        </w:rPr>
        <w:t>Mischelle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Yborg</w:t>
      </w:r>
      <w:proofErr w:type="spellEnd"/>
      <w:r>
        <w:rPr>
          <w:bCs/>
        </w:rPr>
        <w:t xml:space="preserve"> Luther Méndez, analista del Departamento Administrativo Financiero, quien cauciona su responsabilidad mediante pago de fianza. Se encuentra nombrada por el director del Jurado Nacional de Oposición </w:t>
      </w:r>
      <w:r w:rsidR="00F30D52">
        <w:rPr>
          <w:bCs/>
        </w:rPr>
        <w:t>-</w:t>
      </w:r>
      <w:r>
        <w:rPr>
          <w:bCs/>
        </w:rPr>
        <w:t>JNO-, mediante oficio No. JNO-185-2022 de fecha 20 de abril de 2022. Al efectuar el arqueo el 29 de julio de 2022, presenta efectivo de Q. 4,275.00.</w:t>
      </w:r>
    </w:p>
    <w:p w14:paraId="65C3DF61" w14:textId="77777777" w:rsidR="00514BCE" w:rsidRDefault="00514BCE" w:rsidP="00514BCE">
      <w:pPr>
        <w:adjustRightInd w:val="0"/>
        <w:jc w:val="both"/>
        <w:rPr>
          <w:bCs/>
        </w:rPr>
      </w:pPr>
    </w:p>
    <w:p w14:paraId="265D7E35" w14:textId="77777777" w:rsidR="00514BCE" w:rsidRPr="00E973E0" w:rsidRDefault="00514BCE" w:rsidP="00514BCE">
      <w:pPr>
        <w:adjustRightInd w:val="0"/>
        <w:jc w:val="both"/>
        <w:rPr>
          <w:b/>
          <w:bCs/>
        </w:rPr>
      </w:pPr>
      <w:r>
        <w:rPr>
          <w:b/>
          <w:bCs/>
        </w:rPr>
        <w:t>Nota 5</w:t>
      </w:r>
    </w:p>
    <w:p w14:paraId="6BBF754B" w14:textId="77777777" w:rsidR="00514BCE" w:rsidRDefault="00514BCE" w:rsidP="00514BCE">
      <w:pPr>
        <w:adjustRightInd w:val="0"/>
        <w:jc w:val="both"/>
        <w:rPr>
          <w:bCs/>
        </w:rPr>
      </w:pPr>
      <w:r>
        <w:rPr>
          <w:bCs/>
        </w:rPr>
        <w:t>Al efectuar el arqueo de caja chica también presenta documentos de legitimo abono por la cantidad de Q. 725.00.</w:t>
      </w:r>
    </w:p>
    <w:p w14:paraId="2B03A75F" w14:textId="77777777" w:rsidR="00514BCE" w:rsidRDefault="00514BCE" w:rsidP="00514BCE">
      <w:pPr>
        <w:adjustRightInd w:val="0"/>
        <w:jc w:val="both"/>
        <w:rPr>
          <w:bCs/>
        </w:rPr>
      </w:pPr>
    </w:p>
    <w:p w14:paraId="4638BB5B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097875B8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6D48B748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19AC4224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007211A9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331C24D0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59BCFDAE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425CD171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7DDBBA4F" w14:textId="77777777" w:rsidR="00FA2495" w:rsidRDefault="00FA2495" w:rsidP="00514BCE">
      <w:pPr>
        <w:adjustRightInd w:val="0"/>
        <w:jc w:val="both"/>
        <w:rPr>
          <w:b/>
          <w:bCs/>
        </w:rPr>
      </w:pPr>
    </w:p>
    <w:p w14:paraId="718755DE" w14:textId="77777777" w:rsidR="00514BCE" w:rsidRPr="00660792" w:rsidRDefault="00514BCE" w:rsidP="00514BCE">
      <w:pPr>
        <w:adjustRightInd w:val="0"/>
        <w:jc w:val="both"/>
        <w:rPr>
          <w:b/>
          <w:bCs/>
        </w:rPr>
      </w:pPr>
      <w:r w:rsidRPr="00660792">
        <w:rPr>
          <w:b/>
          <w:bCs/>
        </w:rPr>
        <w:t xml:space="preserve">COMBUSTIBLE  </w:t>
      </w:r>
    </w:p>
    <w:p w14:paraId="6FF61883" w14:textId="77777777" w:rsidR="00514BCE" w:rsidRDefault="00514BCE" w:rsidP="00514BCE">
      <w:pPr>
        <w:adjustRightInd w:val="0"/>
        <w:jc w:val="both"/>
        <w:rPr>
          <w:bCs/>
        </w:rPr>
      </w:pPr>
      <w:r w:rsidRPr="00B11B9F">
        <w:rPr>
          <w:bCs/>
        </w:rPr>
        <w:t>Al</w:t>
      </w:r>
      <w:r>
        <w:rPr>
          <w:bCs/>
        </w:rPr>
        <w:t xml:space="preserve"> 29 de julio de 2022, se realizó arqueo de cupones de combustibles que estaban integrados de la siguiente forma: </w:t>
      </w:r>
    </w:p>
    <w:p w14:paraId="4F1744F6" w14:textId="77777777" w:rsidR="00D2083D" w:rsidRDefault="00D2083D" w:rsidP="00514BCE">
      <w:pPr>
        <w:adjustRightInd w:val="0"/>
        <w:jc w:val="both"/>
        <w:rPr>
          <w:bCs/>
        </w:rPr>
      </w:pPr>
    </w:p>
    <w:p w14:paraId="4ABD7672" w14:textId="77777777" w:rsidR="00B26867" w:rsidRDefault="00B26867" w:rsidP="00514BCE">
      <w:pPr>
        <w:adjustRightInd w:val="0"/>
        <w:jc w:val="center"/>
        <w:rPr>
          <w:b/>
          <w:bCs/>
        </w:rPr>
      </w:pPr>
    </w:p>
    <w:p w14:paraId="6175CE86" w14:textId="77777777" w:rsidR="00B26867" w:rsidRDefault="00B26867" w:rsidP="00514BCE">
      <w:pPr>
        <w:adjustRightInd w:val="0"/>
        <w:jc w:val="center"/>
        <w:rPr>
          <w:b/>
          <w:bCs/>
        </w:rPr>
      </w:pPr>
    </w:p>
    <w:p w14:paraId="7F80E615" w14:textId="77777777" w:rsidR="00514BCE" w:rsidRDefault="00514BCE" w:rsidP="00514BCE">
      <w:pPr>
        <w:adjustRightInd w:val="0"/>
        <w:jc w:val="center"/>
        <w:rPr>
          <w:b/>
          <w:bCs/>
        </w:rPr>
      </w:pPr>
      <w:r>
        <w:rPr>
          <w:b/>
          <w:bCs/>
        </w:rPr>
        <w:t>JURADO NACIONAL DE OPOSICION –JNO-</w:t>
      </w:r>
    </w:p>
    <w:p w14:paraId="0F07BA0E" w14:textId="77777777" w:rsidR="00514BCE" w:rsidRDefault="00514BCE" w:rsidP="00514BCE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EXISTENCIA DE CUPONES DE COMBUSTIBLE POR UTILIZAR </w:t>
      </w:r>
    </w:p>
    <w:p w14:paraId="36795978" w14:textId="77777777" w:rsidR="00514BCE" w:rsidRDefault="00514BCE" w:rsidP="00514BCE">
      <w:pPr>
        <w:adjustRightInd w:val="0"/>
        <w:jc w:val="center"/>
        <w:rPr>
          <w:b/>
          <w:bCs/>
        </w:rPr>
      </w:pPr>
      <w:r>
        <w:rPr>
          <w:b/>
          <w:bCs/>
        </w:rPr>
        <w:t>AL 29 DE JU</w:t>
      </w:r>
      <w:r w:rsidR="005F4DAA">
        <w:rPr>
          <w:b/>
          <w:bCs/>
        </w:rPr>
        <w:t>L</w:t>
      </w:r>
      <w:r>
        <w:rPr>
          <w:b/>
          <w:bCs/>
        </w:rPr>
        <w:t>IO DE 2022</w:t>
      </w:r>
    </w:p>
    <w:p w14:paraId="686A14C7" w14:textId="77777777" w:rsidR="00514BCE" w:rsidRDefault="00514BCE" w:rsidP="00514BCE">
      <w:pPr>
        <w:adjustRightInd w:val="0"/>
        <w:jc w:val="center"/>
        <w:rPr>
          <w:b/>
          <w:bCs/>
        </w:rPr>
      </w:pPr>
      <w:r>
        <w:rPr>
          <w:b/>
          <w:bCs/>
        </w:rPr>
        <w:t>(Cifras expresadas en quetzales)</w:t>
      </w:r>
    </w:p>
    <w:p w14:paraId="48ABFB5F" w14:textId="77777777" w:rsidR="00514BCE" w:rsidRDefault="00514BCE" w:rsidP="00514BCE">
      <w:pPr>
        <w:adjustRightInd w:val="0"/>
        <w:jc w:val="center"/>
        <w:rPr>
          <w:b/>
          <w:bCs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7"/>
        <w:gridCol w:w="1017"/>
        <w:gridCol w:w="1267"/>
        <w:gridCol w:w="987"/>
        <w:gridCol w:w="1519"/>
        <w:gridCol w:w="1559"/>
        <w:gridCol w:w="1563"/>
      </w:tblGrid>
      <w:tr w:rsidR="005F4DAA" w14:paraId="5D54B0A9" w14:textId="77777777" w:rsidTr="00B26867">
        <w:tc>
          <w:tcPr>
            <w:tcW w:w="1139" w:type="pct"/>
            <w:gridSpan w:val="2"/>
            <w:shd w:val="clear" w:color="auto" w:fill="D9D9D9" w:themeFill="background1" w:themeFillShade="D9"/>
            <w:vAlign w:val="center"/>
          </w:tcPr>
          <w:p w14:paraId="08D746A1" w14:textId="77777777" w:rsidR="005F4DAA" w:rsidRPr="000F1116" w:rsidRDefault="005F4DAA" w:rsidP="00B2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F1116">
              <w:rPr>
                <w:b/>
                <w:bCs/>
                <w:sz w:val="18"/>
                <w:szCs w:val="18"/>
              </w:rPr>
              <w:t>Correlativo</w:t>
            </w:r>
          </w:p>
        </w:tc>
        <w:tc>
          <w:tcPr>
            <w:tcW w:w="709" w:type="pct"/>
            <w:vMerge w:val="restart"/>
            <w:shd w:val="clear" w:color="auto" w:fill="D9D9D9" w:themeFill="background1" w:themeFillShade="D9"/>
            <w:vAlign w:val="center"/>
          </w:tcPr>
          <w:p w14:paraId="45BD3D2B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r w:rsidRPr="000F1116">
              <w:rPr>
                <w:b/>
                <w:sz w:val="18"/>
                <w:szCs w:val="18"/>
              </w:rPr>
              <w:t>Fecha de vencimiento</w:t>
            </w:r>
          </w:p>
        </w:tc>
        <w:tc>
          <w:tcPr>
            <w:tcW w:w="553" w:type="pct"/>
            <w:vMerge w:val="restart"/>
            <w:shd w:val="clear" w:color="auto" w:fill="D9D9D9" w:themeFill="background1" w:themeFillShade="D9"/>
            <w:vAlign w:val="center"/>
          </w:tcPr>
          <w:p w14:paraId="07E07AAF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Unitario</w:t>
            </w:r>
          </w:p>
        </w:tc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49CF39CE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cupones físicos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</w:tcPr>
          <w:p w14:paraId="2DE97073" w14:textId="77777777" w:rsidR="005F4DAA" w:rsidRDefault="00B26867" w:rsidP="00B26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cupones</w:t>
            </w:r>
            <w:r w:rsidR="005F4DAA">
              <w:rPr>
                <w:b/>
                <w:sz w:val="18"/>
                <w:szCs w:val="18"/>
              </w:rPr>
              <w:t xml:space="preserve"> según libro</w:t>
            </w:r>
          </w:p>
        </w:tc>
        <w:tc>
          <w:tcPr>
            <w:tcW w:w="875" w:type="pct"/>
            <w:vMerge w:val="restart"/>
            <w:shd w:val="clear" w:color="auto" w:fill="D9D9D9" w:themeFill="background1" w:themeFillShade="D9"/>
            <w:vAlign w:val="center"/>
          </w:tcPr>
          <w:p w14:paraId="6F8BB2BB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  <w:r w:rsidR="00B26867">
              <w:rPr>
                <w:b/>
                <w:sz w:val="18"/>
                <w:szCs w:val="18"/>
              </w:rPr>
              <w:t xml:space="preserve"> conciliado</w:t>
            </w:r>
          </w:p>
        </w:tc>
      </w:tr>
      <w:tr w:rsidR="005F4DAA" w14:paraId="3D061EE8" w14:textId="77777777" w:rsidTr="00B26867"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150A1FA2" w14:textId="77777777" w:rsidR="005F4DAA" w:rsidRPr="000F1116" w:rsidRDefault="005F4DAA" w:rsidP="00B2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F1116">
              <w:rPr>
                <w:b/>
                <w:bCs/>
                <w:sz w:val="18"/>
                <w:szCs w:val="18"/>
              </w:rPr>
              <w:t>Del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14:paraId="406C5455" w14:textId="77777777" w:rsidR="005F4DAA" w:rsidRPr="000F1116" w:rsidRDefault="005F4DAA" w:rsidP="00B26867">
            <w:pPr>
              <w:jc w:val="center"/>
              <w:rPr>
                <w:b/>
                <w:sz w:val="18"/>
                <w:szCs w:val="18"/>
              </w:rPr>
            </w:pPr>
            <w:r w:rsidRPr="000F1116">
              <w:rPr>
                <w:b/>
                <w:sz w:val="18"/>
                <w:szCs w:val="18"/>
              </w:rPr>
              <w:t>Al</w:t>
            </w:r>
          </w:p>
        </w:tc>
        <w:tc>
          <w:tcPr>
            <w:tcW w:w="709" w:type="pct"/>
            <w:vMerge/>
            <w:shd w:val="clear" w:color="auto" w:fill="D9D9D9" w:themeFill="background1" w:themeFillShade="D9"/>
          </w:tcPr>
          <w:p w14:paraId="16EC097D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  <w:tc>
          <w:tcPr>
            <w:tcW w:w="553" w:type="pct"/>
            <w:vMerge/>
            <w:shd w:val="clear" w:color="auto" w:fill="D9D9D9" w:themeFill="background1" w:themeFillShade="D9"/>
          </w:tcPr>
          <w:p w14:paraId="7834B442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  <w:tc>
          <w:tcPr>
            <w:tcW w:w="851" w:type="pct"/>
            <w:vMerge/>
            <w:shd w:val="clear" w:color="auto" w:fill="D9D9D9" w:themeFill="background1" w:themeFillShade="D9"/>
          </w:tcPr>
          <w:p w14:paraId="18F43C7E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/>
            <w:shd w:val="clear" w:color="auto" w:fill="D9D9D9" w:themeFill="background1" w:themeFillShade="D9"/>
          </w:tcPr>
          <w:p w14:paraId="6CC172A1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  <w:tc>
          <w:tcPr>
            <w:tcW w:w="875" w:type="pct"/>
            <w:vMerge/>
            <w:shd w:val="clear" w:color="auto" w:fill="D9D9D9" w:themeFill="background1" w:themeFillShade="D9"/>
          </w:tcPr>
          <w:p w14:paraId="545787EB" w14:textId="77777777" w:rsidR="005F4DAA" w:rsidRPr="000F1116" w:rsidRDefault="005F4DAA" w:rsidP="00B26867">
            <w:pPr>
              <w:jc w:val="center"/>
              <w:rPr>
                <w:b/>
              </w:rPr>
            </w:pPr>
          </w:p>
        </w:tc>
      </w:tr>
      <w:tr w:rsidR="005F4DAA" w14:paraId="3C86631C" w14:textId="77777777" w:rsidTr="00B26867">
        <w:tc>
          <w:tcPr>
            <w:tcW w:w="569" w:type="pct"/>
            <w:vAlign w:val="center"/>
          </w:tcPr>
          <w:p w14:paraId="2EDC90A2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19525163</w:t>
            </w:r>
          </w:p>
        </w:tc>
        <w:tc>
          <w:tcPr>
            <w:tcW w:w="569" w:type="pct"/>
            <w:vAlign w:val="center"/>
          </w:tcPr>
          <w:p w14:paraId="5EA57556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19525395</w:t>
            </w:r>
          </w:p>
        </w:tc>
        <w:tc>
          <w:tcPr>
            <w:tcW w:w="709" w:type="pct"/>
            <w:vAlign w:val="center"/>
          </w:tcPr>
          <w:p w14:paraId="0C933FF5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24/05/2023</w:t>
            </w:r>
          </w:p>
        </w:tc>
        <w:tc>
          <w:tcPr>
            <w:tcW w:w="553" w:type="pct"/>
            <w:vAlign w:val="center"/>
          </w:tcPr>
          <w:p w14:paraId="08095A12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50.00</w:t>
            </w:r>
          </w:p>
        </w:tc>
        <w:tc>
          <w:tcPr>
            <w:tcW w:w="851" w:type="pct"/>
            <w:vAlign w:val="center"/>
          </w:tcPr>
          <w:p w14:paraId="69D123A0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</w:t>
            </w:r>
          </w:p>
        </w:tc>
        <w:tc>
          <w:tcPr>
            <w:tcW w:w="873" w:type="pct"/>
          </w:tcPr>
          <w:p w14:paraId="1750AF15" w14:textId="77777777" w:rsidR="005F4DAA" w:rsidRDefault="005F4DAA" w:rsidP="00B2686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</w:t>
            </w:r>
          </w:p>
        </w:tc>
        <w:tc>
          <w:tcPr>
            <w:tcW w:w="875" w:type="pct"/>
            <w:vAlign w:val="center"/>
          </w:tcPr>
          <w:p w14:paraId="0D597912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11,650.00</w:t>
            </w:r>
          </w:p>
        </w:tc>
      </w:tr>
      <w:tr w:rsidR="005F4DAA" w14:paraId="7C71619A" w14:textId="77777777" w:rsidTr="00B26867">
        <w:tc>
          <w:tcPr>
            <w:tcW w:w="2401" w:type="pct"/>
            <w:gridSpan w:val="4"/>
            <w:vAlign w:val="center"/>
          </w:tcPr>
          <w:p w14:paraId="0A94EC29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3008B">
              <w:rPr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51" w:type="pct"/>
            <w:vAlign w:val="center"/>
          </w:tcPr>
          <w:p w14:paraId="0E34A336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873" w:type="pct"/>
          </w:tcPr>
          <w:p w14:paraId="1465F894" w14:textId="77777777" w:rsidR="005F4DAA" w:rsidRDefault="005F4DAA" w:rsidP="00B26867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875" w:type="pct"/>
            <w:vAlign w:val="center"/>
          </w:tcPr>
          <w:p w14:paraId="26FE14D1" w14:textId="77777777" w:rsidR="005F4DAA" w:rsidRPr="0053008B" w:rsidRDefault="005F4DAA" w:rsidP="00B2686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53008B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650</w:t>
            </w:r>
            <w:r w:rsidRPr="0053008B">
              <w:rPr>
                <w:b/>
                <w:bCs/>
                <w:sz w:val="18"/>
                <w:szCs w:val="18"/>
              </w:rPr>
              <w:t>.00</w:t>
            </w:r>
          </w:p>
        </w:tc>
      </w:tr>
    </w:tbl>
    <w:p w14:paraId="24BA3C52" w14:textId="77777777" w:rsidR="00514BCE" w:rsidRPr="0053008B" w:rsidRDefault="00B26867" w:rsidP="00514BCE">
      <w:pPr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br w:type="textWrapping" w:clear="all"/>
      </w:r>
      <w:r w:rsidR="00514BCE" w:rsidRPr="0053008B">
        <w:rPr>
          <w:bCs/>
          <w:sz w:val="18"/>
          <w:szCs w:val="18"/>
        </w:rPr>
        <w:t>F</w:t>
      </w:r>
      <w:r w:rsidR="00514BCE">
        <w:rPr>
          <w:bCs/>
          <w:sz w:val="18"/>
          <w:szCs w:val="18"/>
        </w:rPr>
        <w:t>uente</w:t>
      </w:r>
      <w:r w:rsidR="00514BCE" w:rsidRPr="0053008B">
        <w:rPr>
          <w:bCs/>
          <w:sz w:val="18"/>
          <w:szCs w:val="18"/>
        </w:rPr>
        <w:t>:</w:t>
      </w:r>
      <w:r w:rsidR="00514BCE">
        <w:rPr>
          <w:bCs/>
          <w:sz w:val="18"/>
          <w:szCs w:val="18"/>
        </w:rPr>
        <w:t xml:space="preserve"> Conteo físico verificado con el libro de control y entrega de cupones de combustible.</w:t>
      </w:r>
      <w:r w:rsidR="00514BCE" w:rsidRPr="0053008B">
        <w:rPr>
          <w:bCs/>
          <w:sz w:val="18"/>
          <w:szCs w:val="18"/>
        </w:rPr>
        <w:t xml:space="preserve"> </w:t>
      </w:r>
    </w:p>
    <w:p w14:paraId="17A8D482" w14:textId="77777777" w:rsidR="00514BCE" w:rsidRPr="00D42BA3" w:rsidRDefault="00514BCE" w:rsidP="00514BCE">
      <w:pPr>
        <w:adjustRightInd w:val="0"/>
        <w:rPr>
          <w:bCs/>
        </w:rPr>
      </w:pPr>
    </w:p>
    <w:p w14:paraId="42ED33FA" w14:textId="77777777" w:rsidR="00514BCE" w:rsidRDefault="00514BCE" w:rsidP="00514BCE">
      <w:pPr>
        <w:adjustRightInd w:val="0"/>
        <w:jc w:val="both"/>
        <w:rPr>
          <w:bCs/>
        </w:rPr>
      </w:pPr>
      <w:r>
        <w:rPr>
          <w:bCs/>
        </w:rPr>
        <w:t>La guarda y custodia de l</w:t>
      </w:r>
      <w:r w:rsidRPr="00D42BA3">
        <w:rPr>
          <w:bCs/>
        </w:rPr>
        <w:t>os cupones de</w:t>
      </w:r>
      <w:r>
        <w:rPr>
          <w:bCs/>
        </w:rPr>
        <w:t xml:space="preserve"> combustible, a la fecha del arqueo se encontraba a cargo de la </w:t>
      </w:r>
      <w:r w:rsidR="00114A31">
        <w:rPr>
          <w:bCs/>
        </w:rPr>
        <w:t>l</w:t>
      </w:r>
      <w:r>
        <w:rPr>
          <w:bCs/>
        </w:rPr>
        <w:t xml:space="preserve">icenciada </w:t>
      </w:r>
      <w:proofErr w:type="spellStart"/>
      <w:r>
        <w:rPr>
          <w:bCs/>
        </w:rPr>
        <w:t>Mischelle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Yborg</w:t>
      </w:r>
      <w:proofErr w:type="spellEnd"/>
      <w:r>
        <w:rPr>
          <w:bCs/>
        </w:rPr>
        <w:t xml:space="preserve"> Luther Méndez, </w:t>
      </w:r>
      <w:r w:rsidR="00114A31">
        <w:rPr>
          <w:bCs/>
        </w:rPr>
        <w:t>a</w:t>
      </w:r>
      <w:r>
        <w:rPr>
          <w:bCs/>
        </w:rPr>
        <w:t xml:space="preserve">nalista del </w:t>
      </w:r>
      <w:r w:rsidR="00114A31">
        <w:rPr>
          <w:bCs/>
        </w:rPr>
        <w:t>d</w:t>
      </w:r>
      <w:r>
        <w:rPr>
          <w:bCs/>
        </w:rPr>
        <w:t xml:space="preserve">epartamento </w:t>
      </w:r>
      <w:r w:rsidR="00114A31">
        <w:rPr>
          <w:bCs/>
        </w:rPr>
        <w:t>a</w:t>
      </w:r>
      <w:r>
        <w:rPr>
          <w:bCs/>
        </w:rPr>
        <w:t xml:space="preserve">dministrativo </w:t>
      </w:r>
      <w:r w:rsidR="00114A31">
        <w:rPr>
          <w:bCs/>
        </w:rPr>
        <w:t>f</w:t>
      </w:r>
      <w:r>
        <w:rPr>
          <w:bCs/>
        </w:rPr>
        <w:t>inanciero, quien cauciona su responsabilidad mediante el pago de fianza.</w:t>
      </w:r>
    </w:p>
    <w:p w14:paraId="20EFD2DE" w14:textId="77777777" w:rsidR="00514BCE" w:rsidRDefault="00514BCE" w:rsidP="00514BCE">
      <w:pPr>
        <w:adjustRightInd w:val="0"/>
        <w:jc w:val="both"/>
        <w:rPr>
          <w:bCs/>
        </w:rPr>
      </w:pPr>
    </w:p>
    <w:p w14:paraId="2B794858" w14:textId="77777777" w:rsidR="00B26867" w:rsidRDefault="00B26867" w:rsidP="00514BCE">
      <w:pPr>
        <w:adjustRightInd w:val="0"/>
        <w:jc w:val="both"/>
        <w:rPr>
          <w:b/>
          <w:bCs/>
        </w:rPr>
      </w:pPr>
    </w:p>
    <w:p w14:paraId="66D92C90" w14:textId="77777777" w:rsidR="00B26867" w:rsidRDefault="00B26867" w:rsidP="00514BCE">
      <w:pPr>
        <w:adjustRightInd w:val="0"/>
        <w:jc w:val="both"/>
        <w:rPr>
          <w:b/>
          <w:bCs/>
        </w:rPr>
      </w:pPr>
    </w:p>
    <w:p w14:paraId="348F6CED" w14:textId="77777777" w:rsidR="00514BCE" w:rsidRDefault="00514BCE" w:rsidP="00514BCE">
      <w:pPr>
        <w:adjustRightInd w:val="0"/>
        <w:jc w:val="both"/>
        <w:rPr>
          <w:b/>
          <w:bCs/>
        </w:rPr>
      </w:pPr>
      <w:r w:rsidRPr="007457EB">
        <w:rPr>
          <w:b/>
          <w:bCs/>
        </w:rPr>
        <w:t>DE CONFORMIDAD A LA VERIFICACIÓN REALIZADA SE TIENE EL SIGUIENTE RESULTADO</w:t>
      </w:r>
    </w:p>
    <w:p w14:paraId="7D52870D" w14:textId="77777777" w:rsidR="00514BCE" w:rsidRDefault="00514BCE" w:rsidP="00514BCE">
      <w:pPr>
        <w:adjustRightInd w:val="0"/>
        <w:jc w:val="both"/>
        <w:rPr>
          <w:b/>
          <w:bCs/>
        </w:rPr>
      </w:pPr>
    </w:p>
    <w:p w14:paraId="6213FE73" w14:textId="77777777" w:rsidR="00514BCE" w:rsidRPr="006C76E0" w:rsidRDefault="00514BCE" w:rsidP="00514BCE">
      <w:pPr>
        <w:pStyle w:val="Prrafodelista"/>
        <w:widowControl/>
        <w:numPr>
          <w:ilvl w:val="0"/>
          <w:numId w:val="1"/>
        </w:numPr>
        <w:adjustRightInd w:val="0"/>
        <w:ind w:hanging="720"/>
        <w:contextualSpacing/>
        <w:jc w:val="both"/>
        <w:rPr>
          <w:b/>
        </w:rPr>
      </w:pPr>
      <w:r>
        <w:rPr>
          <w:b/>
        </w:rPr>
        <w:t>Deficiencias en documentos de caja chica</w:t>
      </w:r>
    </w:p>
    <w:p w14:paraId="34155E04" w14:textId="77777777" w:rsidR="00514BCE" w:rsidRPr="006C76E0" w:rsidRDefault="00514BCE" w:rsidP="00514BCE">
      <w:pPr>
        <w:adjustRightInd w:val="0"/>
        <w:jc w:val="both"/>
        <w:rPr>
          <w:b/>
        </w:rPr>
      </w:pPr>
    </w:p>
    <w:p w14:paraId="32C489EF" w14:textId="77777777" w:rsidR="00514BCE" w:rsidRPr="00705DAE" w:rsidRDefault="00514BCE" w:rsidP="00514BCE">
      <w:pPr>
        <w:adjustRightInd w:val="0"/>
        <w:jc w:val="both"/>
        <w:rPr>
          <w:b/>
        </w:rPr>
      </w:pPr>
      <w:r w:rsidRPr="00705DAE">
        <w:rPr>
          <w:b/>
        </w:rPr>
        <w:t>Condición</w:t>
      </w:r>
    </w:p>
    <w:p w14:paraId="38EC5E6E" w14:textId="77777777" w:rsidR="00514BCE" w:rsidRPr="00705DAE" w:rsidRDefault="00514BCE" w:rsidP="00514BCE">
      <w:pPr>
        <w:jc w:val="both"/>
        <w:rPr>
          <w:lang w:val="es-MX"/>
        </w:rPr>
      </w:pPr>
      <w:r w:rsidRPr="00705DAE">
        <w:rPr>
          <w:lang w:val="es-MX"/>
        </w:rPr>
        <w:t>Al realizar arqueo de caja chica al 29 de julio de 2022 y evaluar el control interno, en los documentos que conforman los gastos realizados, se determinaron las siguientes deficiencias:</w:t>
      </w:r>
    </w:p>
    <w:p w14:paraId="5EEF7C2C" w14:textId="77777777" w:rsidR="00514BCE" w:rsidRPr="00705DAE" w:rsidRDefault="00514BCE" w:rsidP="00514BCE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En la factura no describe la dirección de la unidad compradora.</w:t>
      </w:r>
    </w:p>
    <w:p w14:paraId="247B9880" w14:textId="77777777" w:rsidR="00514BCE" w:rsidRPr="00705DAE" w:rsidRDefault="00514BCE" w:rsidP="00514BCE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No se extendió el certificado de conformidad y autorización de pago.</w:t>
      </w:r>
    </w:p>
    <w:p w14:paraId="34962B49" w14:textId="77777777" w:rsidR="00514BCE" w:rsidRPr="00705DAE" w:rsidRDefault="00514BCE" w:rsidP="00514BCE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No se emitió el certificado de inventario por mantenimiento.</w:t>
      </w:r>
    </w:p>
    <w:p w14:paraId="00075F9F" w14:textId="77777777" w:rsidR="00514BCE" w:rsidRPr="00705DAE" w:rsidRDefault="00514BCE" w:rsidP="00514BCE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No registran el sello de cancelado con caja chica.</w:t>
      </w:r>
    </w:p>
    <w:p w14:paraId="35EC10E8" w14:textId="77777777" w:rsidR="00514BCE" w:rsidRDefault="00514BCE" w:rsidP="00514BCE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La fecha registrada en el formulario ADQ-FOR-01 disponibilidad presupuestaria para pagos no programados es distinta a la registrada en la factura.</w:t>
      </w:r>
    </w:p>
    <w:p w14:paraId="3C516C53" w14:textId="77777777" w:rsidR="005B79C6" w:rsidRDefault="005B79C6" w:rsidP="005B79C6">
      <w:pPr>
        <w:widowControl/>
        <w:autoSpaceDE/>
        <w:autoSpaceDN/>
        <w:spacing w:after="160" w:line="259" w:lineRule="auto"/>
        <w:contextualSpacing/>
        <w:rPr>
          <w:lang w:val="es-MX"/>
        </w:rPr>
      </w:pPr>
      <w:r>
        <w:rPr>
          <w:lang w:val="es-MX"/>
        </w:rPr>
        <w:t>Ver anexo 1, según el orden de las literales descritas.</w:t>
      </w:r>
    </w:p>
    <w:p w14:paraId="1AB57DAD" w14:textId="77777777" w:rsidR="005B79C6" w:rsidRPr="005B79C6" w:rsidRDefault="005B79C6" w:rsidP="005B79C6">
      <w:pPr>
        <w:widowControl/>
        <w:autoSpaceDE/>
        <w:autoSpaceDN/>
        <w:spacing w:after="160" w:line="259" w:lineRule="auto"/>
        <w:contextualSpacing/>
        <w:rPr>
          <w:lang w:val="es-MX"/>
        </w:rPr>
      </w:pPr>
    </w:p>
    <w:p w14:paraId="3FA3214D" w14:textId="77777777" w:rsidR="00514BCE" w:rsidRDefault="00514BCE" w:rsidP="00514BCE">
      <w:pPr>
        <w:jc w:val="both"/>
        <w:rPr>
          <w:b/>
          <w:lang w:val="es-MX"/>
        </w:rPr>
      </w:pPr>
      <w:r w:rsidRPr="00705DAE">
        <w:rPr>
          <w:b/>
          <w:lang w:val="es-MX"/>
        </w:rPr>
        <w:t>Recomendación</w:t>
      </w:r>
      <w:r w:rsidR="00DA5441">
        <w:rPr>
          <w:b/>
          <w:lang w:val="es-MX"/>
        </w:rPr>
        <w:t xml:space="preserve"> </w:t>
      </w:r>
    </w:p>
    <w:p w14:paraId="70415D70" w14:textId="77777777" w:rsidR="00514BCE" w:rsidRDefault="00514BCE" w:rsidP="00514BCE">
      <w:pPr>
        <w:jc w:val="both"/>
      </w:pPr>
      <w:r>
        <w:rPr>
          <w:lang w:val="es-MX"/>
        </w:rPr>
        <w:t xml:space="preserve">Que el Director del Jurado Nacional de Oposición, gire sus instrucciones por </w:t>
      </w:r>
      <w:r w:rsidRPr="000C5946">
        <w:t xml:space="preserve">escrito a la </w:t>
      </w:r>
      <w:r w:rsidR="005B79C6">
        <w:t>j</w:t>
      </w:r>
      <w:r w:rsidRPr="000C5946">
        <w:t>efe</w:t>
      </w:r>
      <w:r>
        <w:t xml:space="preserve"> en funciones </w:t>
      </w:r>
      <w:r w:rsidRPr="000C5946">
        <w:t xml:space="preserve">del </w:t>
      </w:r>
      <w:r w:rsidR="005B79C6">
        <w:t>d</w:t>
      </w:r>
      <w:r w:rsidRPr="000C5946">
        <w:t xml:space="preserve">epartamento </w:t>
      </w:r>
      <w:r w:rsidR="005B79C6">
        <w:t>a</w:t>
      </w:r>
      <w:r w:rsidRPr="000C5946">
        <w:t xml:space="preserve">dministrativo </w:t>
      </w:r>
      <w:r w:rsidR="005B79C6">
        <w:t>f</w:t>
      </w:r>
      <w:r w:rsidRPr="000C5946">
        <w:t xml:space="preserve">inanciero y esta a su vez a la </w:t>
      </w:r>
      <w:r>
        <w:t>responsable de</w:t>
      </w:r>
      <w:r w:rsidR="00DA5441">
        <w:t xml:space="preserve"> </w:t>
      </w:r>
      <w:r>
        <w:t>l</w:t>
      </w:r>
      <w:r w:rsidR="00DA5441">
        <w:t>a caja chica</w:t>
      </w:r>
      <w:r>
        <w:t xml:space="preserve"> </w:t>
      </w:r>
      <w:r w:rsidRPr="000C5946">
        <w:t xml:space="preserve">a efecto de </w:t>
      </w:r>
      <w:r>
        <w:t xml:space="preserve">dar cumplimiento a lo establecido en el </w:t>
      </w:r>
      <w:r w:rsidR="005B79C6">
        <w:t>s</w:t>
      </w:r>
      <w:r>
        <w:t xml:space="preserve">istema de </w:t>
      </w:r>
      <w:r w:rsidR="005B79C6">
        <w:t>g</w:t>
      </w:r>
      <w:r>
        <w:t xml:space="preserve">estión de la </w:t>
      </w:r>
      <w:r w:rsidR="005B79C6">
        <w:t>c</w:t>
      </w:r>
      <w:r>
        <w:t xml:space="preserve">alidad, FIN-INS-07, </w:t>
      </w:r>
      <w:r w:rsidR="005B79C6">
        <w:t>i</w:t>
      </w:r>
      <w:r>
        <w:t xml:space="preserve">nstructivo </w:t>
      </w:r>
      <w:r w:rsidR="005B79C6">
        <w:t>c</w:t>
      </w:r>
      <w:r>
        <w:t xml:space="preserve">onstitución y </w:t>
      </w:r>
      <w:r w:rsidR="005B79C6">
        <w:t>l</w:t>
      </w:r>
      <w:r>
        <w:t xml:space="preserve">iquidación de </w:t>
      </w:r>
      <w:r w:rsidR="005B79C6">
        <w:t>c</w:t>
      </w:r>
      <w:r>
        <w:t xml:space="preserve">aja </w:t>
      </w:r>
      <w:r w:rsidR="005B79C6">
        <w:t>c</w:t>
      </w:r>
      <w:r>
        <w:t xml:space="preserve">hica del </w:t>
      </w:r>
      <w:r w:rsidR="005B79C6">
        <w:t>p</w:t>
      </w:r>
      <w:r>
        <w:t xml:space="preserve">roceso de </w:t>
      </w:r>
      <w:r w:rsidR="005B79C6">
        <w:t>g</w:t>
      </w:r>
      <w:r>
        <w:t xml:space="preserve">estión </w:t>
      </w:r>
      <w:r w:rsidR="005B79C6">
        <w:t>f</w:t>
      </w:r>
      <w:r>
        <w:t>inanciera.</w:t>
      </w:r>
    </w:p>
    <w:p w14:paraId="16AA830F" w14:textId="77777777" w:rsidR="00514BCE" w:rsidRDefault="00514BCE" w:rsidP="00514BCE">
      <w:pPr>
        <w:jc w:val="both"/>
        <w:rPr>
          <w:lang w:val="es-MX"/>
        </w:rPr>
      </w:pPr>
      <w:r>
        <w:t xml:space="preserve"> </w:t>
      </w:r>
      <w:r>
        <w:rPr>
          <w:lang w:val="es-MX"/>
        </w:rPr>
        <w:t xml:space="preserve">   </w:t>
      </w:r>
    </w:p>
    <w:p w14:paraId="2672832F" w14:textId="77777777" w:rsidR="00514BCE" w:rsidRPr="00705DAE" w:rsidRDefault="00514BCE" w:rsidP="00514BCE">
      <w:pPr>
        <w:pStyle w:val="Sinespaciado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705DAE">
        <w:rPr>
          <w:rFonts w:ascii="Arial" w:hAnsi="Arial" w:cs="Arial"/>
          <w:b/>
        </w:rPr>
        <w:t>Deficiencias en documentos del fondo rotativo interno</w:t>
      </w:r>
    </w:p>
    <w:p w14:paraId="121F6669" w14:textId="77777777" w:rsidR="00514BCE" w:rsidRPr="00705DAE" w:rsidRDefault="00514BCE" w:rsidP="00514BCE">
      <w:pPr>
        <w:jc w:val="both"/>
        <w:rPr>
          <w:lang w:val="es-MX"/>
        </w:rPr>
      </w:pPr>
      <w:r w:rsidRPr="00705DAE">
        <w:rPr>
          <w:lang w:val="es-MX"/>
        </w:rPr>
        <w:t>Al realizar arqueo de fondo rotativo interno al 01 de agosto de 2022 y evaluar el control interno, en los documentos que conforman los gastos realizados, se determinaron las siguientes deficiencias:</w:t>
      </w:r>
    </w:p>
    <w:p w14:paraId="59A896CC" w14:textId="77777777" w:rsidR="00514BCE" w:rsidRPr="00705DAE" w:rsidRDefault="00514BCE" w:rsidP="00514BCE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lastRenderedPageBreak/>
        <w:t>Las facturas no describen la dirección de la unidad compradora.</w:t>
      </w:r>
    </w:p>
    <w:p w14:paraId="33ADE2FB" w14:textId="77777777" w:rsidR="00514BCE" w:rsidRPr="00705DAE" w:rsidRDefault="00514BCE" w:rsidP="00514BCE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No se extendió el certificado de conformidad y autorización de pago.</w:t>
      </w:r>
    </w:p>
    <w:p w14:paraId="30E98CFA" w14:textId="77777777" w:rsidR="00514BCE" w:rsidRPr="00705DAE" w:rsidRDefault="00514BCE" w:rsidP="00514BCE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No se emitió el certificado de inventario por reparación de sillas.</w:t>
      </w:r>
    </w:p>
    <w:p w14:paraId="0AD22BD7" w14:textId="77777777" w:rsidR="00514BCE" w:rsidRDefault="00514BCE" w:rsidP="00514BCE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No realiz</w:t>
      </w:r>
      <w:r>
        <w:rPr>
          <w:lang w:val="es-MX"/>
        </w:rPr>
        <w:t>ó</w:t>
      </w:r>
      <w:r w:rsidRPr="00705DAE">
        <w:rPr>
          <w:lang w:val="es-MX"/>
        </w:rPr>
        <w:t xml:space="preserve"> retención de ISR</w:t>
      </w:r>
    </w:p>
    <w:p w14:paraId="3BE8827D" w14:textId="77777777" w:rsidR="00514BCE" w:rsidRPr="00705DAE" w:rsidRDefault="00514BCE" w:rsidP="00514BCE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s-MX"/>
        </w:rPr>
      </w:pPr>
      <w:r>
        <w:rPr>
          <w:lang w:val="es-MX"/>
        </w:rPr>
        <w:t xml:space="preserve">No se realizó retención de </w:t>
      </w:r>
      <w:r w:rsidRPr="00705DAE">
        <w:rPr>
          <w:lang w:val="es-MX"/>
        </w:rPr>
        <w:t>IVA.</w:t>
      </w:r>
    </w:p>
    <w:p w14:paraId="61E2D5C4" w14:textId="77777777" w:rsidR="00514BCE" w:rsidRPr="00705DAE" w:rsidRDefault="00514BCE" w:rsidP="00514BCE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No registran el sello de cancelado.</w:t>
      </w:r>
    </w:p>
    <w:p w14:paraId="562FB0AB" w14:textId="77777777" w:rsidR="00514BCE" w:rsidRPr="00705DAE" w:rsidRDefault="00514BCE" w:rsidP="00514BCE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lang w:val="es-MX"/>
        </w:rPr>
      </w:pPr>
      <w:r w:rsidRPr="00705DAE">
        <w:rPr>
          <w:lang w:val="es-MX"/>
        </w:rPr>
        <w:t>Las facturas no se encuentran razonadas en el adverso.</w:t>
      </w:r>
    </w:p>
    <w:p w14:paraId="7E99829C" w14:textId="77777777" w:rsidR="00514BCE" w:rsidRPr="003F6644" w:rsidRDefault="003F6644" w:rsidP="00514BCE">
      <w:pPr>
        <w:ind w:left="360" w:hanging="360"/>
        <w:jc w:val="both"/>
        <w:rPr>
          <w:lang w:val="es-MX"/>
        </w:rPr>
      </w:pPr>
      <w:r w:rsidRPr="003F6644">
        <w:rPr>
          <w:lang w:val="es-MX"/>
        </w:rPr>
        <w:t>Ver anexo 2, según el orden de las literales descritas.</w:t>
      </w:r>
    </w:p>
    <w:p w14:paraId="6234897D" w14:textId="77777777" w:rsidR="003F6644" w:rsidRDefault="003F6644" w:rsidP="00514BCE">
      <w:pPr>
        <w:ind w:left="360" w:hanging="360"/>
        <w:jc w:val="both"/>
        <w:rPr>
          <w:b/>
          <w:lang w:val="es-MX"/>
        </w:rPr>
      </w:pPr>
    </w:p>
    <w:p w14:paraId="148B7321" w14:textId="77777777" w:rsidR="00514BCE" w:rsidRPr="00CA497B" w:rsidRDefault="00514BCE" w:rsidP="00514BCE">
      <w:pPr>
        <w:ind w:left="360" w:hanging="360"/>
        <w:jc w:val="both"/>
        <w:rPr>
          <w:b/>
          <w:lang w:val="es-MX"/>
        </w:rPr>
      </w:pPr>
      <w:r w:rsidRPr="00CA497B">
        <w:rPr>
          <w:b/>
          <w:lang w:val="es-MX"/>
        </w:rPr>
        <w:t>Recomendación</w:t>
      </w:r>
    </w:p>
    <w:p w14:paraId="44CC6FFC" w14:textId="77777777" w:rsidR="00514BCE" w:rsidRDefault="00514BCE" w:rsidP="00514BCE">
      <w:pPr>
        <w:jc w:val="both"/>
      </w:pPr>
      <w:r w:rsidRPr="00CA497B">
        <w:rPr>
          <w:lang w:val="es-MX"/>
        </w:rPr>
        <w:t xml:space="preserve">Que el Director del Jurado Nacional de Oposición, gire sus instrucciones por </w:t>
      </w:r>
      <w:r w:rsidRPr="00CA497B">
        <w:t xml:space="preserve">escrito a la </w:t>
      </w:r>
      <w:r w:rsidR="00384256">
        <w:t>j</w:t>
      </w:r>
      <w:r w:rsidRPr="00CA497B">
        <w:t xml:space="preserve">efe en funciones del </w:t>
      </w:r>
      <w:r w:rsidR="00384256">
        <w:t>d</w:t>
      </w:r>
      <w:r w:rsidRPr="00CA497B">
        <w:t xml:space="preserve">epartamento </w:t>
      </w:r>
      <w:r w:rsidR="00384256">
        <w:t>a</w:t>
      </w:r>
      <w:r w:rsidRPr="00CA497B">
        <w:t xml:space="preserve">dministrativo </w:t>
      </w:r>
      <w:r w:rsidR="00384256">
        <w:t>f</w:t>
      </w:r>
      <w:r w:rsidRPr="00CA497B">
        <w:t>inanciero y esta a su vez a la responsable de</w:t>
      </w:r>
      <w:r w:rsidR="00384256">
        <w:t>l</w:t>
      </w:r>
      <w:r w:rsidRPr="00CA497B">
        <w:t xml:space="preserve"> fondo rotativo interno a efecto de dar cumplimiento a lo establecido en el </w:t>
      </w:r>
      <w:r w:rsidR="00EE14FB">
        <w:t>s</w:t>
      </w:r>
      <w:r w:rsidRPr="00CA497B">
        <w:t xml:space="preserve">istema de </w:t>
      </w:r>
      <w:r w:rsidR="00EE14FB">
        <w:t>g</w:t>
      </w:r>
      <w:r w:rsidRPr="00CA497B">
        <w:t xml:space="preserve">estión de la </w:t>
      </w:r>
      <w:r w:rsidR="00EE14FB">
        <w:t>c</w:t>
      </w:r>
      <w:r w:rsidRPr="00CA497B">
        <w:t>alidad, FIN-INS-0</w:t>
      </w:r>
      <w:r>
        <w:t>8</w:t>
      </w:r>
      <w:r w:rsidRPr="00CA497B">
        <w:t xml:space="preserve">, </w:t>
      </w:r>
      <w:r w:rsidR="00EE14FB">
        <w:t>i</w:t>
      </w:r>
      <w:r w:rsidRPr="00CA497B">
        <w:t xml:space="preserve">nstructivo </w:t>
      </w:r>
      <w:r w:rsidR="00EE14FB">
        <w:t>c</w:t>
      </w:r>
      <w:r w:rsidRPr="00CA497B">
        <w:t xml:space="preserve">onstitución y </w:t>
      </w:r>
      <w:r w:rsidR="00EE14FB">
        <w:t>l</w:t>
      </w:r>
      <w:r w:rsidRPr="00CA497B">
        <w:t>iquidación de</w:t>
      </w:r>
      <w:r>
        <w:t xml:space="preserve">l </w:t>
      </w:r>
      <w:r w:rsidR="00EE14FB">
        <w:t>f</w:t>
      </w:r>
      <w:r>
        <w:t xml:space="preserve">ondo </w:t>
      </w:r>
      <w:r w:rsidR="00EE14FB">
        <w:t>r</w:t>
      </w:r>
      <w:r>
        <w:t xml:space="preserve">otativo </w:t>
      </w:r>
      <w:r w:rsidR="00EE14FB">
        <w:t>i</w:t>
      </w:r>
      <w:r>
        <w:t xml:space="preserve">nterno </w:t>
      </w:r>
      <w:r w:rsidRPr="00CA497B">
        <w:t xml:space="preserve">del </w:t>
      </w:r>
      <w:r w:rsidR="00EE14FB">
        <w:t>p</w:t>
      </w:r>
      <w:r w:rsidRPr="00CA497B">
        <w:t xml:space="preserve">roceso de </w:t>
      </w:r>
      <w:r w:rsidR="00EE14FB">
        <w:t>g</w:t>
      </w:r>
      <w:r w:rsidRPr="00CA497B">
        <w:t xml:space="preserve">estión </w:t>
      </w:r>
      <w:r w:rsidR="00EE14FB">
        <w:t>f</w:t>
      </w:r>
      <w:r w:rsidRPr="00CA497B">
        <w:t>inanciera.</w:t>
      </w:r>
    </w:p>
    <w:p w14:paraId="71F0FCD2" w14:textId="77777777" w:rsidR="00514BCE" w:rsidRDefault="00514BCE" w:rsidP="00514BCE">
      <w:pPr>
        <w:jc w:val="both"/>
      </w:pPr>
    </w:p>
    <w:p w14:paraId="4520022B" w14:textId="77777777" w:rsidR="00514BCE" w:rsidRDefault="00514BCE" w:rsidP="00514BCE">
      <w:pPr>
        <w:jc w:val="both"/>
      </w:pPr>
    </w:p>
    <w:p w14:paraId="78000B74" w14:textId="77777777" w:rsidR="00514BCE" w:rsidRDefault="00514BCE" w:rsidP="00514BCE">
      <w:pPr>
        <w:jc w:val="both"/>
      </w:pPr>
    </w:p>
    <w:p w14:paraId="34C44732" w14:textId="77777777" w:rsidR="00514BCE" w:rsidRDefault="00514BCE" w:rsidP="00514BCE">
      <w:pPr>
        <w:jc w:val="both"/>
      </w:pPr>
    </w:p>
    <w:p w14:paraId="68EC0BEC" w14:textId="77777777" w:rsidR="00514BCE" w:rsidRDefault="00514BCE" w:rsidP="00514BCE">
      <w:pPr>
        <w:jc w:val="both"/>
      </w:pPr>
    </w:p>
    <w:p w14:paraId="429256DE" w14:textId="77777777" w:rsidR="00514BCE" w:rsidRDefault="00514BCE" w:rsidP="00514BCE">
      <w:pPr>
        <w:jc w:val="both"/>
      </w:pPr>
    </w:p>
    <w:p w14:paraId="031B5F57" w14:textId="77777777" w:rsidR="00514BCE" w:rsidRDefault="00514BCE" w:rsidP="00514BCE">
      <w:pPr>
        <w:jc w:val="both"/>
      </w:pPr>
    </w:p>
    <w:p w14:paraId="4C25342B" w14:textId="77777777" w:rsidR="00514BCE" w:rsidRDefault="00514BCE" w:rsidP="00514BCE">
      <w:pPr>
        <w:jc w:val="both"/>
      </w:pPr>
    </w:p>
    <w:p w14:paraId="4A4F2BDE" w14:textId="77777777" w:rsidR="00514BCE" w:rsidRDefault="00514BCE" w:rsidP="00514BCE">
      <w:pPr>
        <w:jc w:val="both"/>
      </w:pPr>
    </w:p>
    <w:p w14:paraId="5A52B0C0" w14:textId="77777777" w:rsidR="00514BCE" w:rsidRDefault="00514BCE" w:rsidP="00514BCE">
      <w:pPr>
        <w:jc w:val="both"/>
      </w:pPr>
    </w:p>
    <w:p w14:paraId="31538C12" w14:textId="77777777" w:rsidR="00514BCE" w:rsidRDefault="00514BCE" w:rsidP="00514BCE">
      <w:pPr>
        <w:jc w:val="both"/>
      </w:pPr>
    </w:p>
    <w:p w14:paraId="6D314B9A" w14:textId="77777777" w:rsidR="00514BCE" w:rsidRDefault="00514BCE" w:rsidP="00514BCE">
      <w:pPr>
        <w:jc w:val="both"/>
      </w:pPr>
    </w:p>
    <w:p w14:paraId="172E5493" w14:textId="77777777" w:rsidR="00514BCE" w:rsidRDefault="00514BCE" w:rsidP="00514BCE">
      <w:pPr>
        <w:jc w:val="both"/>
      </w:pPr>
    </w:p>
    <w:p w14:paraId="676F482B" w14:textId="77777777" w:rsidR="00514BCE" w:rsidRDefault="00514BCE" w:rsidP="00514BCE">
      <w:pPr>
        <w:jc w:val="both"/>
      </w:pPr>
    </w:p>
    <w:p w14:paraId="33307F60" w14:textId="77777777" w:rsidR="00514BCE" w:rsidRDefault="00514BCE" w:rsidP="00514BCE">
      <w:pPr>
        <w:jc w:val="both"/>
      </w:pPr>
    </w:p>
    <w:p w14:paraId="669352F9" w14:textId="77777777" w:rsidR="00514BCE" w:rsidRDefault="00514BCE" w:rsidP="00514BCE">
      <w:pPr>
        <w:jc w:val="both"/>
      </w:pPr>
    </w:p>
    <w:p w14:paraId="3CE31723" w14:textId="77777777" w:rsidR="00514BCE" w:rsidRDefault="00514BCE" w:rsidP="00514BCE">
      <w:pPr>
        <w:jc w:val="both"/>
      </w:pPr>
    </w:p>
    <w:p w14:paraId="6EFB7D24" w14:textId="77777777" w:rsidR="00514BCE" w:rsidRDefault="00514BCE" w:rsidP="00514BCE">
      <w:pPr>
        <w:jc w:val="both"/>
      </w:pPr>
    </w:p>
    <w:p w14:paraId="40FCCFB4" w14:textId="77777777" w:rsidR="00514BCE" w:rsidRDefault="00514BCE" w:rsidP="00514BCE">
      <w:pPr>
        <w:jc w:val="both"/>
      </w:pPr>
    </w:p>
    <w:p w14:paraId="3DB90F85" w14:textId="77777777" w:rsidR="00514BCE" w:rsidRDefault="00514BCE" w:rsidP="00514BCE">
      <w:pPr>
        <w:jc w:val="both"/>
      </w:pPr>
    </w:p>
    <w:p w14:paraId="7F954711" w14:textId="77777777" w:rsidR="00514BCE" w:rsidRDefault="00514BCE" w:rsidP="00514BCE">
      <w:pPr>
        <w:jc w:val="both"/>
      </w:pPr>
    </w:p>
    <w:p w14:paraId="1CD44AA5" w14:textId="77777777" w:rsidR="00514BCE" w:rsidRDefault="00514BCE" w:rsidP="00514BCE">
      <w:pPr>
        <w:jc w:val="both"/>
      </w:pPr>
    </w:p>
    <w:p w14:paraId="17404BF9" w14:textId="77777777" w:rsidR="00514BCE" w:rsidRDefault="00514BCE" w:rsidP="00514BCE">
      <w:pPr>
        <w:jc w:val="both"/>
      </w:pPr>
    </w:p>
    <w:p w14:paraId="18AF537F" w14:textId="77777777" w:rsidR="00514BCE" w:rsidRDefault="00514BCE" w:rsidP="00514BCE">
      <w:pPr>
        <w:jc w:val="both"/>
      </w:pPr>
    </w:p>
    <w:p w14:paraId="1922DFEB" w14:textId="77777777" w:rsidR="00514BCE" w:rsidRDefault="00514BCE" w:rsidP="00514BCE">
      <w:pPr>
        <w:jc w:val="both"/>
      </w:pPr>
    </w:p>
    <w:p w14:paraId="69F4F75C" w14:textId="77777777" w:rsidR="00514BCE" w:rsidRDefault="00514BCE" w:rsidP="00514BCE">
      <w:pPr>
        <w:jc w:val="both"/>
      </w:pPr>
    </w:p>
    <w:p w14:paraId="75C27F14" w14:textId="77777777" w:rsidR="00514BCE" w:rsidRDefault="00514BCE" w:rsidP="00514BCE">
      <w:pPr>
        <w:jc w:val="both"/>
      </w:pPr>
    </w:p>
    <w:p w14:paraId="4192095E" w14:textId="77777777" w:rsidR="00514BCE" w:rsidRDefault="00514BCE" w:rsidP="00514BCE">
      <w:pPr>
        <w:jc w:val="both"/>
      </w:pPr>
    </w:p>
    <w:p w14:paraId="1A7E3298" w14:textId="77777777" w:rsidR="00514BCE" w:rsidRDefault="00514BCE" w:rsidP="00514BCE">
      <w:pPr>
        <w:jc w:val="both"/>
      </w:pPr>
    </w:p>
    <w:p w14:paraId="7667A3B8" w14:textId="77777777" w:rsidR="00514BCE" w:rsidRDefault="00514BCE" w:rsidP="00514BCE">
      <w:pPr>
        <w:jc w:val="both"/>
      </w:pPr>
    </w:p>
    <w:p w14:paraId="0100B405" w14:textId="77777777" w:rsidR="00514BCE" w:rsidRDefault="00514BCE" w:rsidP="00514BCE">
      <w:pPr>
        <w:jc w:val="both"/>
      </w:pPr>
    </w:p>
    <w:p w14:paraId="1306E622" w14:textId="77777777" w:rsidR="00514BCE" w:rsidRDefault="00514BCE" w:rsidP="00514BCE">
      <w:pPr>
        <w:jc w:val="both"/>
      </w:pPr>
    </w:p>
    <w:p w14:paraId="0AB75051" w14:textId="77777777" w:rsidR="00514BCE" w:rsidRDefault="00514BCE" w:rsidP="00514BCE">
      <w:pPr>
        <w:jc w:val="both"/>
      </w:pPr>
    </w:p>
    <w:p w14:paraId="3590E79D" w14:textId="77777777" w:rsidR="00514BCE" w:rsidRDefault="00514BCE" w:rsidP="00514BCE">
      <w:pPr>
        <w:jc w:val="both"/>
      </w:pPr>
    </w:p>
    <w:p w14:paraId="13124C5D" w14:textId="77777777" w:rsidR="00514BCE" w:rsidRDefault="00514BCE" w:rsidP="00514BCE">
      <w:pPr>
        <w:jc w:val="both"/>
      </w:pPr>
    </w:p>
    <w:p w14:paraId="4008512B" w14:textId="77777777" w:rsidR="00514BCE" w:rsidRDefault="00514BCE" w:rsidP="00514BCE">
      <w:pPr>
        <w:jc w:val="both"/>
      </w:pPr>
    </w:p>
    <w:p w14:paraId="1A1EC01B" w14:textId="77777777" w:rsidR="00514BCE" w:rsidRDefault="00514BCE" w:rsidP="00514BCE">
      <w:pPr>
        <w:jc w:val="both"/>
      </w:pPr>
    </w:p>
    <w:p w14:paraId="28BC8B59" w14:textId="77777777" w:rsidR="00514BCE" w:rsidRDefault="00514BCE" w:rsidP="00514BCE">
      <w:pPr>
        <w:jc w:val="both"/>
      </w:pPr>
    </w:p>
    <w:p w14:paraId="643AB05E" w14:textId="77777777" w:rsidR="00514BCE" w:rsidRDefault="00514BCE" w:rsidP="00514BCE">
      <w:pPr>
        <w:jc w:val="both"/>
      </w:pPr>
    </w:p>
    <w:p w14:paraId="3A8CFA96" w14:textId="77777777" w:rsidR="00514BCE" w:rsidRDefault="00514BCE" w:rsidP="00514BCE">
      <w:pPr>
        <w:jc w:val="both"/>
      </w:pPr>
    </w:p>
    <w:p w14:paraId="4D7630AC" w14:textId="77777777" w:rsidR="00514BCE" w:rsidRDefault="00514BCE" w:rsidP="00514BCE">
      <w:pPr>
        <w:jc w:val="both"/>
      </w:pPr>
    </w:p>
    <w:p w14:paraId="4A360AB4" w14:textId="77777777" w:rsidR="00514BCE" w:rsidRDefault="00514BCE" w:rsidP="00514BCE">
      <w:pPr>
        <w:jc w:val="both"/>
      </w:pPr>
    </w:p>
    <w:p w14:paraId="16457B87" w14:textId="77777777" w:rsidR="00514BCE" w:rsidRDefault="00514BCE" w:rsidP="00514BCE">
      <w:pPr>
        <w:jc w:val="both"/>
      </w:pPr>
    </w:p>
    <w:p w14:paraId="02A09F3F" w14:textId="77777777" w:rsidR="00514BCE" w:rsidRDefault="00514BCE" w:rsidP="00514BCE">
      <w:pPr>
        <w:jc w:val="both"/>
      </w:pPr>
    </w:p>
    <w:p w14:paraId="6709E603" w14:textId="77777777" w:rsidR="00514BCE" w:rsidRDefault="00514BCE" w:rsidP="00514BCE">
      <w:pPr>
        <w:jc w:val="both"/>
      </w:pPr>
    </w:p>
    <w:p w14:paraId="01C9EECB" w14:textId="77777777" w:rsidR="00514BCE" w:rsidRDefault="00514BCE" w:rsidP="00514BCE">
      <w:pPr>
        <w:jc w:val="both"/>
      </w:pPr>
    </w:p>
    <w:p w14:paraId="3ADA82DD" w14:textId="77777777" w:rsidR="00514BCE" w:rsidRDefault="00514BCE" w:rsidP="00514BCE">
      <w:pPr>
        <w:jc w:val="both"/>
      </w:pPr>
    </w:p>
    <w:p w14:paraId="6BDB3D10" w14:textId="77777777" w:rsidR="00514BCE" w:rsidRPr="00D42488" w:rsidRDefault="00514BCE" w:rsidP="00514BCE">
      <w:pPr>
        <w:jc w:val="both"/>
        <w:rPr>
          <w:b/>
        </w:rPr>
      </w:pPr>
      <w:r w:rsidRPr="00D42488">
        <w:rPr>
          <w:b/>
        </w:rPr>
        <w:t>Anexos</w:t>
      </w:r>
    </w:p>
    <w:p w14:paraId="54C28B6B" w14:textId="77777777" w:rsidR="00514BCE" w:rsidRDefault="00514BCE" w:rsidP="00514BCE">
      <w:pPr>
        <w:jc w:val="both"/>
      </w:pPr>
    </w:p>
    <w:p w14:paraId="466B6468" w14:textId="77777777" w:rsidR="00514BCE" w:rsidRPr="00E62C9F" w:rsidRDefault="00514BCE" w:rsidP="00514BCE">
      <w:pPr>
        <w:jc w:val="center"/>
        <w:rPr>
          <w:b/>
        </w:rPr>
      </w:pPr>
      <w:r w:rsidRPr="00E62C9F">
        <w:rPr>
          <w:b/>
        </w:rPr>
        <w:t>Anexo 1</w:t>
      </w:r>
    </w:p>
    <w:p w14:paraId="20F7D023" w14:textId="77777777" w:rsidR="00514BCE" w:rsidRDefault="00514BCE" w:rsidP="00514BCE">
      <w:pPr>
        <w:adjustRightInd w:val="0"/>
        <w:jc w:val="center"/>
        <w:rPr>
          <w:b/>
        </w:rPr>
      </w:pPr>
      <w:r w:rsidRPr="00E62C9F">
        <w:rPr>
          <w:b/>
        </w:rPr>
        <w:t>Deficiencias en documentos de caja chica</w:t>
      </w:r>
    </w:p>
    <w:p w14:paraId="5DF886D6" w14:textId="77777777" w:rsidR="00514BCE" w:rsidRDefault="00514BCE" w:rsidP="00514BCE">
      <w:pPr>
        <w:adjustRightInd w:val="0"/>
        <w:jc w:val="center"/>
        <w:rPr>
          <w:b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474"/>
        <w:gridCol w:w="1017"/>
        <w:gridCol w:w="1135"/>
        <w:gridCol w:w="1338"/>
        <w:gridCol w:w="2127"/>
        <w:gridCol w:w="972"/>
        <w:gridCol w:w="346"/>
        <w:gridCol w:w="346"/>
        <w:gridCol w:w="346"/>
        <w:gridCol w:w="346"/>
        <w:gridCol w:w="346"/>
      </w:tblGrid>
      <w:tr w:rsidR="00514BCE" w:rsidRPr="00D42488" w14:paraId="3C7AD5B0" w14:textId="77777777" w:rsidTr="00CF76CD">
        <w:trPr>
          <w:trHeight w:val="1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599B75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No.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AD9791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42488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Fecha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9C7B21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Factura No.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2C7894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42488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Proveedor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1AAC91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D42488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Descripci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ó</w:t>
            </w:r>
            <w:r w:rsidRPr="00D42488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5B189B" w14:textId="77777777" w:rsidR="00514BCE" w:rsidRPr="00D42488" w:rsidRDefault="00CF76CD" w:rsidP="00CF76C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Valor</w:t>
            </w:r>
            <w:r w:rsidR="00514BCE" w:rsidRPr="00D42488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338C5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en</w:t>
            </w:r>
            <w:proofErr w:type="spellEnd"/>
            <w:r w:rsidR="00F338C5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338C5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Quetzales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ECBDBA8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DB6A4B5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2D98413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DACC251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7A7692F" w14:textId="77777777" w:rsidR="00514BCE" w:rsidRPr="00D42488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</w:p>
        </w:tc>
      </w:tr>
      <w:tr w:rsidR="00514BCE" w:rsidRPr="00D42488" w14:paraId="288EE2F0" w14:textId="77777777" w:rsidTr="00CF76CD">
        <w:trPr>
          <w:trHeight w:val="58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A1D2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9CE" w14:textId="77777777" w:rsidR="00514BCE" w:rsidRPr="00D42488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27/07/2022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DFD7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Serie F156EDD9 No. 3896134788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2C8D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proofErr w:type="spellStart"/>
            <w:r w:rsidRPr="00D42488">
              <w:rPr>
                <w:rFonts w:eastAsia="Times New Roman"/>
                <w:color w:val="000000"/>
                <w:sz w:val="16"/>
                <w:szCs w:val="16"/>
                <w:lang w:val="es-MX"/>
              </w:rPr>
              <w:t>D´Tecnica</w:t>
            </w:r>
            <w:proofErr w:type="spellEnd"/>
            <w:r w:rsidRPr="00D42488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 de Equipos ( Gerson Urbina Ruiz)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D0D9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s-MX"/>
              </w:rPr>
              <w:t>Servicio de mantenimiento a fotocopiadora marca Sharp AR M257 Serie NO. 75068328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F472" w14:textId="77777777" w:rsidR="00514BCE" w:rsidRPr="00D42488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350.00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432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C781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493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2488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5A08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514BCE" w:rsidRPr="00D42488" w14:paraId="73C15EF2" w14:textId="77777777" w:rsidTr="00CF76CD">
        <w:trPr>
          <w:trHeight w:val="58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8BF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DCC6" w14:textId="77777777" w:rsidR="00514BCE" w:rsidRPr="00D42488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27/07/2022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30C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Serie 35F47BC6 No. 657016376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D943" w14:textId="77777777" w:rsidR="00514BCE" w:rsidRPr="00D42488" w:rsidRDefault="00514BCE" w:rsidP="0094555B">
            <w:pPr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n-US"/>
              </w:rPr>
              <w:t>Julio Gerardo Ramirez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BA62" w14:textId="77777777" w:rsidR="00514BCE" w:rsidRPr="00D42488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D42488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Mantenimiento y reparación de trituradora de papel marca </w:t>
            </w:r>
            <w:proofErr w:type="spellStart"/>
            <w:r w:rsidRPr="00D42488">
              <w:rPr>
                <w:rFonts w:eastAsia="Times New Roman"/>
                <w:color w:val="000000"/>
                <w:sz w:val="16"/>
                <w:szCs w:val="16"/>
                <w:lang w:val="es-MX"/>
              </w:rPr>
              <w:t>Fellows</w:t>
            </w:r>
            <w:proofErr w:type="spellEnd"/>
            <w:r w:rsidRPr="00D42488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 modelo PS-67CS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951" w14:textId="77777777" w:rsidR="00514BCE" w:rsidRPr="00CF76CD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color w:val="000000"/>
                <w:sz w:val="16"/>
                <w:szCs w:val="16"/>
                <w:lang w:val="es-MX"/>
              </w:rPr>
              <w:t>375.00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863E" w14:textId="77777777" w:rsidR="00514BCE" w:rsidRPr="00CF76C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CCBE" w14:textId="77777777" w:rsidR="00514BCE" w:rsidRPr="00CF76C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528" w14:textId="77777777" w:rsidR="00514BCE" w:rsidRPr="00CF76C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5B19" w14:textId="77777777" w:rsidR="00514BCE" w:rsidRPr="00CF76C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035" w14:textId="77777777" w:rsidR="00514BCE" w:rsidRPr="00CF76C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</w:tr>
    </w:tbl>
    <w:p w14:paraId="5C64671E" w14:textId="77777777" w:rsidR="00514BCE" w:rsidRDefault="00514BCE" w:rsidP="00514BCE">
      <w:pPr>
        <w:adjustRightInd w:val="0"/>
        <w:jc w:val="center"/>
        <w:rPr>
          <w:b/>
        </w:rPr>
      </w:pPr>
    </w:p>
    <w:p w14:paraId="12D4D7D2" w14:textId="77777777" w:rsidR="00514BCE" w:rsidRDefault="00514BCE" w:rsidP="00514BCE">
      <w:pPr>
        <w:adjustRightInd w:val="0"/>
        <w:jc w:val="center"/>
        <w:rPr>
          <w:b/>
        </w:rPr>
      </w:pPr>
    </w:p>
    <w:p w14:paraId="0A6858AD" w14:textId="77777777" w:rsidR="00514BCE" w:rsidRDefault="00514BCE" w:rsidP="00514BCE">
      <w:pPr>
        <w:adjustRightInd w:val="0"/>
        <w:jc w:val="center"/>
        <w:rPr>
          <w:b/>
        </w:rPr>
      </w:pPr>
    </w:p>
    <w:p w14:paraId="601E9FF7" w14:textId="77777777" w:rsidR="00514BCE" w:rsidRDefault="00514BCE" w:rsidP="00514BCE">
      <w:pPr>
        <w:adjustRightInd w:val="0"/>
        <w:jc w:val="center"/>
        <w:rPr>
          <w:b/>
        </w:rPr>
      </w:pPr>
    </w:p>
    <w:p w14:paraId="11EBACA3" w14:textId="77777777" w:rsidR="00514BCE" w:rsidRDefault="00514BCE" w:rsidP="00514BCE">
      <w:pPr>
        <w:adjustRightInd w:val="0"/>
        <w:jc w:val="center"/>
        <w:rPr>
          <w:b/>
        </w:rPr>
      </w:pPr>
    </w:p>
    <w:p w14:paraId="194A9DE4" w14:textId="77777777" w:rsidR="00514BCE" w:rsidRDefault="00514BCE" w:rsidP="00514BCE">
      <w:pPr>
        <w:adjustRightInd w:val="0"/>
        <w:jc w:val="center"/>
        <w:rPr>
          <w:b/>
        </w:rPr>
      </w:pPr>
    </w:p>
    <w:p w14:paraId="5E9801E7" w14:textId="77777777" w:rsidR="00514BCE" w:rsidRDefault="00514BCE" w:rsidP="00514BCE">
      <w:pPr>
        <w:adjustRightInd w:val="0"/>
        <w:jc w:val="center"/>
        <w:rPr>
          <w:b/>
        </w:rPr>
      </w:pPr>
    </w:p>
    <w:p w14:paraId="088DDF1A" w14:textId="77777777" w:rsidR="00514BCE" w:rsidRDefault="00514BCE" w:rsidP="00514BCE">
      <w:pPr>
        <w:adjustRightInd w:val="0"/>
        <w:jc w:val="center"/>
        <w:rPr>
          <w:b/>
        </w:rPr>
      </w:pPr>
      <w:r>
        <w:rPr>
          <w:b/>
        </w:rPr>
        <w:t>Anexo 2</w:t>
      </w:r>
    </w:p>
    <w:p w14:paraId="45B4964D" w14:textId="77777777" w:rsidR="00514BCE" w:rsidRPr="00705DAE" w:rsidRDefault="00514BCE" w:rsidP="00514BCE">
      <w:pPr>
        <w:pStyle w:val="Sinespaciado"/>
        <w:ind w:left="720"/>
        <w:jc w:val="center"/>
        <w:rPr>
          <w:rFonts w:ascii="Arial" w:hAnsi="Arial" w:cs="Arial"/>
          <w:b/>
        </w:rPr>
      </w:pPr>
      <w:r w:rsidRPr="00705DAE">
        <w:rPr>
          <w:rFonts w:ascii="Arial" w:hAnsi="Arial" w:cs="Arial"/>
          <w:b/>
        </w:rPr>
        <w:t>Deficiencias en documentos del fondo rotativo interno</w:t>
      </w:r>
    </w:p>
    <w:p w14:paraId="3BF6E81B" w14:textId="77777777" w:rsidR="00514BCE" w:rsidRDefault="00514BCE" w:rsidP="00514BCE">
      <w:pPr>
        <w:adjustRightInd w:val="0"/>
        <w:jc w:val="center"/>
        <w:rPr>
          <w:b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469"/>
        <w:gridCol w:w="1086"/>
        <w:gridCol w:w="1010"/>
        <w:gridCol w:w="1541"/>
        <w:gridCol w:w="1134"/>
        <w:gridCol w:w="1134"/>
        <w:gridCol w:w="284"/>
        <w:gridCol w:w="283"/>
        <w:gridCol w:w="284"/>
        <w:gridCol w:w="283"/>
        <w:gridCol w:w="284"/>
        <w:gridCol w:w="283"/>
        <w:gridCol w:w="284"/>
      </w:tblGrid>
      <w:tr w:rsidR="00F338C5" w:rsidRPr="00B368DD" w14:paraId="697BE980" w14:textId="77777777" w:rsidTr="00F338C5">
        <w:trPr>
          <w:trHeight w:val="2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332F60" w14:textId="77777777" w:rsidR="00514BCE" w:rsidRPr="00CF76C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No.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AD2800" w14:textId="77777777" w:rsidR="00514BCE" w:rsidRPr="00CF76C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E475B2" w14:textId="77777777" w:rsidR="00514BCE" w:rsidRPr="00CF76C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Factura No.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840482" w14:textId="77777777" w:rsidR="00514BCE" w:rsidRPr="00CF76C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Proveedor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BADB6B5" w14:textId="77777777" w:rsidR="00514BCE" w:rsidRPr="00CF76CD" w:rsidRDefault="00F338C5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CF76CD"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472289" w14:textId="77777777" w:rsidR="00514BCE" w:rsidRPr="00B368DD" w:rsidRDefault="00F338C5" w:rsidP="00F338C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  <w:t>Valor</w:t>
            </w:r>
            <w:r w:rsidR="00514BCE" w:rsidRPr="00B368D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en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Quetzales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04A102" w14:textId="77777777" w:rsidR="00514BCE" w:rsidRPr="00B368D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2A1AF42" w14:textId="77777777" w:rsidR="00514BCE" w:rsidRPr="00B368D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CD2F2D" w14:textId="77777777" w:rsidR="00514BCE" w:rsidRPr="00B368D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978DAA" w14:textId="77777777" w:rsidR="00514BCE" w:rsidRPr="00B368D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229510" w14:textId="77777777" w:rsidR="00514BCE" w:rsidRPr="00B368D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BD6CA4" w14:textId="77777777" w:rsidR="00514BCE" w:rsidRPr="00B368D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FDA3A6" w14:textId="77777777" w:rsidR="00514BCE" w:rsidRPr="00B368DD" w:rsidRDefault="00514BCE" w:rsidP="0094555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</w:p>
        </w:tc>
      </w:tr>
      <w:tr w:rsidR="00F338C5" w:rsidRPr="00B368DD" w14:paraId="2A5C8301" w14:textId="77777777" w:rsidTr="00F338C5">
        <w:trPr>
          <w:trHeight w:val="43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74E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0313" w14:textId="77777777" w:rsidR="00514BCE" w:rsidRPr="00B368DD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28/07/2022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E4A3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Serie 506910EE No. 3775349843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4145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RETEMAC Julio Gerardo Ramirez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7CC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s-MX"/>
              </w:rPr>
              <w:t>Reparación de sillas tipo ejecutivo y secretariales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51A" w14:textId="77777777" w:rsidR="00514BCE" w:rsidRPr="00F338C5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3</w:t>
            </w:r>
            <w:r w:rsid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,</w:t>
            </w: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815.00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A5C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F52F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FD24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2BAA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ED94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1EC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553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</w:tr>
      <w:tr w:rsidR="00F338C5" w:rsidRPr="00B368DD" w14:paraId="15EDB7C5" w14:textId="77777777" w:rsidTr="00F338C5">
        <w:trPr>
          <w:trHeight w:val="64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8EF6" w14:textId="77777777" w:rsidR="00514BCE" w:rsidRPr="00F338C5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5CA" w14:textId="77777777" w:rsidR="00514BCE" w:rsidRPr="00F338C5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26/07/2022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28BC" w14:textId="77777777" w:rsidR="00514BCE" w:rsidRPr="00F338C5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Serie B1 AF2139E No. 1752386453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594F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ASERTECH Carlos Humberto </w:t>
            </w:r>
            <w:proofErr w:type="spellStart"/>
            <w:r w:rsidRPr="00B368DD">
              <w:rPr>
                <w:rFonts w:eastAsia="Times New Roman"/>
                <w:color w:val="000000"/>
                <w:sz w:val="16"/>
                <w:szCs w:val="16"/>
                <w:lang w:val="es-MX"/>
              </w:rPr>
              <w:t>Marroquin</w:t>
            </w:r>
            <w:proofErr w:type="spellEnd"/>
            <w:r w:rsidRPr="00B368DD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 Chuga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2190" w14:textId="77777777" w:rsidR="00514BCE" w:rsidRPr="00F338C5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Papel toallero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071" w14:textId="77777777" w:rsidR="00514BCE" w:rsidRPr="00F338C5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930.00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B56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322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FE5E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CC5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A21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016E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0B4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F338C5" w:rsidRPr="00B368DD" w14:paraId="219263EA" w14:textId="77777777" w:rsidTr="00F338C5">
        <w:trPr>
          <w:trHeight w:val="64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B3E4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BEC" w14:textId="77777777" w:rsidR="00514BCE" w:rsidRPr="00B368DD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26/07/2022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34BB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Serie 5FE8593E No. 4291772864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B77C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s-MX"/>
              </w:rPr>
              <w:t>Servicio de limpieza Catalán Roberto Catalán Samayoa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E9D0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Servicio</w:t>
            </w:r>
            <w:proofErr w:type="spellEnd"/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limpieza</w:t>
            </w:r>
            <w:proofErr w:type="spellEnd"/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julio</w:t>
            </w:r>
            <w:proofErr w:type="spellEnd"/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B44" w14:textId="77777777" w:rsidR="00514BCE" w:rsidRPr="00F338C5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500.00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5D37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x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D4D5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BEA7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D40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F41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D1B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E77" w14:textId="77777777" w:rsidR="00514BCE" w:rsidRPr="00F338C5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x</w:t>
            </w:r>
          </w:p>
        </w:tc>
      </w:tr>
      <w:tr w:rsidR="00F338C5" w:rsidRPr="00B368DD" w14:paraId="1F97CF37" w14:textId="77777777" w:rsidTr="00F338C5">
        <w:trPr>
          <w:trHeight w:val="86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2D5" w14:textId="77777777" w:rsidR="00514BCE" w:rsidRPr="00F338C5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90B" w14:textId="77777777" w:rsidR="00514BCE" w:rsidRPr="00F338C5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10/06/2022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D685" w14:textId="77777777" w:rsidR="00514BCE" w:rsidRPr="00F338C5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Serie 3E9C45AA No. 3197060189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78E4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s-MX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El sabor de la casa, Mirna Lissette Argueta </w:t>
            </w:r>
            <w:proofErr w:type="spellStart"/>
            <w:r w:rsidRPr="00B368DD">
              <w:rPr>
                <w:rFonts w:eastAsia="Times New Roman"/>
                <w:color w:val="000000"/>
                <w:sz w:val="16"/>
                <w:szCs w:val="16"/>
                <w:lang w:val="es-MX"/>
              </w:rPr>
              <w:t>Cuyun</w:t>
            </w:r>
            <w:proofErr w:type="spellEnd"/>
            <w:r w:rsidRPr="00B368DD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 de Conde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B518" w14:textId="77777777" w:rsidR="00514BCE" w:rsidRPr="00B368DD" w:rsidRDefault="00514BCE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 xml:space="preserve">24 </w:t>
            </w:r>
            <w:proofErr w:type="spellStart"/>
            <w:r w:rsidRPr="00F338C5">
              <w:rPr>
                <w:rFonts w:eastAsia="Times New Roman"/>
                <w:color w:val="000000"/>
                <w:sz w:val="16"/>
                <w:szCs w:val="16"/>
                <w:lang w:val="es-MX"/>
              </w:rPr>
              <w:t>refac</w:t>
            </w: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ciones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33A3" w14:textId="77777777" w:rsidR="00514BCE" w:rsidRPr="00B368DD" w:rsidRDefault="00514BCE" w:rsidP="009455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200.00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67F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50C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C99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F1B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3BB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B368DD">
              <w:rPr>
                <w:rFonts w:eastAsia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FC4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C15" w14:textId="77777777" w:rsidR="00514BCE" w:rsidRPr="00B368DD" w:rsidRDefault="00F338C5" w:rsidP="009455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</w:tbl>
    <w:p w14:paraId="1DF545CD" w14:textId="77777777" w:rsidR="00514BCE" w:rsidRPr="00E62C9F" w:rsidRDefault="00514BCE" w:rsidP="00514BCE">
      <w:pPr>
        <w:adjustRightInd w:val="0"/>
        <w:jc w:val="center"/>
        <w:rPr>
          <w:b/>
        </w:rPr>
      </w:pPr>
    </w:p>
    <w:p w14:paraId="658394A0" w14:textId="77777777" w:rsidR="00514BCE" w:rsidRDefault="00514BCE" w:rsidP="00514BCE">
      <w:pPr>
        <w:jc w:val="both"/>
      </w:pPr>
    </w:p>
    <w:p w14:paraId="03E99F16" w14:textId="77777777" w:rsidR="00AE5AF6" w:rsidRDefault="00AE5AF6" w:rsidP="00514BCE">
      <w:pPr>
        <w:pStyle w:val="Sinespaciado"/>
        <w:ind w:left="851" w:hanging="851"/>
        <w:jc w:val="both"/>
        <w:rPr>
          <w:rFonts w:ascii="Arial" w:hAnsi="Arial" w:cs="Arial"/>
        </w:rPr>
      </w:pPr>
    </w:p>
    <w:p w14:paraId="3488C41E" w14:textId="77777777" w:rsidR="00AE5AF6" w:rsidRDefault="00AE5AF6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7DD8846B" w14:textId="77777777" w:rsidR="00D5660D" w:rsidRPr="00EC14E8" w:rsidRDefault="00D5660D" w:rsidP="00514BCE">
      <w:pPr>
        <w:pStyle w:val="Sinespaciado"/>
        <w:ind w:left="1276" w:hanging="1276"/>
        <w:jc w:val="both"/>
      </w:pPr>
    </w:p>
    <w:sectPr w:rsidR="00D5660D" w:rsidRPr="00EC14E8" w:rsidSect="00514BCE">
      <w:headerReference w:type="default" r:id="rId8"/>
      <w:footerReference w:type="default" r:id="rId9"/>
      <w:pgSz w:w="12240" w:h="15840"/>
      <w:pgMar w:top="1060" w:right="1600" w:bottom="780" w:left="1701" w:header="61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C375" w14:textId="77777777" w:rsidR="00FB4C82" w:rsidRDefault="00FB4C82">
      <w:r>
        <w:separator/>
      </w:r>
    </w:p>
  </w:endnote>
  <w:endnote w:type="continuationSeparator" w:id="0">
    <w:p w14:paraId="66DD2BB8" w14:textId="77777777" w:rsidR="00FB4C82" w:rsidRDefault="00FB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11B9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0F023337" wp14:editId="6273771B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CED0C5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02AD3482" wp14:editId="49C40FB4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67F8D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019B5A3E" wp14:editId="3FE1AB94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89BEE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5FF">
                            <w:rPr>
                              <w:noProof/>
                              <w:color w:val="666666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45FF">
                      <w:rPr>
                        <w:noProof/>
                        <w:color w:val="666666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EEAF" w14:textId="77777777" w:rsidR="00FB4C82" w:rsidRDefault="00FB4C82">
      <w:r>
        <w:separator/>
      </w:r>
    </w:p>
  </w:footnote>
  <w:footnote w:type="continuationSeparator" w:id="0">
    <w:p w14:paraId="670EBCBA" w14:textId="77777777" w:rsidR="00FB4C82" w:rsidRDefault="00FB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0945" w14:textId="77777777" w:rsidR="00CA6FCF" w:rsidRDefault="00192A05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6013C3B8" wp14:editId="71486326">
              <wp:simplePos x="0" y="0"/>
              <wp:positionH relativeFrom="page">
                <wp:posOffset>4962525</wp:posOffset>
              </wp:positionH>
              <wp:positionV relativeFrom="page">
                <wp:posOffset>361949</wp:posOffset>
              </wp:positionV>
              <wp:extent cx="1724025" cy="125095"/>
              <wp:effectExtent l="0" t="0" r="9525" b="825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0294D" w14:textId="77777777" w:rsidR="00CA6FCF" w:rsidRPr="00192A05" w:rsidRDefault="00192A05" w:rsidP="0058670E">
                          <w:pPr>
                            <w:spacing w:before="15"/>
                            <w:ind w:left="20"/>
                            <w:jc w:val="right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514BCE">
                            <w:rPr>
                              <w:sz w:val="14"/>
                              <w:lang w:val="es-GT"/>
                            </w:rPr>
                            <w:t>122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366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0.75pt;margin-top:28.5pt;width:135.75pt;height:9.8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2I+rAIAAKo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" filled="f" stroked="f">
              <v:textbox inset="0,0,0,0">
                <w:txbxContent>
                  <w:p w:rsidR="00CA6FCF" w:rsidRPr="00192A05" w:rsidRDefault="00192A05" w:rsidP="0058670E">
                    <w:pPr>
                      <w:spacing w:before="15"/>
                      <w:ind w:left="20"/>
                      <w:jc w:val="right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514BCE">
                      <w:rPr>
                        <w:sz w:val="14"/>
                        <w:lang w:val="es-GT"/>
                      </w:rPr>
                      <w:t>122</w:t>
                    </w:r>
                    <w:r>
                      <w:rPr>
                        <w:sz w:val="14"/>
                        <w:lang w:val="es-GT"/>
                      </w:rPr>
                      <w:t>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110ABEF" wp14:editId="77A09E80">
              <wp:simplePos x="0" y="0"/>
              <wp:positionH relativeFrom="page">
                <wp:posOffset>1120140</wp:posOffset>
              </wp:positionH>
              <wp:positionV relativeFrom="page">
                <wp:posOffset>357505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6FBDA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F7A5E" id="Text Box 6" o:spid="_x0000_s1027" type="#_x0000_t202" style="position:absolute;margin-left:88.2pt;margin-top:28.15pt;width:98.55pt;height:9.8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" filled="f" stroked="f">
              <v:textbox inset="0,0,0,0">
                <w:txbxContent>
                  <w:p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67ED9AEC" wp14:editId="215D2FDF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E5B9A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7768"/>
    <w:multiLevelType w:val="hybridMultilevel"/>
    <w:tmpl w:val="E196F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3BD4"/>
    <w:multiLevelType w:val="hybridMultilevel"/>
    <w:tmpl w:val="3CC24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84C"/>
    <w:multiLevelType w:val="hybridMultilevel"/>
    <w:tmpl w:val="80E42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49956">
    <w:abstractNumId w:val="1"/>
  </w:num>
  <w:num w:numId="2" w16cid:durableId="1210072097">
    <w:abstractNumId w:val="0"/>
  </w:num>
  <w:num w:numId="3" w16cid:durableId="1290555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239B3"/>
    <w:rsid w:val="00045632"/>
    <w:rsid w:val="00055FD0"/>
    <w:rsid w:val="000779CC"/>
    <w:rsid w:val="00097C04"/>
    <w:rsid w:val="000E4766"/>
    <w:rsid w:val="000F0A67"/>
    <w:rsid w:val="00114A31"/>
    <w:rsid w:val="00117691"/>
    <w:rsid w:val="00132833"/>
    <w:rsid w:val="00135FE5"/>
    <w:rsid w:val="00145F8B"/>
    <w:rsid w:val="0017170C"/>
    <w:rsid w:val="00173575"/>
    <w:rsid w:val="00177A94"/>
    <w:rsid w:val="00192A05"/>
    <w:rsid w:val="001A23F1"/>
    <w:rsid w:val="001A7092"/>
    <w:rsid w:val="001B04AF"/>
    <w:rsid w:val="001B6540"/>
    <w:rsid w:val="001C0851"/>
    <w:rsid w:val="001C6A8F"/>
    <w:rsid w:val="00215D65"/>
    <w:rsid w:val="0026156E"/>
    <w:rsid w:val="00266077"/>
    <w:rsid w:val="00272772"/>
    <w:rsid w:val="002E0F12"/>
    <w:rsid w:val="003018C0"/>
    <w:rsid w:val="0030514A"/>
    <w:rsid w:val="00342345"/>
    <w:rsid w:val="00345AA4"/>
    <w:rsid w:val="003726D3"/>
    <w:rsid w:val="00384256"/>
    <w:rsid w:val="00393907"/>
    <w:rsid w:val="003F4635"/>
    <w:rsid w:val="003F6644"/>
    <w:rsid w:val="003F760A"/>
    <w:rsid w:val="004121EB"/>
    <w:rsid w:val="0041760E"/>
    <w:rsid w:val="00432919"/>
    <w:rsid w:val="004345FF"/>
    <w:rsid w:val="00442D9A"/>
    <w:rsid w:val="004A7D87"/>
    <w:rsid w:val="004C5EA1"/>
    <w:rsid w:val="004F237A"/>
    <w:rsid w:val="00503D8B"/>
    <w:rsid w:val="00514BCE"/>
    <w:rsid w:val="005706BA"/>
    <w:rsid w:val="0057102A"/>
    <w:rsid w:val="005771C3"/>
    <w:rsid w:val="0058670E"/>
    <w:rsid w:val="00596353"/>
    <w:rsid w:val="005B79C6"/>
    <w:rsid w:val="005E1087"/>
    <w:rsid w:val="005E2525"/>
    <w:rsid w:val="005F4DAA"/>
    <w:rsid w:val="006027CF"/>
    <w:rsid w:val="00662FD2"/>
    <w:rsid w:val="006A5010"/>
    <w:rsid w:val="006B7513"/>
    <w:rsid w:val="006E021C"/>
    <w:rsid w:val="006F4969"/>
    <w:rsid w:val="006F691A"/>
    <w:rsid w:val="00703547"/>
    <w:rsid w:val="007472C8"/>
    <w:rsid w:val="00747C8B"/>
    <w:rsid w:val="00757FA2"/>
    <w:rsid w:val="0076305E"/>
    <w:rsid w:val="00791F6A"/>
    <w:rsid w:val="007D3969"/>
    <w:rsid w:val="007F79D0"/>
    <w:rsid w:val="00830E7A"/>
    <w:rsid w:val="00832077"/>
    <w:rsid w:val="0085090A"/>
    <w:rsid w:val="00861CBD"/>
    <w:rsid w:val="008915C2"/>
    <w:rsid w:val="009B0531"/>
    <w:rsid w:val="009C0F72"/>
    <w:rsid w:val="009C41E0"/>
    <w:rsid w:val="009D0184"/>
    <w:rsid w:val="009F2C2B"/>
    <w:rsid w:val="00A250B6"/>
    <w:rsid w:val="00A255F0"/>
    <w:rsid w:val="00A46FF6"/>
    <w:rsid w:val="00A9420E"/>
    <w:rsid w:val="00AA176A"/>
    <w:rsid w:val="00AB3CAF"/>
    <w:rsid w:val="00AC3CA7"/>
    <w:rsid w:val="00AE5AF6"/>
    <w:rsid w:val="00B04BBE"/>
    <w:rsid w:val="00B101A8"/>
    <w:rsid w:val="00B2023B"/>
    <w:rsid w:val="00B26867"/>
    <w:rsid w:val="00B301D7"/>
    <w:rsid w:val="00BA1308"/>
    <w:rsid w:val="00BB2013"/>
    <w:rsid w:val="00C02E15"/>
    <w:rsid w:val="00C079A0"/>
    <w:rsid w:val="00C242CF"/>
    <w:rsid w:val="00C267A9"/>
    <w:rsid w:val="00C51D23"/>
    <w:rsid w:val="00CA6FCF"/>
    <w:rsid w:val="00CC71A5"/>
    <w:rsid w:val="00CD165B"/>
    <w:rsid w:val="00CD557E"/>
    <w:rsid w:val="00CF76CD"/>
    <w:rsid w:val="00D15F44"/>
    <w:rsid w:val="00D17A27"/>
    <w:rsid w:val="00D2083D"/>
    <w:rsid w:val="00D5660D"/>
    <w:rsid w:val="00D93E66"/>
    <w:rsid w:val="00D944D2"/>
    <w:rsid w:val="00D96F58"/>
    <w:rsid w:val="00DA5441"/>
    <w:rsid w:val="00DB0B2C"/>
    <w:rsid w:val="00DB159F"/>
    <w:rsid w:val="00DF391E"/>
    <w:rsid w:val="00E01109"/>
    <w:rsid w:val="00E35922"/>
    <w:rsid w:val="00E4367E"/>
    <w:rsid w:val="00EA34AF"/>
    <w:rsid w:val="00EA3C2E"/>
    <w:rsid w:val="00EB12F7"/>
    <w:rsid w:val="00EC14E8"/>
    <w:rsid w:val="00ED5648"/>
    <w:rsid w:val="00EE14FB"/>
    <w:rsid w:val="00EF7A79"/>
    <w:rsid w:val="00F00211"/>
    <w:rsid w:val="00F30D52"/>
    <w:rsid w:val="00F338C5"/>
    <w:rsid w:val="00F36AA3"/>
    <w:rsid w:val="00F675D2"/>
    <w:rsid w:val="00F86C79"/>
    <w:rsid w:val="00FA2495"/>
    <w:rsid w:val="00FA7366"/>
    <w:rsid w:val="00FB4C82"/>
    <w:rsid w:val="00FB5613"/>
    <w:rsid w:val="00FC3A24"/>
    <w:rsid w:val="00FC6E7E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051696"/>
  <w15:docId w15:val="{8BFD0131-3A6E-44D5-A887-6AB4B7AE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2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2F7"/>
    <w:rPr>
      <w:rFonts w:ascii="Tahoma" w:eastAsia="Arial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514BCE"/>
    <w:pPr>
      <w:widowControl/>
      <w:autoSpaceDE/>
      <w:autoSpaceDN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5126-D6F0-40C8-8A86-9417E9EF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2022-08-08T18:04:00Z</cp:lastPrinted>
  <dcterms:created xsi:type="dcterms:W3CDTF">2022-08-30T20:06:00Z</dcterms:created>
  <dcterms:modified xsi:type="dcterms:W3CDTF">2022-08-30T20:06:00Z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