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138"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138" cy="427481"/>
                          </a:xfrm>
                          <a:prstGeom prst="rect">
                            <a:avLst/>
                          </a:prstGeom>
                        </pic:spPr>
                      </pic:pic>
                    </a:graphicData>
                  </a:graphic>
                </wp:inline>
              </w:drawing>
            </w:r>
            <w:r>
              <w:rPr>
                <w:rFonts w:ascii="Times New Roman"/>
                <w:sz w:val="20"/>
              </w:rPr>
            </w:r>
          </w:p>
        </w:tc>
        <w:tc>
          <w:tcPr>
            <w:tcW w:w="10347" w:type="dxa"/>
            <w:gridSpan w:val="4"/>
          </w:tcPr>
          <w:p>
            <w:pPr>
              <w:pStyle w:val="TableParagraph"/>
              <w:spacing w:before="50"/>
              <w:ind w:left="506" w:right="519"/>
              <w:jc w:val="center"/>
              <w:rPr>
                <w:sz w:val="16"/>
              </w:rPr>
            </w:pPr>
            <w:r>
              <w:rPr>
                <w:sz w:val="16"/>
              </w:rPr>
              <w:t>INST RU CT IVO</w:t>
            </w:r>
          </w:p>
          <w:p>
            <w:pPr>
              <w:pStyle w:val="TableParagraph"/>
              <w:spacing w:line="270" w:lineRule="atLeast" w:before="29"/>
              <w:ind w:left="523" w:right="519"/>
              <w:jc w:val="center"/>
              <w:rPr>
                <w:b/>
                <w:sz w:val="24"/>
              </w:rPr>
            </w:pPr>
            <w:r>
              <w:rPr>
                <w:b/>
                <w:sz w:val="24"/>
              </w:rPr>
              <w:t>PROGRAMACIÓN Y REPROGRAMACIÓN DEL RENGLÓN PRESUPUESTARIO 031 "JORNALES"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714"/>
              <w:rPr>
                <w:sz w:val="16"/>
              </w:rPr>
            </w:pPr>
            <w:r>
              <w:rPr>
                <w:sz w:val="16"/>
              </w:rPr>
              <w:t>Del proceso: PRESUPUESTO DE NÓMINA</w:t>
            </w:r>
          </w:p>
        </w:tc>
        <w:tc>
          <w:tcPr>
            <w:tcW w:w="2410" w:type="dxa"/>
          </w:tcPr>
          <w:p>
            <w:pPr>
              <w:pStyle w:val="TableParagraph"/>
              <w:spacing w:line="175" w:lineRule="exact"/>
              <w:ind w:left="400"/>
              <w:rPr>
                <w:b/>
                <w:sz w:val="16"/>
              </w:rPr>
            </w:pPr>
            <w:r>
              <w:rPr>
                <w:sz w:val="16"/>
              </w:rPr>
              <w:t>Código: </w:t>
            </w:r>
            <w:r>
              <w:rPr>
                <w:b/>
                <w:sz w:val="16"/>
              </w:rPr>
              <w:t>RHU-INS-24</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1 de 3</w:t>
            </w:r>
          </w:p>
        </w:tc>
      </w:tr>
    </w:tbl>
    <w:p>
      <w:pPr>
        <w:pStyle w:val="BodyText"/>
        <w:spacing w:before="4"/>
        <w:rPr>
          <w:rFonts w:ascii="Times New Roman"/>
          <w:sz w:val="23"/>
        </w:rPr>
      </w:pPr>
    </w:p>
    <w:p>
      <w:pPr>
        <w:pStyle w:val="ListParagraph"/>
        <w:numPr>
          <w:ilvl w:val="0"/>
          <w:numId w:val="1"/>
        </w:numPr>
        <w:tabs>
          <w:tab w:pos="531" w:val="left" w:leader="none"/>
          <w:tab w:pos="532" w:val="left" w:leader="none"/>
        </w:tabs>
        <w:spacing w:line="240" w:lineRule="auto" w:before="93" w:after="0"/>
        <w:ind w:left="531" w:right="0" w:hanging="426"/>
        <w:jc w:val="left"/>
        <w:rPr>
          <w:b/>
          <w:sz w:val="22"/>
        </w:rPr>
      </w:pPr>
      <w:r>
        <w:rPr>
          <w:rFonts w:ascii="Times New Roman" w:hAnsi="Times New Roman"/>
          <w:spacing w:val="-55"/>
          <w:w w:val="100"/>
          <w:sz w:val="22"/>
          <w:u w:val="thick"/>
        </w:rPr>
        <w:t> </w:t>
      </w:r>
      <w:r>
        <w:rPr>
          <w:b/>
          <w:sz w:val="22"/>
          <w:u w:val="thick"/>
        </w:rPr>
        <w:t>REGISTRO DE REVISIÓN Y</w:t>
      </w:r>
      <w:r>
        <w:rPr>
          <w:b/>
          <w:spacing w:val="3"/>
          <w:sz w:val="22"/>
          <w:u w:val="thick"/>
        </w:rPr>
        <w:t> </w:t>
      </w:r>
      <w:r>
        <w:rPr>
          <w:b/>
          <w:sz w:val="22"/>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359663</wp:posOffset>
            </wp:positionH>
            <wp:positionV relativeFrom="paragraph">
              <wp:posOffset>162679</wp:posOffset>
            </wp:positionV>
            <wp:extent cx="7065937" cy="226695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65937" cy="2266950"/>
                    </a:xfrm>
                    <a:prstGeom prst="rect">
                      <a:avLst/>
                    </a:prstGeom>
                  </pic:spPr>
                </pic:pic>
              </a:graphicData>
            </a:graphic>
          </wp:anchor>
        </w:drawing>
      </w:r>
    </w:p>
    <w:p>
      <w:pPr>
        <w:pStyle w:val="BodyText"/>
        <w:rPr>
          <w:b/>
        </w:rPr>
      </w:pPr>
    </w:p>
    <w:p>
      <w:pPr>
        <w:pStyle w:val="ListParagraph"/>
        <w:numPr>
          <w:ilvl w:val="0"/>
          <w:numId w:val="1"/>
        </w:numPr>
        <w:tabs>
          <w:tab w:pos="533" w:val="left" w:leader="none"/>
          <w:tab w:pos="534" w:val="left" w:leader="none"/>
        </w:tabs>
        <w:spacing w:line="240" w:lineRule="auto" w:before="198" w:after="0"/>
        <w:ind w:left="533" w:right="0" w:hanging="428"/>
        <w:jc w:val="left"/>
        <w:rPr>
          <w:b/>
          <w:sz w:val="22"/>
        </w:rPr>
      </w:pPr>
      <w:r>
        <w:rPr>
          <w:rFonts w:ascii="Times New Roman"/>
          <w:spacing w:val="-55"/>
          <w:w w:val="100"/>
          <w:sz w:val="22"/>
          <w:u w:val="thick"/>
        </w:rPr>
        <w:t> </w:t>
      </w:r>
      <w:r>
        <w:rPr>
          <w:b/>
          <w:sz w:val="22"/>
          <w:u w:val="thick"/>
        </w:rPr>
        <w:t>GLOSARIO</w:t>
      </w:r>
    </w:p>
    <w:p>
      <w:pPr>
        <w:pStyle w:val="BodyText"/>
        <w:rPr>
          <w:b/>
          <w:sz w:val="19"/>
        </w:rPr>
      </w:pPr>
      <w:r>
        <w:rPr/>
        <w:pict>
          <v:shape style="position:absolute;margin-left:55.080002pt;margin-top:12.903222pt;width:534.6pt;height:.5pt;mso-position-horizontal-relative:page;mso-position-vertical-relative:paragraph;z-index:-15728128;mso-wrap-distance-left:0;mso-wrap-distance-right:0" coordorigin="1102,258" coordsize="10692,10" path="m11794,258l3722,258,1102,258,1102,268,3722,268,11794,268,11794,258xe" filled="true" fillcolor="#808080" stroked="false">
            <v:path arrowok="t"/>
            <v:fill type="solid"/>
            <w10:wrap type="topAndBottom"/>
          </v:shape>
        </w:pict>
      </w:r>
    </w:p>
    <w:p>
      <w:pPr>
        <w:pStyle w:val="ListParagraph"/>
        <w:numPr>
          <w:ilvl w:val="1"/>
          <w:numId w:val="1"/>
        </w:numPr>
        <w:tabs>
          <w:tab w:pos="1155" w:val="left" w:leader="none"/>
          <w:tab w:pos="1156" w:val="left" w:leader="none"/>
          <w:tab w:pos="3281" w:val="left" w:leader="none"/>
        </w:tabs>
        <w:spacing w:line="240" w:lineRule="auto" w:before="91" w:after="0"/>
        <w:ind w:left="1155" w:right="0" w:hanging="414"/>
        <w:jc w:val="left"/>
        <w:rPr>
          <w:sz w:val="22"/>
        </w:rPr>
      </w:pPr>
      <w:r>
        <w:rPr>
          <w:b/>
          <w:sz w:val="22"/>
        </w:rPr>
        <w:t>DIDEDUC</w:t>
        <w:tab/>
      </w:r>
      <w:r>
        <w:rPr>
          <w:sz w:val="22"/>
        </w:rPr>
        <w:t>Dirección Departamental de Educación</w:t>
      </w:r>
    </w:p>
    <w:p>
      <w:pPr>
        <w:pStyle w:val="BodyText"/>
        <w:spacing w:before="8"/>
        <w:rPr>
          <w:sz w:val="11"/>
        </w:rPr>
      </w:pPr>
      <w:r>
        <w:rPr/>
        <w:pict>
          <v:shape style="position:absolute;margin-left:55.080002pt;margin-top:8.712059pt;width:534.6pt;height:.5pt;mso-position-horizontal-relative:page;mso-position-vertical-relative:paragraph;z-index:-15727616;mso-wrap-distance-left:0;mso-wrap-distance-right:0" coordorigin="1102,174" coordsize="10692,10" path="m11794,174l3722,174,1102,174,1102,184,3722,184,11794,184,11794,174xe" filled="true" fillcolor="#808080" stroked="false">
            <v:path arrowok="t"/>
            <v:fill type="solid"/>
            <w10:wrap type="topAndBottom"/>
          </v:shape>
        </w:pict>
      </w:r>
    </w:p>
    <w:p>
      <w:pPr>
        <w:pStyle w:val="ListParagraph"/>
        <w:numPr>
          <w:ilvl w:val="1"/>
          <w:numId w:val="1"/>
        </w:numPr>
        <w:tabs>
          <w:tab w:pos="1155" w:val="left" w:leader="none"/>
          <w:tab w:pos="1156" w:val="left" w:leader="none"/>
          <w:tab w:pos="3281" w:val="left" w:leader="none"/>
        </w:tabs>
        <w:spacing w:line="240" w:lineRule="auto" w:before="93" w:after="0"/>
        <w:ind w:left="1155" w:right="0" w:hanging="414"/>
        <w:jc w:val="left"/>
        <w:rPr>
          <w:sz w:val="22"/>
        </w:rPr>
      </w:pPr>
      <w:r>
        <w:rPr>
          <w:b/>
          <w:sz w:val="22"/>
        </w:rPr>
        <w:t>DIPLAN</w:t>
        <w:tab/>
      </w:r>
      <w:r>
        <w:rPr>
          <w:sz w:val="22"/>
        </w:rPr>
        <w:t>Dirección de Planificación Educativa</w:t>
      </w:r>
    </w:p>
    <w:p>
      <w:pPr>
        <w:pStyle w:val="BodyText"/>
        <w:spacing w:before="6"/>
        <w:rPr>
          <w:sz w:val="11"/>
        </w:rPr>
      </w:pPr>
      <w:r>
        <w:rPr/>
        <w:pict>
          <v:shape style="position:absolute;margin-left:55.080002pt;margin-top:8.611064pt;width:534.6pt;height:.5pt;mso-position-horizontal-relative:page;mso-position-vertical-relative:paragraph;z-index:-15727104;mso-wrap-distance-left:0;mso-wrap-distance-right:0" coordorigin="1102,172" coordsize="10692,10" path="m11794,172l3722,172,1102,172,1102,182,3722,182,11794,182,11794,172xe" filled="true" fillcolor="#808080" stroked="false">
            <v:path arrowok="t"/>
            <v:fill type="solid"/>
            <w10:wrap type="topAndBottom"/>
          </v:shape>
        </w:pict>
      </w:r>
    </w:p>
    <w:p>
      <w:pPr>
        <w:pStyle w:val="ListParagraph"/>
        <w:numPr>
          <w:ilvl w:val="1"/>
          <w:numId w:val="1"/>
        </w:numPr>
        <w:tabs>
          <w:tab w:pos="1155" w:val="left" w:leader="none"/>
          <w:tab w:pos="1156" w:val="left" w:leader="none"/>
          <w:tab w:pos="3281" w:val="left" w:leader="none"/>
        </w:tabs>
        <w:spacing w:line="240" w:lineRule="auto" w:before="93" w:after="0"/>
        <w:ind w:left="1155" w:right="0" w:hanging="414"/>
        <w:jc w:val="left"/>
        <w:rPr>
          <w:sz w:val="22"/>
        </w:rPr>
      </w:pPr>
      <w:r>
        <w:rPr>
          <w:b/>
          <w:sz w:val="22"/>
        </w:rPr>
        <w:t>DIREH</w:t>
        <w:tab/>
      </w:r>
      <w:r>
        <w:rPr>
          <w:sz w:val="22"/>
        </w:rPr>
        <w:t>Dirección de Recursos Humanos</w:t>
      </w:r>
    </w:p>
    <w:p>
      <w:pPr>
        <w:pStyle w:val="BodyText"/>
        <w:spacing w:before="9"/>
        <w:rPr>
          <w:sz w:val="11"/>
        </w:rPr>
      </w:pPr>
      <w:r>
        <w:rPr/>
        <w:pict>
          <v:shape style="position:absolute;margin-left:55.080002pt;margin-top:8.732046pt;width:534.6pt;height:.5pt;mso-position-horizontal-relative:page;mso-position-vertical-relative:paragraph;z-index:-15726592;mso-wrap-distance-left:0;mso-wrap-distance-right:0" coordorigin="1102,175" coordsize="10692,10" path="m11794,175l3722,175,1102,175,1102,184,3722,184,11794,184,11794,175xe" filled="true" fillcolor="#808080" stroked="false">
            <v:path arrowok="t"/>
            <v:fill type="solid"/>
            <w10:wrap type="topAndBottom"/>
          </v:shape>
        </w:pict>
      </w:r>
    </w:p>
    <w:p>
      <w:pPr>
        <w:pStyle w:val="ListParagraph"/>
        <w:numPr>
          <w:ilvl w:val="1"/>
          <w:numId w:val="1"/>
        </w:numPr>
        <w:tabs>
          <w:tab w:pos="1155" w:val="left" w:leader="none"/>
          <w:tab w:pos="1156" w:val="left" w:leader="none"/>
          <w:tab w:pos="3281" w:val="left" w:leader="none"/>
        </w:tabs>
        <w:spacing w:line="240" w:lineRule="auto" w:before="91" w:after="0"/>
        <w:ind w:left="1155" w:right="0" w:hanging="414"/>
        <w:jc w:val="left"/>
        <w:rPr>
          <w:sz w:val="22"/>
        </w:rPr>
      </w:pPr>
      <w:r>
        <w:rPr>
          <w:b/>
          <w:sz w:val="22"/>
        </w:rPr>
        <w:t>DTP</w:t>
        <w:tab/>
      </w:r>
      <w:r>
        <w:rPr>
          <w:sz w:val="22"/>
        </w:rPr>
        <w:t>Dirección Técnica del Presupuesto del Ministerio de Finanzas</w:t>
      </w:r>
      <w:r>
        <w:rPr>
          <w:spacing w:val="-3"/>
          <w:sz w:val="22"/>
        </w:rPr>
        <w:t> </w:t>
      </w:r>
      <w:r>
        <w:rPr>
          <w:sz w:val="22"/>
        </w:rPr>
        <w:t>Públicas</w:t>
      </w:r>
    </w:p>
    <w:p>
      <w:pPr>
        <w:pStyle w:val="BodyText"/>
        <w:spacing w:before="8"/>
        <w:rPr>
          <w:sz w:val="11"/>
        </w:rPr>
      </w:pPr>
      <w:r>
        <w:rPr/>
        <w:pict>
          <v:shape style="position:absolute;margin-left:55.080002pt;margin-top:8.712071pt;width:534.6pt;height:.5pt;mso-position-horizontal-relative:page;mso-position-vertical-relative:paragraph;z-index:-15726080;mso-wrap-distance-left:0;mso-wrap-distance-right:0" coordorigin="1102,174" coordsize="10692,10" path="m11794,174l3722,174,1102,174,1102,184,3722,184,11794,184,11794,174xe" filled="true" fillcolor="#808080" stroked="false">
            <v:path arrowok="t"/>
            <v:fill type="solid"/>
            <w10:wrap type="topAndBottom"/>
          </v:shape>
        </w:pict>
      </w:r>
    </w:p>
    <w:p>
      <w:pPr>
        <w:pStyle w:val="ListParagraph"/>
        <w:numPr>
          <w:ilvl w:val="1"/>
          <w:numId w:val="1"/>
        </w:numPr>
        <w:tabs>
          <w:tab w:pos="1155" w:val="left" w:leader="none"/>
          <w:tab w:pos="1156" w:val="left" w:leader="none"/>
          <w:tab w:pos="3281" w:val="left" w:leader="none"/>
        </w:tabs>
        <w:spacing w:line="240" w:lineRule="auto" w:before="93" w:after="0"/>
        <w:ind w:left="1155" w:right="0" w:hanging="414"/>
        <w:jc w:val="left"/>
        <w:rPr>
          <w:sz w:val="22"/>
        </w:rPr>
      </w:pPr>
      <w:r>
        <w:rPr>
          <w:b/>
          <w:sz w:val="22"/>
        </w:rPr>
        <w:t>e-SIRH</w:t>
        <w:tab/>
      </w:r>
      <w:r>
        <w:rPr>
          <w:sz w:val="22"/>
        </w:rPr>
        <w:t>Sistema Integral de Recursos</w:t>
      </w:r>
      <w:r>
        <w:rPr>
          <w:spacing w:val="-3"/>
          <w:sz w:val="22"/>
        </w:rPr>
        <w:t> </w:t>
      </w:r>
      <w:r>
        <w:rPr>
          <w:sz w:val="22"/>
        </w:rPr>
        <w:t>Humanos</w:t>
      </w:r>
    </w:p>
    <w:p>
      <w:pPr>
        <w:pStyle w:val="BodyText"/>
        <w:spacing w:before="6"/>
        <w:rPr>
          <w:sz w:val="11"/>
        </w:rPr>
      </w:pPr>
      <w:r>
        <w:rPr/>
        <w:pict>
          <v:shape style="position:absolute;margin-left:55.080002pt;margin-top:8.612076pt;width:534.6pt;height:.5pt;mso-position-horizontal-relative:page;mso-position-vertical-relative:paragraph;z-index:-15725568;mso-wrap-distance-left:0;mso-wrap-distance-right:0" coordorigin="1102,172" coordsize="10692,10" path="m11794,172l3722,172,1102,172,1102,182,3722,182,11794,182,11794,172xe" filled="true" fillcolor="#808080" stroked="false">
            <v:path arrowok="t"/>
            <v:fill type="solid"/>
            <w10:wrap type="topAndBottom"/>
          </v:shape>
        </w:pict>
      </w:r>
    </w:p>
    <w:p>
      <w:pPr>
        <w:pStyle w:val="ListParagraph"/>
        <w:numPr>
          <w:ilvl w:val="1"/>
          <w:numId w:val="1"/>
        </w:numPr>
        <w:tabs>
          <w:tab w:pos="1155" w:val="left" w:leader="none"/>
          <w:tab w:pos="1156" w:val="left" w:leader="none"/>
          <w:tab w:pos="3281" w:val="left" w:leader="none"/>
        </w:tabs>
        <w:spacing w:line="240" w:lineRule="auto" w:before="93" w:after="0"/>
        <w:ind w:left="1155" w:right="0" w:hanging="414"/>
        <w:jc w:val="left"/>
        <w:rPr>
          <w:sz w:val="22"/>
        </w:rPr>
      </w:pPr>
      <w:r>
        <w:rPr>
          <w:b/>
          <w:sz w:val="22"/>
        </w:rPr>
        <w:t>MINFIN</w:t>
        <w:tab/>
      </w:r>
      <w:r>
        <w:rPr>
          <w:sz w:val="22"/>
        </w:rPr>
        <w:t>Ministerio de Finanzas</w:t>
      </w:r>
      <w:r>
        <w:rPr>
          <w:spacing w:val="2"/>
          <w:sz w:val="22"/>
        </w:rPr>
        <w:t> </w:t>
      </w:r>
      <w:r>
        <w:rPr>
          <w:sz w:val="22"/>
        </w:rPr>
        <w:t>Públicas</w:t>
      </w:r>
    </w:p>
    <w:p>
      <w:pPr>
        <w:pStyle w:val="BodyText"/>
        <w:spacing w:before="9"/>
        <w:rPr>
          <w:sz w:val="11"/>
        </w:rPr>
      </w:pPr>
      <w:r>
        <w:rPr/>
        <w:pict>
          <v:shape style="position:absolute;margin-left:54.360004pt;margin-top:8.731081pt;width:535.35pt;height:.5pt;mso-position-horizontal-relative:page;mso-position-vertical-relative:paragraph;z-index:-15725056;mso-wrap-distance-left:0;mso-wrap-distance-right:0" coordorigin="1087,175" coordsize="10707,10" path="m11794,175l3713,175,3708,175,1087,175,1087,184,3708,184,3713,184,11794,184,11794,175xe" filled="true" fillcolor="#808080" stroked="false">
            <v:path arrowok="t"/>
            <v:fill type="solid"/>
            <w10:wrap type="topAndBottom"/>
          </v:shape>
        </w:pict>
      </w:r>
    </w:p>
    <w:p>
      <w:pPr>
        <w:pStyle w:val="BodyText"/>
        <w:rPr>
          <w:sz w:val="20"/>
        </w:rPr>
      </w:pPr>
    </w:p>
    <w:p>
      <w:pPr>
        <w:pStyle w:val="BodyText"/>
        <w:spacing w:before="10"/>
        <w:rPr>
          <w:sz w:val="20"/>
        </w:rPr>
      </w:pPr>
    </w:p>
    <w:p>
      <w:pPr>
        <w:pStyle w:val="ListParagraph"/>
        <w:numPr>
          <w:ilvl w:val="0"/>
          <w:numId w:val="1"/>
        </w:numPr>
        <w:tabs>
          <w:tab w:pos="531" w:val="left" w:leader="none"/>
          <w:tab w:pos="532" w:val="left" w:leader="none"/>
        </w:tabs>
        <w:spacing w:line="240" w:lineRule="auto" w:before="0" w:after="0"/>
        <w:ind w:left="531" w:right="0" w:hanging="426"/>
        <w:jc w:val="left"/>
        <w:rPr>
          <w:b/>
          <w:sz w:val="22"/>
        </w:rPr>
      </w:pPr>
      <w:r>
        <w:rPr>
          <w:rFonts w:ascii="Times New Roman" w:hAnsi="Times New Roman"/>
          <w:spacing w:val="-55"/>
          <w:w w:val="100"/>
          <w:sz w:val="22"/>
          <w:u w:val="thick"/>
        </w:rPr>
        <w:t> </w:t>
      </w:r>
      <w:r>
        <w:rPr>
          <w:b/>
          <w:sz w:val="22"/>
          <w:u w:val="thick"/>
        </w:rPr>
        <w:t>DESCRIPCIÓN DE ACTIVIDADES Y RESPONSABLES:</w:t>
      </w:r>
    </w:p>
    <w:p>
      <w:pPr>
        <w:pStyle w:val="BodyText"/>
        <w:spacing w:before="1"/>
        <w:rPr>
          <w:b/>
          <w:sz w:val="22"/>
        </w:rPr>
      </w:pPr>
    </w:p>
    <w:p>
      <w:pPr>
        <w:pStyle w:val="BodyText"/>
        <w:ind w:left="106" w:right="143"/>
        <w:jc w:val="both"/>
      </w:pPr>
      <w:r>
        <w:rPr/>
        <w:t>Con el objetivo de cumplir con lo establecido en Ley del Presupuesto General de Ingresos y Egresos del Estado, específicamente autorizar mediante Resolución Ministerial, la programación mensualizada del Renglón Presupuestario 031 “Jornales”, por estructura presupuestaria y de acuerdo al monto</w:t>
      </w:r>
      <w:r>
        <w:rPr>
          <w:spacing w:val="-37"/>
        </w:rPr>
        <w:t> </w:t>
      </w:r>
      <w:r>
        <w:rPr/>
        <w:t>institucional aprobada para el ejercicio fiscal vigente; así como llevar control a nivel institucional de los puestos que corresponden a dicho renglón, se elabora el presente</w:t>
      </w:r>
      <w:r>
        <w:rPr>
          <w:spacing w:val="-6"/>
        </w:rPr>
        <w:t> </w:t>
      </w:r>
      <w:r>
        <w:rPr/>
        <w:t>instructivo.</w:t>
      </w:r>
    </w:p>
    <w:p>
      <w:pPr>
        <w:pStyle w:val="BodyText"/>
        <w:spacing w:before="1"/>
        <w:rPr>
          <w:sz w:val="22"/>
        </w:rPr>
      </w:pPr>
    </w:p>
    <w:p>
      <w:pPr>
        <w:pStyle w:val="BodyText"/>
        <w:ind w:left="106"/>
        <w:jc w:val="both"/>
      </w:pPr>
      <w:r>
        <w:rPr/>
        <w:t>Este procedimiento fundamenta su gestión en las disposiciones legales siguientes:</w:t>
      </w:r>
    </w:p>
    <w:p>
      <w:pPr>
        <w:pStyle w:val="BodyText"/>
      </w:pPr>
    </w:p>
    <w:p>
      <w:pPr>
        <w:pStyle w:val="ListParagraph"/>
        <w:numPr>
          <w:ilvl w:val="1"/>
          <w:numId w:val="1"/>
        </w:numPr>
        <w:tabs>
          <w:tab w:pos="827" w:val="left" w:leader="none"/>
        </w:tabs>
        <w:spacing w:line="240" w:lineRule="auto" w:before="0" w:after="0"/>
        <w:ind w:left="826" w:right="0" w:hanging="361"/>
        <w:jc w:val="left"/>
        <w:rPr>
          <w:sz w:val="22"/>
        </w:rPr>
      </w:pPr>
      <w:r>
        <w:rPr>
          <w:sz w:val="24"/>
        </w:rPr>
        <w:t>Constitución Política de la</w:t>
      </w:r>
      <w:r>
        <w:rPr>
          <w:spacing w:val="-2"/>
          <w:sz w:val="24"/>
        </w:rPr>
        <w:t> </w:t>
      </w:r>
      <w:r>
        <w:rPr>
          <w:sz w:val="24"/>
        </w:rPr>
        <w:t>República.</w:t>
      </w:r>
    </w:p>
    <w:p>
      <w:pPr>
        <w:pStyle w:val="ListParagraph"/>
        <w:numPr>
          <w:ilvl w:val="1"/>
          <w:numId w:val="1"/>
        </w:numPr>
        <w:tabs>
          <w:tab w:pos="827" w:val="left" w:leader="none"/>
        </w:tabs>
        <w:spacing w:line="240" w:lineRule="auto" w:before="0" w:after="0"/>
        <w:ind w:left="826" w:right="1332" w:hanging="360"/>
        <w:jc w:val="left"/>
        <w:rPr>
          <w:sz w:val="22"/>
        </w:rPr>
      </w:pPr>
      <w:r>
        <w:rPr>
          <w:sz w:val="24"/>
        </w:rPr>
        <w:t>Decreto del Congreso de la República de Guatemala número 101-97 “Ley Orgánica</w:t>
      </w:r>
      <w:r>
        <w:rPr>
          <w:spacing w:val="-23"/>
          <w:sz w:val="24"/>
        </w:rPr>
        <w:t> </w:t>
      </w:r>
      <w:r>
        <w:rPr>
          <w:sz w:val="24"/>
        </w:rPr>
        <w:t>del Presupuesto” y su</w:t>
      </w:r>
      <w:r>
        <w:rPr>
          <w:spacing w:val="-6"/>
          <w:sz w:val="24"/>
        </w:rPr>
        <w:t> </w:t>
      </w:r>
      <w:r>
        <w:rPr>
          <w:sz w:val="24"/>
        </w:rPr>
        <w:t>reglamento.</w:t>
      </w:r>
    </w:p>
    <w:p>
      <w:pPr>
        <w:pStyle w:val="ListParagraph"/>
        <w:numPr>
          <w:ilvl w:val="1"/>
          <w:numId w:val="1"/>
        </w:numPr>
        <w:tabs>
          <w:tab w:pos="827" w:val="left" w:leader="none"/>
        </w:tabs>
        <w:spacing w:line="240" w:lineRule="auto" w:before="1" w:after="0"/>
        <w:ind w:left="826" w:right="1215" w:hanging="360"/>
        <w:jc w:val="left"/>
        <w:rPr>
          <w:sz w:val="22"/>
        </w:rPr>
      </w:pPr>
      <w:r>
        <w:rPr>
          <w:sz w:val="24"/>
        </w:rPr>
        <w:t>Decreto que emite el Congreso de la República de Guatemala cada año, que aprueba</w:t>
      </w:r>
      <w:r>
        <w:rPr>
          <w:spacing w:val="-29"/>
          <w:sz w:val="24"/>
        </w:rPr>
        <w:t> </w:t>
      </w:r>
      <w:r>
        <w:rPr>
          <w:sz w:val="24"/>
        </w:rPr>
        <w:t>el Presupuesto General de Ingresos y Egresos del Estado de cada ejercicio</w:t>
      </w:r>
      <w:r>
        <w:rPr>
          <w:spacing w:val="-9"/>
          <w:sz w:val="24"/>
        </w:rPr>
        <w:t> </w:t>
      </w:r>
      <w:r>
        <w:rPr>
          <w:sz w:val="24"/>
        </w:rPr>
        <w:t>fiscal.</w:t>
      </w:r>
    </w:p>
    <w:p>
      <w:pPr>
        <w:pStyle w:val="ListParagraph"/>
        <w:numPr>
          <w:ilvl w:val="1"/>
          <w:numId w:val="1"/>
        </w:numPr>
        <w:tabs>
          <w:tab w:pos="827" w:val="left" w:leader="none"/>
        </w:tabs>
        <w:spacing w:line="240" w:lineRule="auto" w:before="0" w:after="0"/>
        <w:ind w:left="826" w:right="0" w:hanging="361"/>
        <w:jc w:val="left"/>
        <w:rPr>
          <w:sz w:val="22"/>
        </w:rPr>
      </w:pPr>
      <w:r>
        <w:rPr>
          <w:sz w:val="24"/>
        </w:rPr>
        <w:t>Normas de Control y Contención del Gasto Público que emita el Ministerio de Finanzas</w:t>
      </w:r>
      <w:r>
        <w:rPr>
          <w:spacing w:val="-24"/>
          <w:sz w:val="24"/>
        </w:rPr>
        <w:t> </w:t>
      </w:r>
      <w:r>
        <w:rPr>
          <w:sz w:val="24"/>
        </w:rPr>
        <w:t>Públicas.</w:t>
      </w:r>
    </w:p>
    <w:p>
      <w:pPr>
        <w:spacing w:after="0" w:line="240" w:lineRule="auto"/>
        <w:jc w:val="left"/>
        <w:rPr>
          <w:sz w:val="22"/>
        </w:rPr>
        <w:sectPr>
          <w:headerReference w:type="default" r:id="rId5"/>
          <w:footerReference w:type="default" r:id="rId6"/>
          <w:type w:val="continuous"/>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38"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138" cy="427481"/>
                          </a:xfrm>
                          <a:prstGeom prst="rect">
                            <a:avLst/>
                          </a:prstGeom>
                        </pic:spPr>
                      </pic:pic>
                    </a:graphicData>
                  </a:graphic>
                </wp:inline>
              </w:drawing>
            </w:r>
            <w:r>
              <w:rPr>
                <w:sz w:val="20"/>
              </w:rPr>
            </w:r>
          </w:p>
        </w:tc>
        <w:tc>
          <w:tcPr>
            <w:tcW w:w="10347" w:type="dxa"/>
            <w:gridSpan w:val="4"/>
          </w:tcPr>
          <w:p>
            <w:pPr>
              <w:pStyle w:val="TableParagraph"/>
              <w:spacing w:before="50"/>
              <w:ind w:left="506" w:right="519"/>
              <w:jc w:val="center"/>
              <w:rPr>
                <w:sz w:val="16"/>
              </w:rPr>
            </w:pPr>
            <w:r>
              <w:rPr>
                <w:sz w:val="16"/>
              </w:rPr>
              <w:t>INST RU CT IVO</w:t>
            </w:r>
          </w:p>
          <w:p>
            <w:pPr>
              <w:pStyle w:val="TableParagraph"/>
              <w:spacing w:line="270" w:lineRule="atLeast" w:before="29"/>
              <w:ind w:left="523" w:right="519"/>
              <w:jc w:val="center"/>
              <w:rPr>
                <w:b/>
                <w:sz w:val="24"/>
              </w:rPr>
            </w:pPr>
            <w:r>
              <w:rPr>
                <w:b/>
                <w:sz w:val="24"/>
              </w:rPr>
              <w:t>PROGRAMACIÓN Y REPROGRAMACIÓN DEL RENGLÓN PRESUPUESTARIO 031 "JORNALES"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714"/>
              <w:rPr>
                <w:sz w:val="16"/>
              </w:rPr>
            </w:pPr>
            <w:r>
              <w:rPr>
                <w:sz w:val="16"/>
              </w:rPr>
              <w:t>Del proceso: PRESUPUESTO DE NÓMINA</w:t>
            </w:r>
          </w:p>
        </w:tc>
        <w:tc>
          <w:tcPr>
            <w:tcW w:w="2410" w:type="dxa"/>
          </w:tcPr>
          <w:p>
            <w:pPr>
              <w:pStyle w:val="TableParagraph"/>
              <w:spacing w:line="175" w:lineRule="exact"/>
              <w:ind w:left="400"/>
              <w:rPr>
                <w:b/>
                <w:sz w:val="16"/>
              </w:rPr>
            </w:pPr>
            <w:r>
              <w:rPr>
                <w:sz w:val="16"/>
              </w:rPr>
              <w:t>Código: </w:t>
            </w:r>
            <w:r>
              <w:rPr>
                <w:b/>
                <w:sz w:val="16"/>
              </w:rPr>
              <w:t>RHU-INS-24</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2 de 3</w:t>
            </w:r>
          </w:p>
        </w:tc>
      </w:tr>
    </w:tbl>
    <w:p>
      <w:pPr>
        <w:pStyle w:val="BodyText"/>
        <w:rPr>
          <w:sz w:val="20"/>
        </w:rPr>
      </w:pPr>
    </w:p>
    <w:p>
      <w:pPr>
        <w:pStyle w:val="BodyText"/>
        <w:rPr>
          <w:sz w:val="20"/>
        </w:rPr>
      </w:pPr>
    </w:p>
    <w:p>
      <w:pPr>
        <w:pStyle w:val="BodyText"/>
        <w:spacing w:before="5"/>
        <w:rPr>
          <w:sz w:val="29"/>
        </w:rPr>
      </w:pPr>
    </w:p>
    <w:p>
      <w:pPr>
        <w:tabs>
          <w:tab w:pos="1583" w:val="left" w:leader="none"/>
        </w:tabs>
        <w:spacing w:before="92"/>
        <w:ind w:left="531" w:right="0" w:firstLine="0"/>
        <w:jc w:val="left"/>
        <w:rPr>
          <w:b/>
          <w:sz w:val="22"/>
        </w:rPr>
      </w:pPr>
      <w:r>
        <w:rPr>
          <w:b/>
          <w:sz w:val="24"/>
        </w:rPr>
        <w:t>C.1.</w:t>
        <w:tab/>
      </w:r>
      <w:r>
        <w:rPr>
          <w:b/>
          <w:sz w:val="22"/>
        </w:rPr>
        <w:t>Programación del renglón presupuestario 031</w:t>
      </w:r>
      <w:r>
        <w:rPr>
          <w:b/>
          <w:spacing w:val="-4"/>
          <w:sz w:val="22"/>
        </w:rPr>
        <w:t> </w:t>
      </w:r>
      <w:r>
        <w:rPr>
          <w:b/>
          <w:sz w:val="22"/>
        </w:rPr>
        <w:t>“Jornales”</w:t>
      </w:r>
    </w:p>
    <w:p>
      <w:pPr>
        <w:pStyle w:val="BodyText"/>
        <w:spacing w:after="1"/>
        <w:rPr>
          <w:b/>
          <w:sz w:val="22"/>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4"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2" w:lineRule="exact"/>
              <w:ind w:left="197" w:right="191"/>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2"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2" w:lineRule="exact"/>
              <w:ind w:left="3080" w:right="3044"/>
              <w:jc w:val="center"/>
              <w:rPr>
                <w:b/>
                <w:sz w:val="16"/>
              </w:rPr>
            </w:pPr>
            <w:r>
              <w:rPr>
                <w:b/>
                <w:sz w:val="16"/>
              </w:rPr>
              <w:t>Descripción de las Actividades</w:t>
            </w:r>
          </w:p>
        </w:tc>
      </w:tr>
      <w:tr>
        <w:trPr>
          <w:trHeight w:val="137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129"/>
              <w:ind w:right="144"/>
              <w:jc w:val="right"/>
              <w:rPr>
                <w:b/>
                <w:sz w:val="14"/>
              </w:rPr>
            </w:pPr>
            <w:r>
              <w:rPr>
                <w:b/>
                <w:sz w:val="14"/>
              </w:rPr>
              <w:t>1. Redactar</w:t>
            </w:r>
          </w:p>
          <w:p>
            <w:pPr>
              <w:pStyle w:val="TableParagraph"/>
              <w:ind w:right="193"/>
              <w:jc w:val="right"/>
              <w:rPr>
                <w:b/>
                <w:sz w:val="14"/>
              </w:rPr>
            </w:pPr>
            <w:r>
              <w:rPr>
                <w:b/>
                <w:sz w:val="14"/>
              </w:rPr>
              <w:t>circular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2"/>
              </w:rPr>
            </w:pPr>
          </w:p>
          <w:p>
            <w:pPr>
              <w:pStyle w:val="TableParagraph"/>
              <w:ind w:left="84" w:right="76" w:firstLine="2"/>
              <w:jc w:val="center"/>
              <w:rPr>
                <w:sz w:val="14"/>
              </w:rPr>
            </w:pPr>
            <w:r>
              <w:rPr>
                <w:sz w:val="14"/>
              </w:rPr>
              <w:t>Coordinador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7"/>
              <w:jc w:val="both"/>
              <w:rPr>
                <w:sz w:val="22"/>
              </w:rPr>
            </w:pPr>
            <w:r>
              <w:rPr>
                <w:sz w:val="22"/>
              </w:rPr>
              <w:t>Elabora circular dirigida a las Direcciones Departamentales de Educación DIDEDUC, por medio de la cual indica las fechas de entrega de la programación inicial o reprogramación del Renglón Presupuestario 031 “Jornales” según corresponda, así como</w:t>
            </w:r>
            <w:r>
              <w:rPr>
                <w:spacing w:val="-14"/>
                <w:sz w:val="22"/>
              </w:rPr>
              <w:t> </w:t>
            </w:r>
            <w:r>
              <w:rPr>
                <w:sz w:val="22"/>
              </w:rPr>
              <w:t>el</w:t>
            </w:r>
            <w:r>
              <w:rPr>
                <w:spacing w:val="-13"/>
                <w:sz w:val="22"/>
              </w:rPr>
              <w:t> </w:t>
            </w:r>
            <w:r>
              <w:rPr>
                <w:sz w:val="22"/>
              </w:rPr>
              <w:t>procedimiento</w:t>
            </w:r>
            <w:r>
              <w:rPr>
                <w:spacing w:val="-12"/>
                <w:sz w:val="22"/>
              </w:rPr>
              <w:t> </w:t>
            </w:r>
            <w:r>
              <w:rPr>
                <w:sz w:val="22"/>
              </w:rPr>
              <w:t>a</w:t>
            </w:r>
            <w:r>
              <w:rPr>
                <w:spacing w:val="-13"/>
                <w:sz w:val="22"/>
              </w:rPr>
              <w:t> </w:t>
            </w:r>
            <w:r>
              <w:rPr>
                <w:sz w:val="22"/>
              </w:rPr>
              <w:t>seguir</w:t>
            </w:r>
            <w:r>
              <w:rPr>
                <w:spacing w:val="-13"/>
                <w:sz w:val="22"/>
              </w:rPr>
              <w:t> </w:t>
            </w:r>
            <w:r>
              <w:rPr>
                <w:sz w:val="22"/>
              </w:rPr>
              <w:t>y</w:t>
            </w:r>
            <w:r>
              <w:rPr>
                <w:spacing w:val="-13"/>
                <w:sz w:val="22"/>
              </w:rPr>
              <w:t> </w:t>
            </w:r>
            <w:r>
              <w:rPr>
                <w:sz w:val="22"/>
              </w:rPr>
              <w:t>el</w:t>
            </w:r>
            <w:r>
              <w:rPr>
                <w:spacing w:val="-12"/>
                <w:sz w:val="22"/>
              </w:rPr>
              <w:t> </w:t>
            </w:r>
            <w:r>
              <w:rPr>
                <w:sz w:val="22"/>
              </w:rPr>
              <w:t>cuadro</w:t>
            </w:r>
            <w:r>
              <w:rPr>
                <w:spacing w:val="-16"/>
                <w:sz w:val="22"/>
              </w:rPr>
              <w:t> </w:t>
            </w:r>
            <w:r>
              <w:rPr>
                <w:sz w:val="22"/>
              </w:rPr>
              <w:t>que</w:t>
            </w:r>
            <w:r>
              <w:rPr>
                <w:spacing w:val="-14"/>
                <w:sz w:val="22"/>
              </w:rPr>
              <w:t> </w:t>
            </w:r>
            <w:r>
              <w:rPr>
                <w:sz w:val="22"/>
              </w:rPr>
              <w:t>contiene</w:t>
            </w:r>
            <w:r>
              <w:rPr>
                <w:spacing w:val="-10"/>
                <w:sz w:val="22"/>
              </w:rPr>
              <w:t> </w:t>
            </w:r>
            <w:r>
              <w:rPr>
                <w:sz w:val="22"/>
              </w:rPr>
              <w:t>la</w:t>
            </w:r>
            <w:r>
              <w:rPr>
                <w:spacing w:val="-14"/>
                <w:sz w:val="22"/>
              </w:rPr>
              <w:t> </w:t>
            </w:r>
            <w:r>
              <w:rPr>
                <w:sz w:val="22"/>
              </w:rPr>
              <w:t>programación</w:t>
            </w:r>
            <w:r>
              <w:rPr>
                <w:spacing w:val="-13"/>
                <w:sz w:val="22"/>
              </w:rPr>
              <w:t> </w:t>
            </w:r>
            <w:r>
              <w:rPr>
                <w:sz w:val="22"/>
              </w:rPr>
              <w:t>mensualizada de los puestos de dicho renglón.</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
              <w:rPr>
                <w:b/>
                <w:sz w:val="15"/>
              </w:rPr>
            </w:pPr>
          </w:p>
          <w:p>
            <w:pPr>
              <w:pStyle w:val="TableParagraph"/>
              <w:ind w:left="127"/>
              <w:rPr>
                <w:b/>
                <w:sz w:val="14"/>
              </w:rPr>
            </w:pPr>
            <w:r>
              <w:rPr>
                <w:b/>
                <w:sz w:val="14"/>
              </w:rPr>
              <w:t>2. Gestionar</w:t>
            </w:r>
          </w:p>
          <w:p>
            <w:pPr>
              <w:pStyle w:val="TableParagraph"/>
              <w:ind w:left="494"/>
              <w:rPr>
                <w:b/>
                <w:sz w:val="14"/>
              </w:rPr>
            </w:pPr>
            <w:r>
              <w:rPr>
                <w:b/>
                <w:sz w:val="14"/>
              </w:rPr>
              <w:t>firmas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62" w:right="54"/>
              <w:jc w:val="center"/>
              <w:rPr>
                <w:sz w:val="14"/>
              </w:rPr>
            </w:pPr>
            <w:r>
              <w:rPr>
                <w:sz w:val="14"/>
              </w:rPr>
              <w:t>Asistente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7"/>
              <w:jc w:val="both"/>
              <w:rPr>
                <w:sz w:val="22"/>
              </w:rPr>
            </w:pPr>
            <w:r>
              <w:rPr>
                <w:sz w:val="22"/>
              </w:rPr>
              <w:t>Gestiona rúbrica del Subdirector de Presupuesto de Nómina, así como firma del Director de Recursos Humanos en la circular de los lineamientos para la</w:t>
            </w:r>
            <w:r>
              <w:rPr>
                <w:spacing w:val="-41"/>
                <w:sz w:val="22"/>
              </w:rPr>
              <w:t> </w:t>
            </w:r>
            <w:r>
              <w:rPr>
                <w:sz w:val="22"/>
              </w:rPr>
              <w:t>programación o reprogramación según corresponda. Al tener las firmas correspondientes traslada al Analista para su</w:t>
            </w:r>
            <w:r>
              <w:rPr>
                <w:spacing w:val="-5"/>
                <w:sz w:val="22"/>
              </w:rPr>
              <w:t> </w:t>
            </w:r>
            <w:r>
              <w:rPr>
                <w:sz w:val="22"/>
              </w:rPr>
              <w:t>notificación.</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23"/>
              </w:rPr>
            </w:pPr>
          </w:p>
          <w:p>
            <w:pPr>
              <w:pStyle w:val="TableParagraph"/>
              <w:spacing w:before="1"/>
              <w:ind w:left="167"/>
              <w:rPr>
                <w:b/>
                <w:sz w:val="14"/>
              </w:rPr>
            </w:pPr>
            <w:r>
              <w:rPr>
                <w:b/>
                <w:sz w:val="14"/>
              </w:rPr>
              <w:t>3. Notificar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84" w:right="76" w:hanging="1"/>
              <w:jc w:val="center"/>
              <w:rPr>
                <w:sz w:val="14"/>
              </w:rPr>
            </w:pPr>
            <w:r>
              <w:rPr>
                <w:sz w:val="14"/>
              </w:rPr>
              <w:t>Analista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5"/>
              <w:jc w:val="both"/>
              <w:rPr>
                <w:sz w:val="22"/>
              </w:rPr>
            </w:pPr>
            <w:r>
              <w:rPr>
                <w:sz w:val="22"/>
              </w:rPr>
              <w:t>Notifica a las Direcciones Departamentales de Educación la circular emitida por el Departamento de Análisis Presupuestario de Nómina, así como la programación mensualizada</w:t>
            </w:r>
            <w:r>
              <w:rPr>
                <w:spacing w:val="-5"/>
                <w:sz w:val="22"/>
              </w:rPr>
              <w:t> </w:t>
            </w:r>
            <w:r>
              <w:rPr>
                <w:sz w:val="22"/>
              </w:rPr>
              <w:t>de</w:t>
            </w:r>
            <w:r>
              <w:rPr>
                <w:spacing w:val="-4"/>
                <w:sz w:val="22"/>
              </w:rPr>
              <w:t> </w:t>
            </w:r>
            <w:r>
              <w:rPr>
                <w:sz w:val="22"/>
              </w:rPr>
              <w:t>los</w:t>
            </w:r>
            <w:r>
              <w:rPr>
                <w:spacing w:val="-3"/>
                <w:sz w:val="22"/>
              </w:rPr>
              <w:t> </w:t>
            </w:r>
            <w:r>
              <w:rPr>
                <w:sz w:val="22"/>
              </w:rPr>
              <w:t>puestos</w:t>
            </w:r>
            <w:r>
              <w:rPr>
                <w:spacing w:val="-6"/>
                <w:sz w:val="22"/>
              </w:rPr>
              <w:t> </w:t>
            </w:r>
            <w:r>
              <w:rPr>
                <w:sz w:val="22"/>
              </w:rPr>
              <w:t>del</w:t>
            </w:r>
            <w:r>
              <w:rPr>
                <w:spacing w:val="-5"/>
                <w:sz w:val="22"/>
              </w:rPr>
              <w:t> </w:t>
            </w:r>
            <w:r>
              <w:rPr>
                <w:sz w:val="22"/>
              </w:rPr>
              <w:t>renglón</w:t>
            </w:r>
            <w:r>
              <w:rPr>
                <w:spacing w:val="-5"/>
                <w:sz w:val="22"/>
              </w:rPr>
              <w:t> </w:t>
            </w:r>
            <w:r>
              <w:rPr>
                <w:sz w:val="22"/>
              </w:rPr>
              <w:t>presupuestario</w:t>
            </w:r>
            <w:r>
              <w:rPr>
                <w:spacing w:val="-5"/>
                <w:sz w:val="22"/>
              </w:rPr>
              <w:t> </w:t>
            </w:r>
            <w:r>
              <w:rPr>
                <w:sz w:val="22"/>
              </w:rPr>
              <w:t>031</w:t>
            </w:r>
            <w:r>
              <w:rPr>
                <w:spacing w:val="-7"/>
                <w:sz w:val="22"/>
              </w:rPr>
              <w:t> </w:t>
            </w:r>
            <w:r>
              <w:rPr>
                <w:sz w:val="22"/>
              </w:rPr>
              <w:t>“Jornales”</w:t>
            </w:r>
            <w:r>
              <w:rPr>
                <w:spacing w:val="-3"/>
                <w:sz w:val="22"/>
              </w:rPr>
              <w:t> </w:t>
            </w:r>
            <w:r>
              <w:rPr>
                <w:sz w:val="22"/>
              </w:rPr>
              <w:t>para</w:t>
            </w:r>
            <w:r>
              <w:rPr>
                <w:spacing w:val="-4"/>
                <w:sz w:val="22"/>
              </w:rPr>
              <w:t> </w:t>
            </w:r>
            <w:r>
              <w:rPr>
                <w:sz w:val="22"/>
              </w:rPr>
              <w:t>las</w:t>
            </w:r>
            <w:r>
              <w:rPr>
                <w:spacing w:val="-10"/>
                <w:sz w:val="22"/>
              </w:rPr>
              <w:t> </w:t>
            </w:r>
            <w:r>
              <w:rPr>
                <w:sz w:val="22"/>
              </w:rPr>
              <w:t>firmas y sellos correspondientes de acuerdo a Unidad Ejecutora</w:t>
            </w:r>
            <w:r>
              <w:rPr>
                <w:spacing w:val="-5"/>
                <w:sz w:val="22"/>
              </w:rPr>
              <w:t> </w:t>
            </w:r>
            <w:r>
              <w:rPr>
                <w:sz w:val="22"/>
              </w:rPr>
              <w:t>asignada.</w:t>
            </w:r>
          </w:p>
        </w:tc>
      </w:tr>
      <w:tr>
        <w:trPr>
          <w:trHeight w:val="98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4"/>
              <w:ind w:left="282" w:right="-2" w:hanging="68"/>
              <w:rPr>
                <w:b/>
                <w:sz w:val="14"/>
              </w:rPr>
            </w:pPr>
            <w:r>
              <w:rPr>
                <w:b/>
                <w:sz w:val="14"/>
              </w:rPr>
              <w:t>4. Recibir solicitudes y</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62" w:right="54"/>
              <w:jc w:val="center"/>
              <w:rPr>
                <w:sz w:val="14"/>
              </w:rPr>
            </w:pPr>
            <w:r>
              <w:rPr>
                <w:sz w:val="14"/>
              </w:rPr>
              <w:t>Asistente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08"/>
              <w:ind w:left="57"/>
              <w:rPr>
                <w:sz w:val="22"/>
              </w:rPr>
            </w:pPr>
            <w:r>
              <w:rPr>
                <w:sz w:val="22"/>
              </w:rPr>
              <w:t>Recibe los documentos enviados por las DIDEDUC (cuadros de puestos), donde solicitan</w:t>
            </w:r>
            <w:r>
              <w:rPr>
                <w:spacing w:val="-7"/>
                <w:sz w:val="22"/>
              </w:rPr>
              <w:t> </w:t>
            </w:r>
            <w:r>
              <w:rPr>
                <w:sz w:val="22"/>
              </w:rPr>
              <w:t>la</w:t>
            </w:r>
            <w:r>
              <w:rPr>
                <w:spacing w:val="-7"/>
                <w:sz w:val="22"/>
              </w:rPr>
              <w:t> </w:t>
            </w:r>
            <w:r>
              <w:rPr>
                <w:sz w:val="22"/>
              </w:rPr>
              <w:t>programación</w:t>
            </w:r>
            <w:r>
              <w:rPr>
                <w:spacing w:val="-8"/>
                <w:sz w:val="22"/>
              </w:rPr>
              <w:t> </w:t>
            </w:r>
            <w:r>
              <w:rPr>
                <w:sz w:val="22"/>
              </w:rPr>
              <w:t>o</w:t>
            </w:r>
            <w:r>
              <w:rPr>
                <w:spacing w:val="-9"/>
                <w:sz w:val="22"/>
              </w:rPr>
              <w:t> </w:t>
            </w:r>
            <w:r>
              <w:rPr>
                <w:sz w:val="22"/>
              </w:rPr>
              <w:t>reprogramación</w:t>
            </w:r>
            <w:r>
              <w:rPr>
                <w:spacing w:val="-7"/>
                <w:sz w:val="22"/>
              </w:rPr>
              <w:t> </w:t>
            </w:r>
            <w:r>
              <w:rPr>
                <w:sz w:val="22"/>
              </w:rPr>
              <w:t>correspondiente,</w:t>
            </w:r>
            <w:r>
              <w:rPr>
                <w:spacing w:val="-7"/>
                <w:sz w:val="22"/>
              </w:rPr>
              <w:t> </w:t>
            </w:r>
            <w:r>
              <w:rPr>
                <w:sz w:val="22"/>
              </w:rPr>
              <w:t>traslada</w:t>
            </w:r>
            <w:r>
              <w:rPr>
                <w:spacing w:val="-9"/>
                <w:sz w:val="22"/>
              </w:rPr>
              <w:t> </w:t>
            </w:r>
            <w:r>
              <w:rPr>
                <w:sz w:val="22"/>
              </w:rPr>
              <w:t>al</w:t>
            </w:r>
            <w:r>
              <w:rPr>
                <w:spacing w:val="-7"/>
                <w:sz w:val="22"/>
              </w:rPr>
              <w:t> </w:t>
            </w:r>
            <w:r>
              <w:rPr>
                <w:sz w:val="22"/>
              </w:rPr>
              <w:t>jefe</w:t>
            </w:r>
            <w:r>
              <w:rPr>
                <w:spacing w:val="-7"/>
                <w:sz w:val="22"/>
              </w:rPr>
              <w:t> </w:t>
            </w:r>
            <w:r>
              <w:rPr>
                <w:sz w:val="22"/>
              </w:rPr>
              <w:t>inmediato.</w:t>
            </w:r>
          </w:p>
        </w:tc>
      </w:tr>
      <w:tr>
        <w:trPr>
          <w:trHeight w:val="314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304" w:hanging="132"/>
              <w:rPr>
                <w:b/>
                <w:sz w:val="14"/>
              </w:rPr>
            </w:pPr>
            <w:r>
              <w:rPr>
                <w:b/>
                <w:sz w:val="14"/>
              </w:rPr>
              <w:t>5. Verificar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9"/>
              </w:rPr>
            </w:pPr>
          </w:p>
          <w:p>
            <w:pPr>
              <w:pStyle w:val="TableParagraph"/>
              <w:ind w:left="84" w:right="76" w:firstLine="2"/>
              <w:jc w:val="center"/>
              <w:rPr>
                <w:sz w:val="14"/>
              </w:rPr>
            </w:pPr>
            <w:r>
              <w:rPr>
                <w:sz w:val="14"/>
              </w:rPr>
              <w:t>Coordinador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Pr>
                <w:sz w:val="22"/>
              </w:rPr>
            </w:pPr>
            <w:r>
              <w:rPr>
                <w:sz w:val="22"/>
              </w:rPr>
              <w:t>Verifica la información enviada por las DIDEDUC de la forma siguiente:</w:t>
            </w:r>
          </w:p>
          <w:p>
            <w:pPr>
              <w:pStyle w:val="TableParagraph"/>
              <w:rPr>
                <w:b/>
                <w:sz w:val="22"/>
              </w:rPr>
            </w:pPr>
          </w:p>
          <w:p>
            <w:pPr>
              <w:pStyle w:val="TableParagraph"/>
              <w:numPr>
                <w:ilvl w:val="0"/>
                <w:numId w:val="2"/>
              </w:numPr>
              <w:tabs>
                <w:tab w:pos="419" w:val="left" w:leader="none"/>
              </w:tabs>
              <w:spacing w:line="252" w:lineRule="exact" w:before="0" w:after="0"/>
              <w:ind w:left="418" w:right="0" w:hanging="362"/>
              <w:jc w:val="left"/>
              <w:rPr>
                <w:sz w:val="22"/>
              </w:rPr>
            </w:pPr>
            <w:r>
              <w:rPr>
                <w:sz w:val="22"/>
              </w:rPr>
              <w:t>Para el caso de Programación Inicial del renglón presupuestario 031</w:t>
            </w:r>
            <w:r>
              <w:rPr>
                <w:spacing w:val="-19"/>
                <w:sz w:val="22"/>
              </w:rPr>
              <w:t> </w:t>
            </w:r>
            <w:r>
              <w:rPr>
                <w:sz w:val="22"/>
              </w:rPr>
              <w:t>“Jornales”:</w:t>
            </w:r>
          </w:p>
          <w:p>
            <w:pPr>
              <w:pStyle w:val="TableParagraph"/>
              <w:numPr>
                <w:ilvl w:val="1"/>
                <w:numId w:val="2"/>
              </w:numPr>
              <w:tabs>
                <w:tab w:pos="1139" w:val="left" w:leader="none"/>
              </w:tabs>
              <w:spacing w:line="252" w:lineRule="exact" w:before="0" w:after="0"/>
              <w:ind w:left="1138" w:right="0" w:hanging="362"/>
              <w:jc w:val="left"/>
              <w:rPr>
                <w:sz w:val="22"/>
              </w:rPr>
            </w:pPr>
            <w:r>
              <w:rPr>
                <w:sz w:val="22"/>
              </w:rPr>
              <w:t>que coincida con la programación</w:t>
            </w:r>
            <w:r>
              <w:rPr>
                <w:spacing w:val="-7"/>
                <w:sz w:val="22"/>
              </w:rPr>
              <w:t> </w:t>
            </w:r>
            <w:r>
              <w:rPr>
                <w:sz w:val="22"/>
              </w:rPr>
              <w:t>mensualizada.</w:t>
            </w:r>
          </w:p>
          <w:p>
            <w:pPr>
              <w:pStyle w:val="TableParagraph"/>
              <w:numPr>
                <w:ilvl w:val="1"/>
                <w:numId w:val="2"/>
              </w:numPr>
              <w:tabs>
                <w:tab w:pos="1139" w:val="left" w:leader="none"/>
              </w:tabs>
              <w:spacing w:line="252" w:lineRule="exact" w:before="0" w:after="0"/>
              <w:ind w:left="1138" w:right="0" w:hanging="362"/>
              <w:jc w:val="left"/>
              <w:rPr>
                <w:sz w:val="22"/>
              </w:rPr>
            </w:pPr>
            <w:r>
              <w:rPr>
                <w:sz w:val="22"/>
              </w:rPr>
              <w:t>que contengan las firmas y sellos de las autoridades</w:t>
            </w:r>
            <w:r>
              <w:rPr>
                <w:spacing w:val="-14"/>
                <w:sz w:val="22"/>
              </w:rPr>
              <w:t> </w:t>
            </w:r>
            <w:r>
              <w:rPr>
                <w:sz w:val="22"/>
              </w:rPr>
              <w:t>correspondientes.</w:t>
            </w:r>
          </w:p>
          <w:p>
            <w:pPr>
              <w:pStyle w:val="TableParagraph"/>
              <w:numPr>
                <w:ilvl w:val="0"/>
                <w:numId w:val="2"/>
              </w:numPr>
              <w:tabs>
                <w:tab w:pos="424" w:val="left" w:leader="none"/>
              </w:tabs>
              <w:spacing w:line="252" w:lineRule="exact" w:before="2" w:after="0"/>
              <w:ind w:left="423" w:right="0" w:hanging="362"/>
              <w:jc w:val="left"/>
              <w:rPr>
                <w:sz w:val="22"/>
              </w:rPr>
            </w:pPr>
            <w:r>
              <w:rPr>
                <w:sz w:val="22"/>
              </w:rPr>
              <w:t>Para el caso de Reprogramación del renglón presupuestario 031</w:t>
            </w:r>
            <w:r>
              <w:rPr>
                <w:spacing w:val="-16"/>
                <w:sz w:val="22"/>
              </w:rPr>
              <w:t> </w:t>
            </w:r>
            <w:r>
              <w:rPr>
                <w:sz w:val="22"/>
              </w:rPr>
              <w:t>“Jornales”:</w:t>
            </w:r>
          </w:p>
          <w:p>
            <w:pPr>
              <w:pStyle w:val="TableParagraph"/>
              <w:numPr>
                <w:ilvl w:val="1"/>
                <w:numId w:val="2"/>
              </w:numPr>
              <w:tabs>
                <w:tab w:pos="1131" w:val="left" w:leader="none"/>
              </w:tabs>
              <w:spacing w:line="240" w:lineRule="auto" w:before="0" w:after="0"/>
              <w:ind w:left="1130" w:right="23" w:hanging="360"/>
              <w:jc w:val="left"/>
              <w:rPr>
                <w:sz w:val="22"/>
              </w:rPr>
            </w:pPr>
            <w:r>
              <w:rPr>
                <w:sz w:val="22"/>
              </w:rPr>
              <w:t>que</w:t>
            </w:r>
            <w:r>
              <w:rPr>
                <w:spacing w:val="-13"/>
                <w:sz w:val="22"/>
              </w:rPr>
              <w:t> </w:t>
            </w:r>
            <w:r>
              <w:rPr>
                <w:sz w:val="22"/>
              </w:rPr>
              <w:t>los</w:t>
            </w:r>
            <w:r>
              <w:rPr>
                <w:spacing w:val="-12"/>
                <w:sz w:val="22"/>
              </w:rPr>
              <w:t> </w:t>
            </w:r>
            <w:r>
              <w:rPr>
                <w:sz w:val="22"/>
              </w:rPr>
              <w:t>datos</w:t>
            </w:r>
            <w:r>
              <w:rPr>
                <w:spacing w:val="-12"/>
                <w:sz w:val="22"/>
              </w:rPr>
              <w:t> </w:t>
            </w:r>
            <w:r>
              <w:rPr>
                <w:sz w:val="22"/>
              </w:rPr>
              <w:t>solicitados</w:t>
            </w:r>
            <w:r>
              <w:rPr>
                <w:spacing w:val="-16"/>
                <w:sz w:val="22"/>
              </w:rPr>
              <w:t> </w:t>
            </w:r>
            <w:r>
              <w:rPr>
                <w:sz w:val="22"/>
              </w:rPr>
              <w:t>por</w:t>
            </w:r>
            <w:r>
              <w:rPr>
                <w:spacing w:val="-10"/>
                <w:sz w:val="22"/>
              </w:rPr>
              <w:t> </w:t>
            </w:r>
            <w:r>
              <w:rPr>
                <w:sz w:val="22"/>
              </w:rPr>
              <w:t>las</w:t>
            </w:r>
            <w:r>
              <w:rPr>
                <w:spacing w:val="-12"/>
                <w:sz w:val="22"/>
              </w:rPr>
              <w:t> </w:t>
            </w:r>
            <w:r>
              <w:rPr>
                <w:sz w:val="22"/>
              </w:rPr>
              <w:t>Direcciones</w:t>
            </w:r>
            <w:r>
              <w:rPr>
                <w:spacing w:val="-12"/>
                <w:sz w:val="22"/>
              </w:rPr>
              <w:t> </w:t>
            </w:r>
            <w:r>
              <w:rPr>
                <w:sz w:val="22"/>
              </w:rPr>
              <w:t>Departamentales</w:t>
            </w:r>
            <w:r>
              <w:rPr>
                <w:spacing w:val="-14"/>
                <w:sz w:val="22"/>
              </w:rPr>
              <w:t> </w:t>
            </w:r>
            <w:r>
              <w:rPr>
                <w:sz w:val="22"/>
              </w:rPr>
              <w:t>de</w:t>
            </w:r>
            <w:r>
              <w:rPr>
                <w:spacing w:val="-12"/>
                <w:sz w:val="22"/>
              </w:rPr>
              <w:t> </w:t>
            </w:r>
            <w:r>
              <w:rPr>
                <w:sz w:val="22"/>
              </w:rPr>
              <w:t>Educación sean los</w:t>
            </w:r>
            <w:r>
              <w:rPr>
                <w:spacing w:val="-1"/>
                <w:sz w:val="22"/>
              </w:rPr>
              <w:t> </w:t>
            </w:r>
            <w:r>
              <w:rPr>
                <w:sz w:val="22"/>
              </w:rPr>
              <w:t>correctos.</w:t>
            </w:r>
          </w:p>
          <w:p>
            <w:pPr>
              <w:pStyle w:val="TableParagraph"/>
              <w:numPr>
                <w:ilvl w:val="1"/>
                <w:numId w:val="2"/>
              </w:numPr>
              <w:tabs>
                <w:tab w:pos="1132" w:val="left" w:leader="none"/>
              </w:tabs>
              <w:spacing w:line="240" w:lineRule="auto" w:before="0" w:after="0"/>
              <w:ind w:left="1131" w:right="0" w:hanging="362"/>
              <w:jc w:val="left"/>
              <w:rPr>
                <w:sz w:val="22"/>
              </w:rPr>
            </w:pPr>
            <w:r>
              <w:rPr>
                <w:sz w:val="22"/>
              </w:rPr>
              <w:t>que contengan las firmas y sellos de las autoridades</w:t>
            </w:r>
            <w:r>
              <w:rPr>
                <w:spacing w:val="-12"/>
                <w:sz w:val="22"/>
              </w:rPr>
              <w:t> </w:t>
            </w:r>
            <w:r>
              <w:rPr>
                <w:sz w:val="22"/>
              </w:rPr>
              <w:t>correspondientes</w:t>
            </w:r>
          </w:p>
          <w:p>
            <w:pPr>
              <w:pStyle w:val="TableParagraph"/>
              <w:rPr>
                <w:b/>
                <w:sz w:val="22"/>
              </w:rPr>
            </w:pPr>
          </w:p>
          <w:p>
            <w:pPr>
              <w:pStyle w:val="TableParagraph"/>
              <w:ind w:left="57" w:right="6"/>
              <w:rPr>
                <w:sz w:val="22"/>
              </w:rPr>
            </w:pPr>
            <w:r>
              <w:rPr>
                <w:sz w:val="22"/>
              </w:rPr>
              <w:t>Traslada al analista si todo está bien, en caso de encontrar inconsistencias devuelve a la DIDEDUC.</w:t>
            </w:r>
          </w:p>
        </w:tc>
      </w:tr>
      <w:tr>
        <w:trPr>
          <w:trHeight w:val="163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2"/>
              <w:rPr>
                <w:b/>
                <w:sz w:val="15"/>
              </w:rPr>
            </w:pPr>
          </w:p>
          <w:p>
            <w:pPr>
              <w:pStyle w:val="TableParagraph"/>
              <w:ind w:left="309" w:right="26" w:hanging="140"/>
              <w:rPr>
                <w:b/>
                <w:sz w:val="14"/>
              </w:rPr>
            </w:pPr>
            <w:r>
              <w:rPr>
                <w:b/>
                <w:sz w:val="14"/>
              </w:rPr>
              <w:t>6. Elaborar proyecto de resolución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2"/>
              <w:rPr>
                <w:b/>
                <w:sz w:val="17"/>
              </w:rPr>
            </w:pPr>
          </w:p>
          <w:p>
            <w:pPr>
              <w:pStyle w:val="TableParagraph"/>
              <w:ind w:left="45" w:right="36"/>
              <w:jc w:val="center"/>
              <w:rPr>
                <w:sz w:val="14"/>
              </w:rPr>
            </w:pPr>
            <w:r>
              <w:rPr>
                <w:sz w:val="14"/>
              </w:rPr>
              <w:t>Coordinador del Departamento de Análisis Presupuestario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4"/>
              <w:jc w:val="both"/>
              <w:rPr>
                <w:sz w:val="22"/>
              </w:rPr>
            </w:pPr>
            <w:r>
              <w:rPr>
                <w:sz w:val="22"/>
              </w:rPr>
              <w:t>Redacta proyecto de Resolución para Aprobación de la Programación Inicial del Renglón Presupuestario 031 “Jornales”, para el ejercicio fiscal en curso, traslada para la respectiva revisión, al Subdirector de Presupuesto de Nómina.</w:t>
            </w:r>
          </w:p>
          <w:p>
            <w:pPr>
              <w:pStyle w:val="TableParagraph"/>
              <w:spacing w:before="1"/>
              <w:rPr>
                <w:b/>
                <w:sz w:val="22"/>
              </w:rPr>
            </w:pPr>
          </w:p>
          <w:p>
            <w:pPr>
              <w:pStyle w:val="TableParagraph"/>
              <w:ind w:left="57" w:right="15"/>
              <w:jc w:val="both"/>
              <w:rPr>
                <w:sz w:val="22"/>
              </w:rPr>
            </w:pPr>
            <w:r>
              <w:rPr>
                <w:sz w:val="22"/>
              </w:rPr>
              <w:t>En</w:t>
            </w:r>
            <w:r>
              <w:rPr>
                <w:spacing w:val="-7"/>
                <w:sz w:val="22"/>
              </w:rPr>
              <w:t> </w:t>
            </w:r>
            <w:r>
              <w:rPr>
                <w:sz w:val="22"/>
              </w:rPr>
              <w:t>el</w:t>
            </w:r>
            <w:r>
              <w:rPr>
                <w:spacing w:val="-7"/>
                <w:sz w:val="22"/>
              </w:rPr>
              <w:t> </w:t>
            </w:r>
            <w:r>
              <w:rPr>
                <w:sz w:val="22"/>
              </w:rPr>
              <w:t>caso</w:t>
            </w:r>
            <w:r>
              <w:rPr>
                <w:spacing w:val="-8"/>
                <w:sz w:val="22"/>
              </w:rPr>
              <w:t> </w:t>
            </w:r>
            <w:r>
              <w:rPr>
                <w:sz w:val="22"/>
              </w:rPr>
              <w:t>de</w:t>
            </w:r>
            <w:r>
              <w:rPr>
                <w:spacing w:val="-11"/>
                <w:sz w:val="22"/>
              </w:rPr>
              <w:t> </w:t>
            </w:r>
            <w:r>
              <w:rPr>
                <w:sz w:val="22"/>
              </w:rPr>
              <w:t>solicitud</w:t>
            </w:r>
            <w:r>
              <w:rPr>
                <w:spacing w:val="-8"/>
                <w:sz w:val="22"/>
              </w:rPr>
              <w:t> </w:t>
            </w:r>
            <w:r>
              <w:rPr>
                <w:sz w:val="22"/>
              </w:rPr>
              <w:t>de</w:t>
            </w:r>
            <w:r>
              <w:rPr>
                <w:spacing w:val="-7"/>
                <w:sz w:val="22"/>
              </w:rPr>
              <w:t> </w:t>
            </w:r>
            <w:r>
              <w:rPr>
                <w:sz w:val="22"/>
              </w:rPr>
              <w:t>reprogramaciones,</w:t>
            </w:r>
            <w:r>
              <w:rPr>
                <w:spacing w:val="-5"/>
                <w:sz w:val="22"/>
              </w:rPr>
              <w:t> </w:t>
            </w:r>
            <w:r>
              <w:rPr>
                <w:sz w:val="22"/>
              </w:rPr>
              <w:t>el</w:t>
            </w:r>
            <w:r>
              <w:rPr>
                <w:spacing w:val="-9"/>
                <w:sz w:val="22"/>
              </w:rPr>
              <w:t> </w:t>
            </w:r>
            <w:r>
              <w:rPr>
                <w:sz w:val="22"/>
              </w:rPr>
              <w:t>proyecto</w:t>
            </w:r>
            <w:r>
              <w:rPr>
                <w:spacing w:val="-9"/>
                <w:sz w:val="22"/>
              </w:rPr>
              <w:t> </w:t>
            </w:r>
            <w:r>
              <w:rPr>
                <w:sz w:val="22"/>
              </w:rPr>
              <w:t>de</w:t>
            </w:r>
            <w:r>
              <w:rPr>
                <w:spacing w:val="-8"/>
                <w:sz w:val="22"/>
              </w:rPr>
              <w:t> </w:t>
            </w:r>
            <w:r>
              <w:rPr>
                <w:sz w:val="22"/>
              </w:rPr>
              <w:t>Resolución</w:t>
            </w:r>
            <w:r>
              <w:rPr>
                <w:spacing w:val="-7"/>
                <w:sz w:val="22"/>
              </w:rPr>
              <w:t> </w:t>
            </w:r>
            <w:r>
              <w:rPr>
                <w:sz w:val="22"/>
              </w:rPr>
              <w:t>será</w:t>
            </w:r>
            <w:r>
              <w:rPr>
                <w:spacing w:val="-3"/>
                <w:sz w:val="22"/>
              </w:rPr>
              <w:t> </w:t>
            </w:r>
            <w:r>
              <w:rPr>
                <w:sz w:val="22"/>
              </w:rPr>
              <w:t>elaborado por el analista de acuerdo a la distribución de las Unidades</w:t>
            </w:r>
            <w:r>
              <w:rPr>
                <w:spacing w:val="-9"/>
                <w:sz w:val="22"/>
              </w:rPr>
              <w:t> </w:t>
            </w:r>
            <w:r>
              <w:rPr>
                <w:sz w:val="22"/>
              </w:rPr>
              <w:t>Ejecutoras.</w:t>
            </w:r>
          </w:p>
        </w:tc>
      </w:tr>
      <w:tr>
        <w:trPr>
          <w:trHeight w:val="98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6"/>
              <w:ind w:right="191"/>
              <w:jc w:val="right"/>
              <w:rPr>
                <w:b/>
                <w:sz w:val="14"/>
              </w:rPr>
            </w:pPr>
            <w:r>
              <w:rPr>
                <w:b/>
                <w:sz w:val="14"/>
              </w:rPr>
              <w:t>7.    Firma</w:t>
            </w:r>
            <w:r>
              <w:rPr>
                <w:b/>
                <w:spacing w:val="-23"/>
                <w:sz w:val="14"/>
              </w:rPr>
              <w:t> </w:t>
            </w:r>
            <w:r>
              <w:rPr>
                <w:b/>
                <w:sz w:val="14"/>
              </w:rPr>
              <w:t>y</w:t>
            </w:r>
          </w:p>
          <w:p>
            <w:pPr>
              <w:pStyle w:val="TableParagraph"/>
              <w:ind w:right="175"/>
              <w:jc w:val="right"/>
              <w:rPr>
                <w:b/>
                <w:sz w:val="14"/>
              </w:rPr>
            </w:pPr>
            <w:r>
              <w:rPr>
                <w:b/>
                <w:w w:val="95"/>
                <w:sz w:val="14"/>
              </w:rPr>
              <w:t>traslada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spacing w:before="1"/>
              <w:ind w:left="64" w:right="55" w:hanging="6"/>
              <w:jc w:val="center"/>
              <w:rPr>
                <w:sz w:val="14"/>
              </w:rPr>
            </w:pPr>
            <w:r>
              <w:rPr>
                <w:sz w:val="14"/>
              </w:rPr>
              <w:t>Subdirector de Presupuesto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08"/>
              <w:ind w:left="57"/>
              <w:rPr>
                <w:sz w:val="22"/>
              </w:rPr>
            </w:pPr>
            <w:r>
              <w:rPr>
                <w:sz w:val="22"/>
              </w:rPr>
              <w:t>Recibe y revisa el proyecto de Resolución, de estar de acuerdo la traslada al Director de la DIREH.</w:t>
            </w: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6"/>
              <w:ind w:right="191"/>
              <w:jc w:val="right"/>
              <w:rPr>
                <w:b/>
                <w:sz w:val="14"/>
              </w:rPr>
            </w:pPr>
            <w:r>
              <w:rPr>
                <w:b/>
                <w:sz w:val="14"/>
              </w:rPr>
              <w:t>8.    Firma</w:t>
            </w:r>
            <w:r>
              <w:rPr>
                <w:b/>
                <w:spacing w:val="-23"/>
                <w:sz w:val="14"/>
              </w:rPr>
              <w:t> </w:t>
            </w:r>
            <w:r>
              <w:rPr>
                <w:b/>
                <w:sz w:val="14"/>
              </w:rPr>
              <w:t>y</w:t>
            </w:r>
          </w:p>
          <w:p>
            <w:pPr>
              <w:pStyle w:val="TableParagraph"/>
              <w:ind w:right="175"/>
              <w:jc w:val="right"/>
              <w:rPr>
                <w:b/>
                <w:sz w:val="14"/>
              </w:rPr>
            </w:pPr>
            <w:r>
              <w:rPr>
                <w:b/>
                <w:w w:val="95"/>
                <w:sz w:val="14"/>
              </w:rPr>
              <w:t>traslada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spacing w:line="242" w:lineRule="auto" w:before="1"/>
              <w:ind w:left="254" w:right="186" w:hanging="44"/>
              <w:rPr>
                <w:sz w:val="14"/>
              </w:rPr>
            </w:pPr>
            <w:r>
              <w:rPr>
                <w:sz w:val="14"/>
              </w:rPr>
              <w:t>Director de Recursos Humanos</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11"/>
              <w:ind w:left="57"/>
              <w:rPr>
                <w:sz w:val="22"/>
              </w:rPr>
            </w:pPr>
            <w:r>
              <w:rPr>
                <w:sz w:val="22"/>
              </w:rPr>
              <w:t>Recibe y revisa el proyecto de Resolución de estar de acuerdo rubrica la misma, para que pueda ser enviada a las Autoridades Superiores, para su autorización final.</w:t>
            </w:r>
          </w:p>
        </w:tc>
      </w:tr>
    </w:tbl>
    <w:p>
      <w:pPr>
        <w:spacing w:after="0"/>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38"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138" cy="427481"/>
                          </a:xfrm>
                          <a:prstGeom prst="rect">
                            <a:avLst/>
                          </a:prstGeom>
                        </pic:spPr>
                      </pic:pic>
                    </a:graphicData>
                  </a:graphic>
                </wp:inline>
              </w:drawing>
            </w:r>
            <w:r>
              <w:rPr>
                <w:sz w:val="20"/>
              </w:rPr>
            </w:r>
          </w:p>
        </w:tc>
        <w:tc>
          <w:tcPr>
            <w:tcW w:w="10347" w:type="dxa"/>
            <w:gridSpan w:val="4"/>
          </w:tcPr>
          <w:p>
            <w:pPr>
              <w:pStyle w:val="TableParagraph"/>
              <w:spacing w:before="50"/>
              <w:ind w:left="506" w:right="519"/>
              <w:jc w:val="center"/>
              <w:rPr>
                <w:sz w:val="16"/>
              </w:rPr>
            </w:pPr>
            <w:r>
              <w:rPr>
                <w:sz w:val="16"/>
              </w:rPr>
              <w:t>INST RU CT IVO</w:t>
            </w:r>
          </w:p>
          <w:p>
            <w:pPr>
              <w:pStyle w:val="TableParagraph"/>
              <w:spacing w:line="270" w:lineRule="atLeast" w:before="29"/>
              <w:ind w:left="523" w:right="519"/>
              <w:jc w:val="center"/>
              <w:rPr>
                <w:b/>
                <w:sz w:val="24"/>
              </w:rPr>
            </w:pPr>
            <w:r>
              <w:rPr>
                <w:b/>
                <w:sz w:val="24"/>
              </w:rPr>
              <w:t>PROGRAMACIÓN Y REPROGRAMACIÓN DEL RENGLÓN PRESUPUESTARIO 031 "JORNALES"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714"/>
              <w:rPr>
                <w:sz w:val="16"/>
              </w:rPr>
            </w:pPr>
            <w:r>
              <w:rPr>
                <w:sz w:val="16"/>
              </w:rPr>
              <w:t>Del proceso: PRESUPUESTO DE NÓMINA</w:t>
            </w:r>
          </w:p>
        </w:tc>
        <w:tc>
          <w:tcPr>
            <w:tcW w:w="2410" w:type="dxa"/>
          </w:tcPr>
          <w:p>
            <w:pPr>
              <w:pStyle w:val="TableParagraph"/>
              <w:spacing w:line="175" w:lineRule="exact"/>
              <w:ind w:left="400"/>
              <w:rPr>
                <w:b/>
                <w:sz w:val="16"/>
              </w:rPr>
            </w:pPr>
            <w:r>
              <w:rPr>
                <w:sz w:val="16"/>
              </w:rPr>
              <w:t>Código: </w:t>
            </w:r>
            <w:r>
              <w:rPr>
                <w:b/>
                <w:sz w:val="16"/>
              </w:rPr>
              <w:t>RHU-INS-24</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3 de 3</w:t>
            </w:r>
          </w:p>
        </w:tc>
      </w:tr>
    </w:tbl>
    <w:p>
      <w:pPr>
        <w:pStyle w:val="BodyText"/>
        <w:spacing w:before="8"/>
        <w:rPr>
          <w:b/>
          <w:sz w:val="9"/>
        </w:rPr>
      </w:pPr>
    </w:p>
    <w:p>
      <w:pPr>
        <w:pStyle w:val="BodyText"/>
        <w:spacing w:before="7"/>
        <w:rPr>
          <w:b/>
          <w:sz w:val="2"/>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6" w:right="29"/>
              <w:jc w:val="center"/>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4"/>
              <w:jc w:val="center"/>
              <w:rPr>
                <w:b/>
                <w:sz w:val="16"/>
              </w:rPr>
            </w:pPr>
            <w:r>
              <w:rPr>
                <w:b/>
                <w:sz w:val="16"/>
              </w:rPr>
              <w:t>Descripción de las Actividades</w:t>
            </w:r>
          </w:p>
        </w:tc>
      </w:tr>
      <w:tr>
        <w:trPr>
          <w:trHeight w:val="219"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4"/>
              </w:rPr>
            </w:pP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60"/>
              <w:ind w:left="59" w:right="57"/>
              <w:jc w:val="center"/>
              <w:rPr>
                <w:sz w:val="14"/>
              </w:rPr>
            </w:pPr>
            <w:r>
              <w:rPr>
                <w:sz w:val="14"/>
              </w:rPr>
              <w:t>Autoridades</w:t>
            </w:r>
          </w:p>
        </w:tc>
        <w:tc>
          <w:tcPr>
            <w:tcW w:w="853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1"/>
              <w:ind w:left="57"/>
              <w:rPr>
                <w:sz w:val="22"/>
              </w:rPr>
            </w:pPr>
            <w:r>
              <w:rPr>
                <w:sz w:val="22"/>
              </w:rPr>
              <w:t>Recibe y revisa, si están de acuerdo firma la resolución, caso contrario realiza la observaciones y devuelve a la DIREH para las modificaciones correspondientes.</w:t>
            </w:r>
          </w:p>
        </w:tc>
      </w:tr>
      <w:tr>
        <w:trPr>
          <w:trHeight w:val="149"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0" w:lineRule="exact"/>
              <w:ind w:left="61" w:right="57"/>
              <w:jc w:val="center"/>
              <w:rPr>
                <w:sz w:val="14"/>
              </w:rPr>
            </w:pPr>
            <w:r>
              <w:rPr>
                <w:sz w:val="14"/>
              </w:rPr>
              <w:t>superiores</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1" w:hRule="atLeast"/>
        </w:trPr>
        <w:tc>
          <w:tcPr>
            <w:tcW w:w="1159" w:type="dxa"/>
            <w:tcBorders>
              <w:top w:val="nil"/>
              <w:left w:val="single" w:sz="4" w:space="0" w:color="000000"/>
              <w:bottom w:val="nil"/>
              <w:right w:val="single" w:sz="4" w:space="0" w:color="000000"/>
            </w:tcBorders>
          </w:tcPr>
          <w:p>
            <w:pPr>
              <w:pStyle w:val="TableParagraph"/>
              <w:spacing w:line="132" w:lineRule="exact"/>
              <w:ind w:left="146"/>
              <w:rPr>
                <w:b/>
                <w:sz w:val="14"/>
              </w:rPr>
            </w:pPr>
            <w:r>
              <w:rPr>
                <w:b/>
                <w:sz w:val="14"/>
              </w:rPr>
              <w:t>9. Autorizar</w:t>
            </w:r>
          </w:p>
        </w:tc>
        <w:tc>
          <w:tcPr>
            <w:tcW w:w="1111" w:type="dxa"/>
            <w:tcBorders>
              <w:top w:val="nil"/>
              <w:left w:val="single" w:sz="4" w:space="0" w:color="000000"/>
              <w:bottom w:val="nil"/>
              <w:right w:val="single" w:sz="4" w:space="0" w:color="000000"/>
            </w:tcBorders>
          </w:tcPr>
          <w:p>
            <w:pPr>
              <w:pStyle w:val="TableParagraph"/>
              <w:spacing w:line="132" w:lineRule="exact"/>
              <w:ind w:left="62" w:right="54"/>
              <w:jc w:val="center"/>
              <w:rPr>
                <w:sz w:val="14"/>
              </w:rPr>
            </w:pPr>
            <w:r>
              <w:rPr>
                <w:sz w:val="14"/>
              </w:rPr>
              <w:t>Viceministro y</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2"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2" w:lineRule="exact"/>
              <w:ind w:left="60" w:right="57"/>
              <w:jc w:val="center"/>
              <w:rPr>
                <w:sz w:val="14"/>
              </w:rPr>
            </w:pPr>
            <w:r>
              <w:rPr>
                <w:sz w:val="14"/>
              </w:rPr>
              <w:t>Ministro de</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73"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nil"/>
              <w:left w:val="single" w:sz="4" w:space="0" w:color="000000"/>
              <w:bottom w:val="single" w:sz="4" w:space="0" w:color="000000"/>
              <w:right w:val="single" w:sz="4" w:space="0" w:color="000000"/>
            </w:tcBorders>
          </w:tcPr>
          <w:p>
            <w:pPr>
              <w:pStyle w:val="TableParagraph"/>
              <w:spacing w:line="154" w:lineRule="exact"/>
              <w:ind w:left="62" w:right="57"/>
              <w:jc w:val="center"/>
              <w:rPr>
                <w:sz w:val="14"/>
              </w:rPr>
            </w:pPr>
            <w:r>
              <w:rPr>
                <w:sz w:val="14"/>
              </w:rPr>
              <w:t>Educación</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6"/>
              <w:ind w:left="350" w:hanging="111"/>
              <w:rPr>
                <w:b/>
                <w:sz w:val="14"/>
              </w:rPr>
            </w:pPr>
            <w:r>
              <w:rPr>
                <w:b/>
                <w:sz w:val="14"/>
              </w:rPr>
              <w:t>10. Enviar </w:t>
            </w:r>
            <w:r>
              <w:rPr>
                <w:b/>
                <w:w w:val="95"/>
                <w:sz w:val="14"/>
              </w:rPr>
              <w:t>resolución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19"/>
              </w:rPr>
            </w:pPr>
          </w:p>
          <w:p>
            <w:pPr>
              <w:pStyle w:val="TableParagraph"/>
              <w:ind w:left="62" w:right="52"/>
              <w:jc w:val="center"/>
              <w:rPr>
                <w:sz w:val="14"/>
              </w:rPr>
            </w:pPr>
            <w:r>
              <w:rPr>
                <w:sz w:val="14"/>
              </w:rPr>
              <w:t>Asistente de Despacho Superior</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96"/>
              <w:rPr>
                <w:sz w:val="22"/>
              </w:rPr>
            </w:pPr>
            <w:r>
              <w:rPr>
                <w:sz w:val="22"/>
              </w:rPr>
              <w:t>Envía a la DIREH la Resolución para Aprobación de la Programación Inicial o Reprogramación del Renglón Presupuestario 031 “Jornales”, firmada y sellada para su notificación.</w:t>
            </w:r>
          </w:p>
        </w:tc>
      </w:tr>
      <w:tr>
        <w:trPr>
          <w:trHeight w:val="282"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nil"/>
              <w:right w:val="single" w:sz="4" w:space="0" w:color="000000"/>
            </w:tcBorders>
          </w:tcPr>
          <w:p>
            <w:pPr>
              <w:pStyle w:val="TableParagraph"/>
              <w:spacing w:line="236" w:lineRule="exact" w:before="26"/>
              <w:ind w:left="57"/>
              <w:rPr>
                <w:sz w:val="22"/>
              </w:rPr>
            </w:pPr>
            <w:r>
              <w:rPr>
                <w:sz w:val="22"/>
              </w:rPr>
              <w:t>Recibe la Resolución para Aprobación de la Programación Inicial o Reprogramación</w:t>
            </w:r>
          </w:p>
        </w:tc>
      </w:tr>
      <w:tr>
        <w:trPr>
          <w:trHeight w:val="1264" w:hRule="atLeast"/>
        </w:trPr>
        <w:tc>
          <w:tcPr>
            <w:tcW w:w="1159" w:type="dxa"/>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spacing w:before="99"/>
              <w:ind w:right="152"/>
              <w:jc w:val="right"/>
              <w:rPr>
                <w:b/>
                <w:sz w:val="14"/>
              </w:rPr>
            </w:pPr>
            <w:r>
              <w:rPr>
                <w:b/>
                <w:sz w:val="14"/>
              </w:rPr>
              <w:t>11.  Recibe</w:t>
            </w:r>
            <w:r>
              <w:rPr>
                <w:b/>
                <w:spacing w:val="-22"/>
                <w:sz w:val="14"/>
              </w:rPr>
              <w:t> </w:t>
            </w:r>
            <w:r>
              <w:rPr>
                <w:b/>
                <w:sz w:val="14"/>
              </w:rPr>
              <w:t>y</w:t>
            </w:r>
          </w:p>
          <w:p>
            <w:pPr>
              <w:pStyle w:val="TableParagraph"/>
              <w:ind w:right="175"/>
              <w:jc w:val="right"/>
              <w:rPr>
                <w:b/>
                <w:sz w:val="14"/>
              </w:rPr>
            </w:pPr>
            <w:r>
              <w:rPr>
                <w:b/>
                <w:w w:val="95"/>
                <w:sz w:val="14"/>
              </w:rPr>
              <w:t>traslada</w:t>
            </w:r>
          </w:p>
        </w:tc>
        <w:tc>
          <w:tcPr>
            <w:tcW w:w="1111" w:type="dxa"/>
            <w:tcBorders>
              <w:top w:val="nil"/>
              <w:left w:val="single" w:sz="4" w:space="0" w:color="000000"/>
              <w:bottom w:val="nil"/>
              <w:right w:val="single" w:sz="4" w:space="0" w:color="000000"/>
            </w:tcBorders>
          </w:tcPr>
          <w:p>
            <w:pPr>
              <w:pStyle w:val="TableParagraph"/>
              <w:spacing w:before="8"/>
              <w:rPr>
                <w:b/>
                <w:sz w:val="19"/>
              </w:rPr>
            </w:pPr>
          </w:p>
          <w:p>
            <w:pPr>
              <w:pStyle w:val="TableParagraph"/>
              <w:ind w:left="84" w:right="76" w:hanging="2"/>
              <w:jc w:val="center"/>
              <w:rPr>
                <w:sz w:val="14"/>
              </w:rPr>
            </w:pPr>
            <w:r>
              <w:rPr>
                <w:sz w:val="14"/>
              </w:rPr>
              <w:t>Asistente del Departamento de Análisis </w:t>
            </w:r>
            <w:r>
              <w:rPr>
                <w:w w:val="95"/>
                <w:sz w:val="14"/>
              </w:rPr>
              <w:t>Presupuestario </w:t>
            </w:r>
            <w:r>
              <w:rPr>
                <w:sz w:val="14"/>
              </w:rPr>
              <w:t>de Nómina</w:t>
            </w:r>
          </w:p>
        </w:tc>
        <w:tc>
          <w:tcPr>
            <w:tcW w:w="8532" w:type="dxa"/>
            <w:tcBorders>
              <w:top w:val="nil"/>
              <w:left w:val="single" w:sz="4" w:space="0" w:color="000000"/>
              <w:bottom w:val="nil"/>
              <w:right w:val="single" w:sz="4" w:space="0" w:color="000000"/>
            </w:tcBorders>
          </w:tcPr>
          <w:p>
            <w:pPr>
              <w:pStyle w:val="TableParagraph"/>
              <w:ind w:left="57"/>
              <w:rPr>
                <w:sz w:val="22"/>
              </w:rPr>
            </w:pPr>
            <w:r>
              <w:rPr>
                <w:sz w:val="22"/>
              </w:rPr>
              <w:t>del Renglón Presupuestario 031 “Jornales”, adjuntando como anexo, los documentos adicionales enviados por la DIDEDUC, (por ejemplo, la programación o reprogramación, detalle de puestos), enviados por la DIDEDUC la y firmas correspondientes.</w:t>
            </w:r>
          </w:p>
          <w:p>
            <w:pPr>
              <w:pStyle w:val="TableParagraph"/>
              <w:spacing w:line="236" w:lineRule="exact"/>
              <w:ind w:left="57"/>
              <w:rPr>
                <w:sz w:val="22"/>
              </w:rPr>
            </w:pPr>
            <w:r>
              <w:rPr>
                <w:sz w:val="22"/>
              </w:rPr>
              <w:t>Traslada al Analista del Departamento de Análisis Presupuestario de Nómina según</w:t>
            </w:r>
          </w:p>
        </w:tc>
      </w:tr>
      <w:tr>
        <w:trPr>
          <w:trHeight w:val="336"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top w:val="nil"/>
              <w:left w:val="single" w:sz="4" w:space="0" w:color="000000"/>
              <w:bottom w:val="single" w:sz="4" w:space="0" w:color="000000"/>
              <w:right w:val="single" w:sz="4" w:space="0" w:color="000000"/>
            </w:tcBorders>
          </w:tcPr>
          <w:p>
            <w:pPr>
              <w:pStyle w:val="TableParagraph"/>
              <w:spacing w:line="249" w:lineRule="exact"/>
              <w:ind w:left="57"/>
              <w:rPr>
                <w:sz w:val="22"/>
              </w:rPr>
            </w:pPr>
            <w:r>
              <w:rPr>
                <w:sz w:val="22"/>
              </w:rPr>
              <w:t>corresponda.</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6"/>
              <w:ind w:left="386" w:hanging="248"/>
              <w:rPr>
                <w:b/>
                <w:sz w:val="14"/>
              </w:rPr>
            </w:pPr>
            <w:r>
              <w:rPr>
                <w:b/>
                <w:sz w:val="14"/>
              </w:rPr>
              <w:t>12. Notifica a </w:t>
            </w:r>
            <w:r>
              <w:rPr>
                <w:b/>
                <w:w w:val="95"/>
                <w:sz w:val="14"/>
              </w:rPr>
              <w:t>DIDEDUC</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84" w:right="76" w:hanging="2"/>
              <w:jc w:val="center"/>
              <w:rPr>
                <w:sz w:val="14"/>
              </w:rPr>
            </w:pPr>
            <w:r>
              <w:rPr>
                <w:sz w:val="14"/>
              </w:rPr>
              <w:t>Analista del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99"/>
              <w:jc w:val="both"/>
              <w:rPr>
                <w:sz w:val="22"/>
              </w:rPr>
            </w:pPr>
            <w:r>
              <w:rPr>
                <w:sz w:val="22"/>
              </w:rPr>
              <w:t>Notifica la Resolución para Aprobación de la Programación Inicial o Reprogramación del Renglón Presupuestario 031 “Jornales” a la DIDEDUC que ha realizado solicitud de programación inicial o reprogramación, según corresponda.</w:t>
            </w:r>
          </w:p>
        </w:tc>
      </w:tr>
      <w:tr>
        <w:trPr>
          <w:trHeight w:val="1167"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nil"/>
              <w:right w:val="single" w:sz="4" w:space="0" w:color="000000"/>
            </w:tcBorders>
          </w:tcPr>
          <w:p>
            <w:pPr>
              <w:pStyle w:val="TableParagraph"/>
              <w:spacing w:before="26"/>
              <w:ind w:left="57"/>
              <w:rPr>
                <w:sz w:val="22"/>
              </w:rPr>
            </w:pPr>
            <w:r>
              <w:rPr>
                <w:sz w:val="22"/>
              </w:rPr>
              <w:t>Notifica la Resolución para Aprobación de la Programación Inicial o Reprogramación del Renglón Presupuestario 031 “Jornales”, a las entidades externas siguientes:</w:t>
            </w:r>
          </w:p>
          <w:p>
            <w:pPr>
              <w:pStyle w:val="TableParagraph"/>
              <w:numPr>
                <w:ilvl w:val="0"/>
                <w:numId w:val="3"/>
              </w:numPr>
              <w:tabs>
                <w:tab w:pos="419" w:val="left" w:leader="none"/>
              </w:tabs>
              <w:spacing w:line="252" w:lineRule="exact" w:before="0" w:after="0"/>
              <w:ind w:left="418" w:right="0" w:hanging="362"/>
              <w:jc w:val="left"/>
              <w:rPr>
                <w:sz w:val="22"/>
              </w:rPr>
            </w:pPr>
            <w:r>
              <w:rPr>
                <w:sz w:val="22"/>
              </w:rPr>
              <w:t>Contraloría General de Cuentas</w:t>
            </w:r>
            <w:r>
              <w:rPr>
                <w:spacing w:val="-3"/>
                <w:sz w:val="22"/>
              </w:rPr>
              <w:t> </w:t>
            </w:r>
            <w:r>
              <w:rPr>
                <w:sz w:val="22"/>
              </w:rPr>
              <w:t>-CGC-</w:t>
            </w:r>
          </w:p>
          <w:p>
            <w:pPr>
              <w:pStyle w:val="TableParagraph"/>
              <w:numPr>
                <w:ilvl w:val="0"/>
                <w:numId w:val="3"/>
              </w:numPr>
              <w:tabs>
                <w:tab w:pos="419" w:val="left" w:leader="none"/>
              </w:tabs>
              <w:spacing w:line="252" w:lineRule="exact" w:before="0" w:after="0"/>
              <w:ind w:left="418" w:right="0" w:hanging="362"/>
              <w:jc w:val="left"/>
              <w:rPr>
                <w:sz w:val="22"/>
              </w:rPr>
            </w:pPr>
            <w:r>
              <w:rPr>
                <w:sz w:val="22"/>
              </w:rPr>
              <w:t>Dirección Técnica del Presupuesto del</w:t>
            </w:r>
            <w:r>
              <w:rPr>
                <w:spacing w:val="-5"/>
                <w:sz w:val="22"/>
              </w:rPr>
              <w:t> </w:t>
            </w:r>
            <w:r>
              <w:rPr>
                <w:sz w:val="22"/>
              </w:rPr>
              <w:t>MINFIN</w:t>
            </w:r>
          </w:p>
        </w:tc>
      </w:tr>
      <w:tr>
        <w:trPr>
          <w:trHeight w:val="1846" w:hRule="atLeast"/>
        </w:trPr>
        <w:tc>
          <w:tcPr>
            <w:tcW w:w="1159" w:type="dxa"/>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7"/>
              </w:rPr>
            </w:pPr>
          </w:p>
          <w:p>
            <w:pPr>
              <w:pStyle w:val="TableParagraph"/>
              <w:ind w:left="143"/>
              <w:rPr>
                <w:b/>
                <w:sz w:val="14"/>
              </w:rPr>
            </w:pPr>
            <w:r>
              <w:rPr>
                <w:b/>
                <w:sz w:val="14"/>
              </w:rPr>
              <w:t>13. Notifica</w:t>
            </w:r>
          </w:p>
        </w:tc>
        <w:tc>
          <w:tcPr>
            <w:tcW w:w="1111" w:type="dxa"/>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1"/>
              </w:rPr>
            </w:pPr>
          </w:p>
          <w:p>
            <w:pPr>
              <w:pStyle w:val="TableParagraph"/>
              <w:ind w:left="84" w:right="76" w:hanging="2"/>
              <w:jc w:val="center"/>
              <w:rPr>
                <w:sz w:val="14"/>
              </w:rPr>
            </w:pPr>
            <w:r>
              <w:rPr>
                <w:sz w:val="14"/>
              </w:rPr>
              <w:t>Asistente del Departamento de Análisis </w:t>
            </w:r>
            <w:r>
              <w:rPr>
                <w:w w:val="95"/>
                <w:sz w:val="14"/>
              </w:rPr>
              <w:t>Presupuestario </w:t>
            </w:r>
            <w:r>
              <w:rPr>
                <w:sz w:val="14"/>
              </w:rPr>
              <w:t>de Nómina</w:t>
            </w:r>
          </w:p>
        </w:tc>
        <w:tc>
          <w:tcPr>
            <w:tcW w:w="8532" w:type="dxa"/>
            <w:tcBorders>
              <w:top w:val="nil"/>
              <w:left w:val="single" w:sz="4" w:space="0" w:color="000000"/>
              <w:bottom w:val="nil"/>
              <w:right w:val="single" w:sz="4" w:space="0" w:color="000000"/>
            </w:tcBorders>
          </w:tcPr>
          <w:p>
            <w:pPr>
              <w:pStyle w:val="TableParagraph"/>
              <w:spacing w:before="123"/>
              <w:ind w:left="57"/>
              <w:rPr>
                <w:sz w:val="22"/>
              </w:rPr>
            </w:pPr>
            <w:r>
              <w:rPr>
                <w:sz w:val="22"/>
              </w:rPr>
              <w:t>Notifica a las siguientes dependencias del MINEDUC:</w:t>
            </w:r>
          </w:p>
          <w:p>
            <w:pPr>
              <w:pStyle w:val="TableParagraph"/>
              <w:numPr>
                <w:ilvl w:val="0"/>
                <w:numId w:val="4"/>
              </w:numPr>
              <w:tabs>
                <w:tab w:pos="418" w:val="left" w:leader="none"/>
              </w:tabs>
              <w:spacing w:line="252" w:lineRule="exact" w:before="1" w:after="0"/>
              <w:ind w:left="417" w:right="0" w:hanging="361"/>
              <w:jc w:val="left"/>
              <w:rPr>
                <w:sz w:val="22"/>
              </w:rPr>
            </w:pPr>
            <w:r>
              <w:rPr>
                <w:sz w:val="22"/>
              </w:rPr>
              <w:t>Dirección General de Coordinación de Direcciones Departamentales de</w:t>
            </w:r>
            <w:r>
              <w:rPr>
                <w:spacing w:val="-23"/>
                <w:sz w:val="22"/>
              </w:rPr>
              <w:t> </w:t>
            </w:r>
            <w:r>
              <w:rPr>
                <w:sz w:val="22"/>
              </w:rPr>
              <w:t>Educación</w:t>
            </w:r>
          </w:p>
          <w:p>
            <w:pPr>
              <w:pStyle w:val="TableParagraph"/>
              <w:spacing w:line="252" w:lineRule="exact"/>
              <w:ind w:left="417"/>
              <w:rPr>
                <w:sz w:val="22"/>
              </w:rPr>
            </w:pPr>
            <w:r>
              <w:rPr>
                <w:sz w:val="22"/>
              </w:rPr>
              <w:t>-DIGECOR-</w:t>
            </w:r>
          </w:p>
          <w:p>
            <w:pPr>
              <w:pStyle w:val="TableParagraph"/>
              <w:numPr>
                <w:ilvl w:val="0"/>
                <w:numId w:val="4"/>
              </w:numPr>
              <w:tabs>
                <w:tab w:pos="419" w:val="left" w:leader="none"/>
              </w:tabs>
              <w:spacing w:line="252" w:lineRule="exact" w:before="0" w:after="0"/>
              <w:ind w:left="418" w:right="0" w:hanging="362"/>
              <w:jc w:val="left"/>
              <w:rPr>
                <w:sz w:val="22"/>
              </w:rPr>
            </w:pPr>
            <w:r>
              <w:rPr>
                <w:sz w:val="22"/>
              </w:rPr>
              <w:t>Dirección de Planificación Educativa</w:t>
            </w:r>
            <w:r>
              <w:rPr>
                <w:spacing w:val="1"/>
                <w:sz w:val="22"/>
              </w:rPr>
              <w:t> </w:t>
            </w:r>
            <w:r>
              <w:rPr>
                <w:sz w:val="22"/>
              </w:rPr>
              <w:t>-DIPLAN-</w:t>
            </w:r>
          </w:p>
          <w:p>
            <w:pPr>
              <w:pStyle w:val="TableParagraph"/>
              <w:numPr>
                <w:ilvl w:val="0"/>
                <w:numId w:val="4"/>
              </w:numPr>
              <w:tabs>
                <w:tab w:pos="419" w:val="left" w:leader="none"/>
              </w:tabs>
              <w:spacing w:line="240" w:lineRule="auto" w:before="2" w:after="0"/>
              <w:ind w:left="417" w:right="576" w:hanging="360"/>
              <w:jc w:val="left"/>
              <w:rPr>
                <w:sz w:val="22"/>
              </w:rPr>
            </w:pPr>
            <w:r>
              <w:rPr>
                <w:sz w:val="22"/>
              </w:rPr>
              <w:t>Departamentos de Contrataciones, Gestión y Pago de Nómina, así como a</w:t>
            </w:r>
            <w:r>
              <w:rPr>
                <w:spacing w:val="-24"/>
                <w:sz w:val="22"/>
              </w:rPr>
              <w:t> </w:t>
            </w:r>
            <w:r>
              <w:rPr>
                <w:sz w:val="22"/>
              </w:rPr>
              <w:t>la Dirección de la Dirección de Recursos Humanos</w:t>
            </w:r>
            <w:r>
              <w:rPr>
                <w:spacing w:val="-3"/>
                <w:sz w:val="22"/>
              </w:rPr>
              <w:t> </w:t>
            </w:r>
            <w:r>
              <w:rPr>
                <w:sz w:val="22"/>
              </w:rPr>
              <w:t>-DIREH-.</w:t>
            </w:r>
          </w:p>
        </w:tc>
      </w:tr>
      <w:tr>
        <w:trPr>
          <w:trHeight w:val="2159"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top w:val="nil"/>
              <w:left w:val="single" w:sz="4" w:space="0" w:color="000000"/>
              <w:bottom w:val="single" w:sz="4" w:space="0" w:color="000000"/>
              <w:right w:val="single" w:sz="4" w:space="0" w:color="000000"/>
            </w:tcBorders>
          </w:tcPr>
          <w:p>
            <w:pPr>
              <w:pStyle w:val="TableParagraph"/>
              <w:spacing w:before="48"/>
              <w:ind w:left="57"/>
              <w:rPr>
                <w:sz w:val="22"/>
              </w:rPr>
            </w:pPr>
            <w:r>
              <w:rPr>
                <w:sz w:val="22"/>
              </w:rPr>
              <w:t>En cumplimiento a la Ley de Acceso a la Información Pública, notifica a las siguientes dependencias:</w:t>
            </w:r>
          </w:p>
          <w:p>
            <w:pPr>
              <w:pStyle w:val="TableParagraph"/>
              <w:numPr>
                <w:ilvl w:val="0"/>
                <w:numId w:val="5"/>
              </w:numPr>
              <w:tabs>
                <w:tab w:pos="419" w:val="left" w:leader="none"/>
              </w:tabs>
              <w:spacing w:line="252" w:lineRule="exact" w:before="0" w:after="0"/>
              <w:ind w:left="418" w:right="0" w:hanging="362"/>
              <w:jc w:val="left"/>
              <w:rPr>
                <w:sz w:val="22"/>
              </w:rPr>
            </w:pPr>
            <w:r>
              <w:rPr>
                <w:sz w:val="22"/>
              </w:rPr>
              <w:t>Del</w:t>
            </w:r>
            <w:r>
              <w:rPr>
                <w:spacing w:val="-1"/>
                <w:sz w:val="22"/>
              </w:rPr>
              <w:t> </w:t>
            </w:r>
            <w:r>
              <w:rPr>
                <w:sz w:val="22"/>
              </w:rPr>
              <w:t>MINEDUC:</w:t>
            </w:r>
          </w:p>
          <w:p>
            <w:pPr>
              <w:pStyle w:val="TableParagraph"/>
              <w:numPr>
                <w:ilvl w:val="1"/>
                <w:numId w:val="5"/>
              </w:numPr>
              <w:tabs>
                <w:tab w:pos="1139" w:val="left" w:leader="none"/>
              </w:tabs>
              <w:spacing w:line="252" w:lineRule="exact" w:before="0" w:after="0"/>
              <w:ind w:left="1138" w:right="0" w:hanging="362"/>
              <w:jc w:val="left"/>
              <w:rPr>
                <w:sz w:val="22"/>
              </w:rPr>
            </w:pPr>
            <w:r>
              <w:rPr>
                <w:sz w:val="22"/>
              </w:rPr>
              <w:t>Dirección de Asesoría</w:t>
            </w:r>
            <w:r>
              <w:rPr>
                <w:spacing w:val="1"/>
                <w:sz w:val="22"/>
              </w:rPr>
              <w:t> </w:t>
            </w:r>
            <w:r>
              <w:rPr>
                <w:sz w:val="22"/>
              </w:rPr>
              <w:t>Jurídica,</w:t>
            </w:r>
          </w:p>
          <w:p>
            <w:pPr>
              <w:pStyle w:val="TableParagraph"/>
              <w:numPr>
                <w:ilvl w:val="1"/>
                <w:numId w:val="5"/>
              </w:numPr>
              <w:tabs>
                <w:tab w:pos="1139" w:val="left" w:leader="none"/>
              </w:tabs>
              <w:spacing w:line="252" w:lineRule="exact" w:before="1" w:after="0"/>
              <w:ind w:left="1138" w:right="0" w:hanging="362"/>
              <w:jc w:val="left"/>
              <w:rPr>
                <w:sz w:val="22"/>
              </w:rPr>
            </w:pPr>
            <w:r>
              <w:rPr>
                <w:sz w:val="22"/>
              </w:rPr>
              <w:t>Dirección de Administración</w:t>
            </w:r>
            <w:r>
              <w:rPr>
                <w:spacing w:val="1"/>
                <w:sz w:val="22"/>
              </w:rPr>
              <w:t> </w:t>
            </w:r>
            <w:r>
              <w:rPr>
                <w:sz w:val="22"/>
              </w:rPr>
              <w:t>Financiera</w:t>
            </w:r>
          </w:p>
          <w:p>
            <w:pPr>
              <w:pStyle w:val="TableParagraph"/>
              <w:numPr>
                <w:ilvl w:val="0"/>
                <w:numId w:val="5"/>
              </w:numPr>
              <w:tabs>
                <w:tab w:pos="479" w:val="left" w:leader="none"/>
                <w:tab w:pos="480" w:val="left" w:leader="none"/>
              </w:tabs>
              <w:spacing w:line="252" w:lineRule="exact" w:before="0" w:after="0"/>
              <w:ind w:left="479" w:right="0" w:hanging="423"/>
              <w:jc w:val="left"/>
              <w:rPr>
                <w:sz w:val="22"/>
              </w:rPr>
            </w:pPr>
            <w:r>
              <w:rPr>
                <w:sz w:val="22"/>
              </w:rPr>
              <w:t>Dependencias</w:t>
            </w:r>
            <w:r>
              <w:rPr>
                <w:spacing w:val="-1"/>
                <w:sz w:val="22"/>
              </w:rPr>
              <w:t> </w:t>
            </w:r>
            <w:r>
              <w:rPr>
                <w:sz w:val="22"/>
              </w:rPr>
              <w:t>externas:</w:t>
            </w:r>
          </w:p>
          <w:p>
            <w:pPr>
              <w:pStyle w:val="TableParagraph"/>
              <w:numPr>
                <w:ilvl w:val="1"/>
                <w:numId w:val="5"/>
              </w:numPr>
              <w:tabs>
                <w:tab w:pos="1139" w:val="left" w:leader="none"/>
              </w:tabs>
              <w:spacing w:line="240" w:lineRule="auto" w:before="2" w:after="0"/>
              <w:ind w:left="1137" w:right="442" w:hanging="360"/>
              <w:jc w:val="left"/>
              <w:rPr>
                <w:sz w:val="22"/>
              </w:rPr>
            </w:pPr>
            <w:r>
              <w:rPr>
                <w:sz w:val="22"/>
              </w:rPr>
              <w:t>Comisiones de Probidad, Finanzas Púbicas y Moneda, y</w:t>
            </w:r>
            <w:r>
              <w:rPr>
                <w:spacing w:val="-21"/>
                <w:sz w:val="22"/>
              </w:rPr>
              <w:t> </w:t>
            </w:r>
            <w:r>
              <w:rPr>
                <w:sz w:val="22"/>
              </w:rPr>
              <w:t>Extraordinaria Nacional.</w:t>
            </w:r>
          </w:p>
        </w:tc>
      </w:tr>
      <w:tr>
        <w:trPr>
          <w:trHeight w:val="217"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4"/>
              </w:rPr>
            </w:pPr>
          </w:p>
        </w:tc>
        <w:tc>
          <w:tcPr>
            <w:tcW w:w="1111" w:type="dxa"/>
            <w:tcBorders>
              <w:top w:val="single" w:sz="4" w:space="0" w:color="000000"/>
              <w:left w:val="single" w:sz="4" w:space="0" w:color="000000"/>
              <w:bottom w:val="nil"/>
              <w:right w:val="single" w:sz="4" w:space="0" w:color="000000"/>
            </w:tcBorders>
          </w:tcPr>
          <w:p>
            <w:pPr>
              <w:pStyle w:val="TableParagraph"/>
              <w:spacing w:line="137" w:lineRule="exact" w:before="60"/>
              <w:ind w:left="61" w:right="57"/>
              <w:jc w:val="center"/>
              <w:rPr>
                <w:sz w:val="14"/>
              </w:rPr>
            </w:pPr>
            <w:r>
              <w:rPr>
                <w:sz w:val="14"/>
              </w:rPr>
              <w:t>Analista</w:t>
            </w:r>
          </w:p>
        </w:tc>
        <w:tc>
          <w:tcPr>
            <w:tcW w:w="853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57" w:right="11"/>
              <w:jc w:val="both"/>
              <w:rPr>
                <w:sz w:val="22"/>
              </w:rPr>
            </w:pPr>
            <w:r>
              <w:rPr>
                <w:sz w:val="22"/>
              </w:rPr>
              <w:t>Sube la programación inicial o reprogramación al Sistema Integral de Recursos Humanos eSIRH, para que el Departamento de Contrataciones de la DIREH continúe con el proceso que corresponda.</w:t>
            </w:r>
          </w:p>
        </w:tc>
      </w:tr>
      <w:tr>
        <w:trPr>
          <w:trHeight w:val="150" w:hRule="atLeast"/>
        </w:trPr>
        <w:tc>
          <w:tcPr>
            <w:tcW w:w="1159" w:type="dxa"/>
            <w:tcBorders>
              <w:top w:val="nil"/>
              <w:left w:val="single" w:sz="4" w:space="0" w:color="000000"/>
              <w:bottom w:val="nil"/>
              <w:right w:val="single" w:sz="4" w:space="0" w:color="000000"/>
            </w:tcBorders>
          </w:tcPr>
          <w:p>
            <w:pPr>
              <w:pStyle w:val="TableParagraph"/>
              <w:spacing w:line="131" w:lineRule="exact"/>
              <w:ind w:left="266"/>
              <w:rPr>
                <w:b/>
                <w:sz w:val="14"/>
              </w:rPr>
            </w:pPr>
            <w:r>
              <w:rPr>
                <w:b/>
                <w:sz w:val="14"/>
              </w:rPr>
              <w:t>14. Subir</w:t>
            </w:r>
          </w:p>
        </w:tc>
        <w:tc>
          <w:tcPr>
            <w:tcW w:w="1111" w:type="dxa"/>
            <w:tcBorders>
              <w:top w:val="nil"/>
              <w:left w:val="single" w:sz="4" w:space="0" w:color="000000"/>
              <w:bottom w:val="nil"/>
              <w:right w:val="single" w:sz="4" w:space="0" w:color="000000"/>
            </w:tcBorders>
          </w:tcPr>
          <w:p>
            <w:pPr>
              <w:pStyle w:val="TableParagraph"/>
              <w:spacing w:line="131" w:lineRule="exact"/>
              <w:ind w:left="62" w:right="56"/>
              <w:jc w:val="center"/>
              <w:rPr>
                <w:sz w:val="14"/>
              </w:rPr>
            </w:pPr>
            <w:r>
              <w:rPr>
                <w:sz w:val="14"/>
              </w:rPr>
              <w:t>Departamento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spacing w:line="131" w:lineRule="exact"/>
              <w:ind w:left="170"/>
              <w:rPr>
                <w:b/>
                <w:sz w:val="14"/>
              </w:rPr>
            </w:pPr>
            <w:r>
              <w:rPr>
                <w:b/>
                <w:sz w:val="14"/>
              </w:rPr>
              <w:t>programación</w:t>
            </w:r>
          </w:p>
        </w:tc>
        <w:tc>
          <w:tcPr>
            <w:tcW w:w="1111" w:type="dxa"/>
            <w:tcBorders>
              <w:top w:val="nil"/>
              <w:left w:val="single" w:sz="4" w:space="0" w:color="000000"/>
              <w:bottom w:val="nil"/>
              <w:right w:val="single" w:sz="4" w:space="0" w:color="000000"/>
            </w:tcBorders>
          </w:tcPr>
          <w:p>
            <w:pPr>
              <w:pStyle w:val="TableParagraph"/>
              <w:spacing w:line="131" w:lineRule="exact"/>
              <w:ind w:left="61" w:right="57"/>
              <w:jc w:val="center"/>
              <w:rPr>
                <w:sz w:val="14"/>
              </w:rPr>
            </w:pPr>
            <w:r>
              <w:rPr>
                <w:sz w:val="14"/>
              </w:rPr>
              <w:t>de Análisis</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2" w:hRule="atLeast"/>
        </w:trPr>
        <w:tc>
          <w:tcPr>
            <w:tcW w:w="1159" w:type="dxa"/>
            <w:tcBorders>
              <w:top w:val="nil"/>
              <w:left w:val="single" w:sz="4" w:space="0" w:color="000000"/>
              <w:bottom w:val="nil"/>
              <w:right w:val="single" w:sz="4" w:space="0" w:color="000000"/>
            </w:tcBorders>
          </w:tcPr>
          <w:p>
            <w:pPr>
              <w:pStyle w:val="TableParagraph"/>
              <w:spacing w:line="132" w:lineRule="exact"/>
              <w:ind w:left="328"/>
              <w:rPr>
                <w:b/>
                <w:sz w:val="14"/>
              </w:rPr>
            </w:pPr>
            <w:r>
              <w:rPr>
                <w:b/>
                <w:sz w:val="14"/>
              </w:rPr>
              <w:t>al e-SIRH</w:t>
            </w:r>
          </w:p>
        </w:tc>
        <w:tc>
          <w:tcPr>
            <w:tcW w:w="1111" w:type="dxa"/>
            <w:tcBorders>
              <w:top w:val="nil"/>
              <w:left w:val="single" w:sz="4" w:space="0" w:color="000000"/>
              <w:bottom w:val="nil"/>
              <w:right w:val="single" w:sz="4" w:space="0" w:color="000000"/>
            </w:tcBorders>
          </w:tcPr>
          <w:p>
            <w:pPr>
              <w:pStyle w:val="TableParagraph"/>
              <w:spacing w:line="132" w:lineRule="exact"/>
              <w:ind w:left="62" w:right="57"/>
              <w:jc w:val="center"/>
              <w:rPr>
                <w:sz w:val="14"/>
              </w:rPr>
            </w:pPr>
            <w:r>
              <w:rPr>
                <w:sz w:val="14"/>
              </w:rPr>
              <w:t>Presupuestario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74"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62" w:right="57"/>
              <w:jc w:val="center"/>
              <w:rPr>
                <w:sz w:val="14"/>
              </w:rPr>
            </w:pPr>
            <w:r>
              <w:rPr>
                <w:sz w:val="14"/>
              </w:rPr>
              <w:t>de Nómina</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bl>
    <w:sectPr>
      <w:pgSz w:w="12240" w:h="1584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40005pt;margin-top:764.172424pt;width:413.85pt;height:11.25pt;mso-position-horizontal-relative:page;mso-position-vertical-relative:page;z-index:-1599078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19998pt;margin-top:13.260072pt;width:34pt;height:8.2pt;mso-position-horizontal-relative:page;mso-position-vertical-relative:page;z-index:-15991296" type="#_x0000_t202" filled="false" stroked="false">
          <v:textbox inset="0,0,0,0">
            <w:txbxContent>
              <w:p>
                <w:pPr>
                  <w:spacing w:before="20"/>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n-US" w:bidi="ar-SA"/>
      </w:rPr>
    </w:lvl>
    <w:lvl w:ilvl="1">
      <w:start w:val="1"/>
      <w:numFmt w:val="lowerLetter"/>
      <w:lvlText w:val="%2."/>
      <w:lvlJc w:val="left"/>
      <w:pPr>
        <w:ind w:left="1138" w:hanging="361"/>
        <w:jc w:val="left"/>
      </w:pPr>
      <w:rPr>
        <w:rFonts w:hint="default" w:ascii="Arial" w:hAnsi="Arial" w:eastAsia="Arial" w:cs="Arial"/>
        <w:w w:val="100"/>
        <w:sz w:val="22"/>
        <w:szCs w:val="22"/>
        <w:lang w:val="es-ES" w:eastAsia="en-US" w:bidi="ar-SA"/>
      </w:rPr>
    </w:lvl>
    <w:lvl w:ilvl="2">
      <w:start w:val="0"/>
      <w:numFmt w:val="bullet"/>
      <w:lvlText w:val="•"/>
      <w:lvlJc w:val="left"/>
      <w:pPr>
        <w:ind w:left="1960" w:hanging="361"/>
      </w:pPr>
      <w:rPr>
        <w:rFonts w:hint="default"/>
        <w:lang w:val="es-ES" w:eastAsia="en-US" w:bidi="ar-SA"/>
      </w:rPr>
    </w:lvl>
    <w:lvl w:ilvl="3">
      <w:start w:val="0"/>
      <w:numFmt w:val="bullet"/>
      <w:lvlText w:val="•"/>
      <w:lvlJc w:val="left"/>
      <w:pPr>
        <w:ind w:left="2780" w:hanging="361"/>
      </w:pPr>
      <w:rPr>
        <w:rFonts w:hint="default"/>
        <w:lang w:val="es-ES" w:eastAsia="en-US" w:bidi="ar-SA"/>
      </w:rPr>
    </w:lvl>
    <w:lvl w:ilvl="4">
      <w:start w:val="0"/>
      <w:numFmt w:val="bullet"/>
      <w:lvlText w:val="•"/>
      <w:lvlJc w:val="left"/>
      <w:pPr>
        <w:ind w:left="3600" w:hanging="361"/>
      </w:pPr>
      <w:rPr>
        <w:rFonts w:hint="default"/>
        <w:lang w:val="es-ES" w:eastAsia="en-US" w:bidi="ar-SA"/>
      </w:rPr>
    </w:lvl>
    <w:lvl w:ilvl="5">
      <w:start w:val="0"/>
      <w:numFmt w:val="bullet"/>
      <w:lvlText w:val="•"/>
      <w:lvlJc w:val="left"/>
      <w:pPr>
        <w:ind w:left="4420" w:hanging="361"/>
      </w:pPr>
      <w:rPr>
        <w:rFonts w:hint="default"/>
        <w:lang w:val="es-ES" w:eastAsia="en-US" w:bidi="ar-SA"/>
      </w:rPr>
    </w:lvl>
    <w:lvl w:ilvl="6">
      <w:start w:val="0"/>
      <w:numFmt w:val="bullet"/>
      <w:lvlText w:val="•"/>
      <w:lvlJc w:val="left"/>
      <w:pPr>
        <w:ind w:left="5241" w:hanging="361"/>
      </w:pPr>
      <w:rPr>
        <w:rFonts w:hint="default"/>
        <w:lang w:val="es-ES" w:eastAsia="en-US" w:bidi="ar-SA"/>
      </w:rPr>
    </w:lvl>
    <w:lvl w:ilvl="7">
      <w:start w:val="0"/>
      <w:numFmt w:val="bullet"/>
      <w:lvlText w:val="•"/>
      <w:lvlJc w:val="left"/>
      <w:pPr>
        <w:ind w:left="6061" w:hanging="361"/>
      </w:pPr>
      <w:rPr>
        <w:rFonts w:hint="default"/>
        <w:lang w:val="es-ES" w:eastAsia="en-US" w:bidi="ar-SA"/>
      </w:rPr>
    </w:lvl>
    <w:lvl w:ilvl="8">
      <w:start w:val="0"/>
      <w:numFmt w:val="bullet"/>
      <w:lvlText w:val="•"/>
      <w:lvlJc w:val="left"/>
      <w:pPr>
        <w:ind w:left="6881" w:hanging="361"/>
      </w:pPr>
      <w:rPr>
        <w:rFonts w:hint="default"/>
        <w:lang w:val="es-ES" w:eastAsia="en-US" w:bidi="ar-SA"/>
      </w:rPr>
    </w:lvl>
  </w:abstractNum>
  <w:abstractNum w:abstractNumId="3">
    <w:multiLevelType w:val="hybridMultilevel"/>
    <w:lvl w:ilvl="0">
      <w:start w:val="1"/>
      <w:numFmt w:val="decimal"/>
      <w:lvlText w:val="%1."/>
      <w:lvlJc w:val="left"/>
      <w:pPr>
        <w:ind w:left="417" w:hanging="360"/>
        <w:jc w:val="left"/>
      </w:pPr>
      <w:rPr>
        <w:rFonts w:hint="default" w:ascii="Arial" w:hAnsi="Arial" w:eastAsia="Arial" w:cs="Arial"/>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0" w:hanging="360"/>
      </w:pPr>
      <w:rPr>
        <w:rFonts w:hint="default"/>
        <w:lang w:val="es-ES" w:eastAsia="en-US" w:bidi="ar-SA"/>
      </w:rPr>
    </w:lvl>
    <w:lvl w:ilvl="4">
      <w:start w:val="0"/>
      <w:numFmt w:val="bullet"/>
      <w:lvlText w:val="•"/>
      <w:lvlJc w:val="left"/>
      <w:pPr>
        <w:ind w:left="3660" w:hanging="360"/>
      </w:pPr>
      <w:rPr>
        <w:rFonts w:hint="default"/>
        <w:lang w:val="es-ES" w:eastAsia="en-US" w:bidi="ar-SA"/>
      </w:rPr>
    </w:lvl>
    <w:lvl w:ilvl="5">
      <w:start w:val="0"/>
      <w:numFmt w:val="bullet"/>
      <w:lvlText w:val="•"/>
      <w:lvlJc w:val="left"/>
      <w:pPr>
        <w:ind w:left="4471" w:hanging="360"/>
      </w:pPr>
      <w:rPr>
        <w:rFonts w:hint="default"/>
        <w:lang w:val="es-ES" w:eastAsia="en-US" w:bidi="ar-SA"/>
      </w:rPr>
    </w:lvl>
    <w:lvl w:ilvl="6">
      <w:start w:val="0"/>
      <w:numFmt w:val="bullet"/>
      <w:lvlText w:val="•"/>
      <w:lvlJc w:val="left"/>
      <w:pPr>
        <w:ind w:left="5281" w:hanging="360"/>
      </w:pPr>
      <w:rPr>
        <w:rFonts w:hint="default"/>
        <w:lang w:val="es-ES" w:eastAsia="en-US" w:bidi="ar-SA"/>
      </w:rPr>
    </w:lvl>
    <w:lvl w:ilvl="7">
      <w:start w:val="0"/>
      <w:numFmt w:val="bullet"/>
      <w:lvlText w:val="•"/>
      <w:lvlJc w:val="left"/>
      <w:pPr>
        <w:ind w:left="6091" w:hanging="360"/>
      </w:pPr>
      <w:rPr>
        <w:rFonts w:hint="default"/>
        <w:lang w:val="es-ES" w:eastAsia="en-US" w:bidi="ar-SA"/>
      </w:rPr>
    </w:lvl>
    <w:lvl w:ilvl="8">
      <w:start w:val="0"/>
      <w:numFmt w:val="bullet"/>
      <w:lvlText w:val="•"/>
      <w:lvlJc w:val="left"/>
      <w:pPr>
        <w:ind w:left="6901" w:hanging="360"/>
      </w:pPr>
      <w:rPr>
        <w:rFonts w:hint="default"/>
        <w:lang w:val="es-ES" w:eastAsia="en-US" w:bidi="ar-SA"/>
      </w:rPr>
    </w:lvl>
  </w:abstractNum>
  <w:abstractNum w:abstractNumId="2">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n-US" w:bidi="ar-SA"/>
      </w:rPr>
    </w:lvl>
    <w:lvl w:ilvl="1">
      <w:start w:val="0"/>
      <w:numFmt w:val="bullet"/>
      <w:lvlText w:val="•"/>
      <w:lvlJc w:val="left"/>
      <w:pPr>
        <w:ind w:left="1230" w:hanging="361"/>
      </w:pPr>
      <w:rPr>
        <w:rFonts w:hint="default"/>
        <w:lang w:val="es-ES" w:eastAsia="en-US" w:bidi="ar-SA"/>
      </w:rPr>
    </w:lvl>
    <w:lvl w:ilvl="2">
      <w:start w:val="0"/>
      <w:numFmt w:val="bullet"/>
      <w:lvlText w:val="•"/>
      <w:lvlJc w:val="left"/>
      <w:pPr>
        <w:ind w:left="2040" w:hanging="361"/>
      </w:pPr>
      <w:rPr>
        <w:rFonts w:hint="default"/>
        <w:lang w:val="es-ES" w:eastAsia="en-US" w:bidi="ar-SA"/>
      </w:rPr>
    </w:lvl>
    <w:lvl w:ilvl="3">
      <w:start w:val="0"/>
      <w:numFmt w:val="bullet"/>
      <w:lvlText w:val="•"/>
      <w:lvlJc w:val="left"/>
      <w:pPr>
        <w:ind w:left="2850" w:hanging="361"/>
      </w:pPr>
      <w:rPr>
        <w:rFonts w:hint="default"/>
        <w:lang w:val="es-ES" w:eastAsia="en-US" w:bidi="ar-SA"/>
      </w:rPr>
    </w:lvl>
    <w:lvl w:ilvl="4">
      <w:start w:val="0"/>
      <w:numFmt w:val="bullet"/>
      <w:lvlText w:val="•"/>
      <w:lvlJc w:val="left"/>
      <w:pPr>
        <w:ind w:left="3660" w:hanging="361"/>
      </w:pPr>
      <w:rPr>
        <w:rFonts w:hint="default"/>
        <w:lang w:val="es-ES" w:eastAsia="en-US" w:bidi="ar-SA"/>
      </w:rPr>
    </w:lvl>
    <w:lvl w:ilvl="5">
      <w:start w:val="0"/>
      <w:numFmt w:val="bullet"/>
      <w:lvlText w:val="•"/>
      <w:lvlJc w:val="left"/>
      <w:pPr>
        <w:ind w:left="4471" w:hanging="361"/>
      </w:pPr>
      <w:rPr>
        <w:rFonts w:hint="default"/>
        <w:lang w:val="es-ES" w:eastAsia="en-US" w:bidi="ar-SA"/>
      </w:rPr>
    </w:lvl>
    <w:lvl w:ilvl="6">
      <w:start w:val="0"/>
      <w:numFmt w:val="bullet"/>
      <w:lvlText w:val="•"/>
      <w:lvlJc w:val="left"/>
      <w:pPr>
        <w:ind w:left="5281" w:hanging="361"/>
      </w:pPr>
      <w:rPr>
        <w:rFonts w:hint="default"/>
        <w:lang w:val="es-ES" w:eastAsia="en-US" w:bidi="ar-SA"/>
      </w:rPr>
    </w:lvl>
    <w:lvl w:ilvl="7">
      <w:start w:val="0"/>
      <w:numFmt w:val="bullet"/>
      <w:lvlText w:val="•"/>
      <w:lvlJc w:val="left"/>
      <w:pPr>
        <w:ind w:left="6091" w:hanging="361"/>
      </w:pPr>
      <w:rPr>
        <w:rFonts w:hint="default"/>
        <w:lang w:val="es-ES" w:eastAsia="en-US" w:bidi="ar-SA"/>
      </w:rPr>
    </w:lvl>
    <w:lvl w:ilvl="8">
      <w:start w:val="0"/>
      <w:numFmt w:val="bullet"/>
      <w:lvlText w:val="•"/>
      <w:lvlJc w:val="left"/>
      <w:pPr>
        <w:ind w:left="6901" w:hanging="361"/>
      </w:pPr>
      <w:rPr>
        <w:rFonts w:hint="default"/>
        <w:lang w:val="es-ES" w:eastAsia="en-US" w:bidi="ar-SA"/>
      </w:rPr>
    </w:lvl>
  </w:abstractNum>
  <w:abstractNum w:abstractNumId="1">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n-US" w:bidi="ar-SA"/>
      </w:rPr>
    </w:lvl>
    <w:lvl w:ilvl="1">
      <w:start w:val="1"/>
      <w:numFmt w:val="lowerLetter"/>
      <w:lvlText w:val="%2."/>
      <w:lvlJc w:val="left"/>
      <w:pPr>
        <w:ind w:left="1138" w:hanging="361"/>
        <w:jc w:val="left"/>
      </w:pPr>
      <w:rPr>
        <w:rFonts w:hint="default" w:ascii="Arial" w:hAnsi="Arial" w:eastAsia="Arial" w:cs="Arial"/>
        <w:w w:val="100"/>
        <w:sz w:val="22"/>
        <w:szCs w:val="22"/>
        <w:lang w:val="es-ES" w:eastAsia="en-US" w:bidi="ar-SA"/>
      </w:rPr>
    </w:lvl>
    <w:lvl w:ilvl="2">
      <w:start w:val="0"/>
      <w:numFmt w:val="bullet"/>
      <w:lvlText w:val="•"/>
      <w:lvlJc w:val="left"/>
      <w:pPr>
        <w:ind w:left="1960" w:hanging="361"/>
      </w:pPr>
      <w:rPr>
        <w:rFonts w:hint="default"/>
        <w:lang w:val="es-ES" w:eastAsia="en-US" w:bidi="ar-SA"/>
      </w:rPr>
    </w:lvl>
    <w:lvl w:ilvl="3">
      <w:start w:val="0"/>
      <w:numFmt w:val="bullet"/>
      <w:lvlText w:val="•"/>
      <w:lvlJc w:val="left"/>
      <w:pPr>
        <w:ind w:left="2780" w:hanging="361"/>
      </w:pPr>
      <w:rPr>
        <w:rFonts w:hint="default"/>
        <w:lang w:val="es-ES" w:eastAsia="en-US" w:bidi="ar-SA"/>
      </w:rPr>
    </w:lvl>
    <w:lvl w:ilvl="4">
      <w:start w:val="0"/>
      <w:numFmt w:val="bullet"/>
      <w:lvlText w:val="•"/>
      <w:lvlJc w:val="left"/>
      <w:pPr>
        <w:ind w:left="3600" w:hanging="361"/>
      </w:pPr>
      <w:rPr>
        <w:rFonts w:hint="default"/>
        <w:lang w:val="es-ES" w:eastAsia="en-US" w:bidi="ar-SA"/>
      </w:rPr>
    </w:lvl>
    <w:lvl w:ilvl="5">
      <w:start w:val="0"/>
      <w:numFmt w:val="bullet"/>
      <w:lvlText w:val="•"/>
      <w:lvlJc w:val="left"/>
      <w:pPr>
        <w:ind w:left="4420" w:hanging="361"/>
      </w:pPr>
      <w:rPr>
        <w:rFonts w:hint="default"/>
        <w:lang w:val="es-ES" w:eastAsia="en-US" w:bidi="ar-SA"/>
      </w:rPr>
    </w:lvl>
    <w:lvl w:ilvl="6">
      <w:start w:val="0"/>
      <w:numFmt w:val="bullet"/>
      <w:lvlText w:val="•"/>
      <w:lvlJc w:val="left"/>
      <w:pPr>
        <w:ind w:left="5241" w:hanging="361"/>
      </w:pPr>
      <w:rPr>
        <w:rFonts w:hint="default"/>
        <w:lang w:val="es-ES" w:eastAsia="en-US" w:bidi="ar-SA"/>
      </w:rPr>
    </w:lvl>
    <w:lvl w:ilvl="7">
      <w:start w:val="0"/>
      <w:numFmt w:val="bullet"/>
      <w:lvlText w:val="•"/>
      <w:lvlJc w:val="left"/>
      <w:pPr>
        <w:ind w:left="6061" w:hanging="361"/>
      </w:pPr>
      <w:rPr>
        <w:rFonts w:hint="default"/>
        <w:lang w:val="es-ES" w:eastAsia="en-US" w:bidi="ar-SA"/>
      </w:rPr>
    </w:lvl>
    <w:lvl w:ilvl="8">
      <w:start w:val="0"/>
      <w:numFmt w:val="bullet"/>
      <w:lvlText w:val="•"/>
      <w:lvlJc w:val="left"/>
      <w:pPr>
        <w:ind w:left="6881" w:hanging="361"/>
      </w:pPr>
      <w:rPr>
        <w:rFonts w:hint="default"/>
        <w:lang w:val="es-ES" w:eastAsia="en-US" w:bidi="ar-SA"/>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b/>
        <w:bCs/>
        <w:spacing w:val="-5"/>
        <w:w w:val="100"/>
        <w:sz w:val="22"/>
        <w:szCs w:val="22"/>
        <w:lang w:val="es-ES" w:eastAsia="en-US" w:bidi="ar-SA"/>
      </w:rPr>
    </w:lvl>
    <w:lvl w:ilvl="1">
      <w:start w:val="1"/>
      <w:numFmt w:val="decimal"/>
      <w:lvlText w:val="%2."/>
      <w:lvlJc w:val="left"/>
      <w:pPr>
        <w:ind w:left="826" w:hanging="360"/>
        <w:jc w:val="left"/>
      </w:pPr>
      <w:rPr>
        <w:rFonts w:hint="default"/>
        <w:w w:val="100"/>
        <w:lang w:val="es-ES" w:eastAsia="en-US" w:bidi="ar-SA"/>
      </w:rPr>
    </w:lvl>
    <w:lvl w:ilvl="2">
      <w:start w:val="0"/>
      <w:numFmt w:val="bullet"/>
      <w:lvlText w:val="•"/>
      <w:lvlJc w:val="left"/>
      <w:pPr>
        <w:ind w:left="1160" w:hanging="360"/>
      </w:pPr>
      <w:rPr>
        <w:rFonts w:hint="default"/>
        <w:lang w:val="es-ES" w:eastAsia="en-US" w:bidi="ar-SA"/>
      </w:rPr>
    </w:lvl>
    <w:lvl w:ilvl="3">
      <w:start w:val="0"/>
      <w:numFmt w:val="bullet"/>
      <w:lvlText w:val="•"/>
      <w:lvlJc w:val="left"/>
      <w:pPr>
        <w:ind w:left="2445" w:hanging="360"/>
      </w:pPr>
      <w:rPr>
        <w:rFonts w:hint="default"/>
        <w:lang w:val="es-ES" w:eastAsia="en-US" w:bidi="ar-SA"/>
      </w:rPr>
    </w:lvl>
    <w:lvl w:ilvl="4">
      <w:start w:val="0"/>
      <w:numFmt w:val="bullet"/>
      <w:lvlText w:val="•"/>
      <w:lvlJc w:val="left"/>
      <w:pPr>
        <w:ind w:left="3730" w:hanging="360"/>
      </w:pPr>
      <w:rPr>
        <w:rFonts w:hint="default"/>
        <w:lang w:val="es-ES" w:eastAsia="en-US" w:bidi="ar-SA"/>
      </w:rPr>
    </w:lvl>
    <w:lvl w:ilvl="5">
      <w:start w:val="0"/>
      <w:numFmt w:val="bullet"/>
      <w:lvlText w:val="•"/>
      <w:lvlJc w:val="left"/>
      <w:pPr>
        <w:ind w:left="5015" w:hanging="360"/>
      </w:pPr>
      <w:rPr>
        <w:rFonts w:hint="default"/>
        <w:lang w:val="es-ES" w:eastAsia="en-US" w:bidi="ar-SA"/>
      </w:rPr>
    </w:lvl>
    <w:lvl w:ilvl="6">
      <w:start w:val="0"/>
      <w:numFmt w:val="bullet"/>
      <w:lvlText w:val="•"/>
      <w:lvlJc w:val="left"/>
      <w:pPr>
        <w:ind w:left="6300" w:hanging="360"/>
      </w:pPr>
      <w:rPr>
        <w:rFonts w:hint="default"/>
        <w:lang w:val="es-ES" w:eastAsia="en-US" w:bidi="ar-SA"/>
      </w:rPr>
    </w:lvl>
    <w:lvl w:ilvl="7">
      <w:start w:val="0"/>
      <w:numFmt w:val="bullet"/>
      <w:lvlText w:val="•"/>
      <w:lvlJc w:val="left"/>
      <w:pPr>
        <w:ind w:left="7585" w:hanging="360"/>
      </w:pPr>
      <w:rPr>
        <w:rFonts w:hint="default"/>
        <w:lang w:val="es-ES" w:eastAsia="en-US" w:bidi="ar-SA"/>
      </w:rPr>
    </w:lvl>
    <w:lvl w:ilvl="8">
      <w:start w:val="0"/>
      <w:numFmt w:val="bullet"/>
      <w:lvlText w:val="•"/>
      <w:lvlJc w:val="left"/>
      <w:pPr>
        <w:ind w:left="8870" w:hanging="360"/>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ListParagraph" w:type="paragraph">
    <w:name w:val="List Paragraph"/>
    <w:basedOn w:val="Normal"/>
    <w:uiPriority w:val="1"/>
    <w:qFormat/>
    <w:pPr>
      <w:spacing w:before="93"/>
      <w:ind w:left="1155" w:hanging="414"/>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RHU-INS-24_PROG_031_v1_firmado_publicar</dc:title>
  <dcterms:created xsi:type="dcterms:W3CDTF">2020-12-15T15:18:23Z</dcterms:created>
  <dcterms:modified xsi:type="dcterms:W3CDTF">2020-12-15T15:18:23Z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2020-12-15T00:00:00Z</vt:filetime>
  </property>
</Properties>
</file>