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1 de 9</w:t>
            </w:r>
          </w:p>
        </w:tc>
      </w:tr>
    </w:tbl>
    <w:p>
      <w:pPr>
        <w:pStyle w:val="BodyText"/>
        <w:spacing w:before="4"/>
        <w:rPr>
          <w:rFonts w:ascii="Times New Roman"/>
          <w:sz w:val="23"/>
        </w:rPr>
      </w:pPr>
    </w:p>
    <w:p>
      <w:pPr>
        <w:pStyle w:val="Heading1"/>
        <w:numPr>
          <w:ilvl w:val="0"/>
          <w:numId w:val="1"/>
        </w:numPr>
        <w:tabs>
          <w:tab w:pos="553" w:val="left" w:leader="none"/>
          <w:tab w:pos="554" w:val="left" w:leader="none"/>
        </w:tabs>
        <w:spacing w:line="240" w:lineRule="auto" w:before="93" w:after="0"/>
        <w:ind w:left="553" w:right="0" w:hanging="428"/>
        <w:jc w:val="left"/>
        <w:rPr>
          <w:u w:val="none"/>
        </w:rPr>
      </w:pPr>
      <w:r>
        <w:rPr>
          <w:u w:val="thick"/>
        </w:rPr>
        <w:t>REGISTRO DE REVISIÓN Y</w:t>
      </w:r>
      <w:r>
        <w:rPr>
          <w:spacing w:val="3"/>
          <w:u w:val="thick"/>
        </w:rPr>
        <w:t> </w:t>
      </w:r>
      <w:r>
        <w:rPr>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360172</wp:posOffset>
            </wp:positionH>
            <wp:positionV relativeFrom="paragraph">
              <wp:posOffset>163128</wp:posOffset>
            </wp:positionV>
            <wp:extent cx="7087798" cy="260375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87798" cy="2603754"/>
                    </a:xfrm>
                    <a:prstGeom prst="rect">
                      <a:avLst/>
                    </a:prstGeom>
                  </pic:spPr>
                </pic:pic>
              </a:graphicData>
            </a:graphic>
          </wp:anchor>
        </w:drawing>
      </w:r>
    </w:p>
    <w:p>
      <w:pPr>
        <w:pStyle w:val="BodyText"/>
        <w:spacing w:before="2"/>
        <w:rPr>
          <w:b/>
          <w:sz w:val="21"/>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spacing w:before="3"/>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00"/>
        <w:gridCol w:w="8206"/>
      </w:tblGrid>
      <w:tr>
        <w:trPr>
          <w:trHeight w:val="3705"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2000" w:type="dxa"/>
            <w:tcBorders>
              <w:top w:val="single" w:sz="4" w:space="0" w:color="808080"/>
              <w:bottom w:val="single" w:sz="4" w:space="0" w:color="808080"/>
            </w:tcBorders>
          </w:tcPr>
          <w:p>
            <w:pPr>
              <w:pStyle w:val="TableParagraph"/>
              <w:spacing w:before="120"/>
              <w:ind w:left="26"/>
              <w:rPr>
                <w:b/>
                <w:sz w:val="22"/>
              </w:rPr>
            </w:pPr>
            <w:r>
              <w:rPr>
                <w:b/>
                <w:sz w:val="22"/>
              </w:rPr>
              <w:t>Anexión</w:t>
            </w:r>
          </w:p>
        </w:tc>
        <w:tc>
          <w:tcPr>
            <w:tcW w:w="8206" w:type="dxa"/>
            <w:tcBorders>
              <w:top w:val="single" w:sz="4" w:space="0" w:color="808080"/>
              <w:bottom w:val="single" w:sz="4" w:space="0" w:color="808080"/>
            </w:tcBorders>
          </w:tcPr>
          <w:p>
            <w:pPr>
              <w:pStyle w:val="TableParagraph"/>
              <w:spacing w:line="288" w:lineRule="auto" w:before="122"/>
              <w:ind w:left="150" w:right="26"/>
              <w:jc w:val="both"/>
              <w:rPr>
                <w:sz w:val="22"/>
              </w:rPr>
            </w:pPr>
            <w:r>
              <w:rPr>
                <w:sz w:val="22"/>
              </w:rPr>
              <w:t>Proceso a través del cual integrantes de la Comunidad Educativa de un Centro Educativo Público, solicitan a la autoridad competente, unirse o agregarse a una Organización de Padres de Familia legalmente constituida, con el propósito de recibir los beneficios de los programas de apoyo instituidos por el Ministerio de Educación.</w:t>
            </w:r>
          </w:p>
          <w:p>
            <w:pPr>
              <w:pStyle w:val="TableParagraph"/>
              <w:spacing w:line="288" w:lineRule="auto" w:before="122"/>
              <w:ind w:left="150" w:right="27"/>
              <w:jc w:val="both"/>
              <w:rPr>
                <w:sz w:val="22"/>
              </w:rPr>
            </w:pPr>
            <w:r>
              <w:rPr>
                <w:sz w:val="22"/>
              </w:rPr>
              <w:t>Los Centros Educativos en los que no exista Organización de Padres de Familia legalmente constituida o que, aun existiendo, presenten dificultad que no permita su funcionamiento, para concretar el beneficio de los programas de apoyo, podrán ser anexados a la Organización de Padres de Familia de otro Centro Educativo. (Acuerdo Gubernativo Número 233-2017 “Reglamento de las Organizaciones de Padres de Familia”, Artículo</w:t>
            </w:r>
            <w:r>
              <w:rPr>
                <w:spacing w:val="2"/>
                <w:sz w:val="22"/>
              </w:rPr>
              <w:t> </w:t>
            </w:r>
            <w:r>
              <w:rPr>
                <w:sz w:val="22"/>
              </w:rPr>
              <w:t>15).</w:t>
            </w:r>
          </w:p>
        </w:tc>
      </w:tr>
      <w:tr>
        <w:trPr>
          <w:trHeight w:val="206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000" w:type="dxa"/>
            <w:tcBorders>
              <w:top w:val="single" w:sz="4" w:space="0" w:color="808080"/>
              <w:bottom w:val="single" w:sz="4" w:space="0" w:color="808080"/>
            </w:tcBorders>
          </w:tcPr>
          <w:p>
            <w:pPr>
              <w:pStyle w:val="TableParagraph"/>
              <w:spacing w:line="288" w:lineRule="auto" w:before="120"/>
              <w:ind w:left="26" w:right="132"/>
              <w:rPr>
                <w:b/>
                <w:sz w:val="22"/>
              </w:rPr>
            </w:pPr>
            <w:r>
              <w:rPr>
                <w:b/>
                <w:sz w:val="22"/>
              </w:rPr>
              <w:t>Centro Educativo Público</w:t>
            </w:r>
          </w:p>
        </w:tc>
        <w:tc>
          <w:tcPr>
            <w:tcW w:w="8206" w:type="dxa"/>
            <w:tcBorders>
              <w:top w:val="single" w:sz="4" w:space="0" w:color="808080"/>
              <w:bottom w:val="single" w:sz="4" w:space="0" w:color="808080"/>
            </w:tcBorders>
          </w:tcPr>
          <w:p>
            <w:pPr>
              <w:pStyle w:val="TableParagraph"/>
              <w:spacing w:line="288" w:lineRule="auto" w:before="122"/>
              <w:ind w:left="150" w:right="23"/>
              <w:jc w:val="both"/>
              <w:rPr>
                <w:sz w:val="22"/>
              </w:rPr>
            </w:pPr>
            <w:r>
              <w:rPr>
                <w:sz w:val="22"/>
              </w:rPr>
              <w:t>Son establecimientos que administra y financia el Estado para ofrecer sin discriminación alguna, el servicio educacional a los habitantes del país de acuerdo a las edades correspondientes de cada nivel y tipo de escuela, normados por el reglamento específico. Están integrados por Educandos, Padres de Familia, Educadores, Personal Técnico, Administrativo y de Servicio. (Decreto Legislativo 12-91 “Ley de Educación Nacional”, artículos 20 y</w:t>
            </w:r>
            <w:r>
              <w:rPr>
                <w:spacing w:val="-7"/>
                <w:sz w:val="22"/>
              </w:rPr>
              <w:t> </w:t>
            </w:r>
            <w:r>
              <w:rPr>
                <w:sz w:val="22"/>
              </w:rPr>
              <w:t>21).</w:t>
            </w:r>
          </w:p>
        </w:tc>
      </w:tr>
      <w:tr>
        <w:trPr>
          <w:trHeight w:val="115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2000" w:type="dxa"/>
            <w:tcBorders>
              <w:top w:val="single" w:sz="4" w:space="0" w:color="808080"/>
              <w:bottom w:val="single" w:sz="4" w:space="0" w:color="808080"/>
            </w:tcBorders>
          </w:tcPr>
          <w:p>
            <w:pPr>
              <w:pStyle w:val="TableParagraph"/>
              <w:spacing w:line="288" w:lineRule="auto" w:before="120"/>
              <w:ind w:left="26" w:right="744"/>
              <w:rPr>
                <w:b/>
                <w:sz w:val="22"/>
              </w:rPr>
            </w:pPr>
            <w:r>
              <w:rPr>
                <w:b/>
                <w:sz w:val="22"/>
              </w:rPr>
              <w:t>Comunidad Educativa</w:t>
            </w:r>
          </w:p>
        </w:tc>
        <w:tc>
          <w:tcPr>
            <w:tcW w:w="8206" w:type="dxa"/>
            <w:tcBorders>
              <w:top w:val="single" w:sz="4" w:space="0" w:color="808080"/>
              <w:bottom w:val="single" w:sz="4" w:space="0" w:color="808080"/>
            </w:tcBorders>
          </w:tcPr>
          <w:p>
            <w:pPr>
              <w:pStyle w:val="TableParagraph"/>
              <w:spacing w:line="288" w:lineRule="auto" w:before="122"/>
              <w:ind w:left="150" w:right="26"/>
              <w:jc w:val="both"/>
              <w:rPr>
                <w:sz w:val="22"/>
              </w:rPr>
            </w:pPr>
            <w:r>
              <w:rPr>
                <w:sz w:val="22"/>
              </w:rPr>
              <w:t>Se integra por educandos, padres de familia, educadores y las organizaciones que persiguen fines eminentemente educativos. (Decreto Legislativo 12-91 “Ley de Educación Nacional”, artículo</w:t>
            </w:r>
            <w:r>
              <w:rPr>
                <w:spacing w:val="-4"/>
                <w:sz w:val="22"/>
              </w:rPr>
              <w:t> </w:t>
            </w:r>
            <w:r>
              <w:rPr>
                <w:sz w:val="22"/>
              </w:rPr>
              <w:t>18).</w:t>
            </w:r>
          </w:p>
        </w:tc>
      </w:tr>
      <w:tr>
        <w:trPr>
          <w:trHeight w:val="722" w:hRule="atLeast"/>
        </w:trPr>
        <w:tc>
          <w:tcPr>
            <w:tcW w:w="497" w:type="dxa"/>
            <w:tcBorders>
              <w:top w:val="single" w:sz="4" w:space="0" w:color="808080"/>
              <w:bottom w:val="single" w:sz="4" w:space="0" w:color="808080"/>
            </w:tcBorders>
          </w:tcPr>
          <w:p>
            <w:pPr>
              <w:pStyle w:val="TableParagraph"/>
              <w:spacing w:before="108"/>
              <w:ind w:right="26"/>
              <w:jc w:val="right"/>
              <w:rPr>
                <w:b/>
                <w:sz w:val="22"/>
              </w:rPr>
            </w:pPr>
            <w:r>
              <w:rPr>
                <w:b/>
                <w:sz w:val="22"/>
              </w:rPr>
              <w:t>4.-</w:t>
            </w:r>
          </w:p>
        </w:tc>
        <w:tc>
          <w:tcPr>
            <w:tcW w:w="2000" w:type="dxa"/>
            <w:tcBorders>
              <w:top w:val="single" w:sz="4" w:space="0" w:color="808080"/>
              <w:bottom w:val="single" w:sz="4" w:space="0" w:color="808080"/>
            </w:tcBorders>
          </w:tcPr>
          <w:p>
            <w:pPr>
              <w:pStyle w:val="TableParagraph"/>
              <w:spacing w:before="108"/>
              <w:ind w:left="26"/>
              <w:rPr>
                <w:b/>
                <w:sz w:val="22"/>
              </w:rPr>
            </w:pPr>
            <w:r>
              <w:rPr>
                <w:b/>
                <w:sz w:val="22"/>
              </w:rPr>
              <w:t>Desanexión</w:t>
            </w:r>
          </w:p>
        </w:tc>
        <w:tc>
          <w:tcPr>
            <w:tcW w:w="8206" w:type="dxa"/>
            <w:tcBorders>
              <w:top w:val="single" w:sz="4" w:space="0" w:color="808080"/>
              <w:bottom w:val="single" w:sz="4" w:space="0" w:color="808080"/>
            </w:tcBorders>
          </w:tcPr>
          <w:p>
            <w:pPr>
              <w:pStyle w:val="TableParagraph"/>
              <w:spacing w:line="300" w:lineRule="atLeast" w:before="63"/>
              <w:ind w:left="150"/>
              <w:rPr>
                <w:sz w:val="22"/>
              </w:rPr>
            </w:pPr>
            <w:r>
              <w:rPr>
                <w:sz w:val="22"/>
              </w:rPr>
              <w:t>Proceso a través del cual integrantes de la Comunidad Educativa de un Centro Educativo Público, solicitan a la autoridad competente, separar o desligar de una</w:t>
            </w:r>
          </w:p>
        </w:tc>
      </w:tr>
    </w:tbl>
    <w:p>
      <w:pPr>
        <w:spacing w:after="0" w:line="300" w:lineRule="atLeast"/>
        <w:rPr>
          <w:sz w:val="22"/>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2 de 9</w:t>
            </w:r>
          </w:p>
        </w:tc>
      </w:tr>
    </w:tbl>
    <w:p>
      <w:pPr>
        <w:pStyle w:val="BodyText"/>
        <w:spacing w:before="7"/>
        <w:rPr>
          <w:b/>
          <w:sz w:val="12"/>
        </w:rPr>
      </w:pPr>
    </w:p>
    <w:p>
      <w:pPr>
        <w:pStyle w:val="BodyText"/>
        <w:spacing w:before="7"/>
        <w:rPr>
          <w:b/>
          <w:sz w:val="2"/>
        </w:rPr>
      </w:pPr>
    </w:p>
    <w:tbl>
      <w:tblPr>
        <w:tblW w:w="0" w:type="auto"/>
        <w:jc w:val="left"/>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606"/>
        <w:gridCol w:w="8598"/>
      </w:tblGrid>
      <w:tr>
        <w:trPr>
          <w:trHeight w:val="722" w:hRule="atLeast"/>
        </w:trPr>
        <w:tc>
          <w:tcPr>
            <w:tcW w:w="497" w:type="dxa"/>
            <w:tcBorders>
              <w:bottom w:val="single" w:sz="4" w:space="0" w:color="808080"/>
            </w:tcBorders>
          </w:tcPr>
          <w:p>
            <w:pPr>
              <w:pStyle w:val="TableParagraph"/>
              <w:rPr>
                <w:rFonts w:ascii="Times New Roman"/>
                <w:sz w:val="20"/>
              </w:rPr>
            </w:pPr>
          </w:p>
        </w:tc>
        <w:tc>
          <w:tcPr>
            <w:tcW w:w="1606" w:type="dxa"/>
            <w:tcBorders>
              <w:bottom w:val="single" w:sz="4" w:space="0" w:color="808080"/>
            </w:tcBorders>
          </w:tcPr>
          <w:p>
            <w:pPr>
              <w:pStyle w:val="TableParagraph"/>
              <w:rPr>
                <w:rFonts w:ascii="Times New Roman"/>
                <w:sz w:val="20"/>
              </w:rPr>
            </w:pPr>
          </w:p>
        </w:tc>
        <w:tc>
          <w:tcPr>
            <w:tcW w:w="8598" w:type="dxa"/>
            <w:tcBorders>
              <w:bottom w:val="single" w:sz="4" w:space="0" w:color="808080"/>
            </w:tcBorders>
          </w:tcPr>
          <w:p>
            <w:pPr>
              <w:pStyle w:val="TableParagraph"/>
              <w:spacing w:line="288" w:lineRule="auto"/>
              <w:ind w:left="545"/>
              <w:rPr>
                <w:sz w:val="22"/>
              </w:rPr>
            </w:pPr>
            <w:r>
              <w:rPr>
                <w:sz w:val="22"/>
              </w:rPr>
              <w:t>Organización de Padres de Familia legalmente constituida, a un Centro Educativo Público anexado anteriormente.</w:t>
            </w:r>
          </w:p>
        </w:tc>
      </w:tr>
      <w:tr>
        <w:trPr>
          <w:trHeight w:val="546"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5.-</w:t>
            </w:r>
          </w:p>
        </w:tc>
        <w:tc>
          <w:tcPr>
            <w:tcW w:w="1606" w:type="dxa"/>
            <w:tcBorders>
              <w:top w:val="single" w:sz="4" w:space="0" w:color="808080"/>
              <w:bottom w:val="single" w:sz="4" w:space="0" w:color="808080"/>
            </w:tcBorders>
          </w:tcPr>
          <w:p>
            <w:pPr>
              <w:pStyle w:val="TableParagraph"/>
              <w:spacing w:before="141"/>
              <w:ind w:left="60"/>
              <w:rPr>
                <w:b/>
                <w:sz w:val="22"/>
              </w:rPr>
            </w:pPr>
            <w:r>
              <w:rPr>
                <w:b/>
                <w:sz w:val="22"/>
              </w:rPr>
              <w:t>DIDEDUC</w:t>
            </w:r>
          </w:p>
        </w:tc>
        <w:tc>
          <w:tcPr>
            <w:tcW w:w="8598" w:type="dxa"/>
            <w:tcBorders>
              <w:top w:val="single" w:sz="4" w:space="0" w:color="808080"/>
              <w:bottom w:val="single" w:sz="4" w:space="0" w:color="808080"/>
            </w:tcBorders>
          </w:tcPr>
          <w:p>
            <w:pPr>
              <w:pStyle w:val="TableParagraph"/>
              <w:spacing w:before="158"/>
              <w:ind w:left="545"/>
              <w:rPr>
                <w:sz w:val="22"/>
              </w:rPr>
            </w:pPr>
            <w:r>
              <w:rPr>
                <w:sz w:val="22"/>
              </w:rPr>
              <w:t>Dirección Departamental de Educación.</w:t>
            </w:r>
          </w:p>
        </w:tc>
      </w:tr>
      <w:tr>
        <w:trPr>
          <w:trHeight w:val="2664" w:hRule="atLeast"/>
        </w:trPr>
        <w:tc>
          <w:tcPr>
            <w:tcW w:w="497" w:type="dxa"/>
            <w:tcBorders>
              <w:top w:val="single" w:sz="4" w:space="0" w:color="808080"/>
              <w:bottom w:val="single" w:sz="4" w:space="0" w:color="808080"/>
            </w:tcBorders>
          </w:tcPr>
          <w:p>
            <w:pPr>
              <w:pStyle w:val="TableParagraph"/>
              <w:spacing w:before="110"/>
              <w:ind w:right="24"/>
              <w:jc w:val="right"/>
              <w:rPr>
                <w:b/>
                <w:sz w:val="22"/>
              </w:rPr>
            </w:pPr>
            <w:r>
              <w:rPr>
                <w:b/>
                <w:sz w:val="22"/>
              </w:rPr>
              <w:t>6.-</w:t>
            </w:r>
          </w:p>
        </w:tc>
        <w:tc>
          <w:tcPr>
            <w:tcW w:w="1606" w:type="dxa"/>
            <w:tcBorders>
              <w:top w:val="single" w:sz="4" w:space="0" w:color="808080"/>
              <w:bottom w:val="single" w:sz="4" w:space="0" w:color="808080"/>
            </w:tcBorders>
          </w:tcPr>
          <w:p>
            <w:pPr>
              <w:pStyle w:val="TableParagraph"/>
              <w:spacing w:before="110"/>
              <w:ind w:left="27"/>
              <w:rPr>
                <w:b/>
                <w:sz w:val="22"/>
              </w:rPr>
            </w:pPr>
            <w:r>
              <w:rPr>
                <w:b/>
                <w:sz w:val="22"/>
              </w:rPr>
              <w:t>OPF</w:t>
            </w:r>
          </w:p>
        </w:tc>
        <w:tc>
          <w:tcPr>
            <w:tcW w:w="8598" w:type="dxa"/>
            <w:tcBorders>
              <w:top w:val="single" w:sz="4" w:space="0" w:color="808080"/>
              <w:bottom w:val="single" w:sz="4" w:space="0" w:color="808080"/>
            </w:tcBorders>
          </w:tcPr>
          <w:p>
            <w:pPr>
              <w:pStyle w:val="TableParagraph"/>
              <w:spacing w:line="288" w:lineRule="auto" w:before="112"/>
              <w:ind w:left="545" w:right="24"/>
              <w:jc w:val="both"/>
              <w:rPr>
                <w:sz w:val="22"/>
              </w:rPr>
            </w:pPr>
            <w:r>
              <w:rPr>
                <w:sz w:val="22"/>
              </w:rPr>
              <w:t>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 233-2017).</w:t>
            </w:r>
          </w:p>
        </w:tc>
      </w:tr>
      <w:tr>
        <w:trPr>
          <w:trHeight w:val="1154"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7.-</w:t>
            </w:r>
          </w:p>
        </w:tc>
        <w:tc>
          <w:tcPr>
            <w:tcW w:w="1606" w:type="dxa"/>
            <w:tcBorders>
              <w:top w:val="single" w:sz="4" w:space="0" w:color="808080"/>
              <w:bottom w:val="single" w:sz="4" w:space="0" w:color="808080"/>
            </w:tcBorders>
          </w:tcPr>
          <w:p>
            <w:pPr>
              <w:pStyle w:val="TableParagraph"/>
              <w:spacing w:before="120"/>
              <w:ind w:left="27"/>
              <w:rPr>
                <w:b/>
                <w:sz w:val="22"/>
              </w:rPr>
            </w:pPr>
            <w:r>
              <w:rPr>
                <w:b/>
                <w:sz w:val="22"/>
              </w:rPr>
              <w:t>OPF pura</w:t>
            </w:r>
          </w:p>
        </w:tc>
        <w:tc>
          <w:tcPr>
            <w:tcW w:w="8598" w:type="dxa"/>
            <w:tcBorders>
              <w:top w:val="single" w:sz="4" w:space="0" w:color="808080"/>
              <w:bottom w:val="single" w:sz="4" w:space="0" w:color="808080"/>
            </w:tcBorders>
          </w:tcPr>
          <w:p>
            <w:pPr>
              <w:pStyle w:val="TableParagraph"/>
              <w:spacing w:line="288" w:lineRule="auto" w:before="122"/>
              <w:ind w:left="545" w:right="29"/>
              <w:jc w:val="both"/>
              <w:rPr>
                <w:sz w:val="22"/>
              </w:rPr>
            </w:pPr>
            <w:r>
              <w:rPr>
                <w:sz w:val="22"/>
              </w:rPr>
              <w:t>Para efectos de anexión, es la Organización de Padres de Familia legalmente constituida, que en su funcionamiento admite la anexión de un Centro Educativo Público diferente.</w:t>
            </w:r>
          </w:p>
        </w:tc>
      </w:tr>
      <w:tr>
        <w:trPr>
          <w:trHeight w:val="1459"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8.-</w:t>
            </w:r>
          </w:p>
        </w:tc>
        <w:tc>
          <w:tcPr>
            <w:tcW w:w="1606" w:type="dxa"/>
            <w:tcBorders>
              <w:top w:val="single" w:sz="4" w:space="0" w:color="808080"/>
              <w:bottom w:val="single" w:sz="4" w:space="0" w:color="808080"/>
            </w:tcBorders>
          </w:tcPr>
          <w:p>
            <w:pPr>
              <w:pStyle w:val="TableParagraph"/>
              <w:spacing w:before="120"/>
              <w:ind w:left="27"/>
              <w:rPr>
                <w:b/>
                <w:sz w:val="22"/>
              </w:rPr>
            </w:pPr>
            <w:r>
              <w:rPr>
                <w:b/>
                <w:sz w:val="22"/>
              </w:rPr>
              <w:t>SDR</w:t>
            </w:r>
          </w:p>
        </w:tc>
        <w:tc>
          <w:tcPr>
            <w:tcW w:w="8598" w:type="dxa"/>
            <w:tcBorders>
              <w:top w:val="single" w:sz="4" w:space="0" w:color="808080"/>
              <w:bottom w:val="single" w:sz="4" w:space="0" w:color="808080"/>
            </w:tcBorders>
          </w:tcPr>
          <w:p>
            <w:pPr>
              <w:pStyle w:val="TableParagraph"/>
              <w:spacing w:line="288" w:lineRule="auto" w:before="122"/>
              <w:ind w:left="545" w:right="26"/>
              <w:jc w:val="both"/>
              <w:rPr>
                <w:sz w:val="22"/>
              </w:rPr>
            </w:pPr>
            <w:r>
              <w:rPr>
                <w:sz w:val="22"/>
              </w:rPr>
              <w:t>Sistema de Asignación y Dotación de Recursos, es una herramienta informática diseñada para llevar el control de los datos de los Centros Educativos Públicos con o sin Organización de Padres de Familia, y la gestión de traslado de recursos financieros para los diferentes programas de apoyo.</w:t>
            </w:r>
          </w:p>
        </w:tc>
      </w:tr>
    </w:tbl>
    <w:p>
      <w:pPr>
        <w:pStyle w:val="BodyText"/>
        <w:rPr>
          <w:b/>
          <w:sz w:val="20"/>
        </w:rPr>
      </w:pPr>
    </w:p>
    <w:p>
      <w:pPr>
        <w:pStyle w:val="BodyText"/>
        <w:spacing w:before="7"/>
        <w:rPr>
          <w:b/>
          <w:sz w:val="23"/>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4"/>
        <w:rPr>
          <w:b/>
        </w:rPr>
      </w:pPr>
    </w:p>
    <w:p>
      <w:pPr>
        <w:pStyle w:val="ListParagraph"/>
        <w:numPr>
          <w:ilvl w:val="1"/>
          <w:numId w:val="1"/>
        </w:numPr>
        <w:tabs>
          <w:tab w:pos="835" w:val="left" w:leader="none"/>
        </w:tabs>
        <w:spacing w:line="237" w:lineRule="auto" w:before="1" w:after="0"/>
        <w:ind w:left="846" w:right="155" w:hanging="361"/>
        <w:jc w:val="both"/>
        <w:rPr>
          <w:sz w:val="22"/>
        </w:rPr>
      </w:pPr>
      <w:r>
        <w:rPr>
          <w:sz w:val="22"/>
        </w:rPr>
        <w:t>Articulo número 15 del Acuerdo Gubernativo Número 233-2017 “Reglamento de las Organizaciones de Padres de</w:t>
      </w:r>
      <w:r>
        <w:rPr>
          <w:spacing w:val="-3"/>
          <w:sz w:val="22"/>
        </w:rPr>
        <w:t> </w:t>
      </w:r>
      <w:r>
        <w:rPr>
          <w:sz w:val="22"/>
        </w:rPr>
        <w:t>Familia”.</w:t>
      </w:r>
    </w:p>
    <w:p>
      <w:pPr>
        <w:pStyle w:val="BodyText"/>
      </w:pPr>
    </w:p>
    <w:p>
      <w:pPr>
        <w:pStyle w:val="ListParagraph"/>
        <w:numPr>
          <w:ilvl w:val="1"/>
          <w:numId w:val="1"/>
        </w:numPr>
        <w:tabs>
          <w:tab w:pos="835" w:val="left" w:leader="none"/>
        </w:tabs>
        <w:spacing w:line="240" w:lineRule="auto" w:before="0" w:after="0"/>
        <w:ind w:left="846" w:right="153" w:hanging="361"/>
        <w:jc w:val="both"/>
        <w:rPr>
          <w:sz w:val="22"/>
        </w:rPr>
      </w:pPr>
      <w:r>
        <w:rPr>
          <w:sz w:val="22"/>
        </w:rPr>
        <w:t>Resolución Ministerial Número 1098-2019, de fecha 22 de abril de 2019, en la que se estipula desconcentrar en las DIDEDUC, los trámites de Actualización de las Juntas Directivas de las  OPF, Anexión y Desanexión de Centros Educativos Públicos a las</w:t>
      </w:r>
      <w:r>
        <w:rPr>
          <w:spacing w:val="-2"/>
          <w:sz w:val="22"/>
        </w:rPr>
        <w:t> </w:t>
      </w:r>
      <w:r>
        <w:rPr>
          <w:sz w:val="22"/>
        </w:rPr>
        <w:t>OPF.</w:t>
      </w:r>
    </w:p>
    <w:p>
      <w:pPr>
        <w:pStyle w:val="BodyText"/>
        <w:spacing w:before="8"/>
        <w:rPr>
          <w:sz w:val="21"/>
        </w:rPr>
      </w:pPr>
    </w:p>
    <w:p>
      <w:pPr>
        <w:pStyle w:val="Heading1"/>
        <w:numPr>
          <w:ilvl w:val="0"/>
          <w:numId w:val="1"/>
        </w:numPr>
        <w:tabs>
          <w:tab w:pos="553" w:val="left" w:leader="none"/>
          <w:tab w:pos="554" w:val="left" w:leader="none"/>
        </w:tabs>
        <w:spacing w:line="240" w:lineRule="auto" w:before="0" w:after="0"/>
        <w:ind w:left="553" w:right="0" w:hanging="428"/>
        <w:jc w:val="left"/>
        <w:rPr>
          <w:u w:val="none"/>
        </w:rPr>
      </w:pPr>
      <w:r>
        <w:rPr>
          <w:u w:val="thick"/>
        </w:rPr>
        <w:t>DESCRIPCIÓN DE ACTIVIDADES Y RESPONSABLES:</w:t>
      </w:r>
    </w:p>
    <w:p>
      <w:pPr>
        <w:pStyle w:val="BodyText"/>
        <w:spacing w:before="2"/>
        <w:rPr>
          <w:b/>
          <w:sz w:val="14"/>
        </w:rPr>
      </w:pPr>
    </w:p>
    <w:p>
      <w:pPr>
        <w:pStyle w:val="BodyText"/>
        <w:spacing w:before="94"/>
        <w:ind w:left="553" w:right="149"/>
        <w:jc w:val="both"/>
      </w:pPr>
      <w:r>
        <w:rPr/>
        <w:t>Los Centros Educativos Públicos del nivel de educación pre-primaria pueden solicitar anexión a la OPF de un Centro Educativo Público del nivel de educación Primaria y viceversa, así mismo los Centros Educativos Públicos del nivel de Educación Media, del ciclo de educación Básica, podrán solicitar anexión a la OPF de un Centro Educativo Público, del ciclo de educación Diversificada y viceversa. También podrán anexarse entre sí los Centros Educativos públicos que pertenezcan al mismo nivel educativo. Podrán anexarse a una misma OPF, hasta un máximo de tres (3) Centros Educativos Públicos (anexos) que se encuentren dentro del mismo Municipio, preferiblemente dentro del mismo Edificio Escolar.</w:t>
      </w:r>
    </w:p>
    <w:p>
      <w:pPr>
        <w:spacing w:after="0"/>
        <w:jc w:val="both"/>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3 de 9</w:t>
            </w:r>
          </w:p>
        </w:tc>
      </w:tr>
    </w:tbl>
    <w:p>
      <w:pPr>
        <w:pStyle w:val="ListParagraph"/>
        <w:numPr>
          <w:ilvl w:val="1"/>
          <w:numId w:val="2"/>
        </w:numPr>
        <w:tabs>
          <w:tab w:pos="1542" w:val="left" w:leader="none"/>
          <w:tab w:pos="1543" w:val="left" w:leader="none"/>
        </w:tabs>
        <w:spacing w:line="240" w:lineRule="auto" w:before="108" w:after="0"/>
        <w:ind w:left="1542" w:right="0" w:hanging="992"/>
        <w:jc w:val="left"/>
        <w:rPr>
          <w:b/>
          <w:sz w:val="22"/>
        </w:rPr>
      </w:pPr>
      <w:r>
        <w:rPr>
          <w:b/>
          <w:sz w:val="22"/>
        </w:rPr>
        <w:t>Anexión</w:t>
      </w:r>
    </w:p>
    <w:p>
      <w:pPr>
        <w:pStyle w:val="BodyText"/>
        <w:spacing w:before="10"/>
        <w:rPr>
          <w:b/>
          <w:sz w:val="21"/>
        </w:rPr>
      </w:pPr>
    </w:p>
    <w:p>
      <w:pPr>
        <w:pStyle w:val="BodyText"/>
        <w:ind w:left="551" w:right="111"/>
      </w:pPr>
      <w:r>
        <w:rPr/>
        <w:t>El proceso de anexión podrá realizarse previo a realizar las gestiones de programación o reprogramación de recursos de cada año, para los programas de apoyo.</w:t>
      </w:r>
    </w:p>
    <w:p>
      <w:pPr>
        <w:pStyle w:val="BodyText"/>
        <w:spacing w:before="2"/>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6"/>
              <w:jc w:val="center"/>
              <w:rPr>
                <w:b/>
                <w:sz w:val="16"/>
              </w:rPr>
            </w:pPr>
            <w:r>
              <w:rPr>
                <w:b/>
                <w:sz w:val="16"/>
              </w:rPr>
              <w:t>Descripción de las Actividades</w:t>
            </w:r>
          </w:p>
        </w:tc>
      </w:tr>
      <w:tr>
        <w:trPr>
          <w:trHeight w:val="7963"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8"/>
              <w:ind w:left="312" w:hanging="90"/>
              <w:rPr>
                <w:b/>
                <w:sz w:val="14"/>
              </w:rPr>
            </w:pPr>
            <w:r>
              <w:rPr>
                <w:b/>
                <w:sz w:val="14"/>
              </w:rPr>
              <w:t>1. Solicitar anexión</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5"/>
              </w:rPr>
            </w:pPr>
          </w:p>
          <w:p>
            <w:pPr>
              <w:pStyle w:val="TableParagraph"/>
              <w:ind w:left="96" w:right="84"/>
              <w:jc w:val="center"/>
              <w:rPr>
                <w:sz w:val="14"/>
              </w:rPr>
            </w:pPr>
            <w:r>
              <w:rPr>
                <w:sz w:val="14"/>
              </w:rPr>
              <w:t>Miembro de la Comunidad Educativa del Centro Educativo público que pretende ser anexado</w:t>
            </w:r>
          </w:p>
        </w:tc>
        <w:tc>
          <w:tcPr>
            <w:tcW w:w="8534" w:type="dxa"/>
          </w:tcPr>
          <w:p>
            <w:pPr>
              <w:pStyle w:val="TableParagraph"/>
              <w:spacing w:before="26"/>
              <w:ind w:left="57" w:right="14"/>
              <w:jc w:val="both"/>
              <w:rPr>
                <w:sz w:val="22"/>
              </w:rPr>
            </w:pPr>
            <w:r>
              <w:rPr>
                <w:sz w:val="22"/>
              </w:rPr>
              <w:t>En representación de la Comunidad Educativa del Centro Educativo Público que pretende ser anexado, solicita la anexión a la OPF de un Centro Educativo Público, para lo cual realiza las acciones siguientes:</w:t>
            </w:r>
          </w:p>
          <w:p>
            <w:pPr>
              <w:pStyle w:val="TableParagraph"/>
              <w:spacing w:before="9"/>
              <w:rPr>
                <w:sz w:val="20"/>
              </w:rPr>
            </w:pPr>
          </w:p>
          <w:p>
            <w:pPr>
              <w:pStyle w:val="TableParagraph"/>
              <w:numPr>
                <w:ilvl w:val="0"/>
                <w:numId w:val="3"/>
              </w:numPr>
              <w:tabs>
                <w:tab w:pos="767" w:val="left" w:leader="none"/>
              </w:tabs>
              <w:spacing w:line="240" w:lineRule="auto" w:before="0" w:after="0"/>
              <w:ind w:left="778" w:right="16" w:hanging="361"/>
              <w:jc w:val="both"/>
              <w:rPr>
                <w:sz w:val="22"/>
              </w:rPr>
            </w:pPr>
            <w:r>
              <w:rPr>
                <w:sz w:val="22"/>
              </w:rPr>
              <w:t>Registra información en el formulario PRA-FOR-102 “Solicitud de Anexión de un Centro Educativo</w:t>
            </w:r>
            <w:r>
              <w:rPr>
                <w:spacing w:val="-3"/>
                <w:sz w:val="22"/>
              </w:rPr>
              <w:t> </w:t>
            </w:r>
            <w:r>
              <w:rPr>
                <w:sz w:val="22"/>
              </w:rPr>
              <w:t>Público”.</w:t>
            </w:r>
          </w:p>
          <w:p>
            <w:pPr>
              <w:pStyle w:val="TableParagraph"/>
              <w:rPr>
                <w:sz w:val="22"/>
              </w:rPr>
            </w:pPr>
          </w:p>
          <w:p>
            <w:pPr>
              <w:pStyle w:val="TableParagraph"/>
              <w:numPr>
                <w:ilvl w:val="0"/>
                <w:numId w:val="3"/>
              </w:numPr>
              <w:tabs>
                <w:tab w:pos="767" w:val="left" w:leader="none"/>
              </w:tabs>
              <w:spacing w:line="240" w:lineRule="auto" w:before="0" w:after="0"/>
              <w:ind w:left="778" w:right="20" w:hanging="361"/>
              <w:jc w:val="both"/>
              <w:rPr>
                <w:sz w:val="22"/>
              </w:rPr>
            </w:pPr>
            <w:r>
              <w:rPr>
                <w:sz w:val="22"/>
              </w:rPr>
              <w:t>Gestiona las firmas de tres (3) miembros de la Comunidad Educativa solicitantes y del Presidente y Secretario de la OPF a la cual se pretende hacer la anexión.</w:t>
            </w:r>
          </w:p>
          <w:p>
            <w:pPr>
              <w:pStyle w:val="TableParagraph"/>
              <w:spacing w:before="1"/>
              <w:rPr>
                <w:sz w:val="22"/>
              </w:rPr>
            </w:pPr>
          </w:p>
          <w:p>
            <w:pPr>
              <w:pStyle w:val="TableParagraph"/>
              <w:numPr>
                <w:ilvl w:val="0"/>
                <w:numId w:val="3"/>
              </w:numPr>
              <w:tabs>
                <w:tab w:pos="767" w:val="left" w:leader="none"/>
              </w:tabs>
              <w:spacing w:line="240" w:lineRule="auto" w:before="0" w:after="0"/>
              <w:ind w:left="778" w:right="16" w:hanging="361"/>
              <w:jc w:val="both"/>
              <w:rPr>
                <w:sz w:val="22"/>
              </w:rPr>
            </w:pPr>
            <w:r>
              <w:rPr>
                <w:sz w:val="22"/>
              </w:rPr>
              <w:t>Adjunta a dicha solicitud, fotocopia simple y legible del Documento Personal de Identificación -DPI- de las personas que figuren en el formulario PRA-FOR-102.</w:t>
            </w:r>
          </w:p>
          <w:p>
            <w:pPr>
              <w:pStyle w:val="TableParagraph"/>
              <w:spacing w:before="10"/>
              <w:rPr>
                <w:sz w:val="21"/>
              </w:rPr>
            </w:pPr>
          </w:p>
          <w:p>
            <w:pPr>
              <w:pStyle w:val="TableParagraph"/>
              <w:numPr>
                <w:ilvl w:val="0"/>
                <w:numId w:val="3"/>
              </w:numPr>
              <w:tabs>
                <w:tab w:pos="767" w:val="left" w:leader="none"/>
              </w:tabs>
              <w:spacing w:line="240" w:lineRule="auto" w:before="0" w:after="0"/>
              <w:ind w:left="778" w:right="15" w:hanging="361"/>
              <w:jc w:val="both"/>
              <w:rPr>
                <w:sz w:val="22"/>
              </w:rPr>
            </w:pPr>
            <w:r>
              <w:rPr>
                <w:sz w:val="22"/>
              </w:rPr>
              <w:t>Registra información en el formulario PRA-FOR-103 “Solicitud de Anexión dirigida al Director Departamental de Educación”, exponiendo los motivos por los cuales se solicita dicha</w:t>
            </w:r>
            <w:r>
              <w:rPr>
                <w:spacing w:val="-3"/>
                <w:sz w:val="22"/>
              </w:rPr>
              <w:t> </w:t>
            </w:r>
            <w:r>
              <w:rPr>
                <w:sz w:val="22"/>
              </w:rPr>
              <w:t>anexión.</w:t>
            </w:r>
          </w:p>
          <w:p>
            <w:pPr>
              <w:pStyle w:val="TableParagraph"/>
              <w:rPr>
                <w:sz w:val="22"/>
              </w:rPr>
            </w:pPr>
          </w:p>
          <w:p>
            <w:pPr>
              <w:pStyle w:val="TableParagraph"/>
              <w:numPr>
                <w:ilvl w:val="0"/>
                <w:numId w:val="4"/>
              </w:numPr>
              <w:tabs>
                <w:tab w:pos="767" w:val="left" w:leader="none"/>
              </w:tabs>
              <w:spacing w:line="240" w:lineRule="auto" w:before="1" w:after="0"/>
              <w:ind w:left="778" w:right="14" w:hanging="361"/>
              <w:jc w:val="both"/>
              <w:rPr>
                <w:sz w:val="20"/>
              </w:rPr>
            </w:pPr>
            <w:r>
              <w:rPr>
                <w:b/>
                <w:sz w:val="20"/>
              </w:rPr>
              <w:t>NOTA 1: </w:t>
            </w:r>
            <w:r>
              <w:rPr>
                <w:sz w:val="20"/>
              </w:rPr>
              <w:t>En el caso de los miembros de la Comunidad Educativa que “FIRMAN” en los formularios de solicitud de anexión o desanexión y que en la copia del Documento Personal de Identificación -DPI- se indica “NO FIRMA” se deberá adjuntar una constancia emitida por el Comité Nacional de Alfabetización -CONALFA-, el Alcalde Municipal o un Notario Público, por medio de la cual se haga constar que dicha persona sabe leer y escribir y por lo tanto también sabe</w:t>
            </w:r>
            <w:r>
              <w:rPr>
                <w:spacing w:val="-3"/>
                <w:sz w:val="20"/>
              </w:rPr>
              <w:t> </w:t>
            </w:r>
            <w:r>
              <w:rPr>
                <w:sz w:val="20"/>
              </w:rPr>
              <w:t>firmar.</w:t>
            </w:r>
          </w:p>
          <w:p>
            <w:pPr>
              <w:pStyle w:val="TableParagraph"/>
              <w:spacing w:before="9"/>
              <w:rPr>
                <w:sz w:val="19"/>
              </w:rPr>
            </w:pPr>
          </w:p>
          <w:p>
            <w:pPr>
              <w:pStyle w:val="TableParagraph"/>
              <w:numPr>
                <w:ilvl w:val="0"/>
                <w:numId w:val="4"/>
              </w:numPr>
              <w:tabs>
                <w:tab w:pos="767" w:val="left" w:leader="none"/>
              </w:tabs>
              <w:spacing w:line="237" w:lineRule="auto" w:before="0" w:after="0"/>
              <w:ind w:left="778" w:right="26" w:hanging="361"/>
              <w:jc w:val="both"/>
              <w:rPr>
                <w:sz w:val="20"/>
              </w:rPr>
            </w:pPr>
            <w:r>
              <w:rPr>
                <w:b/>
                <w:sz w:val="20"/>
              </w:rPr>
              <w:t>NOTA 2: </w:t>
            </w:r>
            <w:r>
              <w:rPr>
                <w:sz w:val="20"/>
              </w:rPr>
              <w:t>El Director del Centro Educativo Público que pretende ser anexado, debe verificar en el listado de alumnos inscritos, si los solicitantes son Padres de Familia de alumnos inscritos.</w:t>
            </w:r>
          </w:p>
          <w:p>
            <w:pPr>
              <w:pStyle w:val="TableParagraph"/>
              <w:spacing w:before="3"/>
              <w:rPr>
                <w:sz w:val="20"/>
              </w:rPr>
            </w:pPr>
          </w:p>
          <w:p>
            <w:pPr>
              <w:pStyle w:val="TableParagraph"/>
              <w:ind w:left="57" w:right="14"/>
              <w:jc w:val="both"/>
              <w:rPr>
                <w:sz w:val="22"/>
              </w:rPr>
            </w:pPr>
            <w:r>
              <w:rPr>
                <w:sz w:val="22"/>
              </w:rPr>
              <w:t>Traslada la documentación descrita anteriormente, a la Dirección Departamental de Educación para el trámite que</w:t>
            </w:r>
            <w:r>
              <w:rPr>
                <w:spacing w:val="-5"/>
                <w:sz w:val="22"/>
              </w:rPr>
              <w:t> </w:t>
            </w:r>
            <w:r>
              <w:rPr>
                <w:sz w:val="22"/>
              </w:rPr>
              <w:t>corresponda.</w:t>
            </w:r>
          </w:p>
        </w:tc>
      </w:tr>
      <w:tr>
        <w:trPr>
          <w:trHeight w:val="2772"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242" w:lineRule="auto" w:before="110"/>
              <w:ind w:left="179" w:right="154" w:firstLine="82"/>
              <w:rPr>
                <w:b/>
                <w:sz w:val="14"/>
              </w:rPr>
            </w:pPr>
            <w:r>
              <w:rPr>
                <w:b/>
                <w:sz w:val="14"/>
              </w:rPr>
              <w:t>2. Recibir expediente, crear Lote y</w:t>
            </w:r>
          </w:p>
          <w:p>
            <w:pPr>
              <w:pStyle w:val="TableParagraph"/>
              <w:spacing w:line="158" w:lineRule="exact"/>
              <w:ind w:left="281"/>
              <w:rPr>
                <w:b/>
                <w:sz w:val="14"/>
              </w:rPr>
            </w:pPr>
            <w:r>
              <w:rPr>
                <w:b/>
                <w:sz w:val="14"/>
              </w:rPr>
              <w:t>trasladar</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
              <w:rPr>
                <w:sz w:val="18"/>
              </w:rPr>
            </w:pPr>
          </w:p>
          <w:p>
            <w:pPr>
              <w:pStyle w:val="TableParagraph"/>
              <w:spacing w:before="1"/>
              <w:ind w:left="96" w:right="84"/>
              <w:jc w:val="center"/>
              <w:rPr>
                <w:sz w:val="14"/>
              </w:rPr>
            </w:pPr>
            <w:r>
              <w:rPr>
                <w:sz w:val="14"/>
              </w:rPr>
              <w:t>Asistente </w:t>
            </w:r>
            <w:r>
              <w:rPr>
                <w:w w:val="95"/>
                <w:sz w:val="14"/>
              </w:rPr>
              <w:t>Departamento/ </w:t>
            </w:r>
            <w:r>
              <w:rPr>
                <w:sz w:val="14"/>
              </w:rPr>
              <w:t>Sección de Organización Escolar</w:t>
            </w:r>
          </w:p>
        </w:tc>
        <w:tc>
          <w:tcPr>
            <w:tcW w:w="8534" w:type="dxa"/>
          </w:tcPr>
          <w:p>
            <w:pPr>
              <w:pStyle w:val="TableParagraph"/>
              <w:spacing w:before="156"/>
              <w:ind w:left="57" w:right="61"/>
              <w:jc w:val="both"/>
              <w:rPr>
                <w:sz w:val="22"/>
              </w:rPr>
            </w:pPr>
            <w:r>
              <w:rPr>
                <w:sz w:val="22"/>
              </w:rPr>
              <w:t>Recibe expediente, revisa que la documentación esté completa y en orden, ingresa al SDR con el “Rol Actualización OPF DIDEDUC” y crea un Lote, genera Boleta de traslado, imprime, firma y sella, para concretar las acciones de anexión y traslada a la Persona designada por el Subdirector/Jefe del Departamento de Fortalecimiento a la Comunidad Educativa, identificando la solicitud con el código de la OPF a la que se realizará la anexión.</w:t>
            </w:r>
          </w:p>
          <w:p>
            <w:pPr>
              <w:pStyle w:val="TableParagraph"/>
              <w:spacing w:before="9"/>
              <w:rPr>
                <w:sz w:val="21"/>
              </w:rPr>
            </w:pPr>
          </w:p>
          <w:p>
            <w:pPr>
              <w:pStyle w:val="TableParagraph"/>
              <w:spacing w:before="1"/>
              <w:ind w:left="57" w:right="15"/>
              <w:jc w:val="both"/>
              <w:rPr>
                <w:sz w:val="22"/>
              </w:rPr>
            </w:pPr>
            <w:r>
              <w:rPr>
                <w:sz w:val="22"/>
              </w:rPr>
              <w:t>Si no cumple con la información requerida, entrega el expediente al Miembro de la Comunidad Educativa del Centro Educativo público que pretende ser anexado para que realice las correcciones necesarias.</w:t>
            </w:r>
          </w:p>
        </w:tc>
      </w:tr>
      <w:tr>
        <w:trPr>
          <w:trHeight w:val="1152" w:hRule="atLeast"/>
        </w:trPr>
        <w:tc>
          <w:tcPr>
            <w:tcW w:w="1157" w:type="dxa"/>
          </w:tcPr>
          <w:p>
            <w:pPr>
              <w:pStyle w:val="TableParagraph"/>
              <w:spacing w:before="2"/>
              <w:rPr>
                <w:sz w:val="19"/>
              </w:rPr>
            </w:pPr>
          </w:p>
          <w:p>
            <w:pPr>
              <w:pStyle w:val="TableParagraph"/>
              <w:ind w:left="191" w:firstLine="70"/>
              <w:rPr>
                <w:b/>
                <w:sz w:val="14"/>
              </w:rPr>
            </w:pPr>
            <w:r>
              <w:rPr>
                <w:b/>
                <w:sz w:val="14"/>
              </w:rPr>
              <w:t>3. Recibir </w:t>
            </w:r>
            <w:r>
              <w:rPr>
                <w:b/>
                <w:w w:val="95"/>
                <w:sz w:val="14"/>
              </w:rPr>
              <w:t>expediente, </w:t>
            </w:r>
            <w:r>
              <w:rPr>
                <w:b/>
                <w:sz w:val="14"/>
              </w:rPr>
              <w:t>revisar, e</w:t>
            </w:r>
          </w:p>
          <w:p>
            <w:pPr>
              <w:pStyle w:val="TableParagraph"/>
              <w:ind w:left="74"/>
              <w:rPr>
                <w:b/>
                <w:sz w:val="14"/>
              </w:rPr>
            </w:pPr>
            <w:r>
              <w:rPr>
                <w:b/>
                <w:sz w:val="14"/>
              </w:rPr>
              <w:t>ingresar datos.</w:t>
            </w:r>
          </w:p>
        </w:tc>
        <w:tc>
          <w:tcPr>
            <w:tcW w:w="1111" w:type="dxa"/>
          </w:tcPr>
          <w:p>
            <w:pPr>
              <w:pStyle w:val="TableParagraph"/>
              <w:spacing w:before="63"/>
              <w:ind w:left="38" w:right="29" w:firstLine="5"/>
              <w:jc w:val="center"/>
              <w:rPr>
                <w:sz w:val="14"/>
              </w:rPr>
            </w:pPr>
            <w:r>
              <w:rPr>
                <w:sz w:val="14"/>
              </w:rPr>
              <w:t>Persona designada por </w:t>
            </w:r>
            <w:r>
              <w:rPr>
                <w:spacing w:val="-8"/>
                <w:sz w:val="14"/>
              </w:rPr>
              <w:t>el </w:t>
            </w:r>
            <w:r>
              <w:rPr>
                <w:sz w:val="14"/>
              </w:rPr>
              <w:t>Subdirector / Jefe de DEFOCE</w:t>
            </w:r>
          </w:p>
        </w:tc>
        <w:tc>
          <w:tcPr>
            <w:tcW w:w="8534" w:type="dxa"/>
          </w:tcPr>
          <w:p>
            <w:pPr>
              <w:pStyle w:val="TableParagraph"/>
              <w:spacing w:before="52"/>
              <w:ind w:left="115" w:right="36"/>
              <w:jc w:val="both"/>
              <w:rPr>
                <w:sz w:val="22"/>
              </w:rPr>
            </w:pPr>
            <w:r>
              <w:rPr>
                <w:sz w:val="22"/>
              </w:rPr>
              <w:t>Recibe Boleta de traslado y expedientes, firma como constancia de haber recibido los mismos, revisa que la documentación esté completa y en orden, si está correcta, ingresa al SDR y realiza las acciones siguientes: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4 de 9</w:t>
            </w:r>
          </w:p>
        </w:tc>
      </w:tr>
    </w:tbl>
    <w:p>
      <w:pPr>
        <w:pStyle w:val="BodyText"/>
        <w:spacing w:before="9"/>
        <w:rPr>
          <w:sz w:val="9"/>
        </w:rPr>
      </w:pPr>
    </w:p>
    <w:p>
      <w:pPr>
        <w:pStyle w:val="BodyText"/>
        <w:spacing w:before="7"/>
        <w:rPr>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6"/>
              <w:jc w:val="center"/>
              <w:rPr>
                <w:b/>
                <w:sz w:val="16"/>
              </w:rPr>
            </w:pPr>
            <w:r>
              <w:rPr>
                <w:b/>
                <w:sz w:val="16"/>
              </w:rPr>
              <w:t>Descripción de las Actividades</w:t>
            </w:r>
          </w:p>
        </w:tc>
      </w:tr>
      <w:tr>
        <w:trPr>
          <w:trHeight w:val="806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numPr>
                <w:ilvl w:val="0"/>
                <w:numId w:val="5"/>
              </w:numPr>
              <w:tabs>
                <w:tab w:pos="827" w:val="left" w:leader="none"/>
              </w:tabs>
              <w:spacing w:line="240" w:lineRule="auto" w:before="26" w:after="0"/>
              <w:ind w:left="836" w:right="33" w:hanging="361"/>
              <w:jc w:val="both"/>
              <w:rPr>
                <w:sz w:val="22"/>
              </w:rPr>
            </w:pPr>
            <w:r>
              <w:rPr>
                <w:sz w:val="22"/>
              </w:rPr>
              <w:t>Verifica que la OPF a la cual se pretende hacer la anexión, se encuentre activa, su Junta Directiva vigente, que tenga código de ENTE Receptor y no cuente con convenio para la Transferencia de Recursos en estado Activo, impreso y</w:t>
            </w:r>
            <w:r>
              <w:rPr>
                <w:spacing w:val="-7"/>
                <w:sz w:val="22"/>
              </w:rPr>
              <w:t> </w:t>
            </w:r>
            <w:r>
              <w:rPr>
                <w:sz w:val="22"/>
              </w:rPr>
              <w:t>firmado.</w:t>
            </w:r>
          </w:p>
          <w:p>
            <w:pPr>
              <w:pStyle w:val="TableParagraph"/>
              <w:spacing w:before="11"/>
              <w:rPr>
                <w:sz w:val="20"/>
              </w:rPr>
            </w:pPr>
          </w:p>
          <w:p>
            <w:pPr>
              <w:pStyle w:val="TableParagraph"/>
              <w:numPr>
                <w:ilvl w:val="0"/>
                <w:numId w:val="5"/>
              </w:numPr>
              <w:tabs>
                <w:tab w:pos="827" w:val="left" w:leader="none"/>
              </w:tabs>
              <w:spacing w:line="240" w:lineRule="auto" w:before="0" w:after="0"/>
              <w:ind w:left="836" w:right="33" w:hanging="361"/>
              <w:jc w:val="both"/>
              <w:rPr>
                <w:sz w:val="22"/>
              </w:rPr>
            </w:pPr>
            <w:r>
              <w:rPr>
                <w:sz w:val="22"/>
              </w:rPr>
              <w:t>Verifica si el Centro Educativo Público que se solicita anexar, cuenta con OPF activa y no cuente con convenio para transferencia de recursos impreso, firmado y</w:t>
            </w:r>
            <w:r>
              <w:rPr>
                <w:spacing w:val="-9"/>
                <w:sz w:val="22"/>
              </w:rPr>
              <w:t> </w:t>
            </w:r>
            <w:r>
              <w:rPr>
                <w:sz w:val="22"/>
              </w:rPr>
              <w:t>aprobado.</w:t>
            </w:r>
          </w:p>
          <w:p>
            <w:pPr>
              <w:pStyle w:val="TableParagraph"/>
              <w:spacing w:before="10"/>
              <w:rPr>
                <w:sz w:val="21"/>
              </w:rPr>
            </w:pPr>
          </w:p>
          <w:p>
            <w:pPr>
              <w:pStyle w:val="TableParagraph"/>
              <w:numPr>
                <w:ilvl w:val="0"/>
                <w:numId w:val="5"/>
              </w:numPr>
              <w:tabs>
                <w:tab w:pos="827" w:val="left" w:leader="none"/>
              </w:tabs>
              <w:spacing w:line="240" w:lineRule="auto" w:before="0" w:after="0"/>
              <w:ind w:left="836" w:right="34" w:hanging="361"/>
              <w:jc w:val="both"/>
              <w:rPr>
                <w:sz w:val="22"/>
              </w:rPr>
            </w:pPr>
            <w:r>
              <w:rPr>
                <w:sz w:val="22"/>
              </w:rPr>
              <w:t>Si es necesario realiza la inactivación de la OPF en el SDR, registra dicha información en la casilla de comentarios, para continuar con el trámite de anexión correspondiente a una OPF activa (el registro de la anexión puede verificarse posteriormente en el menú de Reportes, marcando la opción “Consulta de</w:t>
            </w:r>
            <w:r>
              <w:rPr>
                <w:spacing w:val="-5"/>
                <w:sz w:val="22"/>
              </w:rPr>
              <w:t> </w:t>
            </w:r>
            <w:r>
              <w:rPr>
                <w:sz w:val="22"/>
              </w:rPr>
              <w:t>Establecimiento”).</w:t>
            </w:r>
          </w:p>
          <w:p>
            <w:pPr>
              <w:pStyle w:val="TableParagraph"/>
              <w:spacing w:before="10"/>
              <w:rPr>
                <w:sz w:val="19"/>
              </w:rPr>
            </w:pPr>
          </w:p>
          <w:p>
            <w:pPr>
              <w:pStyle w:val="TableParagraph"/>
              <w:numPr>
                <w:ilvl w:val="0"/>
                <w:numId w:val="5"/>
              </w:numPr>
              <w:tabs>
                <w:tab w:pos="827" w:val="left" w:leader="none"/>
              </w:tabs>
              <w:spacing w:line="240" w:lineRule="auto" w:before="0" w:after="0"/>
              <w:ind w:left="836" w:right="32" w:hanging="361"/>
              <w:jc w:val="both"/>
              <w:rPr>
                <w:sz w:val="22"/>
              </w:rPr>
            </w:pPr>
            <w:r>
              <w:rPr>
                <w:sz w:val="22"/>
              </w:rPr>
              <w:t>Realiza la anexión en el SDR para lo cual registra el código del establecimiento que solicita la anexión a la OPF pura, agrega la información correspondiente en la casilla de comentarios, (el registro de la anexión puede verificarse posteriormente en el menú de Reportes, marcando la opción “Consulta de</w:t>
            </w:r>
            <w:r>
              <w:rPr>
                <w:spacing w:val="-3"/>
                <w:sz w:val="22"/>
              </w:rPr>
              <w:t> </w:t>
            </w:r>
            <w:r>
              <w:rPr>
                <w:sz w:val="22"/>
              </w:rPr>
              <w:t>Establecimiento”).</w:t>
            </w:r>
          </w:p>
          <w:p>
            <w:pPr>
              <w:pStyle w:val="TableParagraph"/>
              <w:spacing w:before="4"/>
              <w:rPr>
                <w:sz w:val="24"/>
              </w:rPr>
            </w:pPr>
          </w:p>
          <w:p>
            <w:pPr>
              <w:pStyle w:val="TableParagraph"/>
              <w:spacing w:before="1"/>
              <w:ind w:left="115" w:right="33"/>
              <w:jc w:val="both"/>
              <w:rPr>
                <w:sz w:val="22"/>
              </w:rPr>
            </w:pPr>
            <w:r>
              <w:rPr>
                <w:sz w:val="22"/>
              </w:rPr>
              <w:t>Si la documentación no está completa, no está en orden o la información es incorrecta, elabora documento de rechazo generado del SDR y devuelve con el expediente para su corrección.</w:t>
            </w:r>
          </w:p>
          <w:p>
            <w:pPr>
              <w:pStyle w:val="TableParagraph"/>
              <w:spacing w:before="9"/>
              <w:rPr>
                <w:sz w:val="21"/>
              </w:rPr>
            </w:pPr>
          </w:p>
          <w:p>
            <w:pPr>
              <w:pStyle w:val="TableParagraph"/>
              <w:numPr>
                <w:ilvl w:val="0"/>
                <w:numId w:val="6"/>
              </w:numPr>
              <w:tabs>
                <w:tab w:pos="827" w:val="left" w:leader="none"/>
              </w:tabs>
              <w:spacing w:line="240" w:lineRule="auto" w:before="0" w:after="0"/>
              <w:ind w:left="836" w:right="35" w:hanging="361"/>
              <w:jc w:val="both"/>
              <w:rPr>
                <w:sz w:val="20"/>
              </w:rPr>
            </w:pPr>
            <w:r>
              <w:rPr>
                <w:b/>
                <w:sz w:val="20"/>
              </w:rPr>
              <w:t>NOTA 1: </w:t>
            </w:r>
            <w:r>
              <w:rPr>
                <w:sz w:val="20"/>
              </w:rPr>
              <w:t>En caso de cambio de Organización (sustitución de una Junta Escolar, Comité Educativo, Consejo de Padres de Familia o Consejo Educativo por una OPF) de una OPF Pura, simultáneamente debe gestionarse un nuevo expediente de ANEXIÓN a la nueva</w:t>
            </w:r>
            <w:r>
              <w:rPr>
                <w:spacing w:val="-6"/>
                <w:sz w:val="20"/>
              </w:rPr>
              <w:t> </w:t>
            </w:r>
            <w:r>
              <w:rPr>
                <w:sz w:val="20"/>
              </w:rPr>
              <w:t>OPF.</w:t>
            </w:r>
          </w:p>
          <w:p>
            <w:pPr>
              <w:pStyle w:val="TableParagraph"/>
              <w:spacing w:before="11"/>
              <w:rPr>
                <w:sz w:val="20"/>
              </w:rPr>
            </w:pPr>
          </w:p>
          <w:p>
            <w:pPr>
              <w:pStyle w:val="TableParagraph"/>
              <w:numPr>
                <w:ilvl w:val="0"/>
                <w:numId w:val="6"/>
              </w:numPr>
              <w:tabs>
                <w:tab w:pos="767" w:val="left" w:leader="none"/>
              </w:tabs>
              <w:spacing w:line="235" w:lineRule="auto" w:before="0" w:after="0"/>
              <w:ind w:left="778" w:right="24" w:hanging="361"/>
              <w:jc w:val="both"/>
              <w:rPr>
                <w:sz w:val="20"/>
              </w:rPr>
            </w:pPr>
            <w:r>
              <w:rPr>
                <w:b/>
                <w:sz w:val="20"/>
              </w:rPr>
              <w:t>NOTA 2: </w:t>
            </w:r>
            <w:r>
              <w:rPr>
                <w:sz w:val="20"/>
              </w:rPr>
              <w:t>No es procedente acompañar expedientes de ANEXIÓN a los expedientes de Constitución de nuevas OPF.</w:t>
            </w:r>
          </w:p>
        </w:tc>
      </w:tr>
      <w:tr>
        <w:trPr>
          <w:trHeight w:val="1404" w:hRule="atLeast"/>
        </w:trPr>
        <w:tc>
          <w:tcPr>
            <w:tcW w:w="1157" w:type="dxa"/>
          </w:tcPr>
          <w:p>
            <w:pPr>
              <w:pStyle w:val="TableParagraph"/>
              <w:rPr>
                <w:sz w:val="16"/>
              </w:rPr>
            </w:pPr>
          </w:p>
          <w:p>
            <w:pPr>
              <w:pStyle w:val="TableParagraph"/>
              <w:spacing w:before="3"/>
              <w:rPr>
                <w:sz w:val="14"/>
              </w:rPr>
            </w:pPr>
          </w:p>
          <w:p>
            <w:pPr>
              <w:pStyle w:val="TableParagraph"/>
              <w:ind w:left="293" w:right="179" w:hanging="85"/>
              <w:rPr>
                <w:b/>
                <w:sz w:val="14"/>
              </w:rPr>
            </w:pPr>
            <w:r>
              <w:rPr>
                <w:b/>
                <w:sz w:val="14"/>
              </w:rPr>
              <w:t>4. Aprobar, Foliar y Archivar</w:t>
            </w:r>
          </w:p>
          <w:p>
            <w:pPr>
              <w:pStyle w:val="TableParagraph"/>
              <w:spacing w:line="160" w:lineRule="exact"/>
              <w:ind w:left="211"/>
              <w:rPr>
                <w:b/>
                <w:sz w:val="14"/>
              </w:rPr>
            </w:pPr>
            <w:r>
              <w:rPr>
                <w:b/>
                <w:sz w:val="14"/>
              </w:rPr>
              <w:t>expediente</w:t>
            </w:r>
          </w:p>
        </w:tc>
        <w:tc>
          <w:tcPr>
            <w:tcW w:w="1111" w:type="dxa"/>
          </w:tcPr>
          <w:p>
            <w:pPr>
              <w:pStyle w:val="TableParagraph"/>
              <w:spacing w:before="3"/>
              <w:rPr>
                <w:sz w:val="16"/>
              </w:rPr>
            </w:pPr>
          </w:p>
          <w:p>
            <w:pPr>
              <w:pStyle w:val="TableParagraph"/>
              <w:ind w:left="38" w:right="29" w:firstLine="5"/>
              <w:jc w:val="center"/>
              <w:rPr>
                <w:sz w:val="14"/>
              </w:rPr>
            </w:pPr>
            <w:r>
              <w:rPr>
                <w:sz w:val="14"/>
              </w:rPr>
              <w:t>Persona designada por </w:t>
            </w:r>
            <w:r>
              <w:rPr>
                <w:spacing w:val="-8"/>
                <w:sz w:val="14"/>
              </w:rPr>
              <w:t>el </w:t>
            </w:r>
            <w:r>
              <w:rPr>
                <w:sz w:val="14"/>
              </w:rPr>
              <w:t>Subdirector / Jefe de DEFOCE</w:t>
            </w:r>
          </w:p>
        </w:tc>
        <w:tc>
          <w:tcPr>
            <w:tcW w:w="8534" w:type="dxa"/>
          </w:tcPr>
          <w:p>
            <w:pPr>
              <w:pStyle w:val="TableParagraph"/>
              <w:spacing w:before="52"/>
              <w:ind w:left="115" w:right="38"/>
              <w:jc w:val="both"/>
              <w:rPr>
                <w:sz w:val="22"/>
              </w:rPr>
            </w:pPr>
            <w:r>
              <w:rPr>
                <w:sz w:val="22"/>
              </w:rPr>
              <w:t>Aprueba el expediente en el SDR, se numeran los folios en orden correlativo a continuación de sus antecedentes y posteriormente se ingresa al archivo de la Subdirección/Departamento de Fortalecimiento a la Comunidad Educativa de la Dirección Departamental de Educación, para ser incorporado al expediente de la OPF Pura, para su resguardo y custodia (verificar estatus de</w:t>
            </w:r>
            <w:r>
              <w:rPr>
                <w:spacing w:val="-14"/>
                <w:sz w:val="22"/>
              </w:rPr>
              <w:t> </w:t>
            </w:r>
            <w:r>
              <w:rPr>
                <w:sz w:val="22"/>
              </w:rPr>
              <w:t>archivado).</w:t>
            </w:r>
          </w:p>
        </w:tc>
      </w:tr>
    </w:tbl>
    <w:p>
      <w:pPr>
        <w:pStyle w:val="BodyText"/>
        <w:spacing w:before="8"/>
        <w:rPr>
          <w:sz w:val="13"/>
        </w:rPr>
      </w:pPr>
    </w:p>
    <w:p>
      <w:pPr>
        <w:pStyle w:val="ListParagraph"/>
        <w:numPr>
          <w:ilvl w:val="1"/>
          <w:numId w:val="2"/>
        </w:numPr>
        <w:tabs>
          <w:tab w:pos="1605" w:val="left" w:leader="none"/>
          <w:tab w:pos="1606" w:val="left" w:leader="none"/>
        </w:tabs>
        <w:spacing w:line="240" w:lineRule="auto" w:before="92" w:after="0"/>
        <w:ind w:left="1605" w:right="0" w:hanging="1055"/>
        <w:jc w:val="left"/>
        <w:rPr>
          <w:b/>
          <w:sz w:val="22"/>
        </w:rPr>
      </w:pPr>
      <w:r>
        <w:rPr>
          <w:b/>
          <w:sz w:val="22"/>
        </w:rPr>
        <w:t>Desanexión</w:t>
      </w:r>
    </w:p>
    <w:p>
      <w:pPr>
        <w:pStyle w:val="BodyText"/>
        <w:spacing w:before="8"/>
        <w:rPr>
          <w:b/>
          <w:sz w:val="21"/>
        </w:rPr>
      </w:pPr>
    </w:p>
    <w:p>
      <w:pPr>
        <w:pStyle w:val="BodyText"/>
        <w:ind w:left="551" w:right="111"/>
      </w:pPr>
      <w:r>
        <w:rPr/>
        <w:t>El proceso de desanexión podrá realizarse posteriormente al pago del último desembolso de cada año, para los programas de apoyo.</w:t>
      </w:r>
    </w:p>
    <w:p>
      <w:pPr>
        <w:pStyle w:val="BodyText"/>
        <w:spacing w:before="2"/>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828"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spacing w:before="1"/>
              <w:rPr>
                <w:sz w:val="17"/>
              </w:rPr>
            </w:pPr>
          </w:p>
          <w:p>
            <w:pPr>
              <w:pStyle w:val="TableParagraph"/>
              <w:ind w:left="194" w:firstLine="33"/>
              <w:rPr>
                <w:b/>
                <w:sz w:val="14"/>
              </w:rPr>
            </w:pPr>
            <w:r>
              <w:rPr>
                <w:b/>
                <w:sz w:val="14"/>
              </w:rPr>
              <w:t>1. Solicitar </w:t>
            </w:r>
            <w:r>
              <w:rPr>
                <w:b/>
                <w:w w:val="95"/>
                <w:sz w:val="14"/>
              </w:rPr>
              <w:t>desanexión</w:t>
            </w:r>
          </w:p>
        </w:tc>
        <w:tc>
          <w:tcPr>
            <w:tcW w:w="1114" w:type="dxa"/>
          </w:tcPr>
          <w:p>
            <w:pPr>
              <w:pStyle w:val="TableParagraph"/>
              <w:spacing w:before="4"/>
              <w:rPr>
                <w:sz w:val="23"/>
              </w:rPr>
            </w:pPr>
          </w:p>
          <w:p>
            <w:pPr>
              <w:pStyle w:val="TableParagraph"/>
              <w:spacing w:before="1"/>
              <w:ind w:left="95" w:right="86"/>
              <w:jc w:val="center"/>
              <w:rPr>
                <w:sz w:val="14"/>
              </w:rPr>
            </w:pPr>
            <w:r>
              <w:rPr>
                <w:sz w:val="14"/>
              </w:rPr>
              <w:t>Miembro de la Comunidad Educativa del Centro Educativo Público que pretende ser desanexado</w:t>
            </w:r>
          </w:p>
        </w:tc>
        <w:tc>
          <w:tcPr>
            <w:tcW w:w="8561" w:type="dxa"/>
          </w:tcPr>
          <w:p>
            <w:pPr>
              <w:pStyle w:val="TableParagraph"/>
              <w:spacing w:before="26"/>
              <w:ind w:left="82" w:right="47"/>
              <w:jc w:val="both"/>
              <w:rPr>
                <w:sz w:val="22"/>
              </w:rPr>
            </w:pPr>
            <w:r>
              <w:rPr>
                <w:sz w:val="22"/>
              </w:rPr>
              <w:t>En el caso que por diferentes motivos la Comunidad Educativa del Centro Educativo Público anexado anteriormente, considere que es necesario solicitar la desanexión de la OPF, realiza las acciones siguientes:</w:t>
            </w:r>
          </w:p>
          <w:p>
            <w:pPr>
              <w:pStyle w:val="TableParagraph"/>
              <w:spacing w:before="1"/>
              <w:rPr>
                <w:sz w:val="22"/>
              </w:rPr>
            </w:pPr>
          </w:p>
          <w:p>
            <w:pPr>
              <w:pStyle w:val="TableParagraph"/>
              <w:ind w:left="803" w:right="49" w:hanging="361"/>
              <w:rPr>
                <w:sz w:val="22"/>
              </w:rPr>
            </w:pPr>
            <w:r>
              <w:rPr>
                <w:sz w:val="22"/>
              </w:rPr>
              <w:t>1. Registra información en el formulario PRA-FOR-105 “Solicitud de Desanexión de un Centro Educativo Público”.</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5 de 9</w:t>
            </w:r>
          </w:p>
        </w:tc>
      </w:tr>
    </w:tbl>
    <w:p>
      <w:pPr>
        <w:pStyle w:val="BodyText"/>
        <w:spacing w:before="9"/>
        <w:rPr>
          <w:sz w:val="9"/>
        </w:rPr>
      </w:pPr>
    </w:p>
    <w:p>
      <w:pPr>
        <w:pStyle w:val="BodyText"/>
        <w:spacing w:before="7"/>
        <w:rPr>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3571"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numPr>
                <w:ilvl w:val="0"/>
                <w:numId w:val="7"/>
              </w:numPr>
              <w:tabs>
                <w:tab w:pos="792" w:val="left" w:leader="none"/>
              </w:tabs>
              <w:spacing w:line="240" w:lineRule="auto" w:before="26" w:after="0"/>
              <w:ind w:left="803" w:right="47" w:hanging="361"/>
              <w:jc w:val="both"/>
              <w:rPr>
                <w:sz w:val="22"/>
              </w:rPr>
            </w:pPr>
            <w:r>
              <w:rPr>
                <w:sz w:val="22"/>
              </w:rPr>
              <w:t>Gestiona las firmas de tres (3) miembros de la Comunidad Educativa solicitantes y del Presidente y Secretario de la OPF de la cual se pretende hacer la</w:t>
            </w:r>
            <w:r>
              <w:rPr>
                <w:spacing w:val="1"/>
                <w:sz w:val="22"/>
              </w:rPr>
              <w:t> </w:t>
            </w:r>
            <w:r>
              <w:rPr>
                <w:sz w:val="22"/>
              </w:rPr>
              <w:t>desanexión.</w:t>
            </w:r>
          </w:p>
          <w:p>
            <w:pPr>
              <w:pStyle w:val="TableParagraph"/>
              <w:spacing w:before="1"/>
              <w:rPr>
                <w:sz w:val="22"/>
              </w:rPr>
            </w:pPr>
          </w:p>
          <w:p>
            <w:pPr>
              <w:pStyle w:val="TableParagraph"/>
              <w:numPr>
                <w:ilvl w:val="0"/>
                <w:numId w:val="7"/>
              </w:numPr>
              <w:tabs>
                <w:tab w:pos="792" w:val="left" w:leader="none"/>
              </w:tabs>
              <w:spacing w:line="240" w:lineRule="auto" w:before="0" w:after="0"/>
              <w:ind w:left="803" w:right="46" w:hanging="361"/>
              <w:jc w:val="both"/>
              <w:rPr>
                <w:sz w:val="22"/>
              </w:rPr>
            </w:pPr>
            <w:r>
              <w:rPr>
                <w:sz w:val="22"/>
              </w:rPr>
              <w:t>Adjunta a dicha solicitud, fotocopia simple y legible del Documento Personal de Identificación -DPI-, de las personas que figuren en el formulario PRA-FOR-105.</w:t>
            </w:r>
          </w:p>
          <w:p>
            <w:pPr>
              <w:pStyle w:val="TableParagraph"/>
              <w:spacing w:before="9"/>
              <w:rPr>
                <w:sz w:val="20"/>
              </w:rPr>
            </w:pPr>
          </w:p>
          <w:p>
            <w:pPr>
              <w:pStyle w:val="TableParagraph"/>
              <w:numPr>
                <w:ilvl w:val="0"/>
                <w:numId w:val="7"/>
              </w:numPr>
              <w:tabs>
                <w:tab w:pos="792" w:val="left" w:leader="none"/>
              </w:tabs>
              <w:spacing w:line="240" w:lineRule="auto" w:before="0" w:after="0"/>
              <w:ind w:left="803" w:right="50" w:hanging="361"/>
              <w:jc w:val="both"/>
              <w:rPr>
                <w:sz w:val="22"/>
              </w:rPr>
            </w:pPr>
            <w:r>
              <w:rPr>
                <w:sz w:val="22"/>
              </w:rPr>
              <w:t>Registra información en el formulario PRA-FOR-106 “Solicitud de Desanexión dirigida al Director Departamental de Educación”, exponiendo los motivos por los cuales se solicita dicha</w:t>
            </w:r>
            <w:r>
              <w:rPr>
                <w:spacing w:val="-4"/>
                <w:sz w:val="22"/>
              </w:rPr>
              <w:t> </w:t>
            </w:r>
            <w:r>
              <w:rPr>
                <w:sz w:val="22"/>
              </w:rPr>
              <w:t>desanexión.</w:t>
            </w:r>
          </w:p>
          <w:p>
            <w:pPr>
              <w:pStyle w:val="TableParagraph"/>
              <w:spacing w:before="10"/>
              <w:rPr>
                <w:sz w:val="20"/>
              </w:rPr>
            </w:pPr>
          </w:p>
          <w:p>
            <w:pPr>
              <w:pStyle w:val="TableParagraph"/>
              <w:ind w:left="82" w:right="49"/>
              <w:rPr>
                <w:sz w:val="22"/>
              </w:rPr>
            </w:pPr>
            <w:r>
              <w:rPr>
                <w:sz w:val="22"/>
              </w:rPr>
              <w:t>Traslada la documentación descrita anteriormente, a la Dirección Departamental de Educación para el trámite que corresponda.</w:t>
            </w:r>
          </w:p>
        </w:tc>
      </w:tr>
      <w:tr>
        <w:trPr>
          <w:trHeight w:val="1846" w:hRule="atLeast"/>
        </w:trPr>
        <w:tc>
          <w:tcPr>
            <w:tcW w:w="1160"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12"/>
              <w:ind w:left="184" w:right="152" w:firstLine="82"/>
              <w:rPr>
                <w:b/>
                <w:sz w:val="14"/>
              </w:rPr>
            </w:pPr>
            <w:r>
              <w:rPr>
                <w:b/>
                <w:sz w:val="14"/>
              </w:rPr>
              <w:t>2. Recibir expediente, crear Lote y</w:t>
            </w:r>
          </w:p>
          <w:p>
            <w:pPr>
              <w:pStyle w:val="TableParagraph"/>
              <w:spacing w:line="160" w:lineRule="exact"/>
              <w:ind w:left="285"/>
              <w:rPr>
                <w:b/>
                <w:sz w:val="14"/>
              </w:rPr>
            </w:pPr>
            <w:r>
              <w:rPr>
                <w:b/>
                <w:sz w:val="14"/>
              </w:rPr>
              <w:t>trasladar</w:t>
            </w:r>
          </w:p>
        </w:tc>
        <w:tc>
          <w:tcPr>
            <w:tcW w:w="1114"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
              <w:rPr>
                <w:sz w:val="18"/>
              </w:rPr>
            </w:pPr>
          </w:p>
          <w:p>
            <w:pPr>
              <w:pStyle w:val="TableParagraph"/>
              <w:ind w:left="95" w:right="88"/>
              <w:jc w:val="center"/>
              <w:rPr>
                <w:sz w:val="14"/>
              </w:rPr>
            </w:pPr>
            <w:r>
              <w:rPr>
                <w:sz w:val="14"/>
              </w:rPr>
              <w:t>Asistente </w:t>
            </w:r>
            <w:r>
              <w:rPr>
                <w:w w:val="95"/>
                <w:sz w:val="14"/>
              </w:rPr>
              <w:t>Departamento/ </w:t>
            </w:r>
            <w:r>
              <w:rPr>
                <w:sz w:val="14"/>
              </w:rPr>
              <w:t>Sección de Organización Escolar</w:t>
            </w:r>
          </w:p>
        </w:tc>
        <w:tc>
          <w:tcPr>
            <w:tcW w:w="8561" w:type="dxa"/>
            <w:tcBorders>
              <w:bottom w:val="nil"/>
            </w:tcBorders>
          </w:tcPr>
          <w:p>
            <w:pPr>
              <w:pStyle w:val="TableParagraph"/>
              <w:spacing w:before="156"/>
              <w:ind w:left="82" w:right="92"/>
              <w:jc w:val="both"/>
              <w:rPr>
                <w:sz w:val="22"/>
              </w:rPr>
            </w:pPr>
            <w:r>
              <w:rPr>
                <w:sz w:val="22"/>
              </w:rPr>
              <w:t>Recibe expediente, revisa que la documentación esté completa y en orden, ingresa al SDR con el “Rol Actualización OPF DIDEDUC” y crea un Lote, genera Boleta de traslado, imprime, firma y sella, adjunta al expediente para concretar las acciones de desanexión y traslada a la Persona designada por el Subdirector/Jefe del Departamento de Fortalecimiento a la Comunidad Educativa, identificando la solicitud con el código de la OPF a la que se realizará la desanexión.</w:t>
            </w:r>
          </w:p>
        </w:tc>
      </w:tr>
      <w:tr>
        <w:trPr>
          <w:trHeight w:val="870"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before="80"/>
              <w:ind w:left="82" w:right="48"/>
              <w:jc w:val="both"/>
              <w:rPr>
                <w:sz w:val="22"/>
              </w:rPr>
            </w:pPr>
            <w:r>
              <w:rPr>
                <w:sz w:val="22"/>
              </w:rPr>
              <w:t>Si no cumple con la información requerida, entrega el expediente Miembro de la Comunidad Educativa del Centro Educativo público que pretende ser desanexado para que realice las correcciones necesarias.</w:t>
            </w:r>
          </w:p>
        </w:tc>
      </w:tr>
      <w:tr>
        <w:trPr>
          <w:trHeight w:val="938" w:hRule="atLeast"/>
        </w:trPr>
        <w:tc>
          <w:tcPr>
            <w:tcW w:w="1160"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61" w:type="dxa"/>
            <w:tcBorders>
              <w:bottom w:val="nil"/>
            </w:tcBorders>
          </w:tcPr>
          <w:p>
            <w:pPr>
              <w:pStyle w:val="TableParagraph"/>
              <w:spacing w:before="52"/>
              <w:ind w:left="164" w:right="101"/>
              <w:jc w:val="both"/>
              <w:rPr>
                <w:sz w:val="22"/>
              </w:rPr>
            </w:pPr>
            <w:r>
              <w:rPr>
                <w:sz w:val="22"/>
              </w:rPr>
              <w:t>Recibe Boleta de traslado y expedientes, firma como constancia de haber recibido los mismos revisa que la documentación esté completa y en orden, si está correcta, ingresa al SDR y realiza las acciones siguientes:</w:t>
            </w:r>
          </w:p>
        </w:tc>
      </w:tr>
      <w:tr>
        <w:trPr>
          <w:trHeight w:val="1011"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before="122"/>
              <w:ind w:left="887" w:right="91" w:hanging="361"/>
              <w:jc w:val="both"/>
              <w:rPr>
                <w:sz w:val="22"/>
              </w:rPr>
            </w:pPr>
            <w:r>
              <w:rPr>
                <w:sz w:val="22"/>
              </w:rPr>
              <w:t>1. Verifica si el Centro Educativo Público que se solicita desanexar no se encuentra incluido en el convenio vigente para transferencia de recursos impreso, firmado y aprobado.</w:t>
            </w:r>
          </w:p>
        </w:tc>
      </w:tr>
      <w:tr>
        <w:trPr>
          <w:trHeight w:val="1513" w:hRule="atLeast"/>
        </w:trPr>
        <w:tc>
          <w:tcPr>
            <w:tcW w:w="1160" w:type="dxa"/>
            <w:tcBorders>
              <w:top w:val="nil"/>
              <w:bottom w:val="nil"/>
            </w:tcBorders>
          </w:tcPr>
          <w:p>
            <w:pPr>
              <w:pStyle w:val="TableParagraph"/>
              <w:rPr>
                <w:sz w:val="16"/>
              </w:rPr>
            </w:pPr>
          </w:p>
          <w:p>
            <w:pPr>
              <w:pStyle w:val="TableParagraph"/>
              <w:rPr>
                <w:sz w:val="20"/>
              </w:rPr>
            </w:pPr>
          </w:p>
          <w:p>
            <w:pPr>
              <w:pStyle w:val="TableParagraph"/>
              <w:ind w:left="196" w:firstLine="70"/>
              <w:rPr>
                <w:b/>
                <w:sz w:val="14"/>
              </w:rPr>
            </w:pPr>
            <w:r>
              <w:rPr>
                <w:b/>
                <w:sz w:val="14"/>
              </w:rPr>
              <w:t>3. Recibir </w:t>
            </w:r>
            <w:r>
              <w:rPr>
                <w:b/>
                <w:w w:val="95"/>
                <w:sz w:val="14"/>
              </w:rPr>
              <w:t>expediente,</w:t>
            </w:r>
          </w:p>
          <w:p>
            <w:pPr>
              <w:pStyle w:val="TableParagraph"/>
              <w:ind w:left="98" w:right="67" w:firstLine="194"/>
              <w:rPr>
                <w:b/>
                <w:sz w:val="14"/>
              </w:rPr>
            </w:pPr>
            <w:r>
              <w:rPr>
                <w:b/>
                <w:sz w:val="14"/>
              </w:rPr>
              <w:t>revisar e ingresar datos</w:t>
            </w:r>
          </w:p>
        </w:tc>
        <w:tc>
          <w:tcPr>
            <w:tcW w:w="1114" w:type="dxa"/>
            <w:tcBorders>
              <w:top w:val="nil"/>
              <w:bottom w:val="nil"/>
            </w:tcBorders>
          </w:tcPr>
          <w:p>
            <w:pPr>
              <w:pStyle w:val="TableParagraph"/>
              <w:spacing w:before="3"/>
              <w:rPr>
                <w:sz w:val="22"/>
              </w:rPr>
            </w:pPr>
          </w:p>
          <w:p>
            <w:pPr>
              <w:pStyle w:val="TableParagraph"/>
              <w:ind w:left="37" w:right="32" w:firstLine="5"/>
              <w:jc w:val="center"/>
              <w:rPr>
                <w:sz w:val="14"/>
              </w:rPr>
            </w:pPr>
            <w:r>
              <w:rPr>
                <w:sz w:val="14"/>
              </w:rPr>
              <w:t>Persona designada por </w:t>
            </w:r>
            <w:r>
              <w:rPr>
                <w:spacing w:val="-7"/>
                <w:sz w:val="14"/>
              </w:rPr>
              <w:t>el </w:t>
            </w:r>
            <w:r>
              <w:rPr>
                <w:sz w:val="14"/>
              </w:rPr>
              <w:t>Subdirector / Jefe de DEFOCE</w:t>
            </w:r>
          </w:p>
        </w:tc>
        <w:tc>
          <w:tcPr>
            <w:tcW w:w="8561" w:type="dxa"/>
            <w:tcBorders>
              <w:top w:val="nil"/>
              <w:bottom w:val="nil"/>
            </w:tcBorders>
          </w:tcPr>
          <w:p>
            <w:pPr>
              <w:pStyle w:val="TableParagraph"/>
              <w:spacing w:before="123"/>
              <w:ind w:left="887" w:right="44" w:hanging="361"/>
              <w:jc w:val="both"/>
              <w:rPr>
                <w:sz w:val="22"/>
              </w:rPr>
            </w:pPr>
            <w:r>
              <w:rPr>
                <w:sz w:val="22"/>
              </w:rPr>
              <w:t>2. Realiza la desanexión en el SDR para lo cual elimina el código del establecimiento que solicita la desanexión de la OPF pura a la que se encuentra anexa, agrega la información correspondiente en la casilla de comentarios, (el registro de la desanexión puede verificarse posteriormente en el menú de Reportes, marcando la opción “Consulta de</w:t>
            </w:r>
            <w:r>
              <w:rPr>
                <w:spacing w:val="-32"/>
                <w:sz w:val="22"/>
              </w:rPr>
              <w:t> </w:t>
            </w:r>
            <w:r>
              <w:rPr>
                <w:sz w:val="22"/>
              </w:rPr>
              <w:t>Establecimiento”.</w:t>
            </w:r>
          </w:p>
        </w:tc>
      </w:tr>
      <w:tr>
        <w:trPr>
          <w:trHeight w:val="1004" w:hRule="atLeast"/>
        </w:trPr>
        <w:tc>
          <w:tcPr>
            <w:tcW w:w="1160"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61" w:type="dxa"/>
            <w:tcBorders>
              <w:top w:val="nil"/>
              <w:bottom w:val="nil"/>
            </w:tcBorders>
          </w:tcPr>
          <w:p>
            <w:pPr>
              <w:pStyle w:val="TableParagraph"/>
              <w:spacing w:before="117"/>
              <w:ind w:left="887" w:right="99" w:hanging="363"/>
              <w:jc w:val="both"/>
              <w:rPr>
                <w:sz w:val="22"/>
              </w:rPr>
            </w:pPr>
            <w:r>
              <w:rPr>
                <w:sz w:val="22"/>
              </w:rPr>
              <w:t>3. Si el Centro Educativo Público DESANEXADO cuenta con su propia OPF, esta debe quedar en estado ACTIVO en el SDR para gestionar la actualización</w:t>
            </w:r>
            <w:r>
              <w:rPr>
                <w:spacing w:val="-1"/>
                <w:sz w:val="22"/>
              </w:rPr>
              <w:t> </w:t>
            </w:r>
            <w:r>
              <w:rPr>
                <w:sz w:val="22"/>
              </w:rPr>
              <w:t>correspondiente.</w:t>
            </w:r>
          </w:p>
        </w:tc>
      </w:tr>
      <w:tr>
        <w:trPr>
          <w:trHeight w:val="912"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before="123"/>
              <w:ind w:left="82" w:right="49"/>
              <w:jc w:val="both"/>
              <w:rPr>
                <w:sz w:val="22"/>
              </w:rPr>
            </w:pPr>
            <w:r>
              <w:rPr>
                <w:sz w:val="22"/>
              </w:rPr>
              <w:t>Si la documentación no está completa, no está en orden o la información es incorrecta, elabora documento de rechazo generado del SDR y devuelve con el expediente para su corrección.</w:t>
            </w:r>
          </w:p>
        </w:tc>
      </w:tr>
      <w:tr>
        <w:trPr>
          <w:trHeight w:val="1040" w:hRule="atLeast"/>
        </w:trPr>
        <w:tc>
          <w:tcPr>
            <w:tcW w:w="1160" w:type="dxa"/>
            <w:tcBorders>
              <w:bottom w:val="nil"/>
            </w:tcBorders>
          </w:tcPr>
          <w:p>
            <w:pPr>
              <w:pStyle w:val="TableParagraph"/>
              <w:spacing w:before="1"/>
              <w:rPr>
                <w:sz w:val="22"/>
              </w:rPr>
            </w:pPr>
          </w:p>
          <w:p>
            <w:pPr>
              <w:pStyle w:val="TableParagraph"/>
              <w:spacing w:before="1"/>
              <w:ind w:left="297" w:right="180" w:hanging="87"/>
              <w:rPr>
                <w:b/>
                <w:sz w:val="14"/>
              </w:rPr>
            </w:pPr>
            <w:r>
              <w:rPr>
                <w:b/>
                <w:sz w:val="14"/>
              </w:rPr>
              <w:t>4. Aprobar, Foliar y Archivar</w:t>
            </w:r>
          </w:p>
          <w:p>
            <w:pPr>
              <w:pStyle w:val="TableParagraph"/>
              <w:spacing w:line="160" w:lineRule="exact"/>
              <w:ind w:left="215"/>
              <w:rPr>
                <w:b/>
                <w:sz w:val="14"/>
              </w:rPr>
            </w:pPr>
            <w:r>
              <w:rPr>
                <w:b/>
                <w:sz w:val="14"/>
              </w:rPr>
              <w:t>expediente</w:t>
            </w:r>
          </w:p>
        </w:tc>
        <w:tc>
          <w:tcPr>
            <w:tcW w:w="1114" w:type="dxa"/>
            <w:tcBorders>
              <w:bottom w:val="nil"/>
            </w:tcBorders>
          </w:tcPr>
          <w:p>
            <w:pPr>
              <w:pStyle w:val="TableParagraph"/>
              <w:spacing w:before="3"/>
              <w:rPr>
                <w:sz w:val="15"/>
              </w:rPr>
            </w:pPr>
          </w:p>
          <w:p>
            <w:pPr>
              <w:pStyle w:val="TableParagraph"/>
              <w:ind w:left="37" w:right="32" w:firstLine="5"/>
              <w:jc w:val="center"/>
              <w:rPr>
                <w:sz w:val="14"/>
              </w:rPr>
            </w:pPr>
            <w:r>
              <w:rPr>
                <w:sz w:val="14"/>
              </w:rPr>
              <w:t>Persona designada por </w:t>
            </w:r>
            <w:r>
              <w:rPr>
                <w:spacing w:val="-7"/>
                <w:sz w:val="14"/>
              </w:rPr>
              <w:t>el </w:t>
            </w:r>
            <w:r>
              <w:rPr>
                <w:sz w:val="14"/>
              </w:rPr>
              <w:t>Subdirector / Jefe de DEFOCE</w:t>
            </w:r>
          </w:p>
        </w:tc>
        <w:tc>
          <w:tcPr>
            <w:tcW w:w="8561" w:type="dxa"/>
            <w:tcBorders>
              <w:bottom w:val="nil"/>
            </w:tcBorders>
          </w:tcPr>
          <w:p>
            <w:pPr>
              <w:pStyle w:val="TableParagraph"/>
              <w:spacing w:before="26"/>
              <w:ind w:left="82" w:right="47"/>
              <w:jc w:val="both"/>
              <w:rPr>
                <w:sz w:val="22"/>
              </w:rPr>
            </w:pPr>
            <w:r>
              <w:rPr>
                <w:sz w:val="22"/>
              </w:rPr>
              <w:t>Aprueba el expediente en el SDR, se numeran los folios en orden correlativo a continuación de sus antecedentes y posteriormente se ingresa al archivo de la Subdirección/Departamento </w:t>
            </w:r>
            <w:r>
              <w:rPr>
                <w:spacing w:val="17"/>
                <w:sz w:val="22"/>
              </w:rPr>
              <w:t> </w:t>
            </w:r>
            <w:r>
              <w:rPr>
                <w:sz w:val="22"/>
              </w:rPr>
              <w:t>de </w:t>
            </w:r>
            <w:r>
              <w:rPr>
                <w:spacing w:val="17"/>
                <w:sz w:val="22"/>
              </w:rPr>
              <w:t> </w:t>
            </w:r>
            <w:r>
              <w:rPr>
                <w:sz w:val="22"/>
              </w:rPr>
              <w:t>Fortalecimiento </w:t>
            </w:r>
            <w:r>
              <w:rPr>
                <w:spacing w:val="15"/>
                <w:sz w:val="22"/>
              </w:rPr>
              <w:t> </w:t>
            </w:r>
            <w:r>
              <w:rPr>
                <w:sz w:val="22"/>
              </w:rPr>
              <w:t>a </w:t>
            </w:r>
            <w:r>
              <w:rPr>
                <w:spacing w:val="17"/>
                <w:sz w:val="22"/>
              </w:rPr>
              <w:t> </w:t>
            </w:r>
            <w:r>
              <w:rPr>
                <w:sz w:val="22"/>
              </w:rPr>
              <w:t>la </w:t>
            </w:r>
            <w:r>
              <w:rPr>
                <w:spacing w:val="18"/>
                <w:sz w:val="22"/>
              </w:rPr>
              <w:t> </w:t>
            </w:r>
            <w:r>
              <w:rPr>
                <w:sz w:val="22"/>
              </w:rPr>
              <w:t>Comunidad </w:t>
            </w:r>
            <w:r>
              <w:rPr>
                <w:spacing w:val="17"/>
                <w:sz w:val="22"/>
              </w:rPr>
              <w:t> </w:t>
            </w:r>
            <w:r>
              <w:rPr>
                <w:sz w:val="22"/>
              </w:rPr>
              <w:t>Educativa </w:t>
            </w:r>
            <w:r>
              <w:rPr>
                <w:spacing w:val="17"/>
                <w:sz w:val="22"/>
              </w:rPr>
              <w:t> </w:t>
            </w:r>
            <w:r>
              <w:rPr>
                <w:sz w:val="22"/>
              </w:rPr>
              <w:t>de </w:t>
            </w:r>
            <w:r>
              <w:rPr>
                <w:spacing w:val="19"/>
                <w:sz w:val="22"/>
              </w:rPr>
              <w:t> </w:t>
            </w:r>
            <w:r>
              <w:rPr>
                <w:sz w:val="22"/>
              </w:rPr>
              <w:t>la</w:t>
            </w:r>
          </w:p>
          <w:p>
            <w:pPr>
              <w:pStyle w:val="TableParagraph"/>
              <w:spacing w:line="235" w:lineRule="exact"/>
              <w:ind w:left="82"/>
              <w:jc w:val="both"/>
              <w:rPr>
                <w:sz w:val="22"/>
              </w:rPr>
            </w:pPr>
            <w:r>
              <w:rPr>
                <w:sz w:val="22"/>
              </w:rPr>
              <w:t>Dirección departamental, para ser incorporado al expediente de la OPF Pura, para</w:t>
            </w:r>
            <w:r>
              <w:rPr>
                <w:spacing w:val="52"/>
                <w:sz w:val="22"/>
              </w:rPr>
              <w:t> </w:t>
            </w:r>
            <w:r>
              <w:rPr>
                <w:sz w:val="22"/>
              </w:rPr>
              <w:t>su</w:t>
            </w:r>
          </w:p>
        </w:tc>
      </w:tr>
      <w:tr>
        <w:trPr>
          <w:trHeight w:val="281" w:hRule="atLeast"/>
        </w:trPr>
        <w:tc>
          <w:tcPr>
            <w:tcW w:w="1160"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61" w:type="dxa"/>
            <w:tcBorders>
              <w:top w:val="nil"/>
            </w:tcBorders>
          </w:tcPr>
          <w:p>
            <w:pPr>
              <w:pStyle w:val="TableParagraph"/>
              <w:spacing w:line="249" w:lineRule="exact"/>
              <w:ind w:left="82"/>
              <w:rPr>
                <w:sz w:val="22"/>
              </w:rPr>
            </w:pPr>
            <w:r>
              <w:rPr>
                <w:sz w:val="22"/>
              </w:rPr>
              <w:t>resguardo y custodia. (Verificar estatus de archivado).</w:t>
            </w:r>
          </w:p>
        </w:tc>
      </w:tr>
    </w:tbl>
    <w:p>
      <w:pPr>
        <w:spacing w:after="0" w:line="249" w:lineRule="exac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6 de 9</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Heading1"/>
        <w:numPr>
          <w:ilvl w:val="0"/>
          <w:numId w:val="1"/>
        </w:numPr>
        <w:tabs>
          <w:tab w:pos="553" w:val="left" w:leader="none"/>
          <w:tab w:pos="554" w:val="left" w:leader="none"/>
        </w:tabs>
        <w:spacing w:line="240" w:lineRule="auto" w:before="0" w:after="0"/>
        <w:ind w:left="553" w:right="0" w:hanging="428"/>
        <w:jc w:val="left"/>
        <w:rPr>
          <w:u w:val="none"/>
        </w:rPr>
      </w:pPr>
      <w:r>
        <w:rPr>
          <w:u w:val="thick"/>
        </w:rPr>
        <w:t>ANEXOS</w:t>
      </w:r>
    </w:p>
    <w:p>
      <w:pPr>
        <w:pStyle w:val="BodyText"/>
        <w:rPr>
          <w:b/>
          <w:sz w:val="20"/>
        </w:rPr>
      </w:pPr>
    </w:p>
    <w:p>
      <w:pPr>
        <w:pStyle w:val="BodyText"/>
        <w:rPr>
          <w:b/>
          <w:sz w:val="20"/>
        </w:rPr>
      </w:pPr>
    </w:p>
    <w:p>
      <w:pPr>
        <w:pStyle w:val="BodyText"/>
        <w:spacing w:before="2"/>
        <w:rPr>
          <w:b/>
          <w:sz w:val="18"/>
        </w:rPr>
      </w:pPr>
    </w:p>
    <w:p>
      <w:pPr>
        <w:pStyle w:val="BodyText"/>
        <w:spacing w:before="93"/>
        <w:ind w:left="553" w:right="152"/>
        <w:jc w:val="both"/>
      </w:pPr>
      <w:r>
        <w:rPr/>
        <w:t>Resolución Ministerial Número 1098-2019, en la que se estipula desconcentrar en las DIDEDUC, los trámites de Actualización de las Juntas Directivas de las OPF, Anexión y Desanexión de Centros Educativos Públicos a las</w:t>
      </w:r>
      <w:r>
        <w:rPr>
          <w:spacing w:val="-2"/>
        </w:rPr>
        <w:t> </w:t>
      </w:r>
      <w:r>
        <w:rPr/>
        <w:t>OPF.</w:t>
      </w:r>
    </w:p>
    <w:p>
      <w:pPr>
        <w:spacing w:after="0"/>
        <w:jc w:val="both"/>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7 de 9</w:t>
            </w:r>
          </w:p>
        </w:tc>
      </w:tr>
    </w:tbl>
    <w:p>
      <w:pPr>
        <w:pStyle w:val="BodyText"/>
        <w:spacing w:before="9"/>
        <w:rPr>
          <w:sz w:val="9"/>
        </w:rPr>
      </w:pPr>
    </w:p>
    <w:p>
      <w:pPr>
        <w:pStyle w:val="BodyText"/>
        <w:ind w:left="1337"/>
        <w:rPr>
          <w:sz w:val="20"/>
        </w:rPr>
      </w:pPr>
      <w:r>
        <w:rPr>
          <w:sz w:val="20"/>
        </w:rPr>
        <w:drawing>
          <wp:inline distT="0" distB="0" distL="0" distR="0">
            <wp:extent cx="5763922" cy="7487126"/>
            <wp:effectExtent l="0" t="0" r="0" b="0"/>
            <wp:docPr id="17" name="image3.jpeg"/>
            <wp:cNvGraphicFramePr>
              <a:graphicFrameLocks noChangeAspect="1"/>
            </wp:cNvGraphicFramePr>
            <a:graphic>
              <a:graphicData uri="http://schemas.openxmlformats.org/drawingml/2006/picture">
                <pic:pic>
                  <pic:nvPicPr>
                    <pic:cNvPr id="18" name="image3.jpeg"/>
                    <pic:cNvPicPr/>
                  </pic:nvPicPr>
                  <pic:blipFill>
                    <a:blip r:embed="rId9" cstate="print"/>
                    <a:stretch>
                      <a:fillRect/>
                    </a:stretch>
                  </pic:blipFill>
                  <pic:spPr>
                    <a:xfrm>
                      <a:off x="0" y="0"/>
                      <a:ext cx="5763922" cy="7487126"/>
                    </a:xfrm>
                    <a:prstGeom prst="rect">
                      <a:avLst/>
                    </a:prstGeom>
                  </pic:spPr>
                </pic:pic>
              </a:graphicData>
            </a:graphic>
          </wp:inline>
        </w:drawing>
      </w:r>
      <w:r>
        <w:rPr>
          <w:sz w:val="20"/>
        </w:rPr>
      </w:r>
    </w:p>
    <w:p>
      <w:pPr>
        <w:spacing w:after="0"/>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8 de 9</w:t>
            </w:r>
          </w:p>
        </w:tc>
      </w:tr>
    </w:tbl>
    <w:p>
      <w:pPr>
        <w:pStyle w:val="BodyText"/>
        <w:spacing w:before="10"/>
        <w:rPr>
          <w:sz w:val="9"/>
        </w:rPr>
      </w:pPr>
    </w:p>
    <w:p>
      <w:pPr>
        <w:pStyle w:val="BodyText"/>
        <w:ind w:left="1147"/>
        <w:rPr>
          <w:sz w:val="20"/>
        </w:rPr>
      </w:pPr>
      <w:r>
        <w:rPr>
          <w:sz w:val="20"/>
        </w:rPr>
        <w:drawing>
          <wp:inline distT="0" distB="0" distL="0" distR="0">
            <wp:extent cx="5741631" cy="7479601"/>
            <wp:effectExtent l="0" t="0" r="0" b="0"/>
            <wp:docPr id="21" name="image4.jpeg"/>
            <wp:cNvGraphicFramePr>
              <a:graphicFrameLocks noChangeAspect="1"/>
            </wp:cNvGraphicFramePr>
            <a:graphic>
              <a:graphicData uri="http://schemas.openxmlformats.org/drawingml/2006/picture">
                <pic:pic>
                  <pic:nvPicPr>
                    <pic:cNvPr id="22" name="image4.jpeg"/>
                    <pic:cNvPicPr/>
                  </pic:nvPicPr>
                  <pic:blipFill>
                    <a:blip r:embed="rId10" cstate="print"/>
                    <a:stretch>
                      <a:fillRect/>
                    </a:stretch>
                  </pic:blipFill>
                  <pic:spPr>
                    <a:xfrm>
                      <a:off x="0" y="0"/>
                      <a:ext cx="5741631" cy="7479601"/>
                    </a:xfrm>
                    <a:prstGeom prst="rect">
                      <a:avLst/>
                    </a:prstGeom>
                  </pic:spPr>
                </pic:pic>
              </a:graphicData>
            </a:graphic>
          </wp:inline>
        </w:drawing>
      </w:r>
      <w:r>
        <w:rPr>
          <w:sz w:val="20"/>
        </w:rPr>
      </w:r>
    </w:p>
    <w:p>
      <w:pPr>
        <w:spacing w:after="0"/>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1369" w:right="1378"/>
              <w:jc w:val="center"/>
              <w:rPr>
                <w:sz w:val="16"/>
              </w:rPr>
            </w:pPr>
            <w:r>
              <w:rPr>
                <w:sz w:val="16"/>
              </w:rPr>
              <w:t>INSTRU CTIVO</w:t>
            </w:r>
          </w:p>
          <w:p>
            <w:pPr>
              <w:pStyle w:val="TableParagraph"/>
              <w:spacing w:line="270" w:lineRule="atLeast" w:before="29"/>
              <w:ind w:left="1391" w:right="1378"/>
              <w:jc w:val="center"/>
              <w:rPr>
                <w:b/>
                <w:sz w:val="24"/>
              </w:rPr>
            </w:pPr>
            <w:r>
              <w:rPr>
                <w:b/>
                <w:sz w:val="24"/>
              </w:rPr>
              <w:t>ANEXIÓN Y DESANEXIÓN DE CENTROS EDUCATIVOS PÚBLICOS A ORGANIZACIONES DE PADRES DE FAMILIA -OPF-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01"/>
              <w:rPr>
                <w:sz w:val="16"/>
              </w:rPr>
            </w:pPr>
            <w:r>
              <w:rPr>
                <w:sz w:val="16"/>
              </w:rPr>
              <w:t>Del proceso: Procesos de Apoyo</w:t>
            </w:r>
          </w:p>
        </w:tc>
        <w:tc>
          <w:tcPr>
            <w:tcW w:w="2409" w:type="dxa"/>
          </w:tcPr>
          <w:p>
            <w:pPr>
              <w:pStyle w:val="TableParagraph"/>
              <w:spacing w:line="175" w:lineRule="exact"/>
              <w:ind w:left="406"/>
              <w:rPr>
                <w:b/>
                <w:sz w:val="16"/>
              </w:rPr>
            </w:pPr>
            <w:r>
              <w:rPr>
                <w:sz w:val="16"/>
              </w:rPr>
              <w:t>Código: </w:t>
            </w:r>
            <w:r>
              <w:rPr>
                <w:b/>
                <w:sz w:val="16"/>
              </w:rPr>
              <w:t>PRA-INS-17</w:t>
            </w:r>
          </w:p>
        </w:tc>
        <w:tc>
          <w:tcPr>
            <w:tcW w:w="1557" w:type="dxa"/>
          </w:tcPr>
          <w:p>
            <w:pPr>
              <w:pStyle w:val="TableParagraph"/>
              <w:spacing w:line="177" w:lineRule="exact"/>
              <w:ind w:left="380"/>
              <w:rPr>
                <w:sz w:val="16"/>
              </w:rPr>
            </w:pPr>
            <w:r>
              <w:rPr>
                <w:sz w:val="16"/>
              </w:rPr>
              <w:t>Versión: 3</w:t>
            </w:r>
          </w:p>
        </w:tc>
        <w:tc>
          <w:tcPr>
            <w:tcW w:w="1842" w:type="dxa"/>
          </w:tcPr>
          <w:p>
            <w:pPr>
              <w:pStyle w:val="TableParagraph"/>
              <w:spacing w:line="177" w:lineRule="exact"/>
              <w:ind w:left="432"/>
              <w:rPr>
                <w:sz w:val="16"/>
              </w:rPr>
            </w:pPr>
            <w:r>
              <w:rPr>
                <w:sz w:val="16"/>
              </w:rPr>
              <w:t>Página 9 de 9</w:t>
            </w:r>
          </w:p>
        </w:tc>
      </w:tr>
    </w:tbl>
    <w:p>
      <w:pPr>
        <w:pStyle w:val="BodyText"/>
        <w:rPr>
          <w:sz w:val="20"/>
        </w:rPr>
      </w:pPr>
    </w:p>
    <w:p>
      <w:pPr>
        <w:pStyle w:val="BodyText"/>
        <w:spacing w:before="4"/>
        <w:rPr>
          <w:sz w:val="28"/>
        </w:rPr>
      </w:pPr>
      <w:r>
        <w:rPr/>
        <w:drawing>
          <wp:anchor distT="0" distB="0" distL="0" distR="0" allowOverlap="1" layoutInCell="1" locked="0" behindDoc="0" simplePos="0" relativeHeight="1">
            <wp:simplePos x="0" y="0"/>
            <wp:positionH relativeFrom="page">
              <wp:posOffset>1079626</wp:posOffset>
            </wp:positionH>
            <wp:positionV relativeFrom="paragraph">
              <wp:posOffset>232132</wp:posOffset>
            </wp:positionV>
            <wp:extent cx="5756434" cy="7464552"/>
            <wp:effectExtent l="0" t="0" r="0" b="0"/>
            <wp:wrapTopAndBottom/>
            <wp:docPr id="25" name="image5.jpeg"/>
            <wp:cNvGraphicFramePr>
              <a:graphicFrameLocks noChangeAspect="1"/>
            </wp:cNvGraphicFramePr>
            <a:graphic>
              <a:graphicData uri="http://schemas.openxmlformats.org/drawingml/2006/picture">
                <pic:pic>
                  <pic:nvPicPr>
                    <pic:cNvPr id="26" name="image5.jpeg"/>
                    <pic:cNvPicPr/>
                  </pic:nvPicPr>
                  <pic:blipFill>
                    <a:blip r:embed="rId11" cstate="print"/>
                    <a:stretch>
                      <a:fillRect/>
                    </a:stretch>
                  </pic:blipFill>
                  <pic:spPr>
                    <a:xfrm>
                      <a:off x="0" y="0"/>
                      <a:ext cx="5756434" cy="7464552"/>
                    </a:xfrm>
                    <a:prstGeom prst="rect">
                      <a:avLst/>
                    </a:prstGeom>
                  </pic:spPr>
                </pic:pic>
              </a:graphicData>
            </a:graphic>
          </wp:anchor>
        </w:drawing>
      </w:r>
    </w:p>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1331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133632"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2"/>
      <w:numFmt w:val="decimal"/>
      <w:lvlText w:val="%1."/>
      <w:lvlJc w:val="left"/>
      <w:pPr>
        <w:ind w:left="803"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5">
    <w:multiLevelType w:val="hybridMultilevel"/>
    <w:lvl w:ilvl="0">
      <w:start w:val="0"/>
      <w:numFmt w:val="bullet"/>
      <w:lvlText w:val=""/>
      <w:lvlJc w:val="left"/>
      <w:pPr>
        <w:ind w:left="836" w:hanging="351"/>
      </w:pPr>
      <w:rPr>
        <w:rFonts w:hint="default" w:ascii="Wingdings" w:hAnsi="Wingdings" w:eastAsia="Wingdings" w:cs="Wingdings"/>
        <w:w w:val="100"/>
        <w:sz w:val="22"/>
        <w:szCs w:val="22"/>
        <w:lang w:val="es-ES" w:eastAsia="en-US" w:bidi="ar-SA"/>
      </w:rPr>
    </w:lvl>
    <w:lvl w:ilvl="1">
      <w:start w:val="0"/>
      <w:numFmt w:val="bullet"/>
      <w:lvlText w:val="•"/>
      <w:lvlJc w:val="left"/>
      <w:pPr>
        <w:ind w:left="1608" w:hanging="351"/>
      </w:pPr>
      <w:rPr>
        <w:rFonts w:hint="default"/>
        <w:lang w:val="es-ES" w:eastAsia="en-US" w:bidi="ar-SA"/>
      </w:rPr>
    </w:lvl>
    <w:lvl w:ilvl="2">
      <w:start w:val="0"/>
      <w:numFmt w:val="bullet"/>
      <w:lvlText w:val="•"/>
      <w:lvlJc w:val="left"/>
      <w:pPr>
        <w:ind w:left="2376" w:hanging="351"/>
      </w:pPr>
      <w:rPr>
        <w:rFonts w:hint="default"/>
        <w:lang w:val="es-ES" w:eastAsia="en-US" w:bidi="ar-SA"/>
      </w:rPr>
    </w:lvl>
    <w:lvl w:ilvl="3">
      <w:start w:val="0"/>
      <w:numFmt w:val="bullet"/>
      <w:lvlText w:val="•"/>
      <w:lvlJc w:val="left"/>
      <w:pPr>
        <w:ind w:left="3145" w:hanging="351"/>
      </w:pPr>
      <w:rPr>
        <w:rFonts w:hint="default"/>
        <w:lang w:val="es-ES" w:eastAsia="en-US" w:bidi="ar-SA"/>
      </w:rPr>
    </w:lvl>
    <w:lvl w:ilvl="4">
      <w:start w:val="0"/>
      <w:numFmt w:val="bullet"/>
      <w:lvlText w:val="•"/>
      <w:lvlJc w:val="left"/>
      <w:pPr>
        <w:ind w:left="3913" w:hanging="351"/>
      </w:pPr>
      <w:rPr>
        <w:rFonts w:hint="default"/>
        <w:lang w:val="es-ES" w:eastAsia="en-US" w:bidi="ar-SA"/>
      </w:rPr>
    </w:lvl>
    <w:lvl w:ilvl="5">
      <w:start w:val="0"/>
      <w:numFmt w:val="bullet"/>
      <w:lvlText w:val="•"/>
      <w:lvlJc w:val="left"/>
      <w:pPr>
        <w:ind w:left="4682" w:hanging="351"/>
      </w:pPr>
      <w:rPr>
        <w:rFonts w:hint="default"/>
        <w:lang w:val="es-ES" w:eastAsia="en-US" w:bidi="ar-SA"/>
      </w:rPr>
    </w:lvl>
    <w:lvl w:ilvl="6">
      <w:start w:val="0"/>
      <w:numFmt w:val="bullet"/>
      <w:lvlText w:val="•"/>
      <w:lvlJc w:val="left"/>
      <w:pPr>
        <w:ind w:left="5450" w:hanging="351"/>
      </w:pPr>
      <w:rPr>
        <w:rFonts w:hint="default"/>
        <w:lang w:val="es-ES" w:eastAsia="en-US" w:bidi="ar-SA"/>
      </w:rPr>
    </w:lvl>
    <w:lvl w:ilvl="7">
      <w:start w:val="0"/>
      <w:numFmt w:val="bullet"/>
      <w:lvlText w:val="•"/>
      <w:lvlJc w:val="left"/>
      <w:pPr>
        <w:ind w:left="6218" w:hanging="351"/>
      </w:pPr>
      <w:rPr>
        <w:rFonts w:hint="default"/>
        <w:lang w:val="es-ES" w:eastAsia="en-US" w:bidi="ar-SA"/>
      </w:rPr>
    </w:lvl>
    <w:lvl w:ilvl="8">
      <w:start w:val="0"/>
      <w:numFmt w:val="bullet"/>
      <w:lvlText w:val="•"/>
      <w:lvlJc w:val="left"/>
      <w:pPr>
        <w:ind w:left="6987" w:hanging="351"/>
      </w:pPr>
      <w:rPr>
        <w:rFonts w:hint="default"/>
        <w:lang w:val="es-ES" w:eastAsia="en-US" w:bidi="ar-SA"/>
      </w:rPr>
    </w:lvl>
  </w:abstractNum>
  <w:abstractNum w:abstractNumId="4">
    <w:multiLevelType w:val="hybridMultilevel"/>
    <w:lvl w:ilvl="0">
      <w:start w:val="1"/>
      <w:numFmt w:val="decimal"/>
      <w:lvlText w:val="%1."/>
      <w:lvlJc w:val="left"/>
      <w:pPr>
        <w:ind w:left="836" w:hanging="35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608" w:hanging="351"/>
      </w:pPr>
      <w:rPr>
        <w:rFonts w:hint="default"/>
        <w:lang w:val="es-ES" w:eastAsia="en-US" w:bidi="ar-SA"/>
      </w:rPr>
    </w:lvl>
    <w:lvl w:ilvl="2">
      <w:start w:val="0"/>
      <w:numFmt w:val="bullet"/>
      <w:lvlText w:val="•"/>
      <w:lvlJc w:val="left"/>
      <w:pPr>
        <w:ind w:left="2376" w:hanging="351"/>
      </w:pPr>
      <w:rPr>
        <w:rFonts w:hint="default"/>
        <w:lang w:val="es-ES" w:eastAsia="en-US" w:bidi="ar-SA"/>
      </w:rPr>
    </w:lvl>
    <w:lvl w:ilvl="3">
      <w:start w:val="0"/>
      <w:numFmt w:val="bullet"/>
      <w:lvlText w:val="•"/>
      <w:lvlJc w:val="left"/>
      <w:pPr>
        <w:ind w:left="3145" w:hanging="351"/>
      </w:pPr>
      <w:rPr>
        <w:rFonts w:hint="default"/>
        <w:lang w:val="es-ES" w:eastAsia="en-US" w:bidi="ar-SA"/>
      </w:rPr>
    </w:lvl>
    <w:lvl w:ilvl="4">
      <w:start w:val="0"/>
      <w:numFmt w:val="bullet"/>
      <w:lvlText w:val="•"/>
      <w:lvlJc w:val="left"/>
      <w:pPr>
        <w:ind w:left="3913" w:hanging="351"/>
      </w:pPr>
      <w:rPr>
        <w:rFonts w:hint="default"/>
        <w:lang w:val="es-ES" w:eastAsia="en-US" w:bidi="ar-SA"/>
      </w:rPr>
    </w:lvl>
    <w:lvl w:ilvl="5">
      <w:start w:val="0"/>
      <w:numFmt w:val="bullet"/>
      <w:lvlText w:val="•"/>
      <w:lvlJc w:val="left"/>
      <w:pPr>
        <w:ind w:left="4682" w:hanging="351"/>
      </w:pPr>
      <w:rPr>
        <w:rFonts w:hint="default"/>
        <w:lang w:val="es-ES" w:eastAsia="en-US" w:bidi="ar-SA"/>
      </w:rPr>
    </w:lvl>
    <w:lvl w:ilvl="6">
      <w:start w:val="0"/>
      <w:numFmt w:val="bullet"/>
      <w:lvlText w:val="•"/>
      <w:lvlJc w:val="left"/>
      <w:pPr>
        <w:ind w:left="5450" w:hanging="351"/>
      </w:pPr>
      <w:rPr>
        <w:rFonts w:hint="default"/>
        <w:lang w:val="es-ES" w:eastAsia="en-US" w:bidi="ar-SA"/>
      </w:rPr>
    </w:lvl>
    <w:lvl w:ilvl="7">
      <w:start w:val="0"/>
      <w:numFmt w:val="bullet"/>
      <w:lvlText w:val="•"/>
      <w:lvlJc w:val="left"/>
      <w:pPr>
        <w:ind w:left="6218" w:hanging="351"/>
      </w:pPr>
      <w:rPr>
        <w:rFonts w:hint="default"/>
        <w:lang w:val="es-ES" w:eastAsia="en-US" w:bidi="ar-SA"/>
      </w:rPr>
    </w:lvl>
    <w:lvl w:ilvl="8">
      <w:start w:val="0"/>
      <w:numFmt w:val="bullet"/>
      <w:lvlText w:val="•"/>
      <w:lvlJc w:val="left"/>
      <w:pPr>
        <w:ind w:left="6987" w:hanging="351"/>
      </w:pPr>
      <w:rPr>
        <w:rFonts w:hint="default"/>
        <w:lang w:val="es-ES" w:eastAsia="en-US" w:bidi="ar-SA"/>
      </w:rPr>
    </w:lvl>
  </w:abstractNum>
  <w:abstractNum w:abstractNumId="3">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2">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1">
    <w:multiLevelType w:val="hybridMultilevel"/>
    <w:lvl w:ilvl="0">
      <w:start w:val="4"/>
      <w:numFmt w:val="upperLetter"/>
      <w:lvlText w:val="%1"/>
      <w:lvlJc w:val="left"/>
      <w:pPr>
        <w:ind w:left="1542" w:hanging="992"/>
        <w:jc w:val="left"/>
      </w:pPr>
      <w:rPr>
        <w:rFonts w:hint="default"/>
        <w:lang w:val="es-ES" w:eastAsia="en-US" w:bidi="ar-SA"/>
      </w:rPr>
    </w:lvl>
    <w:lvl w:ilvl="1">
      <w:start w:val="1"/>
      <w:numFmt w:val="decimal"/>
      <w:lvlText w:val="%1.%2."/>
      <w:lvlJc w:val="left"/>
      <w:pPr>
        <w:ind w:left="1542" w:hanging="992"/>
        <w:jc w:val="left"/>
      </w:pPr>
      <w:rPr>
        <w:rFonts w:hint="default" w:ascii="Arial" w:hAnsi="Arial" w:eastAsia="Arial" w:cs="Arial"/>
        <w:w w:val="99"/>
        <w:sz w:val="24"/>
        <w:szCs w:val="24"/>
        <w:lang w:val="es-ES" w:eastAsia="en-US" w:bidi="ar-SA"/>
      </w:rPr>
    </w:lvl>
    <w:lvl w:ilvl="2">
      <w:start w:val="0"/>
      <w:numFmt w:val="bullet"/>
      <w:lvlText w:val="•"/>
      <w:lvlJc w:val="left"/>
      <w:pPr>
        <w:ind w:left="3528" w:hanging="992"/>
      </w:pPr>
      <w:rPr>
        <w:rFonts w:hint="default"/>
        <w:lang w:val="es-ES" w:eastAsia="en-US" w:bidi="ar-SA"/>
      </w:rPr>
    </w:lvl>
    <w:lvl w:ilvl="3">
      <w:start w:val="0"/>
      <w:numFmt w:val="bullet"/>
      <w:lvlText w:val="•"/>
      <w:lvlJc w:val="left"/>
      <w:pPr>
        <w:ind w:left="4522" w:hanging="992"/>
      </w:pPr>
      <w:rPr>
        <w:rFonts w:hint="default"/>
        <w:lang w:val="es-ES" w:eastAsia="en-US" w:bidi="ar-SA"/>
      </w:rPr>
    </w:lvl>
    <w:lvl w:ilvl="4">
      <w:start w:val="0"/>
      <w:numFmt w:val="bullet"/>
      <w:lvlText w:val="•"/>
      <w:lvlJc w:val="left"/>
      <w:pPr>
        <w:ind w:left="5516" w:hanging="992"/>
      </w:pPr>
      <w:rPr>
        <w:rFonts w:hint="default"/>
        <w:lang w:val="es-ES" w:eastAsia="en-US" w:bidi="ar-SA"/>
      </w:rPr>
    </w:lvl>
    <w:lvl w:ilvl="5">
      <w:start w:val="0"/>
      <w:numFmt w:val="bullet"/>
      <w:lvlText w:val="•"/>
      <w:lvlJc w:val="left"/>
      <w:pPr>
        <w:ind w:left="6511" w:hanging="992"/>
      </w:pPr>
      <w:rPr>
        <w:rFonts w:hint="default"/>
        <w:lang w:val="es-ES" w:eastAsia="en-US" w:bidi="ar-SA"/>
      </w:rPr>
    </w:lvl>
    <w:lvl w:ilvl="6">
      <w:start w:val="0"/>
      <w:numFmt w:val="bullet"/>
      <w:lvlText w:val="•"/>
      <w:lvlJc w:val="left"/>
      <w:pPr>
        <w:ind w:left="7505" w:hanging="992"/>
      </w:pPr>
      <w:rPr>
        <w:rFonts w:hint="default"/>
        <w:lang w:val="es-ES" w:eastAsia="en-US" w:bidi="ar-SA"/>
      </w:rPr>
    </w:lvl>
    <w:lvl w:ilvl="7">
      <w:start w:val="0"/>
      <w:numFmt w:val="bullet"/>
      <w:lvlText w:val="•"/>
      <w:lvlJc w:val="left"/>
      <w:pPr>
        <w:ind w:left="8499" w:hanging="992"/>
      </w:pPr>
      <w:rPr>
        <w:rFonts w:hint="default"/>
        <w:lang w:val="es-ES" w:eastAsia="en-US" w:bidi="ar-SA"/>
      </w:rPr>
    </w:lvl>
    <w:lvl w:ilvl="8">
      <w:start w:val="0"/>
      <w:numFmt w:val="bullet"/>
      <w:lvlText w:val="•"/>
      <w:lvlJc w:val="left"/>
      <w:pPr>
        <w:ind w:left="9493" w:hanging="992"/>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846" w:hanging="349"/>
      </w:pPr>
      <w:rPr>
        <w:rFonts w:hint="default" w:ascii="Symbol" w:hAnsi="Symbol" w:eastAsia="Symbol" w:cs="Symbol"/>
        <w:w w:val="100"/>
        <w:sz w:val="22"/>
        <w:szCs w:val="22"/>
        <w:lang w:val="es-ES" w:eastAsia="en-US" w:bidi="ar-SA"/>
      </w:rPr>
    </w:lvl>
    <w:lvl w:ilvl="2">
      <w:start w:val="0"/>
      <w:numFmt w:val="bullet"/>
      <w:lvlText w:val="•"/>
      <w:lvlJc w:val="left"/>
      <w:pPr>
        <w:ind w:left="2022" w:hanging="349"/>
      </w:pPr>
      <w:rPr>
        <w:rFonts w:hint="default"/>
        <w:lang w:val="es-ES" w:eastAsia="en-US" w:bidi="ar-SA"/>
      </w:rPr>
    </w:lvl>
    <w:lvl w:ilvl="3">
      <w:start w:val="0"/>
      <w:numFmt w:val="bullet"/>
      <w:lvlText w:val="•"/>
      <w:lvlJc w:val="left"/>
      <w:pPr>
        <w:ind w:left="3204" w:hanging="349"/>
      </w:pPr>
      <w:rPr>
        <w:rFonts w:hint="default"/>
        <w:lang w:val="es-ES" w:eastAsia="en-US" w:bidi="ar-SA"/>
      </w:rPr>
    </w:lvl>
    <w:lvl w:ilvl="4">
      <w:start w:val="0"/>
      <w:numFmt w:val="bullet"/>
      <w:lvlText w:val="•"/>
      <w:lvlJc w:val="left"/>
      <w:pPr>
        <w:ind w:left="4387" w:hanging="349"/>
      </w:pPr>
      <w:rPr>
        <w:rFonts w:hint="default"/>
        <w:lang w:val="es-ES" w:eastAsia="en-US" w:bidi="ar-SA"/>
      </w:rPr>
    </w:lvl>
    <w:lvl w:ilvl="5">
      <w:start w:val="0"/>
      <w:numFmt w:val="bullet"/>
      <w:lvlText w:val="•"/>
      <w:lvlJc w:val="left"/>
      <w:pPr>
        <w:ind w:left="5569" w:hanging="349"/>
      </w:pPr>
      <w:rPr>
        <w:rFonts w:hint="default"/>
        <w:lang w:val="es-ES" w:eastAsia="en-US" w:bidi="ar-SA"/>
      </w:rPr>
    </w:lvl>
    <w:lvl w:ilvl="6">
      <w:start w:val="0"/>
      <w:numFmt w:val="bullet"/>
      <w:lvlText w:val="•"/>
      <w:lvlJc w:val="left"/>
      <w:pPr>
        <w:ind w:left="6752" w:hanging="349"/>
      </w:pPr>
      <w:rPr>
        <w:rFonts w:hint="default"/>
        <w:lang w:val="es-ES" w:eastAsia="en-US" w:bidi="ar-SA"/>
      </w:rPr>
    </w:lvl>
    <w:lvl w:ilvl="7">
      <w:start w:val="0"/>
      <w:numFmt w:val="bullet"/>
      <w:lvlText w:val="•"/>
      <w:lvlJc w:val="left"/>
      <w:pPr>
        <w:ind w:left="7934" w:hanging="349"/>
      </w:pPr>
      <w:rPr>
        <w:rFonts w:hint="default"/>
        <w:lang w:val="es-ES" w:eastAsia="en-US" w:bidi="ar-SA"/>
      </w:rPr>
    </w:lvl>
    <w:lvl w:ilvl="8">
      <w:start w:val="0"/>
      <w:numFmt w:val="bullet"/>
      <w:lvlText w:val="•"/>
      <w:lvlJc w:val="left"/>
      <w:pPr>
        <w:ind w:left="9117" w:hanging="349"/>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3" w:hanging="428"/>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553" w:hanging="428"/>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2020-12-16T16:49:26Z</dcterms:created>
  <dcterms:modified xsi:type="dcterms:W3CDTF">2020-12-16T16:49:26Z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2013</vt:lpwstr>
  </property>
  <property fmtid="{D5CDD505-2E9C-101B-9397-08002B2CF9AE}" pid="4" name="LastSaved">
    <vt:filetime>2020-12-16T00:00:00Z</vt:filetime>
  </property>
</Properties>
</file>