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29D04F45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814548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2BCB4A38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146AB4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146AB4">
        <w:rPr>
          <w:rFonts w:ascii="Arial" w:hAnsi="Arial" w:cs="Arial"/>
          <w:sz w:val="22"/>
          <w:szCs w:val="22"/>
        </w:rPr>
        <w:t>, PARA LAS ORGANIZACIONES DE PADRES</w:t>
      </w:r>
      <w:r w:rsidR="000B2B8D">
        <w:rPr>
          <w:rFonts w:ascii="Arial" w:hAnsi="Arial" w:cs="Arial"/>
          <w:sz w:val="22"/>
          <w:szCs w:val="22"/>
        </w:rPr>
        <w:t xml:space="preserve"> DE FAMILIA -OPF- Y SUBVENCIÓN PARA</w:t>
      </w:r>
      <w:r w:rsidR="00146AB4">
        <w:rPr>
          <w:rFonts w:ascii="Arial" w:hAnsi="Arial" w:cs="Arial"/>
          <w:sz w:val="22"/>
          <w:szCs w:val="22"/>
        </w:rPr>
        <w:t xml:space="preserve"> CENTROS EDUCATIVOS PRIVADOS GRATUITOS</w:t>
      </w:r>
      <w:r w:rsidR="00146AB4" w:rsidRPr="00221810">
        <w:rPr>
          <w:rFonts w:ascii="Arial" w:hAnsi="Arial" w:cs="Arial"/>
          <w:sz w:val="22"/>
          <w:szCs w:val="22"/>
        </w:rPr>
        <w:t>, POR EL MONTO</w:t>
      </w:r>
      <w:r w:rsidR="00146AB4">
        <w:rPr>
          <w:rFonts w:ascii="Arial" w:hAnsi="Arial" w:cs="Arial"/>
          <w:sz w:val="22"/>
          <w:szCs w:val="22"/>
        </w:rPr>
        <w:t xml:space="preserve"> DE DIECIOCHO MILLONES TRESCIENTOS TREINTA MIL NOVECIENTOS SESENTA Y CINCO QUETZALES EXACTOS (Q.18,330,965.00) DE CRÉDITOS PRESUPUESTARIOS DISMINUIDOS Y TREINTA Y TRES MILLONES QUINIENTOS CUARENTA Y SEIS MIL SEISCIENTOS TREINTA Y TRES QUETZALES EXACTOS (Q.33,546,633.00) DE CRÉDITOS PRESUPUESTARIOS INCREMENTADOS</w:t>
      </w:r>
      <w:r w:rsidR="00146AB4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146AB4">
        <w:rPr>
          <w:rFonts w:ascii="Arial" w:hAnsi="Arial" w:cs="Arial"/>
          <w:color w:val="000000" w:themeColor="text1"/>
          <w:sz w:val="22"/>
          <w:szCs w:val="22"/>
        </w:rPr>
        <w:t>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2C52B6E8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la</w:t>
      </w:r>
      <w:r w:rsidR="00146AB4">
        <w:rPr>
          <w:rFonts w:ascii="Arial" w:hAnsi="Arial" w:cs="Arial"/>
          <w:sz w:val="22"/>
          <w:szCs w:val="22"/>
        </w:rPr>
        <w:t xml:space="preserve"> Dirección General de Evaluación e Investigación Educativa -DIGEDUCA- y las </w:t>
      </w:r>
      <w:r w:rsidR="00146AB4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146AB4" w:rsidRPr="002B528B">
        <w:rPr>
          <w:rFonts w:ascii="Arial" w:hAnsi="Arial" w:cs="Arial"/>
          <w:sz w:val="22"/>
          <w:szCs w:val="22"/>
          <w:lang w:val="es-MX"/>
        </w:rPr>
        <w:t>de</w:t>
      </w:r>
      <w:r w:rsidR="00146AB4">
        <w:rPr>
          <w:rFonts w:ascii="Arial" w:hAnsi="Arial" w:cs="Arial"/>
          <w:sz w:val="22"/>
          <w:szCs w:val="22"/>
          <w:lang w:val="es-MX"/>
        </w:rPr>
        <w:t xml:space="preserve"> El Progreso, Escuintla, Santa Rosa, Sololá, Totonicapán, Quetzaltenango, Suchitepéquez, Huehuetenango, Quiché, Baja Verapaz, Izabal, Zacapa, Chiquimula, Jalapa, Jutiapa, Guatemala Norte, Guatemala Sur,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146AB4">
        <w:rPr>
          <w:rFonts w:ascii="Arial" w:hAnsi="Arial" w:cs="Arial"/>
          <w:sz w:val="22"/>
          <w:szCs w:val="22"/>
        </w:rPr>
        <w:t xml:space="preserve"> DIECIOCHO MILLONES TRESCIENTOS TREINTA MIL NOVECIENTOS SESENTA Y CINCO QUETZALES EXACTOS (Q.18,330,965.00) de créditos presupuestarios disminuidos y TREINTA Y TRES MILLONES QUINIENTOS CUARENTA Y SEIS MIL SEISCIENTOS TREINTA Y TRES QUETZALES EXACTOS (Q.33,546,633.00) 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</w:t>
      </w:r>
      <w:r w:rsidR="00146AB4">
        <w:rPr>
          <w:rFonts w:ascii="Arial" w:hAnsi="Arial" w:cs="Arial"/>
          <w:sz w:val="22"/>
          <w:szCs w:val="22"/>
        </w:rPr>
        <w:t xml:space="preserve"> código de entidad receptora de </w:t>
      </w:r>
      <w:r w:rsidR="000B2B8D">
        <w:rPr>
          <w:rFonts w:ascii="Arial" w:hAnsi="Arial" w:cs="Arial"/>
          <w:sz w:val="22"/>
          <w:szCs w:val="22"/>
        </w:rPr>
        <w:t>transferencias para</w:t>
      </w:r>
      <w:r w:rsidR="00146AB4">
        <w:rPr>
          <w:rFonts w:ascii="Arial" w:hAnsi="Arial" w:cs="Arial"/>
          <w:sz w:val="22"/>
          <w:szCs w:val="22"/>
        </w:rPr>
        <w:t xml:space="preserve"> Subvención a Centros Educativos Privados Gratuitos</w:t>
      </w:r>
      <w:r w:rsidR="005C1B61">
        <w:rPr>
          <w:rFonts w:ascii="Arial" w:hAnsi="Arial" w:cs="Arial"/>
          <w:sz w:val="22"/>
          <w:szCs w:val="22"/>
        </w:rPr>
        <w:t xml:space="preserve">, así como, </w:t>
      </w:r>
      <w:r w:rsidR="00D10386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 xml:space="preserve">s Escolares, Valija Didáctica,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C169B0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146AB4">
        <w:rPr>
          <w:rFonts w:ascii="Arial" w:eastAsia="Arial Unicode MS" w:hAnsi="Arial" w:cs="Arial"/>
          <w:sz w:val="22"/>
          <w:szCs w:val="22"/>
        </w:rPr>
        <w:t xml:space="preserve"> 38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146AB4">
        <w:rPr>
          <w:rFonts w:ascii="Arial" w:eastAsia="Arial Unicode MS" w:hAnsi="Arial" w:cs="Arial"/>
          <w:sz w:val="22"/>
          <w:szCs w:val="22"/>
        </w:rPr>
        <w:t>19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146AB4">
        <w:rPr>
          <w:rFonts w:ascii="Arial" w:eastAsia="Arial Unicode MS" w:hAnsi="Arial" w:cs="Arial"/>
          <w:sz w:val="22"/>
          <w:szCs w:val="22"/>
        </w:rPr>
        <w:t xml:space="preserve"> jul</w:t>
      </w:r>
      <w:r w:rsidR="00AD4D4B">
        <w:rPr>
          <w:rFonts w:ascii="Arial" w:eastAsia="Arial Unicode MS" w:hAnsi="Arial" w:cs="Arial"/>
          <w:sz w:val="22"/>
          <w:szCs w:val="22"/>
        </w:rPr>
        <w:t>io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 xml:space="preserve">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146AB4">
        <w:rPr>
          <w:rFonts w:ascii="Arial" w:hAnsi="Arial" w:cs="Arial"/>
          <w:sz w:val="22"/>
          <w:szCs w:val="22"/>
        </w:rPr>
        <w:t xml:space="preserve">DIECIOCHO MILLONES TRESCIENTOS TREINTA MIL NOVECIENTOS SESENTA Y CINCO QUETZALES EXACTOS (Q.18,330,965.00) de créditos presupuestarios disminuidos y TREINTA Y TRES MILLONES QUINIENTOS CUARENTA Y SEIS MIL SEISCIENTOS TREINTA Y TRES </w:t>
      </w:r>
      <w:r w:rsidR="00146AB4">
        <w:rPr>
          <w:rFonts w:ascii="Arial" w:hAnsi="Arial" w:cs="Arial"/>
          <w:sz w:val="22"/>
          <w:szCs w:val="22"/>
        </w:rPr>
        <w:lastRenderedPageBreak/>
        <w:t>QUETZALES EXACTOS (Q.33,546,633.00) 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146AB4">
        <w:rPr>
          <w:rFonts w:ascii="Arial" w:hAnsi="Arial" w:cs="Arial"/>
          <w:sz w:val="22"/>
          <w:szCs w:val="22"/>
        </w:rPr>
        <w:t>---------------------------------------------------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AD4D4B">
        <w:rPr>
          <w:rFonts w:ascii="Arial" w:hAnsi="Arial" w:cs="Arial"/>
          <w:sz w:val="22"/>
          <w:szCs w:val="22"/>
        </w:rPr>
        <w:t>-------</w:t>
      </w:r>
    </w:p>
    <w:p w14:paraId="09C9ABA8" w14:textId="4FCBC4B8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4FA1F04E" w14:textId="5976BD3C" w:rsidR="00146AB4" w:rsidRDefault="005E7FF5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5E7FF5">
        <w:rPr>
          <w:noProof/>
          <w:lang w:val="es-GT" w:eastAsia="es-GT"/>
        </w:rPr>
        <w:drawing>
          <wp:inline distT="0" distB="0" distL="0" distR="0" wp14:anchorId="3200CE90" wp14:editId="0DCE0B78">
            <wp:extent cx="5973445" cy="3786882"/>
            <wp:effectExtent l="0" t="0" r="825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7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3C94" w14:textId="7D4C7ECC" w:rsidR="009148C8" w:rsidRDefault="009148C8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2F07BDA6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</w:t>
      </w:r>
      <w:r w:rsidR="000B2B8D">
        <w:rPr>
          <w:rFonts w:ascii="Arial" w:hAnsi="Arial" w:cs="Arial"/>
          <w:sz w:val="22"/>
          <w:szCs w:val="22"/>
        </w:rPr>
        <w:t>d receptora de transferencias para</w:t>
      </w:r>
      <w:r w:rsidR="005E7FF5">
        <w:rPr>
          <w:rFonts w:ascii="Arial" w:hAnsi="Arial" w:cs="Arial"/>
          <w:sz w:val="22"/>
          <w:szCs w:val="22"/>
        </w:rPr>
        <w:t xml:space="preserve"> Subvención a Centros Educativos Privados Gratuitos</w:t>
      </w:r>
      <w:r w:rsidR="00D56445">
        <w:rPr>
          <w:rFonts w:ascii="Arial" w:hAnsi="Arial" w:cs="Arial"/>
          <w:sz w:val="22"/>
          <w:szCs w:val="22"/>
        </w:rPr>
        <w:t xml:space="preserve">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Organización de Padres de Familia 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4400F1">
        <w:rPr>
          <w:rFonts w:ascii="Arial" w:hAnsi="Arial" w:cs="Arial"/>
          <w:sz w:val="22"/>
          <w:szCs w:val="22"/>
        </w:rPr>
        <w:t xml:space="preserve">s Escolares,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4400F1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B00B62">
        <w:rPr>
          <w:rFonts w:ascii="Arial" w:hAnsi="Arial" w:cs="Arial"/>
          <w:sz w:val="22"/>
          <w:szCs w:val="22"/>
        </w:rPr>
        <w:t xml:space="preserve"> 514, 515, 554, 587, 597, 598, 599, 600, 601, 602, 603, 604, 605, 607, 608, 609, 610, 611, 612, 613, 614, 615, 616, 617, 618 y 619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</w:p>
    <w:p w14:paraId="377DE04F" w14:textId="77777777" w:rsidR="00814548" w:rsidRDefault="00814548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73131328" w14:textId="3A1C067A" w:rsidR="00814548" w:rsidRDefault="00B51982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B51982">
        <w:rPr>
          <w:rFonts w:eastAsia="Arial Unicode MS"/>
          <w:noProof/>
          <w:lang w:val="es-GT" w:eastAsia="es-GT"/>
        </w:rPr>
        <w:drawing>
          <wp:inline distT="0" distB="0" distL="0" distR="0" wp14:anchorId="6CA257BD" wp14:editId="1D9A0B39">
            <wp:extent cx="5963478" cy="14154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52" cy="14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F125" w14:textId="70FB9682" w:rsidR="00A3122F" w:rsidRDefault="00A3122F" w:rsidP="00DF30B0">
      <w:pPr>
        <w:pStyle w:val="Sangradetextonormal"/>
        <w:ind w:left="0"/>
        <w:outlineLvl w:val="0"/>
        <w:rPr>
          <w:rFonts w:eastAsia="Arial Unicode MS"/>
        </w:rPr>
      </w:pPr>
    </w:p>
    <w:p w14:paraId="43F685F9" w14:textId="451250F5" w:rsidR="00B00B62" w:rsidRDefault="00B51982" w:rsidP="00DF30B0">
      <w:pPr>
        <w:pStyle w:val="Sangradetextonormal"/>
        <w:ind w:left="0"/>
        <w:outlineLvl w:val="0"/>
        <w:rPr>
          <w:rFonts w:eastAsia="Arial Unicode MS"/>
        </w:rPr>
      </w:pPr>
      <w:r w:rsidRPr="00B51982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67C12386" wp14:editId="6BDD29B4">
            <wp:extent cx="5963478" cy="587629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431" cy="58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9EDA9" w14:textId="298158C1" w:rsidR="00B00B62" w:rsidRDefault="00B00B62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30562903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042031" w:rsidRPr="00084EB9">
        <w:rPr>
          <w:rFonts w:ascii="Arial" w:hAnsi="Arial" w:cs="Arial"/>
          <w:sz w:val="22"/>
          <w:szCs w:val="22"/>
        </w:rPr>
        <w:t xml:space="preserve">a la </w:t>
      </w:r>
      <w:r w:rsidR="00B51982">
        <w:rPr>
          <w:rFonts w:ascii="Arial" w:hAnsi="Arial" w:cs="Arial"/>
          <w:sz w:val="22"/>
          <w:szCs w:val="22"/>
        </w:rPr>
        <w:t xml:space="preserve">fuente de financiamiento </w:t>
      </w:r>
      <w:r w:rsidR="00042031" w:rsidRPr="00AE23D9">
        <w:rPr>
          <w:rFonts w:ascii="Arial" w:hAnsi="Arial" w:cs="Arial"/>
          <w:sz w:val="22"/>
          <w:szCs w:val="22"/>
        </w:rPr>
        <w:t>11 “Ingresos corriente</w:t>
      </w:r>
      <w:r w:rsidR="00042031">
        <w:rPr>
          <w:rFonts w:ascii="Arial" w:hAnsi="Arial" w:cs="Arial"/>
          <w:sz w:val="22"/>
          <w:szCs w:val="22"/>
        </w:rPr>
        <w:t xml:space="preserve">s”, </w:t>
      </w:r>
      <w:r w:rsidR="00042031" w:rsidRPr="00AE23D9">
        <w:rPr>
          <w:rFonts w:ascii="Arial" w:hAnsi="Arial" w:cs="Arial"/>
          <w:sz w:val="22"/>
          <w:szCs w:val="22"/>
        </w:rPr>
        <w:t xml:space="preserve">por </w:t>
      </w:r>
      <w:r w:rsidR="00042031">
        <w:rPr>
          <w:rFonts w:ascii="Arial" w:hAnsi="Arial" w:cs="Arial"/>
          <w:sz w:val="22"/>
          <w:szCs w:val="22"/>
        </w:rPr>
        <w:t xml:space="preserve">el monto de </w:t>
      </w:r>
      <w:r w:rsidR="00042031" w:rsidRPr="00AE23D9">
        <w:rPr>
          <w:rFonts w:ascii="Arial" w:hAnsi="Arial" w:cs="Arial"/>
          <w:sz w:val="22"/>
          <w:szCs w:val="22"/>
        </w:rPr>
        <w:t>Q.</w:t>
      </w:r>
      <w:r w:rsidR="00042031">
        <w:rPr>
          <w:rFonts w:ascii="Arial" w:hAnsi="Arial" w:cs="Arial"/>
          <w:sz w:val="22"/>
          <w:szCs w:val="22"/>
        </w:rPr>
        <w:t xml:space="preserve">2,023,315.00 y </w:t>
      </w:r>
      <w:r w:rsidR="00042031" w:rsidRPr="00AE23D9">
        <w:rPr>
          <w:rFonts w:ascii="Arial" w:hAnsi="Arial" w:cs="Arial"/>
          <w:sz w:val="22"/>
          <w:szCs w:val="22"/>
        </w:rPr>
        <w:t>21 “Ingresos tributarios IVA Paz” por Q.</w:t>
      </w:r>
      <w:r w:rsidR="00042031">
        <w:rPr>
          <w:rFonts w:ascii="Arial" w:hAnsi="Arial" w:cs="Arial"/>
          <w:sz w:val="22"/>
          <w:szCs w:val="22"/>
        </w:rPr>
        <w:t>16,307,650</w:t>
      </w:r>
      <w:r w:rsidR="00042031" w:rsidRPr="00AE23D9">
        <w:rPr>
          <w:rFonts w:ascii="Arial" w:hAnsi="Arial" w:cs="Arial"/>
          <w:sz w:val="22"/>
          <w:szCs w:val="22"/>
        </w:rPr>
        <w:t>.00</w:t>
      </w:r>
      <w:r w:rsidR="00042031">
        <w:rPr>
          <w:rFonts w:ascii="Arial" w:hAnsi="Arial" w:cs="Arial"/>
          <w:sz w:val="22"/>
          <w:szCs w:val="22"/>
        </w:rPr>
        <w:t>,</w:t>
      </w:r>
      <w:r w:rsidR="00042031" w:rsidRPr="00AE23D9">
        <w:rPr>
          <w:rFonts w:ascii="Arial" w:hAnsi="Arial" w:cs="Arial"/>
          <w:sz w:val="22"/>
          <w:szCs w:val="22"/>
        </w:rPr>
        <w:t xml:space="preserve"> para un total de Q.</w:t>
      </w:r>
      <w:r w:rsidR="00042031">
        <w:rPr>
          <w:rFonts w:ascii="Arial" w:hAnsi="Arial" w:cs="Arial"/>
          <w:sz w:val="22"/>
          <w:szCs w:val="22"/>
        </w:rPr>
        <w:t>18,330,965</w:t>
      </w:r>
      <w:r w:rsidR="00042031" w:rsidRPr="00AE23D9">
        <w:rPr>
          <w:rFonts w:ascii="Arial" w:hAnsi="Arial" w:cs="Arial"/>
          <w:sz w:val="22"/>
          <w:szCs w:val="22"/>
        </w:rPr>
        <w:t>.00</w:t>
      </w:r>
      <w:r w:rsidR="00042031">
        <w:rPr>
          <w:rFonts w:ascii="Arial" w:hAnsi="Arial" w:cs="Arial"/>
          <w:sz w:val="22"/>
          <w:szCs w:val="22"/>
        </w:rPr>
        <w:t xml:space="preserve"> de créditos presupuestarios disminuidos, así como,</w:t>
      </w:r>
      <w:r w:rsidR="00042031" w:rsidRPr="00AE23D9">
        <w:rPr>
          <w:rFonts w:ascii="Arial" w:hAnsi="Arial" w:cs="Arial"/>
          <w:sz w:val="22"/>
          <w:szCs w:val="22"/>
        </w:rPr>
        <w:t xml:space="preserve"> a la fuente de financiamiento 11 “Ingresos corrientes”</w:t>
      </w:r>
      <w:r w:rsidR="00042031">
        <w:rPr>
          <w:rFonts w:ascii="Arial" w:hAnsi="Arial" w:cs="Arial"/>
          <w:sz w:val="22"/>
          <w:szCs w:val="22"/>
        </w:rPr>
        <w:t>,</w:t>
      </w:r>
      <w:r w:rsidR="00042031" w:rsidRPr="00AE23D9">
        <w:rPr>
          <w:rFonts w:ascii="Arial" w:hAnsi="Arial" w:cs="Arial"/>
          <w:sz w:val="22"/>
          <w:szCs w:val="22"/>
        </w:rPr>
        <w:t xml:space="preserve"> por </w:t>
      </w:r>
      <w:r w:rsidR="00042031">
        <w:rPr>
          <w:rFonts w:ascii="Arial" w:hAnsi="Arial" w:cs="Arial"/>
          <w:sz w:val="22"/>
          <w:szCs w:val="22"/>
        </w:rPr>
        <w:t xml:space="preserve">el monto de </w:t>
      </w:r>
      <w:r w:rsidR="00042031" w:rsidRPr="00AE23D9">
        <w:rPr>
          <w:rFonts w:ascii="Arial" w:hAnsi="Arial" w:cs="Arial"/>
          <w:sz w:val="22"/>
          <w:szCs w:val="22"/>
        </w:rPr>
        <w:t>Q.</w:t>
      </w:r>
      <w:r w:rsidR="00042031">
        <w:rPr>
          <w:rFonts w:ascii="Arial" w:hAnsi="Arial" w:cs="Arial"/>
          <w:sz w:val="22"/>
          <w:szCs w:val="22"/>
        </w:rPr>
        <w:t xml:space="preserve">13,174,203.00 y </w:t>
      </w:r>
      <w:r w:rsidR="00042031" w:rsidRPr="00AE23D9">
        <w:rPr>
          <w:rFonts w:ascii="Arial" w:hAnsi="Arial" w:cs="Arial"/>
          <w:sz w:val="22"/>
          <w:szCs w:val="22"/>
        </w:rPr>
        <w:t>21 “In</w:t>
      </w:r>
      <w:r w:rsidR="00042031">
        <w:rPr>
          <w:rFonts w:ascii="Arial" w:hAnsi="Arial" w:cs="Arial"/>
          <w:sz w:val="22"/>
          <w:szCs w:val="22"/>
        </w:rPr>
        <w:t xml:space="preserve">gresos tributarios IVA Paz” por </w:t>
      </w:r>
      <w:r w:rsidR="00042031" w:rsidRPr="00AE23D9">
        <w:rPr>
          <w:rFonts w:ascii="Arial" w:hAnsi="Arial" w:cs="Arial"/>
          <w:sz w:val="22"/>
          <w:szCs w:val="22"/>
        </w:rPr>
        <w:t>Q.</w:t>
      </w:r>
      <w:r w:rsidR="00042031">
        <w:rPr>
          <w:rFonts w:ascii="Arial" w:hAnsi="Arial" w:cs="Arial"/>
          <w:sz w:val="22"/>
          <w:szCs w:val="22"/>
        </w:rPr>
        <w:t>20,372,430.00,</w:t>
      </w:r>
      <w:r w:rsidR="00042031" w:rsidRPr="00AE23D9">
        <w:rPr>
          <w:rFonts w:ascii="Arial" w:hAnsi="Arial" w:cs="Arial"/>
          <w:sz w:val="22"/>
          <w:szCs w:val="22"/>
        </w:rPr>
        <w:t xml:space="preserve"> para un total de Q.</w:t>
      </w:r>
      <w:r w:rsidR="00042031">
        <w:rPr>
          <w:rFonts w:ascii="Arial" w:hAnsi="Arial" w:cs="Arial"/>
          <w:sz w:val="22"/>
          <w:szCs w:val="22"/>
        </w:rPr>
        <w:t>33,546,633</w:t>
      </w:r>
      <w:r w:rsidR="00042031" w:rsidRPr="00AE23D9">
        <w:rPr>
          <w:rFonts w:ascii="Arial" w:hAnsi="Arial" w:cs="Arial"/>
          <w:sz w:val="22"/>
          <w:szCs w:val="22"/>
        </w:rPr>
        <w:t>.00</w:t>
      </w:r>
      <w:r w:rsidR="00042031">
        <w:rPr>
          <w:rFonts w:ascii="Arial" w:hAnsi="Arial" w:cs="Arial"/>
          <w:sz w:val="22"/>
          <w:szCs w:val="22"/>
        </w:rPr>
        <w:t xml:space="preserve"> de créditos presupuestarios incrementados</w:t>
      </w:r>
      <w:bookmarkEnd w:id="2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</w:t>
      </w:r>
      <w:r w:rsidR="002A44A1" w:rsidRPr="00D84F74">
        <w:rPr>
          <w:rFonts w:ascii="Arial" w:eastAsia="Arial Unicode MS" w:hAnsi="Arial" w:cs="Arial"/>
          <w:sz w:val="22"/>
          <w:szCs w:val="22"/>
        </w:rPr>
        <w:lastRenderedPageBreak/>
        <w:t>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la</w:t>
      </w:r>
      <w:r w:rsidR="00042031">
        <w:rPr>
          <w:rFonts w:ascii="Arial" w:hAnsi="Arial" w:cs="Arial"/>
          <w:sz w:val="22"/>
          <w:szCs w:val="22"/>
        </w:rPr>
        <w:t xml:space="preserve"> Dirección General de Evaluación e Investigación Educativa -DIGEDUCA- y a las </w:t>
      </w:r>
      <w:r w:rsidR="0004203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42031" w:rsidRPr="002B528B">
        <w:rPr>
          <w:rFonts w:ascii="Arial" w:hAnsi="Arial" w:cs="Arial"/>
          <w:sz w:val="22"/>
          <w:szCs w:val="22"/>
          <w:lang w:val="es-MX"/>
        </w:rPr>
        <w:t>de</w:t>
      </w:r>
      <w:r w:rsidR="00042031">
        <w:rPr>
          <w:rFonts w:ascii="Arial" w:hAnsi="Arial" w:cs="Arial"/>
          <w:sz w:val="22"/>
          <w:szCs w:val="22"/>
          <w:lang w:val="es-MX"/>
        </w:rPr>
        <w:t xml:space="preserve"> El Progreso, Escuintla, Santa Rosa, Sololá, Totonicapán, Quetzaltenango, Suchitepéquez, Huehuetenango, Quiché, Baja Verapaz, Izabal, Zacapa, Chiquimula, Jalapa, Jutiapa, Guatemala Norte, Guatemala Sur, Guatemala Occidente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1E1845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042031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</w:t>
      </w:r>
      <w:r w:rsidR="001E1845">
        <w:rPr>
          <w:rFonts w:ascii="Arial" w:eastAsia="Arial Unicode MS" w:hAnsi="Arial" w:cs="Arial"/>
          <w:color w:val="000000"/>
          <w:sz w:val="22"/>
          <w:szCs w:val="22"/>
        </w:rPr>
        <w:t>----</w:t>
      </w:r>
    </w:p>
    <w:p w14:paraId="129FE500" w14:textId="77777777" w:rsidR="001E1845" w:rsidRDefault="001E1845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5CE8D1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5C8E49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CB8A19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7D930F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77F8635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24C7E57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979657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6F4D10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5EC4743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476B71F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95BFBAD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D2E666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DDDCCFD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0E025E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17D9EBF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B3FF3FB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F7FC1EB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33F3721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B32AFE6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292EC42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97E9ACA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04DFC5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095EBC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18427CB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5F753E3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C5A0DB2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5CC4487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86DA0E0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C15CD5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133EB4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E596BD1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789DE09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1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BF8F4" w14:textId="77777777" w:rsidR="004E54A4" w:rsidRDefault="004E54A4" w:rsidP="001D1E50">
      <w:r>
        <w:separator/>
      </w:r>
    </w:p>
  </w:endnote>
  <w:endnote w:type="continuationSeparator" w:id="0">
    <w:p w14:paraId="44E8AC21" w14:textId="77777777" w:rsidR="004E54A4" w:rsidRDefault="004E54A4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90B8" w14:textId="77777777" w:rsidR="004E54A4" w:rsidRDefault="004E54A4" w:rsidP="001D1E50">
      <w:r>
        <w:separator/>
      </w:r>
    </w:p>
  </w:footnote>
  <w:footnote w:type="continuationSeparator" w:id="0">
    <w:p w14:paraId="2D49F4D9" w14:textId="77777777" w:rsidR="004E54A4" w:rsidRDefault="004E54A4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2C1EF63F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EB392C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E1845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031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B8D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6AB4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1845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21D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A6B6F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4A4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97D77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E7FF5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0A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548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2616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0E58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4D4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B62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1982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5B7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3D1E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392C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1B6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79D9-30C8-4135-B08B-99E807E1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12</cp:revision>
  <cp:lastPrinted>2024-01-31T21:38:00Z</cp:lastPrinted>
  <dcterms:created xsi:type="dcterms:W3CDTF">2024-07-26T20:22:00Z</dcterms:created>
  <dcterms:modified xsi:type="dcterms:W3CDTF">2024-07-30T17:01:00Z</dcterms:modified>
</cp:coreProperties>
</file>