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01F" w:rsidRDefault="00CB12A7">
      <w:pPr>
        <w:spacing w:before="71" w:line="290" w:lineRule="auto"/>
        <w:ind w:left="4439" w:right="2838" w:hanging="378"/>
        <w:rPr>
          <w:b/>
          <w:sz w:val="24"/>
        </w:rPr>
      </w:pPr>
      <w:bookmarkStart w:id="0" w:name="_GoBack"/>
      <w:bookmarkEnd w:id="0"/>
      <w:r>
        <w:rPr>
          <w:b/>
          <w:sz w:val="24"/>
        </w:rPr>
        <w:t>MINISTERIO DE EDUCACIÓN AUDITORIA INTERNA CUA No.:105665</w:t>
      </w: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AD501F">
      <w:pPr>
        <w:pStyle w:val="Textoindependiente"/>
        <w:rPr>
          <w:b/>
          <w:sz w:val="26"/>
        </w:rPr>
      </w:pPr>
    </w:p>
    <w:p w:rsidR="00AD501F" w:rsidRDefault="00CB12A7">
      <w:pPr>
        <w:spacing w:before="185" w:line="340" w:lineRule="auto"/>
        <w:ind w:left="3767" w:right="2565" w:hanging="2"/>
        <w:jc w:val="center"/>
        <w:rPr>
          <w:b/>
          <w:sz w:val="24"/>
        </w:rPr>
      </w:pPr>
      <w:r>
        <w:rPr>
          <w:b/>
          <w:sz w:val="24"/>
        </w:rPr>
        <w:t>MINISTERIO DE EDUCACIÓN ACTIVIDADES ADMINISTRATIVAS</w:t>
      </w:r>
    </w:p>
    <w:p w:rsidR="00AD501F" w:rsidRDefault="00CB12A7">
      <w:pPr>
        <w:spacing w:before="3" w:line="290" w:lineRule="auto"/>
        <w:ind w:left="2280" w:right="1086" w:firstLine="4"/>
        <w:jc w:val="center"/>
        <w:rPr>
          <w:b/>
          <w:sz w:val="24"/>
        </w:rPr>
      </w:pPr>
      <w:r>
        <w:rPr>
          <w:b/>
          <w:sz w:val="24"/>
        </w:rPr>
        <w:t>Auditoría Administrativa de seguimiento a las recomendaciones emitidas por la Dirección de Auditoría Interna, al CUA 88500-1-2020, Auditoria Administrativa de verificación de personal docente desarrollando actividades administrativas,</w:t>
      </w:r>
      <w:r>
        <w:rPr>
          <w:b/>
          <w:spacing w:val="-9"/>
          <w:sz w:val="24"/>
        </w:rPr>
        <w:t xml:space="preserve"> </w:t>
      </w:r>
      <w:r>
        <w:rPr>
          <w:b/>
          <w:sz w:val="24"/>
        </w:rPr>
        <w:t>renglón</w:t>
      </w:r>
      <w:r>
        <w:rPr>
          <w:b/>
          <w:spacing w:val="-8"/>
          <w:sz w:val="24"/>
        </w:rPr>
        <w:t xml:space="preserve"> </w:t>
      </w:r>
      <w:r>
        <w:rPr>
          <w:b/>
          <w:sz w:val="24"/>
        </w:rPr>
        <w:t>011</w:t>
      </w:r>
      <w:r>
        <w:rPr>
          <w:b/>
          <w:spacing w:val="-8"/>
          <w:sz w:val="24"/>
        </w:rPr>
        <w:t xml:space="preserve"> </w:t>
      </w:r>
      <w:r>
        <w:rPr>
          <w:b/>
          <w:sz w:val="24"/>
        </w:rPr>
        <w:t>personal</w:t>
      </w:r>
      <w:r>
        <w:rPr>
          <w:b/>
          <w:spacing w:val="-9"/>
          <w:sz w:val="24"/>
        </w:rPr>
        <w:t xml:space="preserve"> </w:t>
      </w:r>
      <w:r>
        <w:rPr>
          <w:b/>
          <w:sz w:val="24"/>
        </w:rPr>
        <w:t>permanente</w:t>
      </w:r>
      <w:r>
        <w:rPr>
          <w:b/>
          <w:spacing w:val="-8"/>
          <w:sz w:val="24"/>
        </w:rPr>
        <w:t xml:space="preserve"> </w:t>
      </w:r>
      <w:r>
        <w:rPr>
          <w:b/>
          <w:sz w:val="24"/>
        </w:rPr>
        <w:t>y</w:t>
      </w:r>
      <w:r>
        <w:rPr>
          <w:b/>
          <w:spacing w:val="-8"/>
          <w:sz w:val="24"/>
        </w:rPr>
        <w:t xml:space="preserve"> </w:t>
      </w:r>
      <w:r>
        <w:rPr>
          <w:b/>
          <w:sz w:val="24"/>
        </w:rPr>
        <w:t>renglón 021 personal</w:t>
      </w:r>
      <w:r>
        <w:rPr>
          <w:b/>
          <w:spacing w:val="-4"/>
          <w:sz w:val="24"/>
        </w:rPr>
        <w:t xml:space="preserve"> </w:t>
      </w:r>
      <w:r>
        <w:rPr>
          <w:b/>
          <w:sz w:val="24"/>
        </w:rPr>
        <w:t>supernumerario.</w:t>
      </w: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rPr>
          <w:b/>
          <w:sz w:val="20"/>
        </w:rPr>
      </w:pPr>
    </w:p>
    <w:p w:rsidR="00AD501F" w:rsidRDefault="00AD501F">
      <w:pPr>
        <w:pStyle w:val="Textoindependiente"/>
        <w:spacing w:before="7"/>
        <w:rPr>
          <w:b/>
          <w:sz w:val="17"/>
        </w:rPr>
      </w:pPr>
    </w:p>
    <w:p w:rsidR="00AD501F" w:rsidRDefault="00CB12A7">
      <w:pPr>
        <w:spacing w:before="93"/>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AD501F" w:rsidRDefault="00AD501F">
      <w:pPr>
        <w:rPr>
          <w:sz w:val="24"/>
        </w:rPr>
        <w:sectPr w:rsidR="00AD501F">
          <w:type w:val="continuous"/>
          <w:pgSz w:w="12240" w:h="15840"/>
          <w:pgMar w:top="1080" w:right="1600" w:bottom="0" w:left="400" w:header="720" w:footer="720" w:gutter="0"/>
          <w:cols w:space="720"/>
        </w:sectPr>
      </w:pPr>
    </w:p>
    <w:p w:rsidR="00AD501F" w:rsidRDefault="00CB12A7">
      <w:pPr>
        <w:spacing w:before="71"/>
        <w:ind w:left="4938" w:right="4447"/>
        <w:jc w:val="center"/>
        <w:rPr>
          <w:b/>
          <w:sz w:val="24"/>
        </w:rPr>
      </w:pPr>
      <w:r>
        <w:rPr>
          <w:b/>
          <w:sz w:val="24"/>
        </w:rPr>
        <w:lastRenderedPageBreak/>
        <w:t>INDICE</w:t>
      </w:r>
    </w:p>
    <w:sdt>
      <w:sdtPr>
        <w:id w:val="267438314"/>
        <w:docPartObj>
          <w:docPartGallery w:val="Table of Contents"/>
          <w:docPartUnique/>
        </w:docPartObj>
      </w:sdtPr>
      <w:sdtEndPr/>
      <w:sdtContent>
        <w:p w:rsidR="00AD501F" w:rsidRDefault="00CB12A7">
          <w:pPr>
            <w:pStyle w:val="TDC1"/>
            <w:tabs>
              <w:tab w:val="right" w:pos="9427"/>
            </w:tabs>
            <w:spacing w:before="741"/>
            <w:rPr>
              <w:b w:val="0"/>
            </w:rPr>
          </w:pPr>
          <w:hyperlink w:anchor="_TOC_250003" w:history="1">
            <w:r>
              <w:t>INTRODUCCION</w:t>
            </w:r>
            <w:r>
              <w:tab/>
            </w:r>
            <w:r>
              <w:rPr>
                <w:b w:val="0"/>
                <w:position w:val="-3"/>
              </w:rPr>
              <w:t>1</w:t>
            </w:r>
          </w:hyperlink>
        </w:p>
        <w:p w:rsidR="00AD501F" w:rsidRDefault="00CB12A7">
          <w:pPr>
            <w:pStyle w:val="TDC1"/>
            <w:tabs>
              <w:tab w:val="right" w:pos="9427"/>
            </w:tabs>
            <w:rPr>
              <w:b w:val="0"/>
            </w:rPr>
          </w:pPr>
          <w:hyperlink w:anchor="_TOC_250002" w:history="1">
            <w:r>
              <w:t>OBJETIVOS</w:t>
            </w:r>
            <w:r>
              <w:tab/>
            </w:r>
            <w:r>
              <w:rPr>
                <w:b w:val="0"/>
                <w:position w:val="-3"/>
              </w:rPr>
              <w:t>1</w:t>
            </w:r>
          </w:hyperlink>
        </w:p>
        <w:p w:rsidR="00AD501F" w:rsidRDefault="00CB12A7">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AD501F" w:rsidRDefault="00CB12A7">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AD501F" w:rsidRDefault="00CB12A7">
          <w:pPr>
            <w:pStyle w:val="TDC1"/>
            <w:tabs>
              <w:tab w:val="right" w:pos="9427"/>
            </w:tabs>
            <w:spacing w:before="154"/>
            <w:rPr>
              <w:b w:val="0"/>
            </w:rPr>
          </w:pPr>
          <w:hyperlink w:anchor="_TOC_250000" w:history="1">
            <w:r>
              <w:t>ANEXOS</w:t>
            </w:r>
            <w:r>
              <w:tab/>
            </w:r>
            <w:r>
              <w:rPr>
                <w:b w:val="0"/>
                <w:position w:val="-3"/>
              </w:rPr>
              <w:t>3</w:t>
            </w:r>
          </w:hyperlink>
        </w:p>
      </w:sdtContent>
    </w:sdt>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CB12A7">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AD501F" w:rsidRDefault="00AD501F">
      <w:pPr>
        <w:rPr>
          <w:sz w:val="18"/>
        </w:rPr>
        <w:sectPr w:rsidR="00AD501F">
          <w:pgSz w:w="12240" w:h="15840"/>
          <w:pgMar w:top="1080" w:right="1600" w:bottom="0" w:left="400" w:header="720" w:footer="720" w:gutter="0"/>
          <w:cols w:space="720"/>
        </w:sectPr>
      </w:pPr>
    </w:p>
    <w:p w:rsidR="00AD501F" w:rsidRDefault="00CB12A7">
      <w:pPr>
        <w:pStyle w:val="Ttulo1"/>
        <w:spacing w:before="82"/>
      </w:pPr>
      <w:bookmarkStart w:id="1" w:name="_TOC_250003"/>
      <w:bookmarkEnd w:id="1"/>
      <w:r>
        <w:lastRenderedPageBreak/>
        <w:t>INTRODUCCION</w:t>
      </w:r>
    </w:p>
    <w:p w:rsidR="00AD501F" w:rsidRDefault="00AD501F">
      <w:pPr>
        <w:pStyle w:val="Textoindependiente"/>
        <w:spacing w:before="10"/>
        <w:rPr>
          <w:b/>
          <w:sz w:val="33"/>
        </w:rPr>
      </w:pPr>
    </w:p>
    <w:p w:rsidR="00AD501F" w:rsidRDefault="00CB12A7">
      <w:pPr>
        <w:pStyle w:val="Textoindependiente"/>
        <w:spacing w:line="278" w:lineRule="auto"/>
        <w:ind w:left="1301" w:right="102" w:firstLine="103"/>
        <w:jc w:val="both"/>
      </w:pPr>
      <w:r>
        <w:t xml:space="preserve">De conformidad con el nombramiento de auditoría número 106565-1-2021, de fecha 01 de febrero de 2021, fui designada para realizar auditoría administrativa de seguimiento a las recomendaciones emitidas por la Dirección de Auditoría </w:t>
      </w:r>
      <w:r>
        <w:rPr>
          <w:spacing w:val="3"/>
        </w:rPr>
        <w:t xml:space="preserve">Interna </w:t>
      </w:r>
      <w:r>
        <w:t xml:space="preserve">en el </w:t>
      </w:r>
      <w:r>
        <w:rPr>
          <w:spacing w:val="3"/>
        </w:rPr>
        <w:t xml:space="preserve">informe </w:t>
      </w:r>
      <w:r>
        <w:t xml:space="preserve">de </w:t>
      </w:r>
      <w:r>
        <w:rPr>
          <w:spacing w:val="3"/>
        </w:rPr>
        <w:t xml:space="preserve">auditoría CUA-88500-1-2020, </w:t>
      </w:r>
      <w:r>
        <w:t xml:space="preserve">en la </w:t>
      </w:r>
      <w:r>
        <w:rPr>
          <w:spacing w:val="3"/>
        </w:rPr>
        <w:t xml:space="preserve">Dirección </w:t>
      </w:r>
      <w:r>
        <w:t>Departamental de Educación de Baja</w:t>
      </w:r>
      <w:r>
        <w:rPr>
          <w:spacing w:val="-8"/>
        </w:rPr>
        <w:t xml:space="preserve"> </w:t>
      </w:r>
      <w:r>
        <w:t>Verapaz.</w:t>
      </w:r>
    </w:p>
    <w:p w:rsidR="00AD501F" w:rsidRDefault="00AD501F">
      <w:pPr>
        <w:pStyle w:val="Textoindependiente"/>
        <w:spacing w:before="9"/>
        <w:rPr>
          <w:sz w:val="28"/>
        </w:rPr>
      </w:pPr>
    </w:p>
    <w:p w:rsidR="00AD501F" w:rsidRDefault="00CB12A7">
      <w:pPr>
        <w:pStyle w:val="Ttulo1"/>
      </w:pPr>
      <w:bookmarkStart w:id="2" w:name="_TOC_250002"/>
      <w:bookmarkEnd w:id="2"/>
      <w:r>
        <w:t>OBJETIVOS</w:t>
      </w:r>
    </w:p>
    <w:p w:rsidR="00AD501F" w:rsidRDefault="00AD501F">
      <w:pPr>
        <w:pStyle w:val="Textoindependiente"/>
        <w:spacing w:before="10"/>
        <w:rPr>
          <w:b/>
          <w:sz w:val="33"/>
        </w:rPr>
      </w:pPr>
    </w:p>
    <w:p w:rsidR="00AD501F" w:rsidRDefault="00CB12A7">
      <w:pPr>
        <w:spacing w:before="1"/>
        <w:ind w:left="1301"/>
        <w:rPr>
          <w:b/>
          <w:sz w:val="24"/>
        </w:rPr>
      </w:pPr>
      <w:r>
        <w:rPr>
          <w:b/>
          <w:sz w:val="24"/>
        </w:rPr>
        <w:t>General</w:t>
      </w:r>
    </w:p>
    <w:p w:rsidR="00AD501F" w:rsidRDefault="00CB12A7">
      <w:pPr>
        <w:pStyle w:val="Textoindependiente"/>
        <w:spacing w:before="56" w:line="278" w:lineRule="auto"/>
        <w:ind w:left="1301" w:right="87"/>
      </w:pPr>
      <w:r>
        <w:t>Realizar seguimiento a las recomendaciones emitidas por la Dirección de Auditoría Interna –DIDAI- en el informe CUA 88500-1-2020.</w:t>
      </w:r>
    </w:p>
    <w:p w:rsidR="00AD501F" w:rsidRDefault="00AD501F">
      <w:pPr>
        <w:pStyle w:val="Textoindependiente"/>
        <w:spacing w:before="8"/>
        <w:rPr>
          <w:sz w:val="27"/>
        </w:rPr>
      </w:pPr>
    </w:p>
    <w:p w:rsidR="00AD501F" w:rsidRDefault="00CB12A7">
      <w:pPr>
        <w:ind w:left="1301"/>
        <w:rPr>
          <w:b/>
          <w:sz w:val="24"/>
        </w:rPr>
      </w:pPr>
      <w:r>
        <w:rPr>
          <w:b/>
          <w:sz w:val="24"/>
        </w:rPr>
        <w:t>Específico</w:t>
      </w:r>
    </w:p>
    <w:p w:rsidR="00AD501F" w:rsidRDefault="00CB12A7">
      <w:pPr>
        <w:pStyle w:val="Textoindependiente"/>
        <w:spacing w:before="56"/>
        <w:ind w:left="1301"/>
      </w:pPr>
      <w:r>
        <w:t>Verifi</w:t>
      </w:r>
      <w:r>
        <w:t>car si existen recomendaciones implementadas, en proceso e incumplidas.</w:t>
      </w:r>
    </w:p>
    <w:p w:rsidR="00AD501F" w:rsidRDefault="00AD501F">
      <w:pPr>
        <w:pStyle w:val="Textoindependiente"/>
        <w:spacing w:before="10"/>
        <w:rPr>
          <w:sz w:val="32"/>
        </w:rPr>
      </w:pPr>
    </w:p>
    <w:p w:rsidR="00AD501F" w:rsidRDefault="00CB12A7">
      <w:pPr>
        <w:pStyle w:val="Ttulo1"/>
      </w:pPr>
      <w:bookmarkStart w:id="3" w:name="_TOC_250001"/>
      <w:bookmarkEnd w:id="3"/>
      <w:r>
        <w:t>ALCANCE DE LA ACTIVIDAD</w:t>
      </w:r>
    </w:p>
    <w:p w:rsidR="00AD501F" w:rsidRDefault="00AD501F">
      <w:pPr>
        <w:pStyle w:val="Textoindependiente"/>
        <w:spacing w:before="9"/>
        <w:rPr>
          <w:b/>
          <w:sz w:val="33"/>
        </w:rPr>
      </w:pPr>
    </w:p>
    <w:p w:rsidR="00AD501F" w:rsidRDefault="00CB12A7">
      <w:pPr>
        <w:pStyle w:val="Textoindependiente"/>
        <w:spacing w:before="1" w:line="278" w:lineRule="auto"/>
        <w:ind w:left="1301" w:right="100"/>
        <w:jc w:val="both"/>
      </w:pPr>
      <w:r>
        <w:t>Se efectuó seguimiento a la recomendación emitida por la Dirección de Auditoría Interna –DIDAI- en el informe CUA-88500-1-2020 auditoría administrativa de ver</w:t>
      </w:r>
      <w:r>
        <w:t>ificación de personal docente desarrollando actividades administrativas, renglones 011 “Personal Permanente” y 021 “Personal Supernumerario”, en la Dirección Departamental de Educación de Baja Verapaz, del 01 de enero al 31 de julio de 2020.</w:t>
      </w:r>
    </w:p>
    <w:p w:rsidR="00AD501F" w:rsidRDefault="00CB12A7">
      <w:pPr>
        <w:spacing w:before="22" w:line="666" w:lineRule="exact"/>
        <w:ind w:left="1301" w:right="2838"/>
        <w:rPr>
          <w:b/>
          <w:sz w:val="24"/>
        </w:rPr>
      </w:pPr>
      <w:r>
        <w:rPr>
          <w:b/>
          <w:sz w:val="24"/>
        </w:rPr>
        <w:t xml:space="preserve">RESULTADOS DE </w:t>
      </w:r>
      <w:r>
        <w:rPr>
          <w:b/>
          <w:sz w:val="24"/>
        </w:rPr>
        <w:t>LA ACTIVIDAD RECOMENDACIONES EN PROCESO –SR1-</w:t>
      </w:r>
    </w:p>
    <w:p w:rsidR="00AD501F" w:rsidRDefault="00CB12A7">
      <w:pPr>
        <w:pStyle w:val="Textoindependiente"/>
        <w:spacing w:line="250" w:lineRule="exact"/>
        <w:ind w:left="1301"/>
      </w:pPr>
      <w:r>
        <w:t>De conformidad al formulario SR1 seguimiento a recomendaciones y a la</w:t>
      </w:r>
    </w:p>
    <w:p w:rsidR="00AD501F" w:rsidRDefault="00CB12A7">
      <w:pPr>
        <w:pStyle w:val="Textoindependiente"/>
        <w:spacing w:before="44" w:line="278" w:lineRule="auto"/>
        <w:ind w:left="1301"/>
      </w:pPr>
      <w:r>
        <w:t>evaluación de la documentación presentada, se determinó que la siguiente recomendación se encuentra en proceso de implementación:</w:t>
      </w:r>
    </w:p>
    <w:p w:rsidR="00AD501F" w:rsidRDefault="00AD501F">
      <w:pPr>
        <w:pStyle w:val="Textoindependiente"/>
        <w:spacing w:before="8"/>
        <w:rPr>
          <w:sz w:val="27"/>
        </w:rPr>
      </w:pPr>
    </w:p>
    <w:p w:rsidR="00AD501F" w:rsidRDefault="00CB12A7">
      <w:pPr>
        <w:ind w:left="1301"/>
        <w:jc w:val="both"/>
        <w:rPr>
          <w:b/>
          <w:sz w:val="24"/>
        </w:rPr>
      </w:pPr>
      <w:r>
        <w:rPr>
          <w:b/>
          <w:sz w:val="24"/>
        </w:rPr>
        <w:t>Hallazgo No.1</w:t>
      </w:r>
    </w:p>
    <w:p w:rsidR="00AD501F" w:rsidRDefault="00CB12A7">
      <w:pPr>
        <w:spacing w:before="57"/>
        <w:ind w:left="1301"/>
        <w:jc w:val="both"/>
        <w:rPr>
          <w:b/>
          <w:sz w:val="24"/>
        </w:rPr>
      </w:pPr>
      <w:r>
        <w:rPr>
          <w:b/>
          <w:sz w:val="24"/>
        </w:rPr>
        <w:t>Falta de confiabilidad en el libro de control de asistencia</w:t>
      </w:r>
    </w:p>
    <w:p w:rsidR="00AD501F" w:rsidRDefault="00CB12A7">
      <w:pPr>
        <w:pStyle w:val="Textoindependiente"/>
        <w:spacing w:before="56" w:line="278" w:lineRule="auto"/>
        <w:ind w:left="1301" w:right="102"/>
        <w:jc w:val="both"/>
      </w:pPr>
      <w:r>
        <w:t xml:space="preserve">Considerando que el director Departamental de Baja Verapaz, informó e instruyó al jefe administrativo financiero y a la jefe de recursos humanos para gestionar la </w:t>
      </w:r>
      <w:r>
        <w:rPr>
          <w:spacing w:val="3"/>
        </w:rPr>
        <w:t xml:space="preserve">compra </w:t>
      </w:r>
      <w:r>
        <w:t xml:space="preserve">de un </w:t>
      </w:r>
      <w:r>
        <w:rPr>
          <w:spacing w:val="3"/>
        </w:rPr>
        <w:t xml:space="preserve">reloj </w:t>
      </w:r>
      <w:r>
        <w:rPr>
          <w:spacing w:val="3"/>
        </w:rPr>
        <w:t xml:space="preserve">biométrico destinado </w:t>
      </w:r>
      <w:r>
        <w:t xml:space="preserve">a </w:t>
      </w:r>
      <w:r>
        <w:rPr>
          <w:spacing w:val="2"/>
        </w:rPr>
        <w:t xml:space="preserve">las </w:t>
      </w:r>
      <w:r>
        <w:rPr>
          <w:spacing w:val="3"/>
        </w:rPr>
        <w:t xml:space="preserve">Coordinaciones Técnico </w:t>
      </w:r>
      <w:r>
        <w:t>Administrativas; pero no presentaron evidencia de la compra. Asimismo, no presentaron evidencia referente al uso del formato para el registro en el libro de asistencia</w:t>
      </w:r>
      <w:r>
        <w:rPr>
          <w:spacing w:val="10"/>
        </w:rPr>
        <w:t xml:space="preserve"> </w:t>
      </w:r>
      <w:r>
        <w:t>y</w:t>
      </w:r>
      <w:r>
        <w:rPr>
          <w:spacing w:val="10"/>
        </w:rPr>
        <w:t xml:space="preserve"> </w:t>
      </w:r>
      <w:r>
        <w:t>que</w:t>
      </w:r>
      <w:r>
        <w:rPr>
          <w:spacing w:val="10"/>
        </w:rPr>
        <w:t xml:space="preserve"> </w:t>
      </w:r>
      <w:r>
        <w:t>aún</w:t>
      </w:r>
      <w:r>
        <w:rPr>
          <w:spacing w:val="10"/>
        </w:rPr>
        <w:t xml:space="preserve"> </w:t>
      </w:r>
      <w:r>
        <w:t>están</w:t>
      </w:r>
      <w:r>
        <w:rPr>
          <w:spacing w:val="10"/>
        </w:rPr>
        <w:t xml:space="preserve"> </w:t>
      </w:r>
      <w:r>
        <w:t>en</w:t>
      </w:r>
      <w:r>
        <w:rPr>
          <w:spacing w:val="10"/>
        </w:rPr>
        <w:t xml:space="preserve"> </w:t>
      </w:r>
      <w:r>
        <w:t>el</w:t>
      </w:r>
      <w:r>
        <w:rPr>
          <w:spacing w:val="10"/>
        </w:rPr>
        <w:t xml:space="preserve"> </w:t>
      </w:r>
      <w:r>
        <w:t>proceso</w:t>
      </w:r>
      <w:r>
        <w:rPr>
          <w:spacing w:val="10"/>
        </w:rPr>
        <w:t xml:space="preserve"> </w:t>
      </w:r>
      <w:r>
        <w:t>de</w:t>
      </w:r>
      <w:r>
        <w:rPr>
          <w:spacing w:val="10"/>
        </w:rPr>
        <w:t xml:space="preserve"> </w:t>
      </w:r>
      <w:r>
        <w:t>implementar</w:t>
      </w:r>
      <w:r>
        <w:rPr>
          <w:spacing w:val="10"/>
        </w:rPr>
        <w:t xml:space="preserve"> </w:t>
      </w:r>
      <w:r>
        <w:t>acciones</w:t>
      </w:r>
      <w:r>
        <w:rPr>
          <w:spacing w:val="10"/>
        </w:rPr>
        <w:t xml:space="preserve"> </w:t>
      </w:r>
      <w:r>
        <w:t>para</w:t>
      </w:r>
      <w:r>
        <w:rPr>
          <w:spacing w:val="10"/>
        </w:rPr>
        <w:t xml:space="preserve"> </w:t>
      </w:r>
      <w:r>
        <w:t>el</w:t>
      </w:r>
      <w:r>
        <w:rPr>
          <w:spacing w:val="10"/>
        </w:rPr>
        <w:t xml:space="preserve"> </w:t>
      </w:r>
      <w:r>
        <w:t>control</w:t>
      </w:r>
    </w:p>
    <w:p w:rsidR="00AD501F" w:rsidRDefault="00AD501F">
      <w:pPr>
        <w:spacing w:line="278" w:lineRule="auto"/>
        <w:jc w:val="both"/>
        <w:sectPr w:rsidR="00AD501F">
          <w:headerReference w:type="default" r:id="rId7"/>
          <w:footerReference w:type="default" r:id="rId8"/>
          <w:pgSz w:w="12240" w:h="15840"/>
          <w:pgMar w:top="1060" w:right="1600" w:bottom="780" w:left="400" w:header="617" w:footer="596" w:gutter="0"/>
          <w:pgNumType w:start="1"/>
          <w:cols w:space="720"/>
        </w:sectPr>
      </w:pPr>
    </w:p>
    <w:p w:rsidR="00AD501F" w:rsidRDefault="00CB12A7">
      <w:pPr>
        <w:pStyle w:val="Textoindependiente"/>
        <w:spacing w:before="82" w:line="278" w:lineRule="auto"/>
        <w:ind w:left="1301" w:right="101"/>
        <w:jc w:val="both"/>
      </w:pPr>
      <w:r>
        <w:lastRenderedPageBreak/>
        <w:t>de asistencia efectivo, eficiente y confiable del personal de supervisiones educativas, la recomendación queda en proceso.</w:t>
      </w:r>
    </w:p>
    <w:p w:rsidR="00AD501F" w:rsidRDefault="00AD501F">
      <w:pPr>
        <w:pStyle w:val="Textoindependiente"/>
        <w:spacing w:before="7"/>
        <w:rPr>
          <w:sz w:val="27"/>
        </w:rPr>
      </w:pPr>
    </w:p>
    <w:p w:rsidR="00AD501F" w:rsidRDefault="00CB12A7">
      <w:pPr>
        <w:pStyle w:val="Textoindependiente"/>
        <w:spacing w:before="1" w:line="278" w:lineRule="auto"/>
        <w:ind w:left="1301" w:right="102"/>
        <w:jc w:val="both"/>
      </w:pPr>
      <w:r>
        <w:t>La falta de implementación de la recomendación emitida por la Dirección de Auditoría Interna, que queda en proceso, propicia un débi</w:t>
      </w:r>
      <w:r>
        <w:t>l control interno, ser sujetos de sanciones administrativas y posible aplicación de sanciones económicas a los responsables, por parte del ente fiscalizador externo.</w:t>
      </w:r>
    </w:p>
    <w:p w:rsidR="00AD501F" w:rsidRDefault="00AD501F">
      <w:pPr>
        <w:pStyle w:val="Textoindependiente"/>
        <w:spacing w:before="7"/>
        <w:rPr>
          <w:sz w:val="27"/>
        </w:rPr>
      </w:pPr>
    </w:p>
    <w:p w:rsidR="00AD501F" w:rsidRDefault="00CB12A7">
      <w:pPr>
        <w:ind w:left="1301"/>
        <w:jc w:val="both"/>
        <w:rPr>
          <w:b/>
          <w:sz w:val="24"/>
        </w:rPr>
      </w:pPr>
      <w:r>
        <w:rPr>
          <w:b/>
          <w:sz w:val="24"/>
        </w:rPr>
        <w:t>COMPROMISO ADQUIRIDO POR LOS RESPONSABLES</w:t>
      </w:r>
    </w:p>
    <w:p w:rsidR="00AD501F" w:rsidRDefault="00CB12A7">
      <w:pPr>
        <w:pStyle w:val="Textoindependiente"/>
        <w:spacing w:before="56" w:line="278" w:lineRule="auto"/>
        <w:ind w:left="1301" w:right="101"/>
        <w:jc w:val="both"/>
      </w:pPr>
      <w:r>
        <w:t xml:space="preserve">Por medio de Oficio No. 18-2021 Ref. RRHH-cvpr </w:t>
      </w:r>
      <w:r>
        <w:t>de fecha 8 de febrero del año 2021, el Director de la Dirección Departamental de Educación de –Baja Verapaz, Licenciado César Moisés Hernández Jerónimo, indica que respecto al uso del formato para el registro en el libro de asistencia cumplirán con el mism</w:t>
      </w:r>
      <w:r>
        <w:t xml:space="preserve">o en un lapso de 20 días y a la compra de reloj biométrico destinado a las Coordinaciones Técnico Administrativas, un mínimo de 3 meses, debido a las modificaciones presupuestarias, tiempo indicado para darle cumplimiento con la recomendación que queda en </w:t>
      </w:r>
      <w:r>
        <w:t>proceso.</w:t>
      </w: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spacing w:before="3"/>
        <w:rPr>
          <w:sz w:val="13"/>
        </w:rPr>
      </w:pPr>
    </w:p>
    <w:p w:rsidR="00AD501F" w:rsidRDefault="0085723E">
      <w:pPr>
        <w:tabs>
          <w:tab w:val="left" w:pos="5840"/>
        </w:tabs>
        <w:spacing w:line="20" w:lineRule="exact"/>
        <w:ind w:left="1436"/>
        <w:rPr>
          <w:sz w:val="2"/>
        </w:rPr>
      </w:pPr>
      <w:r>
        <w:rPr>
          <w:noProof/>
          <w:sz w:val="2"/>
          <w:lang w:val="es-GT" w:eastAsia="es-GT"/>
        </w:rPr>
        <mc:AlternateContent>
          <mc:Choice Requires="wpg">
            <w:drawing>
              <wp:inline distT="0" distB="0" distL="0" distR="0">
                <wp:extent cx="1617345" cy="9525"/>
                <wp:effectExtent l="3810" t="2540" r="0" b="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9525"/>
                          <a:chOff x="0" y="0"/>
                          <a:chExt cx="2547" cy="15"/>
                        </a:xfrm>
                      </wpg:grpSpPr>
                      <wps:wsp>
                        <wps:cNvPr id="23" name="Rectangle 9"/>
                        <wps:cNvSpPr>
                          <a:spLocks noChangeArrowheads="1"/>
                        </wps:cNvSpPr>
                        <wps:spPr bwMode="auto">
                          <a:xfrm>
                            <a:off x="0" y="0"/>
                            <a:ext cx="25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042765" id="Group 8" o:spid="_x0000_s1026" style="width:127.35pt;height:.75pt;mso-position-horizontal-relative:char;mso-position-vertical-relative:line" coordsize="2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jxgIAAEg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">
                <v:rect id="Rectangle 9" o:spid="_x0000_s1027" style="position:absolute;width:254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r w:rsidR="00CB12A7">
        <w:rPr>
          <w:sz w:val="2"/>
        </w:rPr>
        <w:tab/>
      </w:r>
      <w:r>
        <w:rPr>
          <w:noProof/>
          <w:sz w:val="2"/>
          <w:lang w:val="es-GT" w:eastAsia="es-GT"/>
        </w:rPr>
        <mc:AlternateContent>
          <mc:Choice Requires="wpg">
            <w:drawing>
              <wp:inline distT="0" distB="0" distL="0" distR="0">
                <wp:extent cx="1784985" cy="9525"/>
                <wp:effectExtent l="0" t="2540" r="0" b="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1"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D122B7"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lxg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p>
    <w:p w:rsidR="00AD501F" w:rsidRDefault="00AD501F">
      <w:pPr>
        <w:spacing w:line="20" w:lineRule="exact"/>
        <w:rPr>
          <w:sz w:val="2"/>
        </w:rPr>
        <w:sectPr w:rsidR="00AD501F">
          <w:pgSz w:w="12240" w:h="15840"/>
          <w:pgMar w:top="1060" w:right="1600" w:bottom="780" w:left="400" w:header="617" w:footer="596" w:gutter="0"/>
          <w:cols w:space="720"/>
        </w:sectPr>
      </w:pPr>
    </w:p>
    <w:p w:rsidR="00AD501F" w:rsidRDefault="00CB12A7">
      <w:pPr>
        <w:spacing w:before="19"/>
        <w:ind w:left="1451"/>
        <w:rPr>
          <w:sz w:val="14"/>
        </w:rPr>
      </w:pPr>
      <w:r>
        <w:rPr>
          <w:sz w:val="14"/>
        </w:rPr>
        <w:lastRenderedPageBreak/>
        <w:t>MARIA VICTORIA MENCHU IXCAQUIC</w:t>
      </w:r>
    </w:p>
    <w:p w:rsidR="00AD501F" w:rsidRDefault="00CB12A7">
      <w:pPr>
        <w:spacing w:before="86"/>
        <w:ind w:left="1451"/>
        <w:rPr>
          <w:sz w:val="14"/>
        </w:rPr>
      </w:pPr>
      <w:r>
        <w:rPr>
          <w:sz w:val="14"/>
        </w:rPr>
        <w:t>Auditor</w:t>
      </w:r>
    </w:p>
    <w:p w:rsidR="00AD501F" w:rsidRDefault="00CB12A7">
      <w:pPr>
        <w:spacing w:before="19"/>
        <w:ind w:left="1451"/>
        <w:rPr>
          <w:sz w:val="14"/>
        </w:rPr>
      </w:pPr>
      <w:r>
        <w:br w:type="column"/>
      </w:r>
      <w:r>
        <w:rPr>
          <w:sz w:val="14"/>
        </w:rPr>
        <w:lastRenderedPageBreak/>
        <w:t>MARIO AUGUSTO ORELLANA SANDOVAL</w:t>
      </w:r>
    </w:p>
    <w:p w:rsidR="00AD501F" w:rsidRDefault="00CB12A7">
      <w:pPr>
        <w:spacing w:before="86"/>
        <w:ind w:left="1451"/>
        <w:rPr>
          <w:sz w:val="14"/>
        </w:rPr>
      </w:pPr>
      <w:r>
        <w:rPr>
          <w:sz w:val="14"/>
        </w:rPr>
        <w:t>Supervisor</w:t>
      </w:r>
    </w:p>
    <w:p w:rsidR="00AD501F" w:rsidRDefault="00AD501F">
      <w:pPr>
        <w:rPr>
          <w:sz w:val="14"/>
        </w:rPr>
        <w:sectPr w:rsidR="00AD501F">
          <w:type w:val="continuous"/>
          <w:pgSz w:w="12240" w:h="15840"/>
          <w:pgMar w:top="1080" w:right="1600" w:bottom="0" w:left="400" w:header="720" w:footer="720" w:gutter="0"/>
          <w:cols w:num="2" w:space="720" w:equalWidth="0">
            <w:col w:w="4004" w:space="400"/>
            <w:col w:w="5836"/>
          </w:cols>
        </w:sect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rPr>
          <w:sz w:val="20"/>
        </w:rPr>
      </w:pPr>
    </w:p>
    <w:p w:rsidR="00AD501F" w:rsidRDefault="00AD501F">
      <w:pPr>
        <w:pStyle w:val="Textoindependiente"/>
        <w:spacing w:before="1"/>
        <w:rPr>
          <w:sz w:val="20"/>
        </w:rPr>
      </w:pPr>
    </w:p>
    <w:p w:rsidR="00AD501F" w:rsidRDefault="0085723E">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270" r="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326F64"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lhxQ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CmcllhxQIAAEgGAAAOAAAAAAAAAAAAAAAAAC4CAABkcnMvZTJvRG9jLnhtbFBLAQItABQABgAI&#10;AAAAIQBJfwM22gAAAAMBAAAPAAAAAAAAAAAAAAAAAB8FAABkcnMvZG93bnJldi54bWxQSwUGAAAA&#10;AAQABADzAAAAJgY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r w:rsidR="00CB12A7">
        <w:rPr>
          <w:sz w:val="2"/>
        </w:rPr>
        <w:tab/>
      </w:r>
      <w:r>
        <w:rPr>
          <w:noProof/>
          <w:sz w:val="2"/>
          <w:lang w:val="es-GT" w:eastAsia="es-GT"/>
        </w:rPr>
        <mc:AlternateContent>
          <mc:Choice Requires="wpg">
            <w:drawing>
              <wp:inline distT="0" distB="0" distL="0" distR="0">
                <wp:extent cx="1449070" cy="9525"/>
                <wp:effectExtent l="0" t="1270" r="0"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7"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7CB88E"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qxA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J78DOr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p>
    <w:p w:rsidR="00AD501F" w:rsidRDefault="00AD501F">
      <w:pPr>
        <w:spacing w:line="20" w:lineRule="exact"/>
        <w:rPr>
          <w:sz w:val="2"/>
        </w:rPr>
        <w:sectPr w:rsidR="00AD501F">
          <w:type w:val="continuous"/>
          <w:pgSz w:w="12240" w:h="15840"/>
          <w:pgMar w:top="1080" w:right="1600" w:bottom="0" w:left="400" w:header="720" w:footer="720" w:gutter="0"/>
          <w:cols w:space="720"/>
        </w:sectPr>
      </w:pPr>
    </w:p>
    <w:p w:rsidR="00AD501F" w:rsidRDefault="00CB12A7">
      <w:pPr>
        <w:spacing w:before="19"/>
        <w:ind w:left="1451"/>
        <w:rPr>
          <w:sz w:val="14"/>
        </w:rPr>
      </w:pPr>
      <w:r>
        <w:rPr>
          <w:sz w:val="14"/>
        </w:rPr>
        <w:lastRenderedPageBreak/>
        <w:t>MILDRED LORENA FUENTES DE LEON</w:t>
      </w:r>
    </w:p>
    <w:p w:rsidR="00AD501F" w:rsidRDefault="00CB12A7">
      <w:pPr>
        <w:spacing w:before="86"/>
        <w:ind w:left="1451"/>
        <w:rPr>
          <w:sz w:val="14"/>
        </w:rPr>
      </w:pPr>
      <w:r>
        <w:rPr>
          <w:sz w:val="14"/>
        </w:rPr>
        <w:t>Sub Director</w:t>
      </w:r>
    </w:p>
    <w:p w:rsidR="00AD501F" w:rsidRDefault="00CB12A7">
      <w:pPr>
        <w:spacing w:before="19"/>
        <w:ind w:left="1451"/>
        <w:rPr>
          <w:sz w:val="14"/>
        </w:rPr>
      </w:pPr>
      <w:r>
        <w:br w:type="column"/>
      </w:r>
      <w:r>
        <w:rPr>
          <w:sz w:val="14"/>
        </w:rPr>
        <w:lastRenderedPageBreak/>
        <w:t>JULIA VICTORIA MONZON PEREZ</w:t>
      </w:r>
    </w:p>
    <w:p w:rsidR="00AD501F" w:rsidRDefault="00CB12A7">
      <w:pPr>
        <w:spacing w:before="86"/>
        <w:ind w:left="1451"/>
        <w:rPr>
          <w:sz w:val="14"/>
        </w:rPr>
      </w:pPr>
      <w:r>
        <w:rPr>
          <w:sz w:val="14"/>
        </w:rPr>
        <w:t>Director</w:t>
      </w:r>
    </w:p>
    <w:p w:rsidR="00AD501F" w:rsidRDefault="00AD501F">
      <w:pPr>
        <w:rPr>
          <w:sz w:val="14"/>
        </w:rPr>
        <w:sectPr w:rsidR="00AD501F">
          <w:type w:val="continuous"/>
          <w:pgSz w:w="12240" w:h="15840"/>
          <w:pgMar w:top="1080" w:right="1600" w:bottom="0" w:left="400" w:header="720" w:footer="720" w:gutter="0"/>
          <w:cols w:num="2" w:space="720" w:equalWidth="0">
            <w:col w:w="4083" w:space="321"/>
            <w:col w:w="5836"/>
          </w:cols>
        </w:sectPr>
      </w:pPr>
    </w:p>
    <w:p w:rsidR="00AD501F" w:rsidRDefault="00CB12A7">
      <w:pPr>
        <w:pStyle w:val="Ttulo1"/>
        <w:spacing w:before="82"/>
      </w:pPr>
      <w:bookmarkStart w:id="4" w:name="_TOC_250000"/>
      <w:bookmarkEnd w:id="4"/>
      <w:r>
        <w:lastRenderedPageBreak/>
        <w:t>ANEXOS</w:t>
      </w:r>
    </w:p>
    <w:p w:rsidR="00AD501F" w:rsidRDefault="00AD501F">
      <w:pPr>
        <w:pStyle w:val="Textoindependiente"/>
        <w:spacing w:before="1"/>
        <w:rPr>
          <w:b/>
          <w:sz w:val="29"/>
        </w:rPr>
      </w:pPr>
    </w:p>
    <w:p w:rsidR="00AD501F" w:rsidRDefault="00CB12A7">
      <w:pPr>
        <w:spacing w:before="94"/>
        <w:ind w:left="2553"/>
        <w:rPr>
          <w:sz w:val="16"/>
        </w:rPr>
      </w:pPr>
      <w:r>
        <w:rPr>
          <w:noProof/>
          <w:lang w:val="es-GT" w:eastAsia="es-GT"/>
        </w:rPr>
        <w:drawing>
          <wp:anchor distT="0" distB="0" distL="0" distR="0" simplePos="0" relativeHeight="6" behindDoc="0" locked="0" layoutInCell="1" allowOverlap="1">
            <wp:simplePos x="0" y="0"/>
            <wp:positionH relativeFrom="page">
              <wp:posOffset>1128726</wp:posOffset>
            </wp:positionH>
            <wp:positionV relativeFrom="paragraph">
              <wp:posOffset>226363</wp:posOffset>
            </wp:positionV>
            <wp:extent cx="5488756" cy="727557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88756" cy="7275576"/>
                    </a:xfrm>
                    <a:prstGeom prst="rect">
                      <a:avLst/>
                    </a:prstGeom>
                  </pic:spPr>
                </pic:pic>
              </a:graphicData>
            </a:graphic>
          </wp:anchor>
        </w:drawing>
      </w:r>
      <w:r>
        <w:rPr>
          <w:sz w:val="16"/>
        </w:rPr>
        <w:t>SR1.1</w:t>
      </w:r>
    </w:p>
    <w:p w:rsidR="00AD501F" w:rsidRDefault="00AD501F">
      <w:pPr>
        <w:rPr>
          <w:sz w:val="16"/>
        </w:rPr>
        <w:sectPr w:rsidR="00AD501F">
          <w:pgSz w:w="12240" w:h="15840"/>
          <w:pgMar w:top="1060" w:right="1600" w:bottom="780" w:left="400" w:header="617" w:footer="596" w:gutter="0"/>
          <w:cols w:space="720"/>
        </w:sectPr>
      </w:pPr>
    </w:p>
    <w:p w:rsidR="00AD501F" w:rsidRDefault="00CB12A7">
      <w:pPr>
        <w:spacing w:before="121"/>
        <w:ind w:left="2553"/>
        <w:rPr>
          <w:sz w:val="16"/>
        </w:rPr>
      </w:pPr>
      <w:r>
        <w:rPr>
          <w:sz w:val="16"/>
        </w:rPr>
        <w:lastRenderedPageBreak/>
        <w:t>SR1.2</w:t>
      </w:r>
    </w:p>
    <w:p w:rsidR="00AD501F" w:rsidRDefault="00AD501F">
      <w:pPr>
        <w:pStyle w:val="Textoindependiente"/>
        <w:rPr>
          <w:sz w:val="20"/>
        </w:rPr>
      </w:pPr>
    </w:p>
    <w:p w:rsidR="00AD501F" w:rsidRDefault="00CB12A7">
      <w:pPr>
        <w:pStyle w:val="Textoindependiente"/>
        <w:spacing w:before="2"/>
        <w:rPr>
          <w:sz w:val="19"/>
        </w:rPr>
      </w:pPr>
      <w:r>
        <w:rPr>
          <w:noProof/>
          <w:lang w:val="es-GT" w:eastAsia="es-GT"/>
        </w:rPr>
        <w:drawing>
          <wp:anchor distT="0" distB="0" distL="0" distR="0" simplePos="0" relativeHeight="7" behindDoc="0" locked="0" layoutInCell="1" allowOverlap="1">
            <wp:simplePos x="0" y="0"/>
            <wp:positionH relativeFrom="page">
              <wp:posOffset>1128440</wp:posOffset>
            </wp:positionH>
            <wp:positionV relativeFrom="paragraph">
              <wp:posOffset>165122</wp:posOffset>
            </wp:positionV>
            <wp:extent cx="5048243" cy="695048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048243" cy="6950487"/>
                    </a:xfrm>
                    <a:prstGeom prst="rect">
                      <a:avLst/>
                    </a:prstGeom>
                  </pic:spPr>
                </pic:pic>
              </a:graphicData>
            </a:graphic>
          </wp:anchor>
        </w:drawing>
      </w:r>
    </w:p>
    <w:p w:rsidR="00AD501F" w:rsidRDefault="00AD501F">
      <w:pPr>
        <w:rPr>
          <w:sz w:val="19"/>
        </w:rPr>
        <w:sectPr w:rsidR="00AD501F">
          <w:pgSz w:w="12240" w:h="15840"/>
          <w:pgMar w:top="1060" w:right="1600" w:bottom="780" w:left="400" w:header="617" w:footer="596" w:gutter="0"/>
          <w:cols w:space="720"/>
        </w:sectPr>
      </w:pPr>
    </w:p>
    <w:p w:rsidR="00AD501F" w:rsidRDefault="00CB12A7">
      <w:pPr>
        <w:spacing w:before="121"/>
        <w:ind w:left="2553"/>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1128128</wp:posOffset>
            </wp:positionH>
            <wp:positionV relativeFrom="paragraph">
              <wp:posOffset>243635</wp:posOffset>
            </wp:positionV>
            <wp:extent cx="5407992" cy="716889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07992" cy="7168896"/>
                    </a:xfrm>
                    <a:prstGeom prst="rect">
                      <a:avLst/>
                    </a:prstGeom>
                  </pic:spPr>
                </pic:pic>
              </a:graphicData>
            </a:graphic>
          </wp:anchor>
        </w:drawing>
      </w:r>
      <w:r>
        <w:rPr>
          <w:sz w:val="16"/>
        </w:rPr>
        <w:t>SR1.3</w:t>
      </w:r>
    </w:p>
    <w:p w:rsidR="00AD501F" w:rsidRDefault="00AD501F">
      <w:pPr>
        <w:rPr>
          <w:sz w:val="16"/>
        </w:rPr>
        <w:sectPr w:rsidR="00AD501F">
          <w:pgSz w:w="12240" w:h="15840"/>
          <w:pgMar w:top="1060" w:right="1600" w:bottom="780" w:left="400" w:header="617" w:footer="596" w:gutter="0"/>
          <w:cols w:space="720"/>
        </w:sectPr>
      </w:pPr>
    </w:p>
    <w:p w:rsidR="00AD501F" w:rsidRDefault="00CB12A7">
      <w:pPr>
        <w:spacing w:before="121"/>
        <w:ind w:left="2553"/>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45219" cy="720852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5219" cy="7208520"/>
                    </a:xfrm>
                    <a:prstGeom prst="rect">
                      <a:avLst/>
                    </a:prstGeom>
                  </pic:spPr>
                </pic:pic>
              </a:graphicData>
            </a:graphic>
          </wp:anchor>
        </w:drawing>
      </w:r>
      <w:r>
        <w:rPr>
          <w:sz w:val="16"/>
        </w:rPr>
        <w:t>SR1.4</w:t>
      </w:r>
    </w:p>
    <w:p w:rsidR="00AD501F" w:rsidRDefault="00AD501F">
      <w:pPr>
        <w:rPr>
          <w:sz w:val="16"/>
        </w:rPr>
        <w:sectPr w:rsidR="00AD501F">
          <w:pgSz w:w="12240" w:h="15840"/>
          <w:pgMar w:top="1060" w:right="1600" w:bottom="780" w:left="400" w:header="617" w:footer="596" w:gutter="0"/>
          <w:cols w:space="720"/>
        </w:sectPr>
      </w:pPr>
    </w:p>
    <w:p w:rsidR="00AD501F" w:rsidRDefault="00CB12A7">
      <w:pPr>
        <w:spacing w:before="121"/>
        <w:ind w:left="2636"/>
        <w:rPr>
          <w:sz w:val="16"/>
        </w:rPr>
      </w:pPr>
      <w:r>
        <w:rPr>
          <w:sz w:val="16"/>
        </w:rPr>
        <w:lastRenderedPageBreak/>
        <w:t>Oficio</w:t>
      </w:r>
    </w:p>
    <w:p w:rsidR="00AD501F" w:rsidRDefault="00AD501F">
      <w:pPr>
        <w:pStyle w:val="Textoindependiente"/>
        <w:rPr>
          <w:sz w:val="20"/>
        </w:rPr>
      </w:pPr>
    </w:p>
    <w:p w:rsidR="00AD501F" w:rsidRDefault="00CB12A7">
      <w:pPr>
        <w:pStyle w:val="Textoindependiente"/>
        <w:spacing w:before="1"/>
        <w:rPr>
          <w:sz w:val="26"/>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215603</wp:posOffset>
            </wp:positionV>
            <wp:extent cx="5311412" cy="6741223"/>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11412" cy="6741223"/>
                    </a:xfrm>
                    <a:prstGeom prst="rect">
                      <a:avLst/>
                    </a:prstGeom>
                  </pic:spPr>
                </pic:pic>
              </a:graphicData>
            </a:graphic>
          </wp:anchor>
        </w:drawing>
      </w:r>
    </w:p>
    <w:sectPr w:rsidR="00AD501F">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2A7" w:rsidRDefault="00CB12A7">
      <w:r>
        <w:separator/>
      </w:r>
    </w:p>
  </w:endnote>
  <w:endnote w:type="continuationSeparator" w:id="0">
    <w:p w:rsidR="00CB12A7" w:rsidRDefault="00CB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01F" w:rsidRDefault="0085723E">
    <w:pPr>
      <w:pStyle w:val="Textoindependiente"/>
      <w:spacing w:line="14" w:lineRule="auto"/>
      <w:rPr>
        <w:sz w:val="20"/>
      </w:rPr>
    </w:pPr>
    <w:r>
      <w:rPr>
        <w:noProof/>
        <w:lang w:val="es-GT" w:eastAsia="es-GT"/>
      </w:rPr>
      <mc:AlternateContent>
        <mc:Choice Requires="wpg">
          <w:drawing>
            <wp:anchor distT="0" distB="0" distL="114300" distR="114300" simplePos="0" relativeHeight="48745472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3C9939" id="Group 3" o:spid="_x0000_s1026" style="position:absolute;margin-left:25pt;margin-top:748.2pt;width:502pt;height:28.8pt;z-index:-1586176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POGhVt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7v3FAAAA2wAAAA8AAABkcnMvZG93bnJldi54bWxEj0FrwkAQhe8F/8Mygre6iRYtqasEQVrw&#10;II0i7W3IjkkwOxuyW03/fecg9DbDe/PeN6vN4Fp1oz40ng2k0wQUceltw5WB03H3/AoqRGSLrWcy&#10;8EsBNuvR0woz6+/8SbciVkpCOGRooI6xy7QOZU0Ow9R3xKJdfO8wytpX2vZ4l3DX6lmSLLTDhqWh&#10;xo62NZXX4scZWOb7l/31HE7zRZof8ncsvr7TwpjJeMjfQEUa4r/5cf1hBV/o5Rc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u79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523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01F" w:rsidRDefault="00CB12A7">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AD501F" w:rsidRDefault="00CB12A7">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574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01F" w:rsidRDefault="00CB12A7">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5723E">
                            <w:rPr>
                              <w:noProof/>
                              <w:color w:val="666666"/>
                              <w:sz w:val="1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AD501F" w:rsidRDefault="00CB12A7">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5723E">
                      <w:rPr>
                        <w:noProof/>
                        <w:color w:val="666666"/>
                        <w:sz w:val="14"/>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2A7" w:rsidRDefault="00CB12A7">
      <w:r>
        <w:separator/>
      </w:r>
    </w:p>
  </w:footnote>
  <w:footnote w:type="continuationSeparator" w:id="0">
    <w:p w:rsidR="00CB12A7" w:rsidRDefault="00CB1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01F" w:rsidRDefault="0085723E">
    <w:pPr>
      <w:pStyle w:val="Textoindependiente"/>
      <w:spacing w:line="14" w:lineRule="auto"/>
      <w:rPr>
        <w:sz w:val="20"/>
      </w:rPr>
    </w:pPr>
    <w:r>
      <w:rPr>
        <w:noProof/>
        <w:lang w:val="es-GT" w:eastAsia="es-GT"/>
      </w:rPr>
      <mc:AlternateContent>
        <mc:Choice Requires="wps">
          <w:drawing>
            <wp:anchor distT="0" distB="0" distL="114300" distR="114300" simplePos="0" relativeHeight="48745318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CF01" id="Freeform 8" o:spid="_x0000_s1026" style="position:absolute;margin-left:85.05pt;margin-top:40.1pt;width:442pt;height:.7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UwRQ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369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01F" w:rsidRDefault="00CB12A7">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AD501F" w:rsidRDefault="00CB12A7">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420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01F" w:rsidRDefault="00CB12A7">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AD501F" w:rsidRDefault="00CB12A7">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1F"/>
    <w:rsid w:val="0085723E"/>
    <w:rsid w:val="00AD501F"/>
    <w:rsid w:val="00CB12A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80B79B-A022-47C5-A80F-868AD0FD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594</Words>
  <Characters>3268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2021-04-05T16:08:00Z</dcterms:created>
  <dcterms:modified xsi:type="dcterms:W3CDTF">2021-04-05T16:08:00Z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