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F9609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</w:t>
      </w:r>
      <w:r w:rsidR="00C46E12">
        <w:rPr>
          <w:rFonts w:ascii="Arial" w:hAnsi="Arial" w:cs="Arial"/>
          <w:b/>
          <w:sz w:val="22"/>
          <w:szCs w:val="22"/>
          <w:u w:val="single"/>
          <w:lang w:val="es-GT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>EVISIÓN Y APROBACIÓN:</w:t>
      </w:r>
    </w:p>
    <w:p w14:paraId="09DB965D" w14:textId="089C5F3B" w:rsidR="00B6442F" w:rsidRDefault="005A5C54" w:rsidP="00B6442F">
      <w:pPr>
        <w:pStyle w:val="Encabezado"/>
        <w:tabs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B14F1D">
        <w:rPr>
          <w:rFonts w:ascii="Arial" w:hAnsi="Arial" w:cs="Arial"/>
          <w:b/>
          <w:noProof/>
          <w:sz w:val="22"/>
          <w:szCs w:val="22"/>
          <w:u w:val="single"/>
          <w:lang w:val="es-GT" w:eastAsia="es-GT"/>
        </w:rPr>
        <w:drawing>
          <wp:inline distT="0" distB="0" distL="0" distR="0" wp14:anchorId="211681FE" wp14:editId="77C62C3F">
            <wp:extent cx="6991350" cy="33210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F03" w14:textId="77777777" w:rsidR="00AE2A3B" w:rsidRDefault="00AE2A3B" w:rsidP="00B6442F">
      <w:pPr>
        <w:pStyle w:val="Encabezado"/>
        <w:tabs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CC69CE5" w14:textId="77777777" w:rsidR="00B25501" w:rsidRPr="005732FE" w:rsidRDefault="00B25501" w:rsidP="00B25501">
      <w:pPr>
        <w:pStyle w:val="Encabezado"/>
        <w:numPr>
          <w:ilvl w:val="0"/>
          <w:numId w:val="1"/>
        </w:numPr>
        <w:tabs>
          <w:tab w:val="clear" w:pos="360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5A7DB8C2" w14:textId="77777777" w:rsidR="00B25501" w:rsidRPr="005732FE" w:rsidRDefault="00B25501" w:rsidP="00B25501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199" w:type="dxa"/>
        <w:tblInd w:w="2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8789"/>
      </w:tblGrid>
      <w:tr w:rsidR="00B25501" w:rsidRPr="00B14F1D" w14:paraId="7BD45135" w14:textId="77777777" w:rsidTr="00D717C2">
        <w:trPr>
          <w:trHeight w:val="40"/>
        </w:trPr>
        <w:tc>
          <w:tcPr>
            <w:tcW w:w="993" w:type="dxa"/>
            <w:tcMar>
              <w:top w:w="28" w:type="dxa"/>
              <w:bottom w:w="0" w:type="dxa"/>
            </w:tcMar>
          </w:tcPr>
          <w:p w14:paraId="2425D3D4" w14:textId="77777777" w:rsidR="00B25501" w:rsidRPr="00B14F1D" w:rsidRDefault="00B25501" w:rsidP="003E6E5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B14F1D"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1417" w:type="dxa"/>
            <w:tcMar>
              <w:top w:w="28" w:type="dxa"/>
              <w:bottom w:w="0" w:type="dxa"/>
            </w:tcMar>
          </w:tcPr>
          <w:p w14:paraId="5A3C2E53" w14:textId="77777777" w:rsidR="00B25501" w:rsidRPr="00B14F1D" w:rsidRDefault="00B25501" w:rsidP="00DC30B4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B14F1D">
              <w:rPr>
                <w:rFonts w:ascii="Arial" w:hAnsi="Arial"/>
                <w:b/>
                <w:sz w:val="22"/>
                <w:szCs w:val="22"/>
                <w:lang w:val="es-GT"/>
              </w:rPr>
              <w:t>Bien mueble inservible, no utilizable o en desuso, por encontrarse en mal estado</w:t>
            </w:r>
          </w:p>
        </w:tc>
        <w:tc>
          <w:tcPr>
            <w:tcW w:w="8789" w:type="dxa"/>
            <w:tcMar>
              <w:top w:w="28" w:type="dxa"/>
              <w:bottom w:w="0" w:type="dxa"/>
            </w:tcMar>
          </w:tcPr>
          <w:p w14:paraId="51CA1CD7" w14:textId="77777777" w:rsidR="00B25501" w:rsidRPr="00B14F1D" w:rsidRDefault="00B25501" w:rsidP="003E6E57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B14F1D">
              <w:rPr>
                <w:rFonts w:ascii="Arial" w:hAnsi="Arial"/>
                <w:sz w:val="22"/>
                <w:szCs w:val="22"/>
                <w:lang w:val="es-GT"/>
              </w:rPr>
              <w:t xml:space="preserve">Son todos aquellos bienes muebles ferrosos y no ferrosos, incluyendo escritorios, mesas, archivos, pizarrones, cátedras, entre otros, deteriorados a tal punto que ya no pueden repararse y que perdieron su utilidad para el Centro Educativo Público. </w:t>
            </w:r>
          </w:p>
          <w:p w14:paraId="51C13327" w14:textId="77777777" w:rsidR="00B25501" w:rsidRPr="00B14F1D" w:rsidRDefault="00B25501" w:rsidP="003E6E57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B25501" w:rsidRPr="00CF7F7F" w14:paraId="37FCCD68" w14:textId="77777777" w:rsidTr="00D717C2">
        <w:trPr>
          <w:trHeight w:val="189"/>
        </w:trPr>
        <w:tc>
          <w:tcPr>
            <w:tcW w:w="993" w:type="dxa"/>
            <w:tcMar>
              <w:top w:w="28" w:type="dxa"/>
              <w:bottom w:w="0" w:type="dxa"/>
            </w:tcMar>
          </w:tcPr>
          <w:p w14:paraId="1B3C49A1" w14:textId="77777777" w:rsidR="00B25501" w:rsidRPr="00B14F1D" w:rsidRDefault="00B25501" w:rsidP="003E6E5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4F1D">
              <w:rPr>
                <w:rFonts w:ascii="Arial" w:hAnsi="Arial" w:cs="Arial"/>
                <w:b/>
                <w:sz w:val="22"/>
                <w:szCs w:val="22"/>
              </w:rPr>
              <w:t>2.-</w:t>
            </w:r>
          </w:p>
        </w:tc>
        <w:tc>
          <w:tcPr>
            <w:tcW w:w="1417" w:type="dxa"/>
            <w:tcMar>
              <w:top w:w="28" w:type="dxa"/>
              <w:bottom w:w="0" w:type="dxa"/>
            </w:tcMar>
          </w:tcPr>
          <w:p w14:paraId="72E16433" w14:textId="77777777" w:rsidR="00B25501" w:rsidRPr="00B14F1D" w:rsidRDefault="00B25501" w:rsidP="00B25501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B14F1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Centro Educativo Público </w:t>
            </w:r>
          </w:p>
        </w:tc>
        <w:tc>
          <w:tcPr>
            <w:tcW w:w="8789" w:type="dxa"/>
            <w:tcMar>
              <w:top w:w="28" w:type="dxa"/>
              <w:bottom w:w="0" w:type="dxa"/>
            </w:tcMar>
          </w:tcPr>
          <w:p w14:paraId="4BCDFA01" w14:textId="77777777" w:rsidR="00B25501" w:rsidRPr="00B14F1D" w:rsidRDefault="00B25501" w:rsidP="003E6E5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B14F1D">
              <w:rPr>
                <w:rFonts w:ascii="Arial" w:hAnsi="Arial" w:cs="Arial"/>
                <w:sz w:val="22"/>
                <w:szCs w:val="22"/>
                <w:lang w:val="es-GT"/>
              </w:rPr>
              <w:t>Según la Ley de Educación Nacional, es un establecimiento administrado y financiado por el Estado que ofrece servicio educativo de acuerdo a cada nivel y tipo de escuela. Está registrado en el Ministerio de Educación por medio de un código de establecimiento.</w:t>
            </w:r>
          </w:p>
        </w:tc>
      </w:tr>
      <w:tr w:rsidR="00B25501" w:rsidRPr="00CF7F7F" w14:paraId="269BDF68" w14:textId="77777777" w:rsidTr="00D717C2">
        <w:trPr>
          <w:trHeight w:val="189"/>
        </w:trPr>
        <w:tc>
          <w:tcPr>
            <w:tcW w:w="993" w:type="dxa"/>
            <w:tcMar>
              <w:top w:w="28" w:type="dxa"/>
              <w:bottom w:w="0" w:type="dxa"/>
            </w:tcMar>
          </w:tcPr>
          <w:p w14:paraId="7860EED6" w14:textId="77777777" w:rsidR="00B25501" w:rsidRPr="00B14F1D" w:rsidRDefault="00B25501" w:rsidP="003E6E5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B14F1D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3.-  </w:t>
            </w:r>
          </w:p>
        </w:tc>
        <w:tc>
          <w:tcPr>
            <w:tcW w:w="1417" w:type="dxa"/>
            <w:tcMar>
              <w:top w:w="28" w:type="dxa"/>
              <w:bottom w:w="0" w:type="dxa"/>
            </w:tcMar>
            <w:vAlign w:val="center"/>
          </w:tcPr>
          <w:p w14:paraId="39B782B3" w14:textId="77777777" w:rsidR="00B25501" w:rsidRPr="00B14F1D" w:rsidRDefault="00B25501" w:rsidP="003E6E57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B14F1D"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789" w:type="dxa"/>
            <w:tcMar>
              <w:top w:w="28" w:type="dxa"/>
              <w:bottom w:w="0" w:type="dxa"/>
            </w:tcMar>
          </w:tcPr>
          <w:p w14:paraId="501DE9B7" w14:textId="77777777" w:rsidR="00B25501" w:rsidRPr="00B14F1D" w:rsidRDefault="00B25501" w:rsidP="003E6E57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B14F1D">
              <w:rPr>
                <w:rFonts w:ascii="Arial" w:hAnsi="Arial" w:cs="Arial"/>
                <w:sz w:val="22"/>
                <w:szCs w:val="22"/>
                <w:lang w:val="es-GT"/>
              </w:rPr>
              <w:t>Dirección Departamental de Educación</w:t>
            </w:r>
          </w:p>
        </w:tc>
      </w:tr>
    </w:tbl>
    <w:p w14:paraId="44D66F06" w14:textId="77777777" w:rsidR="00B25501" w:rsidRPr="00B25501" w:rsidRDefault="00B25501" w:rsidP="00B25501">
      <w:pPr>
        <w:pStyle w:val="Encabezado"/>
        <w:tabs>
          <w:tab w:val="clear" w:pos="4252"/>
          <w:tab w:val="clear" w:pos="8504"/>
          <w:tab w:val="num" w:pos="9072"/>
        </w:tabs>
        <w:ind w:left="426" w:right="284"/>
        <w:jc w:val="both"/>
        <w:rPr>
          <w:rFonts w:ascii="Arial" w:hAnsi="Arial" w:cs="Arial"/>
          <w:sz w:val="22"/>
          <w:szCs w:val="22"/>
          <w:lang w:val="es-GT"/>
        </w:rPr>
      </w:pPr>
    </w:p>
    <w:p w14:paraId="716E15A3" w14:textId="77777777" w:rsidR="004A5565" w:rsidRPr="00B25501" w:rsidRDefault="00F649EF" w:rsidP="006A0A53">
      <w:pPr>
        <w:pStyle w:val="Encabezado"/>
        <w:numPr>
          <w:ilvl w:val="0"/>
          <w:numId w:val="1"/>
        </w:numPr>
        <w:tabs>
          <w:tab w:val="clear" w:pos="360"/>
          <w:tab w:val="clear" w:pos="4252"/>
          <w:tab w:val="clear" w:pos="8504"/>
          <w:tab w:val="num" w:pos="426"/>
          <w:tab w:val="num" w:pos="9072"/>
        </w:tabs>
        <w:ind w:left="426" w:right="284" w:hanging="426"/>
        <w:jc w:val="both"/>
        <w:rPr>
          <w:rFonts w:ascii="Arial" w:hAnsi="Arial" w:cs="Arial"/>
          <w:sz w:val="22"/>
          <w:szCs w:val="22"/>
          <w:lang w:val="es-GT"/>
        </w:rPr>
      </w:pPr>
      <w:r w:rsidRPr="008662B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Y ALCANCE DEL </w:t>
      </w:r>
      <w:r w:rsidR="00B25501">
        <w:rPr>
          <w:rFonts w:ascii="Arial" w:hAnsi="Arial" w:cs="Arial"/>
          <w:b/>
          <w:sz w:val="22"/>
          <w:szCs w:val="22"/>
          <w:u w:val="single"/>
          <w:lang w:val="es-GT"/>
        </w:rPr>
        <w:t>PROCEDIMIENTO</w:t>
      </w:r>
    </w:p>
    <w:p w14:paraId="274113F7" w14:textId="77777777" w:rsidR="00B25501" w:rsidRPr="008662BE" w:rsidRDefault="00B25501" w:rsidP="00B25501">
      <w:pPr>
        <w:pStyle w:val="Encabezado"/>
        <w:tabs>
          <w:tab w:val="clear" w:pos="4252"/>
          <w:tab w:val="clear" w:pos="8504"/>
          <w:tab w:val="num" w:pos="9072"/>
        </w:tabs>
        <w:ind w:left="426" w:right="284"/>
        <w:jc w:val="both"/>
        <w:rPr>
          <w:rFonts w:ascii="Arial" w:hAnsi="Arial" w:cs="Arial"/>
          <w:sz w:val="22"/>
          <w:szCs w:val="22"/>
          <w:lang w:val="es-GT"/>
        </w:rPr>
      </w:pPr>
    </w:p>
    <w:p w14:paraId="06A7A70D" w14:textId="77777777" w:rsidR="001751AE" w:rsidRPr="00E023CE" w:rsidRDefault="001751AE" w:rsidP="001751AE">
      <w:pPr>
        <w:spacing w:after="120"/>
        <w:ind w:left="357" w:firstLine="6"/>
        <w:jc w:val="both"/>
        <w:rPr>
          <w:rFonts w:ascii="Arial" w:hAnsi="Arial" w:cs="Arial"/>
          <w:sz w:val="22"/>
          <w:szCs w:val="22"/>
        </w:rPr>
      </w:pPr>
      <w:r w:rsidRPr="00E023CE">
        <w:rPr>
          <w:rFonts w:ascii="Arial" w:hAnsi="Arial" w:cs="Arial"/>
          <w:sz w:val="22"/>
          <w:szCs w:val="22"/>
        </w:rPr>
        <w:t xml:space="preserve">El presente documento contiene </w:t>
      </w:r>
      <w:r w:rsidR="00DC30B4">
        <w:rPr>
          <w:rFonts w:ascii="Arial" w:hAnsi="Arial" w:cs="Arial"/>
          <w:sz w:val="22"/>
          <w:szCs w:val="22"/>
        </w:rPr>
        <w:t xml:space="preserve">los </w:t>
      </w:r>
      <w:r w:rsidRPr="00E023CE">
        <w:rPr>
          <w:rFonts w:ascii="Arial" w:hAnsi="Arial" w:cs="Arial"/>
          <w:sz w:val="22"/>
          <w:szCs w:val="22"/>
        </w:rPr>
        <w:t xml:space="preserve">lineamientos para </w:t>
      </w:r>
      <w:r w:rsidR="000601F7">
        <w:rPr>
          <w:rFonts w:ascii="Arial" w:hAnsi="Arial" w:cs="Arial"/>
          <w:sz w:val="22"/>
          <w:szCs w:val="22"/>
        </w:rPr>
        <w:t xml:space="preserve">operativizar la baja </w:t>
      </w:r>
      <w:r w:rsidR="00D717C2">
        <w:rPr>
          <w:rFonts w:ascii="Arial" w:hAnsi="Arial" w:cs="Arial"/>
          <w:sz w:val="22"/>
          <w:szCs w:val="22"/>
        </w:rPr>
        <w:t>de los inventarios</w:t>
      </w:r>
      <w:r w:rsidR="00DC30B4">
        <w:rPr>
          <w:rFonts w:ascii="Arial" w:hAnsi="Arial" w:cs="Arial"/>
          <w:sz w:val="22"/>
          <w:szCs w:val="22"/>
        </w:rPr>
        <w:t xml:space="preserve"> </w:t>
      </w:r>
      <w:r w:rsidR="00D717C2">
        <w:rPr>
          <w:rFonts w:ascii="Arial" w:hAnsi="Arial" w:cs="Arial"/>
          <w:sz w:val="22"/>
          <w:szCs w:val="22"/>
        </w:rPr>
        <w:t xml:space="preserve">en los Establecimientos Educativos Públicos, de la República de Guatemala, </w:t>
      </w:r>
      <w:r w:rsidR="00DC30B4">
        <w:rPr>
          <w:rFonts w:ascii="Arial" w:hAnsi="Arial" w:cs="Arial"/>
          <w:sz w:val="22"/>
          <w:szCs w:val="22"/>
        </w:rPr>
        <w:t>de lo</w:t>
      </w:r>
      <w:r w:rsidR="000601F7">
        <w:rPr>
          <w:rFonts w:ascii="Arial" w:hAnsi="Arial" w:cs="Arial"/>
          <w:sz w:val="22"/>
          <w:szCs w:val="22"/>
        </w:rPr>
        <w:t>s bienes muebles inservibles, no utilizables</w:t>
      </w:r>
      <w:r w:rsidR="00D717C2">
        <w:rPr>
          <w:rFonts w:ascii="Arial" w:hAnsi="Arial" w:cs="Arial"/>
          <w:sz w:val="22"/>
          <w:szCs w:val="22"/>
        </w:rPr>
        <w:t xml:space="preserve">, </w:t>
      </w:r>
      <w:r w:rsidR="000601F7">
        <w:rPr>
          <w:rFonts w:ascii="Arial" w:hAnsi="Arial" w:cs="Arial"/>
          <w:sz w:val="22"/>
          <w:szCs w:val="22"/>
        </w:rPr>
        <w:t>en desuso, por encontrarse en mal estado, ferroso</w:t>
      </w:r>
      <w:r w:rsidR="00D717C2">
        <w:rPr>
          <w:rFonts w:ascii="Arial" w:hAnsi="Arial" w:cs="Arial"/>
          <w:sz w:val="22"/>
          <w:szCs w:val="22"/>
        </w:rPr>
        <w:t>s</w:t>
      </w:r>
      <w:r w:rsidR="000601F7">
        <w:rPr>
          <w:rFonts w:ascii="Arial" w:hAnsi="Arial" w:cs="Arial"/>
          <w:sz w:val="22"/>
          <w:szCs w:val="22"/>
        </w:rPr>
        <w:t xml:space="preserve"> y no ferroso</w:t>
      </w:r>
      <w:r w:rsidR="00D717C2">
        <w:rPr>
          <w:rFonts w:ascii="Arial" w:hAnsi="Arial" w:cs="Arial"/>
          <w:sz w:val="22"/>
          <w:szCs w:val="22"/>
        </w:rPr>
        <w:t xml:space="preserve">s. </w:t>
      </w:r>
      <w:r w:rsidR="00B25501">
        <w:rPr>
          <w:rFonts w:ascii="Arial" w:hAnsi="Arial" w:cs="Arial"/>
          <w:sz w:val="22"/>
          <w:szCs w:val="22"/>
        </w:rPr>
        <w:t>Artículo 7 Decreto 2-2022.</w:t>
      </w:r>
    </w:p>
    <w:p w14:paraId="68C059AA" w14:textId="77777777" w:rsidR="001751AE" w:rsidRDefault="001751AE" w:rsidP="00F649EF">
      <w:pPr>
        <w:pStyle w:val="Encabezado"/>
        <w:tabs>
          <w:tab w:val="clear" w:pos="4252"/>
          <w:tab w:val="clear" w:pos="8504"/>
        </w:tabs>
        <w:ind w:left="426" w:right="284"/>
        <w:jc w:val="both"/>
        <w:rPr>
          <w:rFonts w:ascii="Arial" w:hAnsi="Arial" w:cs="Arial"/>
          <w:sz w:val="22"/>
          <w:szCs w:val="22"/>
          <w:lang w:val="es-GT"/>
        </w:rPr>
      </w:pPr>
    </w:p>
    <w:p w14:paraId="363CB496" w14:textId="77777777" w:rsidR="008662BE" w:rsidRDefault="009A3CC9" w:rsidP="008662BE">
      <w:pPr>
        <w:pStyle w:val="Encabezado"/>
        <w:numPr>
          <w:ilvl w:val="0"/>
          <w:numId w:val="1"/>
        </w:numPr>
        <w:tabs>
          <w:tab w:val="clear" w:pos="360"/>
          <w:tab w:val="clear" w:pos="4252"/>
          <w:tab w:val="clear" w:pos="8504"/>
          <w:tab w:val="num" w:pos="426"/>
          <w:tab w:val="num" w:pos="9072"/>
        </w:tabs>
        <w:ind w:left="426" w:right="284" w:hanging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Á</w:t>
      </w:r>
      <w:r w:rsidR="008662BE" w:rsidRPr="008662B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MBITO DE </w:t>
      </w:r>
      <w:r w:rsidRPr="008662BE">
        <w:rPr>
          <w:rFonts w:ascii="Arial" w:hAnsi="Arial" w:cs="Arial"/>
          <w:b/>
          <w:sz w:val="22"/>
          <w:szCs w:val="22"/>
          <w:u w:val="single"/>
          <w:lang w:val="es-GT"/>
        </w:rPr>
        <w:t>APLICACIÓN:</w:t>
      </w:r>
      <w:r w:rsidR="00ED03D1">
        <w:rPr>
          <w:rFonts w:ascii="Arial" w:hAnsi="Arial" w:cs="Arial"/>
          <w:sz w:val="22"/>
          <w:szCs w:val="22"/>
          <w:lang w:val="es-GT"/>
        </w:rPr>
        <w:t xml:space="preserve"> </w:t>
      </w:r>
      <w:r w:rsidR="008662BE">
        <w:rPr>
          <w:rFonts w:ascii="Arial" w:hAnsi="Arial" w:cs="Arial"/>
          <w:sz w:val="22"/>
          <w:szCs w:val="22"/>
          <w:lang w:val="es-GT"/>
        </w:rPr>
        <w:t xml:space="preserve">El presente </w:t>
      </w:r>
      <w:r>
        <w:rPr>
          <w:rFonts w:ascii="Arial" w:hAnsi="Arial" w:cs="Arial"/>
          <w:sz w:val="22"/>
          <w:szCs w:val="22"/>
          <w:lang w:val="es-GT"/>
        </w:rPr>
        <w:t xml:space="preserve">procedimiento </w:t>
      </w:r>
      <w:r w:rsidR="008662BE">
        <w:rPr>
          <w:rFonts w:ascii="Arial" w:hAnsi="Arial" w:cs="Arial"/>
          <w:sz w:val="22"/>
          <w:szCs w:val="22"/>
          <w:lang w:val="es-GT"/>
        </w:rPr>
        <w:t>es aplicable a todos los Centros Educativos Públicos de la República de Guatemala y su vigencia es de 12 m</w:t>
      </w:r>
      <w:r w:rsidR="00623361">
        <w:rPr>
          <w:rFonts w:ascii="Arial" w:hAnsi="Arial" w:cs="Arial"/>
          <w:sz w:val="22"/>
          <w:szCs w:val="22"/>
          <w:lang w:val="es-GT"/>
        </w:rPr>
        <w:t>eses a partir de su publicación</w:t>
      </w:r>
      <w:r w:rsidR="008662BE">
        <w:rPr>
          <w:rFonts w:ascii="Arial" w:hAnsi="Arial" w:cs="Arial"/>
          <w:sz w:val="22"/>
          <w:szCs w:val="22"/>
          <w:lang w:val="es-GT"/>
        </w:rPr>
        <w:t>.</w:t>
      </w:r>
    </w:p>
    <w:p w14:paraId="51E8B290" w14:textId="77777777" w:rsidR="008662BE" w:rsidRDefault="008662BE" w:rsidP="008662BE">
      <w:pPr>
        <w:pStyle w:val="Encabezado"/>
        <w:tabs>
          <w:tab w:val="clear" w:pos="4252"/>
          <w:tab w:val="clear" w:pos="8504"/>
        </w:tabs>
        <w:ind w:right="284" w:firstLine="357"/>
        <w:jc w:val="both"/>
        <w:rPr>
          <w:rFonts w:ascii="Arial" w:hAnsi="Arial" w:cs="Arial"/>
          <w:b/>
          <w:sz w:val="22"/>
          <w:szCs w:val="24"/>
          <w:u w:val="single"/>
        </w:rPr>
      </w:pPr>
    </w:p>
    <w:p w14:paraId="67171082" w14:textId="77777777" w:rsidR="001751AE" w:rsidRPr="00D17BF3" w:rsidRDefault="008662BE" w:rsidP="008662BE">
      <w:pPr>
        <w:pStyle w:val="Encabezado"/>
        <w:numPr>
          <w:ilvl w:val="0"/>
          <w:numId w:val="1"/>
        </w:numPr>
        <w:tabs>
          <w:tab w:val="clear" w:pos="360"/>
          <w:tab w:val="clear" w:pos="4252"/>
          <w:tab w:val="clear" w:pos="8504"/>
          <w:tab w:val="num" w:pos="426"/>
          <w:tab w:val="num" w:pos="9072"/>
        </w:tabs>
        <w:ind w:left="426" w:right="284" w:hanging="426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D17BF3">
        <w:rPr>
          <w:rFonts w:ascii="Arial" w:hAnsi="Arial" w:cs="Arial"/>
          <w:b/>
          <w:sz w:val="22"/>
          <w:szCs w:val="24"/>
          <w:u w:val="single"/>
        </w:rPr>
        <w:lastRenderedPageBreak/>
        <w:t xml:space="preserve"> </w:t>
      </w:r>
      <w:r w:rsidR="00D17BF3" w:rsidRPr="00D17BF3">
        <w:rPr>
          <w:rFonts w:ascii="Arial" w:hAnsi="Arial" w:cs="Arial"/>
          <w:b/>
          <w:sz w:val="22"/>
          <w:szCs w:val="24"/>
          <w:u w:val="single"/>
        </w:rPr>
        <w:t>MARCO LEGAL:</w:t>
      </w:r>
    </w:p>
    <w:p w14:paraId="7AE12F07" w14:textId="77777777" w:rsidR="00D17BF3" w:rsidRDefault="001751AE" w:rsidP="001751AE">
      <w:pPr>
        <w:pStyle w:val="Encabezado"/>
        <w:tabs>
          <w:tab w:val="clear" w:pos="4252"/>
          <w:tab w:val="clear" w:pos="8504"/>
          <w:tab w:val="num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Decreto Número 02-2022</w:t>
      </w:r>
      <w:r w:rsidR="00D17BF3">
        <w:rPr>
          <w:rFonts w:ascii="Arial" w:hAnsi="Arial" w:cs="Arial"/>
          <w:sz w:val="22"/>
          <w:szCs w:val="22"/>
        </w:rPr>
        <w:t xml:space="preserve"> Ley de disposición para la baja de bienes muebles inservibles en </w:t>
      </w:r>
      <w:r w:rsidR="009A3CC9">
        <w:rPr>
          <w:rFonts w:ascii="Arial" w:hAnsi="Arial" w:cs="Arial"/>
          <w:sz w:val="22"/>
          <w:szCs w:val="22"/>
        </w:rPr>
        <w:t>los Centros Educativos Públicos, en la República de Guatemala.</w:t>
      </w:r>
    </w:p>
    <w:p w14:paraId="2BD61DA6" w14:textId="77777777" w:rsidR="008662BE" w:rsidRPr="00E023CE" w:rsidRDefault="008662BE" w:rsidP="001751AE">
      <w:pPr>
        <w:pStyle w:val="Encabezado"/>
        <w:tabs>
          <w:tab w:val="clear" w:pos="4252"/>
          <w:tab w:val="clear" w:pos="8504"/>
          <w:tab w:val="num" w:pos="9072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03C37C1" w14:textId="77777777" w:rsidR="00D17BF3" w:rsidRDefault="00D17BF3" w:rsidP="00D17BF3">
      <w:pPr>
        <w:pStyle w:val="Encabezado"/>
        <w:numPr>
          <w:ilvl w:val="0"/>
          <w:numId w:val="1"/>
        </w:numPr>
        <w:tabs>
          <w:tab w:val="clear" w:pos="360"/>
          <w:tab w:val="clear" w:pos="4252"/>
          <w:tab w:val="clear" w:pos="8504"/>
          <w:tab w:val="num" w:pos="426"/>
          <w:tab w:val="num" w:pos="9072"/>
        </w:tabs>
        <w:ind w:left="426" w:hanging="426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D17BF3">
        <w:rPr>
          <w:rFonts w:ascii="Arial" w:hAnsi="Arial" w:cs="Arial"/>
          <w:b/>
          <w:sz w:val="22"/>
          <w:szCs w:val="24"/>
          <w:u w:val="single"/>
        </w:rPr>
        <w:t>DESCRIPCIÓN DE ACTIVIDADES Y RESPONSABLES</w:t>
      </w:r>
    </w:p>
    <w:p w14:paraId="3133C7C6" w14:textId="77777777" w:rsidR="00D17BF3" w:rsidRPr="00D17BF3" w:rsidRDefault="00D17BF3" w:rsidP="00D17BF3">
      <w:pPr>
        <w:pStyle w:val="Encabezado"/>
        <w:tabs>
          <w:tab w:val="clear" w:pos="4252"/>
          <w:tab w:val="clear" w:pos="8504"/>
          <w:tab w:val="num" w:pos="9072"/>
        </w:tabs>
        <w:jc w:val="both"/>
        <w:rPr>
          <w:rFonts w:ascii="Arial" w:hAnsi="Arial" w:cs="Arial"/>
          <w:b/>
          <w:sz w:val="22"/>
          <w:szCs w:val="24"/>
          <w:u w:val="single"/>
        </w:rPr>
      </w:pPr>
    </w:p>
    <w:p w14:paraId="2A83B68C" w14:textId="77777777" w:rsidR="00395417" w:rsidRDefault="007E3A07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8250"/>
      </w:tblGrid>
      <w:tr w:rsidR="00A434FF" w:rsidRPr="005732FE" w14:paraId="422A8F62" w14:textId="77777777" w:rsidTr="00D436A0">
        <w:trPr>
          <w:tblHeader/>
          <w:jc w:val="right"/>
        </w:trPr>
        <w:tc>
          <w:tcPr>
            <w:tcW w:w="127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9FED481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27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02B22D1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250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E3907A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17BF3" w:rsidRPr="005732FE" w14:paraId="6AE5EA49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75CB6E34" w14:textId="77777777" w:rsidR="00D17BF3" w:rsidRPr="00BB10F7" w:rsidRDefault="00D17BF3" w:rsidP="00D17BF3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1.Clasificar Bienes</w:t>
            </w:r>
          </w:p>
        </w:tc>
        <w:tc>
          <w:tcPr>
            <w:tcW w:w="1276" w:type="dxa"/>
            <w:vAlign w:val="center"/>
          </w:tcPr>
          <w:p w14:paraId="184FA54C" w14:textId="77777777" w:rsidR="00D17BF3" w:rsidRPr="00E83462" w:rsidRDefault="00D17BF3" w:rsidP="00D17BF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Centro Educativo Público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bottom"/>
          </w:tcPr>
          <w:p w14:paraId="4285175F" w14:textId="77777777" w:rsidR="00D17BF3" w:rsidRPr="00E023CE" w:rsidRDefault="00D17BF3" w:rsidP="00D17BF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Caso 1 (registro de inventario solo en libros)</w:t>
            </w:r>
          </w:p>
          <w:p w14:paraId="06DE6B49" w14:textId="77777777" w:rsidR="00D17BF3" w:rsidRPr="00E023CE" w:rsidRDefault="00D17BF3" w:rsidP="00D17BF3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Clasificar los bienes muebles ferrosos y no ferrosos, </w:t>
            </w:r>
            <w:r w:rsidR="00A8048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 elabora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 certificación de Inventario, esta debe obtenerse del libro físico de inventarios de los Centros Educativos Públicos. </w:t>
            </w:r>
            <w:r w:rsidRPr="00821CFF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Ver 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Anexo 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.</w:t>
            </w:r>
          </w:p>
          <w:p w14:paraId="1DC685D8" w14:textId="77777777" w:rsidR="00D17BF3" w:rsidRPr="00E023CE" w:rsidRDefault="00D17BF3" w:rsidP="00D17BF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Caso 2 (registro de inventario en Tarjeta de Responsabilidad)</w:t>
            </w:r>
          </w:p>
          <w:p w14:paraId="64097D64" w14:textId="77777777" w:rsidR="00D17BF3" w:rsidRPr="00E023CE" w:rsidRDefault="00D17BF3" w:rsidP="00D17BF3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Clasifica los bienes muebles ferrosos y no ferrosos, que se encuentran registrados en las Tarjetas de Responsabilidad del Direct</w:t>
            </w:r>
            <w:r w:rsidR="007A75E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or del Centro Educativo Público emitida por la Dirección Departamental de Educación correspondiente.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  <w:p w14:paraId="5B1C61EF" w14:textId="77777777" w:rsidR="00D17BF3" w:rsidRPr="00E023CE" w:rsidRDefault="00D17BF3" w:rsidP="007A75ED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 ambos casos, se debe suscribir actas administrativas por separado de los bienes muebles ferrosos y no ferrosos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</w:t>
            </w:r>
            <w:r w:rsidR="007A75E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es decir, 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 los bienes registrados únicamente en libros de inventarios </w:t>
            </w:r>
            <w:r w:rsidR="006233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del Centro Educativo 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y</w:t>
            </w:r>
            <w:r w:rsidR="007A75E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/o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 los </w:t>
            </w:r>
            <w:r w:rsidR="007A75E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bienes 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registrados de la tarjea de responsabilidad, extendida por la DIDEDUC </w:t>
            </w:r>
            <w:r w:rsidR="007A75E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que corresponda.</w:t>
            </w:r>
          </w:p>
        </w:tc>
      </w:tr>
      <w:tr w:rsidR="00D17BF3" w:rsidRPr="005732FE" w14:paraId="3327BB51" w14:textId="77777777" w:rsidTr="00D436A0">
        <w:trPr>
          <w:trHeight w:val="850"/>
          <w:jc w:val="right"/>
        </w:trPr>
        <w:tc>
          <w:tcPr>
            <w:tcW w:w="1275" w:type="dxa"/>
            <w:vAlign w:val="center"/>
          </w:tcPr>
          <w:p w14:paraId="1159D1E8" w14:textId="77777777" w:rsidR="00D17BF3" w:rsidRPr="00BB10F7" w:rsidRDefault="00D17BF3" w:rsidP="00D17BF3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2. Faccionar el Acta Administrativa</w:t>
            </w:r>
          </w:p>
        </w:tc>
        <w:tc>
          <w:tcPr>
            <w:tcW w:w="1276" w:type="dxa"/>
            <w:vAlign w:val="center"/>
          </w:tcPr>
          <w:p w14:paraId="3DD66D99" w14:textId="77777777" w:rsidR="00D17BF3" w:rsidRPr="00E83462" w:rsidRDefault="00D17BF3" w:rsidP="00D17BF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Centro Educativo Público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bottom"/>
          </w:tcPr>
          <w:p w14:paraId="663768E3" w14:textId="77777777" w:rsidR="00D17BF3" w:rsidRPr="00E023CE" w:rsidRDefault="00D17BF3" w:rsidP="00D17BF3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Suscrib</w:t>
            </w:r>
            <w:r w:rsidR="00741F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acta administrativa en el libro de actas u hoja movible, indica el folio del libro de inventarios, descripción del bien mueble objeto de la baja, valor unitario y monto total de los bienes, se debe adjuntar la certificación de inventarios de los bienes muebles</w:t>
            </w:r>
            <w:r w:rsidR="00E92B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ferrosos y no ferrosos (por separado)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Ver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Anexo 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.</w:t>
            </w:r>
          </w:p>
          <w:p w14:paraId="76BFB24A" w14:textId="77777777" w:rsidR="00D17BF3" w:rsidRPr="00E023CE" w:rsidRDefault="00D17BF3" w:rsidP="00ED03D1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</w:t>
            </w:r>
            <w:r w:rsidR="009A3CC9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 el caso de los bienes asignados al Director del Centro Educativo Público, registrados por la DIDEDUC en Tarjeta de Responsabilidad, deberá asignarse el código del bien en el acta correspondiente.</w:t>
            </w:r>
          </w:p>
        </w:tc>
      </w:tr>
      <w:tr w:rsidR="00003A75" w:rsidRPr="005732FE" w14:paraId="2D3BF769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1649E4C6" w14:textId="77777777" w:rsidR="00003A75" w:rsidRPr="00E206E6" w:rsidRDefault="00003A75" w:rsidP="004F7988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 w:rsidRPr="00E206E6">
              <w:rPr>
                <w:rFonts w:ascii="Arial Rounded MT Bold" w:hAnsi="Arial Rounded MT Bold" w:cs="Arial"/>
                <w:sz w:val="14"/>
                <w:szCs w:val="22"/>
              </w:rPr>
              <w:t>3.</w:t>
            </w:r>
            <w:r w:rsidR="00633861">
              <w:rPr>
                <w:rFonts w:ascii="Arial Rounded MT Bold" w:hAnsi="Arial Rounded MT Bold" w:cs="Arial"/>
                <w:sz w:val="14"/>
                <w:szCs w:val="22"/>
              </w:rPr>
              <w:t xml:space="preserve"> Elaborar solicitud de baja</w:t>
            </w:r>
            <w:r w:rsidR="00832CDD">
              <w:rPr>
                <w:rFonts w:ascii="Arial Rounded MT Bold" w:hAnsi="Arial Rounded MT Bold" w:cs="Arial"/>
                <w:sz w:val="14"/>
                <w:szCs w:val="22"/>
              </w:rPr>
              <w:t xml:space="preserve"> de bienes ferrosos y no ferrosos</w:t>
            </w:r>
          </w:p>
        </w:tc>
        <w:tc>
          <w:tcPr>
            <w:tcW w:w="1276" w:type="dxa"/>
            <w:vAlign w:val="center"/>
          </w:tcPr>
          <w:p w14:paraId="2BDA4B4F" w14:textId="77777777" w:rsidR="00003A75" w:rsidRPr="00E206E6" w:rsidRDefault="00E23C68" w:rsidP="004F798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Centro Educativo Público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087E532" w14:textId="77777777" w:rsidR="00644B0C" w:rsidRPr="00E023CE" w:rsidRDefault="00E23C68" w:rsidP="00644B0C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Presenta oficio dirigido al Director Departamental de Educación correspondiente, solicita la autorización para la baja de los bienes muebles ferrosos y no </w:t>
            </w:r>
            <w:r w:rsidR="00623361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ferrosos</w:t>
            </w:r>
            <w:r w:rsidR="006233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="00623361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adjunta</w:t>
            </w:r>
            <w:r w:rsidR="00741F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 oficio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644B0C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documentación siguiente:</w:t>
            </w:r>
          </w:p>
          <w:p w14:paraId="2870A4A7" w14:textId="77777777" w:rsidR="00644B0C" w:rsidRPr="00E023CE" w:rsidRDefault="00644B0C" w:rsidP="00644B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Oficio de solicitud dirigido al Director Departamental de Educación.</w:t>
            </w:r>
          </w:p>
          <w:p w14:paraId="04696D51" w14:textId="77777777" w:rsidR="00644B0C" w:rsidRPr="00E023CE" w:rsidRDefault="00644B0C" w:rsidP="00644B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Copia certificada del acta administrativa.</w:t>
            </w:r>
          </w:p>
          <w:p w14:paraId="5B937D50" w14:textId="77777777" w:rsidR="00644B0C" w:rsidRPr="00E023CE" w:rsidRDefault="00644B0C" w:rsidP="00644B0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Certificación de inventario de bienes muebles ferrosos y no ferrosos, y cuando aplique, copia simple de la Tarjeta de Responsabilidad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 Ver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Anexo 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.</w:t>
            </w:r>
          </w:p>
          <w:p w14:paraId="443B4B71" w14:textId="77777777" w:rsidR="00644B0C" w:rsidRDefault="00644B0C" w:rsidP="00644B0C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31C9FEAD" w14:textId="77777777" w:rsidR="00CD637A" w:rsidRPr="00E206E6" w:rsidRDefault="00E23C68" w:rsidP="00ED03D1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Cs w:val="22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 caso que los bienes muebles ferrosos y no ferrosos estén asignados por la DIDEDUC en la Tarjeta de Responsabilidad del Director del Centro Educativo Público, deberá adjuntar al 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cta administrativa, una copia simple de dicha tarjeta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 para que el encargado de inventarios de la DIDEDUC la certifique y emita la certificación de inventarios.</w:t>
            </w:r>
          </w:p>
        </w:tc>
      </w:tr>
      <w:tr w:rsidR="00BD2094" w:rsidRPr="005732FE" w14:paraId="30B669C5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708F3256" w14:textId="77777777" w:rsidR="00BD2094" w:rsidRPr="00E206E6" w:rsidRDefault="00BD2094" w:rsidP="00A80480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4</w:t>
            </w:r>
            <w:r w:rsidR="00AB22DE">
              <w:rPr>
                <w:rFonts w:ascii="Arial Rounded MT Bold" w:hAnsi="Arial Rounded MT Bold" w:cs="Arial"/>
                <w:sz w:val="14"/>
                <w:szCs w:val="22"/>
              </w:rPr>
              <w:t>.</w:t>
            </w:r>
            <w:r w:rsidR="00897245">
              <w:rPr>
                <w:rFonts w:ascii="Arial Rounded MT Bold" w:hAnsi="Arial Rounded MT Bold" w:cs="Arial"/>
                <w:sz w:val="14"/>
                <w:szCs w:val="22"/>
              </w:rPr>
              <w:t xml:space="preserve"> </w:t>
            </w:r>
            <w:r w:rsidR="00B35474">
              <w:rPr>
                <w:rFonts w:ascii="Arial Rounded MT Bold" w:hAnsi="Arial Rounded MT Bold" w:cs="Arial"/>
                <w:sz w:val="14"/>
                <w:szCs w:val="22"/>
              </w:rPr>
              <w:t>Recibe</w:t>
            </w:r>
            <w:r w:rsidR="002F5B48" w:rsidRPr="002F5B48">
              <w:rPr>
                <w:rFonts w:ascii="Arial Rounded MT Bold" w:hAnsi="Arial Rounded MT Bold" w:cs="Arial"/>
                <w:sz w:val="14"/>
                <w:szCs w:val="22"/>
              </w:rPr>
              <w:t xml:space="preserve"> </w:t>
            </w:r>
            <w:r w:rsidR="00A80480">
              <w:rPr>
                <w:rFonts w:ascii="Arial Rounded MT Bold" w:hAnsi="Arial Rounded MT Bold" w:cs="Arial"/>
                <w:sz w:val="14"/>
                <w:szCs w:val="22"/>
              </w:rPr>
              <w:t xml:space="preserve">y analiza el </w:t>
            </w:r>
            <w:r w:rsidR="002F5B48" w:rsidRPr="002F5B48">
              <w:rPr>
                <w:rFonts w:ascii="Arial Rounded MT Bold" w:hAnsi="Arial Rounded MT Bold" w:cs="Arial"/>
                <w:sz w:val="14"/>
                <w:szCs w:val="22"/>
              </w:rPr>
              <w:t xml:space="preserve"> expediente</w:t>
            </w:r>
            <w:r w:rsidR="00B35474">
              <w:rPr>
                <w:rFonts w:ascii="Arial Rounded MT Bold" w:hAnsi="Arial Rounded MT Bold" w:cs="Arial"/>
                <w:sz w:val="14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8AFA1D" w14:textId="77777777" w:rsidR="00BD2094" w:rsidRDefault="002F5B48" w:rsidP="004F798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5B48">
              <w:rPr>
                <w:rFonts w:ascii="Arial" w:hAnsi="Arial" w:cs="Arial"/>
                <w:sz w:val="14"/>
                <w:szCs w:val="16"/>
              </w:rPr>
              <w:t>Coordinador y/o Jefe del Departamento Financiero de la DIDEDUC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EAA0187" w14:textId="77777777" w:rsidR="002F5B48" w:rsidRPr="00E023CE" w:rsidRDefault="00F87A7B" w:rsidP="002F5B48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Recibe e</w:t>
            </w:r>
            <w:r w:rsidR="002F5B48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 expediente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verificando que contenga </w:t>
            </w:r>
            <w:r w:rsidR="002F5B48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 documentación </w:t>
            </w:r>
            <w:r w:rsidR="00644B0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establecida</w:t>
            </w:r>
            <w:r w:rsidR="002F5B48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:</w:t>
            </w:r>
          </w:p>
          <w:p w14:paraId="4B096D76" w14:textId="77777777" w:rsidR="002F5B48" w:rsidRPr="00E023CE" w:rsidRDefault="002F5B48" w:rsidP="00B35474">
            <w:pPr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</w:t>
            </w:r>
            <w:r w:rsidR="009A3CC9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 1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expediente debe cumplir con los requisitos establecidos para su autorización, caso contrario, se rechazará y se notificará al Director del Centro Educativo Público las deficiencias a corregir.</w:t>
            </w:r>
          </w:p>
          <w:p w14:paraId="43B92467" w14:textId="77777777" w:rsidR="00BD2094" w:rsidRPr="00003A75" w:rsidRDefault="002F5B48" w:rsidP="00B35474">
            <w:pPr>
              <w:numPr>
                <w:ilvl w:val="0"/>
                <w:numId w:val="12"/>
              </w:numPr>
              <w:jc w:val="both"/>
              <w:rPr>
                <w:rFonts w:ascii="Arial" w:hAnsi="Arial"/>
                <w:sz w:val="22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 2: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 los casos que aplique, el Coordinador y/o Jefe del Departamento Financiero solicitará al encargado de inventarios de la DIDEDUC, la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certificación de la Tarjeta de Responsabilidad del Director del Centro Educativo Público.</w:t>
            </w:r>
          </w:p>
        </w:tc>
      </w:tr>
      <w:tr w:rsidR="00897245" w:rsidRPr="005732FE" w14:paraId="10E87E35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6104890D" w14:textId="77777777" w:rsidR="00897245" w:rsidRDefault="00897245" w:rsidP="00445A7F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lastRenderedPageBreak/>
              <w:t xml:space="preserve">5. </w:t>
            </w:r>
            <w:r w:rsidR="002F5B48">
              <w:rPr>
                <w:rFonts w:ascii="Arial Rounded MT Bold" w:hAnsi="Arial Rounded MT Bold" w:cs="Arial"/>
                <w:sz w:val="14"/>
                <w:szCs w:val="22"/>
              </w:rPr>
              <w:t>Certificar Tarjeta</w:t>
            </w:r>
            <w:r w:rsidR="00AB22DE">
              <w:rPr>
                <w:rFonts w:ascii="Arial Rounded MT Bold" w:hAnsi="Arial Rounded MT Bold" w:cs="Arial"/>
                <w:sz w:val="14"/>
                <w:szCs w:val="22"/>
              </w:rPr>
              <w:t>s</w:t>
            </w:r>
            <w:r w:rsidR="002F5B48">
              <w:rPr>
                <w:rFonts w:ascii="Arial Rounded MT Bold" w:hAnsi="Arial Rounded MT Bold" w:cs="Arial"/>
                <w:sz w:val="14"/>
                <w:szCs w:val="22"/>
              </w:rPr>
              <w:t xml:space="preserve"> de Responsabilidad</w:t>
            </w:r>
            <w:r w:rsidR="00832CDD">
              <w:rPr>
                <w:rFonts w:ascii="Arial Rounded MT Bold" w:hAnsi="Arial Rounded MT Bold" w:cs="Arial"/>
                <w:sz w:val="14"/>
                <w:szCs w:val="22"/>
              </w:rPr>
              <w:t xml:space="preserve"> y elaborar certificación de inventario</w:t>
            </w:r>
          </w:p>
        </w:tc>
        <w:tc>
          <w:tcPr>
            <w:tcW w:w="1276" w:type="dxa"/>
          </w:tcPr>
          <w:p w14:paraId="060A9370" w14:textId="77777777" w:rsidR="00897245" w:rsidRDefault="00D436A0" w:rsidP="00D83C9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Inventarios de la DIDEDUC</w:t>
            </w:r>
            <w:r w:rsidR="00D83C99">
              <w:rPr>
                <w:rFonts w:ascii="Arial" w:hAnsi="Arial" w:cs="Arial"/>
                <w:sz w:val="14"/>
                <w:szCs w:val="16"/>
              </w:rPr>
              <w:t xml:space="preserve"> o, persona que se delegue 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EC6EFC0" w14:textId="77777777" w:rsidR="00897245" w:rsidRDefault="002F5B48" w:rsidP="002E032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Certifica la copia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 la Tarjeta de Responsabilidad del Director del Centro Educativo Público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 elabora la Certificación de inventarios de la DIDEDUC, para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adjunta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 ambos documentos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 expediente.</w:t>
            </w:r>
          </w:p>
        </w:tc>
      </w:tr>
      <w:tr w:rsidR="00AB22DE" w:rsidRPr="005732FE" w14:paraId="7FEAAAD2" w14:textId="77777777" w:rsidTr="00D436A0">
        <w:trPr>
          <w:trHeight w:val="364"/>
          <w:jc w:val="right"/>
        </w:trPr>
        <w:tc>
          <w:tcPr>
            <w:tcW w:w="1275" w:type="dxa"/>
            <w:vAlign w:val="center"/>
          </w:tcPr>
          <w:p w14:paraId="423E687B" w14:textId="77777777" w:rsidR="00AB22DE" w:rsidRDefault="00AB22DE" w:rsidP="002A5456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6. Elabora Resolución</w:t>
            </w:r>
          </w:p>
        </w:tc>
        <w:tc>
          <w:tcPr>
            <w:tcW w:w="1276" w:type="dxa"/>
            <w:vAlign w:val="center"/>
          </w:tcPr>
          <w:p w14:paraId="6F3B1D7C" w14:textId="77777777" w:rsidR="00AB22DE" w:rsidRDefault="00AB22DE" w:rsidP="00AB22D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F5B48">
              <w:rPr>
                <w:rFonts w:ascii="Arial" w:hAnsi="Arial" w:cs="Arial"/>
                <w:sz w:val="14"/>
                <w:szCs w:val="16"/>
              </w:rPr>
              <w:t>Coordinador y/o Jefe del Departamento Financiero de la DIDEDUC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bottom"/>
          </w:tcPr>
          <w:p w14:paraId="49E6FFFA" w14:textId="77777777" w:rsidR="00AB22DE" w:rsidRDefault="00AB22DE" w:rsidP="00AB22DE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Analiza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expediente y si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procede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elabora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firma y sella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la Resolución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que autoriza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baja de bienes muebles ferrosos y no ferrosos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. </w:t>
            </w:r>
            <w:r w:rsidRPr="00A33303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Ver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Anexo 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.</w:t>
            </w:r>
          </w:p>
          <w:p w14:paraId="3DF7033F" w14:textId="77777777" w:rsidR="00832CDD" w:rsidRDefault="0036318F" w:rsidP="00ED03D1">
            <w:pPr>
              <w:numPr>
                <w:ilvl w:val="0"/>
                <w:numId w:val="16"/>
              </w:num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36318F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</w:t>
            </w:r>
            <w:r w:rsidR="00832CD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: Para los efectos de control interno y rendición de cuentas, se debe elaborar una resolución por los bienes registrados únicamente en libros y otra por los registrados en la tarjeta de responsabilidad.</w:t>
            </w:r>
          </w:p>
          <w:p w14:paraId="4844512B" w14:textId="77777777" w:rsidR="00AB22DE" w:rsidRPr="00E023CE" w:rsidRDefault="00AB22DE" w:rsidP="00AB22DE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Traslada el expediente al Director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Departamental de Educación, para visto bueno de la Resolución.</w:t>
            </w:r>
          </w:p>
        </w:tc>
      </w:tr>
      <w:tr w:rsidR="00B00724" w:rsidRPr="005732FE" w14:paraId="3C2F2F87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68A83013" w14:textId="77777777" w:rsidR="00B00724" w:rsidRDefault="00DE4A8F" w:rsidP="002A5456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7. Apr</w:t>
            </w:r>
            <w:r w:rsidR="002A5456">
              <w:rPr>
                <w:rFonts w:ascii="Arial Rounded MT Bold" w:hAnsi="Arial Rounded MT Bold" w:cs="Arial"/>
                <w:sz w:val="14"/>
                <w:szCs w:val="22"/>
              </w:rPr>
              <w:t xml:space="preserve">ueba </w:t>
            </w:r>
            <w:r w:rsidR="0036318F">
              <w:rPr>
                <w:rFonts w:ascii="Arial Rounded MT Bold" w:hAnsi="Arial Rounded MT Bold" w:cs="Arial"/>
                <w:sz w:val="14"/>
                <w:szCs w:val="22"/>
              </w:rPr>
              <w:t xml:space="preserve"> Resolución</w:t>
            </w:r>
          </w:p>
        </w:tc>
        <w:tc>
          <w:tcPr>
            <w:tcW w:w="1276" w:type="dxa"/>
            <w:vAlign w:val="center"/>
          </w:tcPr>
          <w:p w14:paraId="1749376D" w14:textId="77777777" w:rsidR="00B00724" w:rsidRDefault="00B00724" w:rsidP="00B0072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Departamental de Educación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EE00100" w14:textId="77777777" w:rsidR="00CE22AF" w:rsidRDefault="00B00724" w:rsidP="00B00724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Recib</w:t>
            </w:r>
            <w:r w:rsidR="0064462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Departamento Financiero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 Resolución,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opia certificada del acta administrativa, certificación de inventarios del Centro Educativo Público 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si aplica,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copia certificada de la Tarjeta de Responsabilidad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Director del Centro Educativo Público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 que solicita la autorización de baja de bienes muebles ferrosos y no ferrosos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B3547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firma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 Resolución.</w:t>
            </w:r>
          </w:p>
          <w:p w14:paraId="229343E1" w14:textId="77777777" w:rsidR="00B00724" w:rsidRPr="00E023CE" w:rsidRDefault="00B00724" w:rsidP="00B00724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Traslada</w:t>
            </w:r>
            <w:r w:rsidR="0036318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el expediente y Resolución al Departamento Financiero.</w:t>
            </w:r>
          </w:p>
          <w:p w14:paraId="069FD15A" w14:textId="77777777" w:rsidR="00B00724" w:rsidRDefault="00B00724" w:rsidP="00B35474">
            <w:pPr>
              <w:numPr>
                <w:ilvl w:val="0"/>
                <w:numId w:val="13"/>
              </w:numPr>
              <w:jc w:val="both"/>
              <w:rPr>
                <w:rFonts w:ascii="Arial" w:hAnsi="Arial"/>
                <w:sz w:val="22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Nota: </w:t>
            </w:r>
            <w:r w:rsidRPr="00A3330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conformidad con el artículo 4 del Decreto No. 2-2022,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se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establece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que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“…dentro del plazo de treinta (30) días contados a partir de la fecha en que se presente el acta administrativa…”,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por tanto, la gestión administrativa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no debe exceder del plazo establecido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.</w:t>
            </w:r>
          </w:p>
        </w:tc>
      </w:tr>
      <w:tr w:rsidR="00AB22DE" w:rsidRPr="005732FE" w14:paraId="54B92299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793F32F8" w14:textId="77777777" w:rsidR="00AB22DE" w:rsidRDefault="00AB22DE" w:rsidP="00AB22DE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 xml:space="preserve">8. </w:t>
            </w:r>
            <w:r w:rsidR="00B00724">
              <w:rPr>
                <w:rFonts w:ascii="Arial Rounded MT Bold" w:hAnsi="Arial Rounded MT Bold" w:cs="Arial"/>
                <w:sz w:val="14"/>
                <w:szCs w:val="22"/>
              </w:rPr>
              <w:t>Recibir Resolución</w:t>
            </w:r>
            <w:r w:rsidR="0036318F">
              <w:rPr>
                <w:rFonts w:ascii="Arial Rounded MT Bold" w:hAnsi="Arial Rounded MT Bold" w:cs="Arial"/>
                <w:sz w:val="14"/>
                <w:szCs w:val="22"/>
              </w:rPr>
              <w:t>, y dar de baja en Tarjeta de Responsabilidad y SICOIN WEB</w:t>
            </w:r>
          </w:p>
        </w:tc>
        <w:tc>
          <w:tcPr>
            <w:tcW w:w="1276" w:type="dxa"/>
            <w:vAlign w:val="center"/>
          </w:tcPr>
          <w:p w14:paraId="089347A3" w14:textId="77777777" w:rsidR="00AB22DE" w:rsidRDefault="00D83C99" w:rsidP="00AB22D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Inventarios de la DIDEDUC o, persona que se delegue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52FEF4A" w14:textId="77777777" w:rsidR="00B00724" w:rsidRPr="00E023CE" w:rsidRDefault="0064462C" w:rsidP="00B00724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Recibe</w:t>
            </w:r>
            <w:r w:rsidR="009331F5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C0662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del</w:t>
            </w:r>
            <w:r w:rsidR="00C06626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Departamento Financiero</w:t>
            </w:r>
            <w:r w:rsidR="004E7CCB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="00C0662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expediente con la </w:t>
            </w:r>
            <w:r w:rsidR="00C06626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Resolución</w:t>
            </w:r>
            <w:r w:rsidR="00C0662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B00724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que autoriza la baja de los bienes muebles</w:t>
            </w:r>
            <w:r w:rsidR="00B0072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.</w:t>
            </w:r>
          </w:p>
          <w:p w14:paraId="6AFBB0C3" w14:textId="77777777" w:rsidR="00AB22DE" w:rsidRDefault="00B00724" w:rsidP="00B35474">
            <w:pPr>
              <w:numPr>
                <w:ilvl w:val="0"/>
                <w:numId w:val="13"/>
              </w:numPr>
              <w:jc w:val="both"/>
              <w:rPr>
                <w:rFonts w:ascii="Arial" w:hAnsi="Arial"/>
                <w:sz w:val="22"/>
              </w:rPr>
            </w:pPr>
            <w:r w:rsidRPr="00E023C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Cuando proceda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encargado de inventarios deberá rebajar de la Tarjeta de Responsabilidad del Director del Centro Educativo Público, los bienes muebles autorizados, y registrar la baja en el Sistema de Contabilidad Integrada -SICOIN WEB-, </w:t>
            </w:r>
            <w:r w:rsidR="00C06626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con el respaldo de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Resolución</w:t>
            </w:r>
            <w:r w:rsidR="0036318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y de conformidad con el Acuerdo Ministerial número 50-2022 “Manual de Inventarios de activos fijos en el SICOIN WEB”, del Ministerio de Finanzas Públicas. </w:t>
            </w:r>
          </w:p>
        </w:tc>
      </w:tr>
      <w:tr w:rsidR="00B00724" w:rsidRPr="005732FE" w14:paraId="2BAB659B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5D7127DD" w14:textId="77777777" w:rsidR="00B00724" w:rsidRDefault="00B00724" w:rsidP="00AB22DE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9.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B00724">
              <w:rPr>
                <w:rFonts w:ascii="Arial Rounded MT Bold" w:hAnsi="Arial Rounded MT Bold" w:cs="Arial"/>
                <w:sz w:val="14"/>
                <w:szCs w:val="22"/>
              </w:rPr>
              <w:t>Notifica</w:t>
            </w:r>
            <w:r>
              <w:rPr>
                <w:rFonts w:ascii="Arial Rounded MT Bold" w:hAnsi="Arial Rounded MT Bold" w:cs="Arial"/>
                <w:sz w:val="14"/>
                <w:szCs w:val="22"/>
              </w:rPr>
              <w:t>r</w:t>
            </w:r>
            <w:r w:rsidRPr="00B00724">
              <w:rPr>
                <w:rFonts w:ascii="Arial Rounded MT Bold" w:hAnsi="Arial Rounded MT Bold" w:cs="Arial"/>
                <w:sz w:val="14"/>
                <w:szCs w:val="22"/>
              </w:rPr>
              <w:t xml:space="preserve"> al Director del Centro Educativo Público, de la baja en el Sistema</w:t>
            </w:r>
          </w:p>
        </w:tc>
        <w:tc>
          <w:tcPr>
            <w:tcW w:w="1276" w:type="dxa"/>
            <w:vAlign w:val="center"/>
          </w:tcPr>
          <w:p w14:paraId="591332C8" w14:textId="77777777" w:rsidR="00B00724" w:rsidRDefault="00D83C99" w:rsidP="00AB22D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Inventarios de la DIDEDUC o, persona que se delegue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901944" w14:textId="77777777" w:rsidR="00B00724" w:rsidRPr="00E023CE" w:rsidRDefault="00B00724" w:rsidP="00B00724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Notifica al Director del Centro Educativo Público, la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Resolución que autoriza la baja de bienes.</w:t>
            </w:r>
          </w:p>
          <w:p w14:paraId="43263426" w14:textId="77777777" w:rsidR="00B00724" w:rsidRPr="00E023CE" w:rsidRDefault="00B00724" w:rsidP="00B3547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6420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Nota: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Cuando proceda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 entrega al Director del Centro Educativo Público, la respectiva copia de la Tarjeta de Responsabilidad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que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debe r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eflej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ar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movimiento del registro de los bienes ferrosos y no ferrosos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objeto de la baja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adjuntando el reporte </w:t>
            </w:r>
            <w:r w:rsidR="003C58B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R00820562.rpt “Reporte de Baja de Inventarios”</w:t>
            </w:r>
            <w:r w:rsidR="00EA6AB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EA6ABF" w:rsidRP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del Sistema de Contabilidad Integrada SICOIN WEB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 firmado y sellado por el encargado de inventarios.</w:t>
            </w:r>
          </w:p>
        </w:tc>
      </w:tr>
      <w:tr w:rsidR="005E2D59" w:rsidRPr="005732FE" w14:paraId="2CB5EAA7" w14:textId="77777777" w:rsidTr="00D436A0">
        <w:trPr>
          <w:trHeight w:val="874"/>
          <w:jc w:val="right"/>
        </w:trPr>
        <w:tc>
          <w:tcPr>
            <w:tcW w:w="1275" w:type="dxa"/>
            <w:vAlign w:val="center"/>
          </w:tcPr>
          <w:p w14:paraId="6965AFF1" w14:textId="77777777" w:rsidR="005E2D59" w:rsidRDefault="005E2D59" w:rsidP="00B74BCD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>10</w:t>
            </w:r>
            <w:r w:rsidR="00B35474">
              <w:rPr>
                <w:rFonts w:ascii="Arial Rounded MT Bold" w:hAnsi="Arial Rounded MT Bold" w:cs="Arial"/>
                <w:sz w:val="14"/>
                <w:szCs w:val="22"/>
              </w:rPr>
              <w:t>.</w:t>
            </w:r>
            <w:r w:rsidRPr="005E2D59">
              <w:rPr>
                <w:rFonts w:ascii="Arial Rounded MT Bold" w:hAnsi="Arial Rounded MT Bold" w:cs="Arial"/>
                <w:sz w:val="14"/>
                <w:szCs w:val="22"/>
              </w:rPr>
              <w:t xml:space="preserve"> </w:t>
            </w:r>
            <w:r w:rsidR="00B35474">
              <w:rPr>
                <w:rFonts w:ascii="Arial Rounded MT Bold" w:hAnsi="Arial Rounded MT Bold" w:cs="Arial"/>
                <w:sz w:val="14"/>
                <w:szCs w:val="22"/>
              </w:rPr>
              <w:t>Recibir Resolución y realizar acciones para</w:t>
            </w:r>
            <w:r w:rsidR="005735B4">
              <w:rPr>
                <w:rFonts w:ascii="Arial Rounded MT Bold" w:hAnsi="Arial Rounded MT Bold" w:cs="Arial"/>
                <w:sz w:val="14"/>
                <w:szCs w:val="22"/>
              </w:rPr>
              <w:t xml:space="preserve"> la baja de </w:t>
            </w:r>
            <w:r w:rsidR="00B74BCD">
              <w:rPr>
                <w:rFonts w:ascii="Arial Rounded MT Bold" w:hAnsi="Arial Rounded MT Bold" w:cs="Arial"/>
                <w:sz w:val="14"/>
                <w:szCs w:val="22"/>
              </w:rPr>
              <w:t>los bienes</w:t>
            </w:r>
          </w:p>
          <w:p w14:paraId="7D1B9913" w14:textId="77777777" w:rsidR="0026051D" w:rsidRDefault="0026051D" w:rsidP="005E2D59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CC56A7" w14:textId="77777777" w:rsidR="005E2D59" w:rsidRDefault="005E2D59" w:rsidP="005E2D5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E2D59">
              <w:rPr>
                <w:rFonts w:ascii="Arial" w:hAnsi="Arial" w:cs="Arial"/>
                <w:sz w:val="14"/>
                <w:szCs w:val="16"/>
              </w:rPr>
              <w:t>Director del Centro Educativo Público y dos maestros (as) que intervengan como testigos</w:t>
            </w:r>
          </w:p>
          <w:p w14:paraId="08251C1D" w14:textId="77777777" w:rsidR="0026051D" w:rsidRDefault="0026051D" w:rsidP="005E2D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12B4370A" w14:textId="77777777" w:rsidR="0026051D" w:rsidRPr="00E023CE" w:rsidRDefault="0026051D" w:rsidP="005E2D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bottom"/>
          </w:tcPr>
          <w:p w14:paraId="26B03E72" w14:textId="77777777" w:rsidR="005E2D59" w:rsidRPr="00E023CE" w:rsidRDefault="009331F5" w:rsidP="005E2D59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R</w:t>
            </w:r>
            <w:r w:rsidR="005E2D59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ecib</w:t>
            </w:r>
            <w:r w:rsidR="0025719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5E2D59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Resolución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 la DIDEDUC</w:t>
            </w:r>
            <w:r w:rsidR="005E2D59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que autoriza la baja de bienes muebles </w:t>
            </w:r>
            <w:r w:rsidR="005E2D59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registrados en el libro de inventarios </w:t>
            </w:r>
            <w:r w:rsidR="005E2D59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y </w:t>
            </w:r>
            <w:r w:rsidR="00B3547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realiza</w:t>
            </w:r>
            <w:r w:rsidR="005E2D59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las siguientes acciones:</w:t>
            </w:r>
          </w:p>
          <w:p w14:paraId="52585DA6" w14:textId="77777777" w:rsidR="005E2D59" w:rsidRPr="00746D34" w:rsidRDefault="00414F5A" w:rsidP="00A103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Destruye o desecha</w:t>
            </w:r>
            <w:r w:rsidR="005E2D59" w:rsidRPr="00746D34">
              <w:rPr>
                <w:rFonts w:ascii="Arial" w:hAnsi="Arial" w:cs="Arial"/>
                <w:sz w:val="22"/>
                <w:szCs w:val="22"/>
              </w:rPr>
              <w:t>, los bienes muebles ferrosos y no ferrosos</w:t>
            </w:r>
            <w:r w:rsidR="005E2D59">
              <w:rPr>
                <w:rFonts w:ascii="Arial" w:hAnsi="Arial" w:cs="Arial"/>
                <w:sz w:val="22"/>
                <w:szCs w:val="22"/>
              </w:rPr>
              <w:t>,</w:t>
            </w:r>
            <w:r w:rsidR="005E2D59" w:rsidRPr="00746D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2D59">
              <w:rPr>
                <w:rFonts w:ascii="Arial" w:hAnsi="Arial" w:cs="Arial"/>
                <w:sz w:val="22"/>
                <w:szCs w:val="22"/>
              </w:rPr>
              <w:t xml:space="preserve">documentando </w:t>
            </w:r>
            <w:r w:rsidR="008E1505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="008E1505" w:rsidRPr="00746D34">
              <w:rPr>
                <w:rFonts w:ascii="Arial" w:hAnsi="Arial" w:cs="Arial"/>
                <w:sz w:val="22"/>
                <w:szCs w:val="22"/>
              </w:rPr>
              <w:t>fotografías</w:t>
            </w:r>
            <w:r w:rsidR="005E2D59" w:rsidRPr="00746D34">
              <w:rPr>
                <w:rFonts w:ascii="Arial" w:hAnsi="Arial" w:cs="Arial"/>
                <w:sz w:val="22"/>
                <w:szCs w:val="22"/>
              </w:rPr>
              <w:t xml:space="preserve"> del proceso utilizado para el desecho de los bienes muebles.</w:t>
            </w:r>
          </w:p>
          <w:p w14:paraId="230D9906" w14:textId="77777777" w:rsidR="005E2D59" w:rsidRPr="00D0761E" w:rsidRDefault="00414F5A" w:rsidP="00A103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Suscribe</w:t>
            </w:r>
            <w:r w:rsidR="005E2D59"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acta administrativa en el libro de actas documentando con las fotografías de lo actuado. </w:t>
            </w:r>
            <w:r w:rsidR="005E2D59" w:rsidRPr="00D0761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Ver Anexo 5.</w:t>
            </w:r>
          </w:p>
          <w:p w14:paraId="5BB44E59" w14:textId="77777777" w:rsidR="005E2D59" w:rsidRPr="00D0761E" w:rsidRDefault="00414F5A" w:rsidP="00A103A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</w:t>
            </w:r>
            <w:r w:rsidR="00B74B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egistra </w:t>
            </w:r>
            <w:r w:rsidR="005E2D59"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baja de los bienes muebles en el libro de inventarios.</w:t>
            </w:r>
          </w:p>
          <w:p w14:paraId="2F2E9E00" w14:textId="77777777" w:rsidR="00D0761E" w:rsidRPr="00D0761E" w:rsidRDefault="00D0761E" w:rsidP="00D0761E">
            <w:pPr>
              <w:pStyle w:val="Prrafodelista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</w:pPr>
          </w:p>
          <w:p w14:paraId="2A702E88" w14:textId="77777777" w:rsidR="00D0761E" w:rsidRPr="00E023CE" w:rsidRDefault="00D0761E" w:rsidP="00ED03D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0761E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Nota 1: </w:t>
            </w:r>
            <w:r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Si fuera el caso que la baja de bienes muebles corresponde a un Centro Educativo Público “Multigrado” (un docente para todos los grados), se recomienda requerir a la Supervisión Educativa su apoyo para nombrar a dos maestros de otros Centros Educativos Públicos que fungirán como testigo</w:t>
            </w:r>
            <w:r w:rsidR="00691C04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</w:t>
            </w:r>
            <w:r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proceso de baja.</w:t>
            </w:r>
          </w:p>
        </w:tc>
      </w:tr>
      <w:tr w:rsidR="005E2D59" w:rsidRPr="005732FE" w14:paraId="34BA0C46" w14:textId="77777777" w:rsidTr="00B74BCD">
        <w:trPr>
          <w:trHeight w:val="4359"/>
          <w:jc w:val="right"/>
        </w:trPr>
        <w:tc>
          <w:tcPr>
            <w:tcW w:w="1275" w:type="dxa"/>
            <w:vAlign w:val="center"/>
          </w:tcPr>
          <w:p w14:paraId="59F7DAF0" w14:textId="77777777" w:rsidR="005E2D59" w:rsidRPr="005E2D59" w:rsidRDefault="005E2D59" w:rsidP="00B74BCD">
            <w:pPr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lastRenderedPageBreak/>
              <w:t xml:space="preserve">11. Remitir Copia de Acta </w:t>
            </w:r>
            <w:r w:rsidR="00B74BCD">
              <w:rPr>
                <w:rFonts w:ascii="Arial Rounded MT Bold" w:hAnsi="Arial Rounded MT Bold" w:cs="Arial"/>
                <w:sz w:val="14"/>
                <w:szCs w:val="22"/>
              </w:rPr>
              <w:t>certificada</w:t>
            </w:r>
          </w:p>
        </w:tc>
        <w:tc>
          <w:tcPr>
            <w:tcW w:w="1276" w:type="dxa"/>
            <w:vAlign w:val="bottom"/>
          </w:tcPr>
          <w:p w14:paraId="149713F7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02E597FE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3D0493A9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73A19090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1833D0D0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16DE6FA4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6E6DA344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7F1D6CD9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26E5B87F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55E396C2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171B7A47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142EBB8E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5FDDEE2E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6007525F" w14:textId="77777777" w:rsidR="00B74BCD" w:rsidRDefault="00B74BC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13EFE36D" w14:textId="77777777" w:rsidR="005E2D59" w:rsidRDefault="005E2D59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  <w:r w:rsidRPr="00450DE2">
              <w:rPr>
                <w:rFonts w:ascii="Arial Rounded MT Bold" w:hAnsi="Arial Rounded MT Bold" w:cs="Arial"/>
                <w:sz w:val="14"/>
                <w:szCs w:val="22"/>
              </w:rPr>
              <w:t>Director de Centro Educativo Público</w:t>
            </w:r>
          </w:p>
          <w:p w14:paraId="74F48910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643B1B0E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4A89C5D2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2276EC0C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474A4B45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083677C7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2C9DBB60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3A2A208D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7D2F906B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24C458DA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1B915FF7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331B461F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385DE05D" w14:textId="77777777" w:rsidR="0026051D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  <w:p w14:paraId="0475261B" w14:textId="77777777" w:rsidR="0026051D" w:rsidRPr="00450DE2" w:rsidRDefault="0026051D" w:rsidP="00220492">
            <w:pPr>
              <w:widowControl w:val="0"/>
              <w:jc w:val="center"/>
              <w:rPr>
                <w:rFonts w:ascii="Arial Rounded MT Bold" w:hAnsi="Arial Rounded MT Bold" w:cs="Arial"/>
                <w:sz w:val="14"/>
                <w:szCs w:val="22"/>
              </w:rPr>
            </w:pP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</w:tcPr>
          <w:p w14:paraId="1D4396E1" w14:textId="77777777" w:rsidR="00D0761E" w:rsidRPr="00D0761E" w:rsidRDefault="00032618" w:rsidP="00D0761E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U</w:t>
            </w:r>
            <w:r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na vez concluida la baja de bienes muebles</w:t>
            </w:r>
            <w:r w:rsidR="0041654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</w:t>
            </w:r>
            <w:r w:rsidR="009331F5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ertifica</w:t>
            </w:r>
            <w:r w:rsidR="00D0761E"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acta administrativa y procede a conformar y foliar 3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expedientes</w:t>
            </w:r>
            <w:r w:rsidR="009331F5"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para</w:t>
            </w:r>
            <w:r w:rsidR="00D0761E"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remitir, el primero a la Dirección Departamental </w:t>
            </w:r>
            <w:r w:rsidR="00B74BCD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 Educación </w:t>
            </w:r>
            <w:r w:rsidR="00D0761E"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correspondiente, el segundo a la Dirección de Bienes de Estado del Ministerio de Finanzas Públicas y el tercero a la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Contraloría General de Cuentas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.</w:t>
            </w:r>
          </w:p>
          <w:p w14:paraId="44FFEAA3" w14:textId="77777777" w:rsidR="00D0761E" w:rsidRPr="00D0761E" w:rsidRDefault="00D0761E" w:rsidP="00D0761E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  <w:p w14:paraId="28D95232" w14:textId="77777777" w:rsidR="00D0761E" w:rsidRDefault="00D0761E" w:rsidP="00D0761E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0761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Los expedientes deberán incluir la siguiente documentación:</w:t>
            </w:r>
          </w:p>
          <w:p w14:paraId="34331FFB" w14:textId="77777777" w:rsidR="00D0761E" w:rsidRDefault="00D0761E" w:rsidP="00D0761E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85EB587" w14:textId="77777777" w:rsidR="00D0761E" w:rsidRDefault="00D0761E" w:rsidP="00414F5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Oficio dirigido a la instancia que corresponda, es decir, DIDEDUC, </w:t>
            </w:r>
            <w:r w:rsidR="006233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ontraloría General de Cuentas y Dirección de Bienes del Estado del Ministerio de Finanzas Públicas. </w:t>
            </w:r>
          </w:p>
          <w:p w14:paraId="5466D19C" w14:textId="77777777" w:rsidR="00B74BCD" w:rsidRDefault="00B74BCD" w:rsidP="00B74BCD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07843826" w14:textId="77777777" w:rsidR="00D0761E" w:rsidRDefault="00D0761E" w:rsidP="00414F5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certificada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 de las actas administrativas </w:t>
            </w:r>
            <w:r w:rsidR="006233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suscritas por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la baja.</w:t>
            </w:r>
          </w:p>
          <w:p w14:paraId="766AC18C" w14:textId="77777777" w:rsidR="00B74BCD" w:rsidRDefault="00B74BCD" w:rsidP="00B74BCD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78901D74" w14:textId="77777777" w:rsidR="00D0761E" w:rsidRDefault="00D0761E" w:rsidP="00414F5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F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otografías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del proceso de desecho</w:t>
            </w:r>
            <w:r w:rsidR="00623361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 destrucción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, se recomienda adjuntarlas en forma impresa y digital CD. </w:t>
            </w:r>
          </w:p>
          <w:p w14:paraId="4BC6E63F" w14:textId="77777777" w:rsidR="00B74BCD" w:rsidRDefault="00B74BCD" w:rsidP="00B74BCD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87BE983" w14:textId="77777777" w:rsidR="005E2D59" w:rsidRPr="00E023CE" w:rsidRDefault="00D0761E" w:rsidP="00414F5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Cuando sea el caso, el reporte </w:t>
            </w:r>
            <w:r w:rsidR="003C58B8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R00820562.rpt “Reporte de Baja de Inventarios” </w:t>
            </w:r>
            <w:r w:rsidRP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del Sistema de Contabilidad Integrada SICOIN WEB, lo proporcionará la DIDEDUC que corresponda. </w:t>
            </w:r>
          </w:p>
        </w:tc>
      </w:tr>
      <w:tr w:rsidR="005E2D59" w:rsidRPr="005732FE" w14:paraId="38B1A971" w14:textId="77777777" w:rsidTr="00B74BCD">
        <w:trPr>
          <w:trHeight w:val="874"/>
          <w:jc w:val="right"/>
        </w:trPr>
        <w:tc>
          <w:tcPr>
            <w:tcW w:w="1275" w:type="dxa"/>
            <w:vAlign w:val="center"/>
          </w:tcPr>
          <w:p w14:paraId="6075B06B" w14:textId="77777777" w:rsidR="005E2D59" w:rsidRPr="00E023CE" w:rsidRDefault="005E2D59" w:rsidP="00B74B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 Rounded MT Bold" w:hAnsi="Arial Rounded MT Bold" w:cs="Arial"/>
                <w:sz w:val="14"/>
                <w:szCs w:val="22"/>
              </w:rPr>
              <w:t xml:space="preserve">12. </w:t>
            </w:r>
            <w:r w:rsidRPr="005E2D59">
              <w:rPr>
                <w:rFonts w:ascii="Arial Rounded MT Bold" w:hAnsi="Arial Rounded MT Bold" w:cs="Arial"/>
                <w:sz w:val="14"/>
                <w:szCs w:val="22"/>
              </w:rPr>
              <w:t>Archiv</w:t>
            </w:r>
            <w:r>
              <w:rPr>
                <w:rFonts w:ascii="Arial Rounded MT Bold" w:hAnsi="Arial Rounded MT Bold" w:cs="Arial"/>
                <w:sz w:val="14"/>
                <w:szCs w:val="22"/>
              </w:rPr>
              <w:t>ar</w:t>
            </w:r>
            <w:r w:rsidRPr="005E2D59">
              <w:rPr>
                <w:rFonts w:ascii="Arial Rounded MT Bold" w:hAnsi="Arial Rounded MT Bold" w:cs="Arial"/>
                <w:sz w:val="14"/>
                <w:szCs w:val="22"/>
              </w:rPr>
              <w:t xml:space="preserve"> </w:t>
            </w:r>
            <w:r w:rsidR="00B74BCD">
              <w:rPr>
                <w:rFonts w:ascii="Arial Rounded MT Bold" w:hAnsi="Arial Rounded MT Bold" w:cs="Arial"/>
                <w:sz w:val="14"/>
                <w:szCs w:val="22"/>
              </w:rPr>
              <w:t xml:space="preserve">expedientes </w:t>
            </w:r>
            <w:r w:rsidRPr="005E2D59">
              <w:rPr>
                <w:rFonts w:ascii="Arial Rounded MT Bold" w:hAnsi="Arial Rounded MT Bold" w:cs="Arial"/>
                <w:sz w:val="14"/>
                <w:szCs w:val="22"/>
              </w:rPr>
              <w:t>con sello de recibido</w:t>
            </w:r>
            <w:r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DFDF4A8" w14:textId="77777777" w:rsidR="005E2D59" w:rsidRDefault="005E2D59" w:rsidP="00DD315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Centro Educativo Público</w:t>
            </w:r>
            <w:r w:rsidR="00D436A0">
              <w:rPr>
                <w:rFonts w:ascii="Arial" w:hAnsi="Arial" w:cs="Arial"/>
                <w:sz w:val="14"/>
                <w:szCs w:val="16"/>
              </w:rPr>
              <w:t>/Dirección Departamental de Educación correspondiente</w:t>
            </w:r>
          </w:p>
        </w:tc>
        <w:tc>
          <w:tcPr>
            <w:tcW w:w="8250" w:type="dxa"/>
            <w:tcMar>
              <w:top w:w="28" w:type="dxa"/>
              <w:left w:w="57" w:type="dxa"/>
              <w:bottom w:w="85" w:type="dxa"/>
              <w:right w:w="28" w:type="dxa"/>
            </w:tcMar>
            <w:vAlign w:val="bottom"/>
          </w:tcPr>
          <w:p w14:paraId="329F8735" w14:textId="77777777" w:rsidR="005E2D59" w:rsidRDefault="0026051D" w:rsidP="005E2D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</w:t>
            </w:r>
            <w:r w:rsidR="00DD315E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rchiva</w:t>
            </w:r>
            <w:r w:rsidR="009331F5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</w:t>
            </w:r>
            <w:r w:rsidR="00DD315E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expediente en 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un archivo físico y digital de la Dirección Departamental correspondiente y </w:t>
            </w:r>
            <w:r w:rsidR="00DD315E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Centro Educativo Público, para futuras </w:t>
            </w:r>
            <w:r w:rsidR="00DD31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fiscalizaciones </w:t>
            </w:r>
            <w:r w:rsidR="00DD315E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 los entes </w:t>
            </w:r>
            <w:r w:rsidR="00DD315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internos y/o externos</w:t>
            </w:r>
            <w:r w:rsidR="00DD315E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.</w:t>
            </w:r>
          </w:p>
          <w:p w14:paraId="2D12BC3F" w14:textId="77777777" w:rsidR="00D436A0" w:rsidRDefault="00D436A0" w:rsidP="005E2D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42CC7502" w14:textId="77777777" w:rsidR="0026051D" w:rsidRDefault="00414F5A" w:rsidP="00414F5A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>Nota</w:t>
            </w:r>
            <w:r w:rsidR="00D436A0" w:rsidRPr="009331F5">
              <w:rPr>
                <w:rFonts w:ascii="Arial" w:hAnsi="Arial" w:cs="Arial"/>
                <w:b/>
                <w:color w:val="000000"/>
                <w:sz w:val="22"/>
                <w:szCs w:val="22"/>
                <w:lang w:eastAsia="es-GT"/>
              </w:rPr>
              <w:t xml:space="preserve">: 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Para los efectos de rendición de cuentas, se recomienda que l</w:t>
            </w:r>
            <w:r w:rsidR="00D436A0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copia del expediente que permanecerá en el archivo de la Dirección Departamental de Educación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 del Centro Educativo Público que realizó la baja</w:t>
            </w:r>
            <w:r w:rsidR="00D436A0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, conten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gan</w:t>
            </w:r>
            <w:r w:rsidR="00D436A0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los sellos 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de </w:t>
            </w:r>
            <w:r w:rsidR="00D436A0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recibido de las </w:t>
            </w:r>
            <w:r w:rsidR="00D436A0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tres (3) </w:t>
            </w:r>
            <w:r w:rsidR="00D436A0" w:rsidRPr="00E023CE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instancias indicadas.</w:t>
            </w:r>
          </w:p>
        </w:tc>
      </w:tr>
    </w:tbl>
    <w:p w14:paraId="12BE141E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Sect="00FC66E1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8E61" w14:textId="77777777" w:rsidR="00A62A31" w:rsidRDefault="00A62A31" w:rsidP="003D767C">
      <w:r>
        <w:separator/>
      </w:r>
    </w:p>
  </w:endnote>
  <w:endnote w:type="continuationSeparator" w:id="0">
    <w:p w14:paraId="01CD365E" w14:textId="77777777" w:rsidR="00A62A31" w:rsidRDefault="00A62A3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821A" w14:textId="77777777" w:rsidR="003E18E2" w:rsidRPr="00165CB0" w:rsidRDefault="003E18E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09DC" w14:textId="77777777" w:rsidR="003E18E2" w:rsidRPr="00165CB0" w:rsidRDefault="003E18E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59E80" w14:textId="77777777" w:rsidR="00A62A31" w:rsidRDefault="00A62A31" w:rsidP="003D767C">
      <w:r>
        <w:separator/>
      </w:r>
    </w:p>
  </w:footnote>
  <w:footnote w:type="continuationSeparator" w:id="0">
    <w:p w14:paraId="186D1AE8" w14:textId="77777777" w:rsidR="00A62A31" w:rsidRDefault="00A62A3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EF3E" w14:textId="77777777" w:rsidR="003E18E2" w:rsidRPr="00823A74" w:rsidRDefault="003E18E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E18E2" w14:paraId="78A7440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64DF32A" w14:textId="6DAFC337" w:rsidR="003E18E2" w:rsidRPr="006908E6" w:rsidRDefault="005A5C54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792ABB5C" wp14:editId="4D59160D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77683B3" w14:textId="77777777" w:rsidR="003E18E2" w:rsidRPr="0095660D" w:rsidRDefault="003E18E2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3E18E2" w14:paraId="3D099F58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43E92D10" w14:textId="77777777" w:rsidR="003E18E2" w:rsidRDefault="003E18E2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3728FF5" w14:textId="77777777" w:rsidR="00F7344D" w:rsidRPr="00823A74" w:rsidRDefault="00D83C99" w:rsidP="00D83C9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“</w:t>
          </w:r>
          <w:r w:rsidR="003E18E2">
            <w:rPr>
              <w:rFonts w:ascii="Arial" w:hAnsi="Arial" w:cs="Arial"/>
              <w:b/>
              <w:sz w:val="24"/>
            </w:rPr>
            <w:t xml:space="preserve">BAJA DE BIENES MUEBLES </w:t>
          </w:r>
          <w:r w:rsidR="00F7344D">
            <w:rPr>
              <w:rFonts w:ascii="Arial" w:hAnsi="Arial" w:cs="Arial"/>
              <w:b/>
              <w:sz w:val="24"/>
            </w:rPr>
            <w:t>INSERVIBLES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F7344D">
            <w:rPr>
              <w:rFonts w:ascii="Arial" w:hAnsi="Arial" w:cs="Arial"/>
              <w:b/>
              <w:sz w:val="24"/>
            </w:rPr>
            <w:t>EN LOS CENTROS EDUCATIVOS PÚBLICOS</w:t>
          </w:r>
          <w:r>
            <w:rPr>
              <w:rFonts w:ascii="Arial" w:hAnsi="Arial" w:cs="Arial"/>
              <w:b/>
              <w:sz w:val="24"/>
            </w:rPr>
            <w:t>”</w:t>
          </w:r>
          <w:r w:rsidR="006970A2">
            <w:rPr>
              <w:rFonts w:ascii="Arial" w:hAnsi="Arial" w:cs="Arial"/>
              <w:b/>
              <w:sz w:val="24"/>
            </w:rPr>
            <w:t xml:space="preserve">  DECRETO 02-2022</w:t>
          </w:r>
        </w:p>
      </w:tc>
    </w:tr>
    <w:tr w:rsidR="003E18E2" w14:paraId="5D212ADC" w14:textId="77777777" w:rsidTr="004305F6">
      <w:trPr>
        <w:cantSplit/>
        <w:trHeight w:val="60"/>
      </w:trPr>
      <w:tc>
        <w:tcPr>
          <w:tcW w:w="856" w:type="dxa"/>
          <w:vMerge/>
        </w:tcPr>
        <w:p w14:paraId="3532B7AE" w14:textId="77777777" w:rsidR="003E18E2" w:rsidRDefault="003E18E2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5BD5757" w14:textId="77777777" w:rsidR="003E18E2" w:rsidRPr="00504819" w:rsidRDefault="003E18E2" w:rsidP="00AA0FD5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INVENTARIOS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CC893B" w14:textId="77777777" w:rsidR="003E18E2" w:rsidRPr="008A404F" w:rsidRDefault="003E18E2" w:rsidP="004F798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INV-INS-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="00F7344D">
            <w:rPr>
              <w:rFonts w:ascii="Arial" w:hAnsi="Arial" w:cs="Arial"/>
              <w:b/>
              <w:sz w:val="16"/>
              <w:szCs w:val="16"/>
            </w:rPr>
            <w:t>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0B99A89" w14:textId="77777777" w:rsidR="003E18E2" w:rsidRPr="00504819" w:rsidRDefault="003E18E2" w:rsidP="00C0735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F7344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B6A6E96" w14:textId="77777777" w:rsidR="003E18E2" w:rsidRPr="00051689" w:rsidRDefault="003E18E2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C7A32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C7A32">
            <w:rPr>
              <w:rFonts w:ascii="Arial" w:hAnsi="Arial" w:cs="Arial"/>
              <w:noProof/>
              <w:sz w:val="16"/>
            </w:rPr>
            <w:t>4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C7626DE" w14:textId="77777777" w:rsidR="003E18E2" w:rsidRPr="00217FA1" w:rsidRDefault="003E18E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6CFE" w14:textId="77777777" w:rsidR="003E18E2" w:rsidRPr="0067323E" w:rsidRDefault="003E18E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25D"/>
    <w:multiLevelType w:val="hybridMultilevel"/>
    <w:tmpl w:val="9CB69344"/>
    <w:lvl w:ilvl="0" w:tplc="FBB61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F0208"/>
    <w:multiLevelType w:val="hybridMultilevel"/>
    <w:tmpl w:val="520E5E1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78EC"/>
    <w:multiLevelType w:val="hybridMultilevel"/>
    <w:tmpl w:val="DF36A478"/>
    <w:lvl w:ilvl="0" w:tplc="14C8AF5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02523"/>
    <w:multiLevelType w:val="hybridMultilevel"/>
    <w:tmpl w:val="368299F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4323"/>
    <w:multiLevelType w:val="hybridMultilevel"/>
    <w:tmpl w:val="13CA697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5A4"/>
    <w:multiLevelType w:val="hybridMultilevel"/>
    <w:tmpl w:val="85F229AC"/>
    <w:lvl w:ilvl="0" w:tplc="2E56F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63B89"/>
    <w:multiLevelType w:val="hybridMultilevel"/>
    <w:tmpl w:val="7E72575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E78A5"/>
    <w:multiLevelType w:val="hybridMultilevel"/>
    <w:tmpl w:val="5DAAAA7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74A64"/>
    <w:multiLevelType w:val="hybridMultilevel"/>
    <w:tmpl w:val="5A665990"/>
    <w:lvl w:ilvl="0" w:tplc="10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664119EC"/>
    <w:multiLevelType w:val="multilevel"/>
    <w:tmpl w:val="A07C413E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  <w:b/>
      </w:rPr>
    </w:lvl>
    <w:lvl w:ilvl="2">
      <w:start w:val="3"/>
      <w:numFmt w:val="upperLetter"/>
      <w:lvlText w:val="%3.3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75F625C1"/>
    <w:multiLevelType w:val="hybridMultilevel"/>
    <w:tmpl w:val="8A94C84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72BFF"/>
    <w:multiLevelType w:val="hybridMultilevel"/>
    <w:tmpl w:val="4312A02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838BD"/>
    <w:multiLevelType w:val="hybridMultilevel"/>
    <w:tmpl w:val="C3E257E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5159E"/>
    <w:multiLevelType w:val="hybridMultilevel"/>
    <w:tmpl w:val="F34EB00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A"/>
    <w:rsid w:val="00003A75"/>
    <w:rsid w:val="00004E52"/>
    <w:rsid w:val="00007C4B"/>
    <w:rsid w:val="00013651"/>
    <w:rsid w:val="00015F4C"/>
    <w:rsid w:val="00017889"/>
    <w:rsid w:val="00021AD5"/>
    <w:rsid w:val="00024764"/>
    <w:rsid w:val="00025594"/>
    <w:rsid w:val="00026BA3"/>
    <w:rsid w:val="0002733C"/>
    <w:rsid w:val="00032618"/>
    <w:rsid w:val="00032B33"/>
    <w:rsid w:val="000371B7"/>
    <w:rsid w:val="00037DE1"/>
    <w:rsid w:val="00040941"/>
    <w:rsid w:val="000418DA"/>
    <w:rsid w:val="00045493"/>
    <w:rsid w:val="00051689"/>
    <w:rsid w:val="000518A5"/>
    <w:rsid w:val="00055D61"/>
    <w:rsid w:val="00057621"/>
    <w:rsid w:val="000601F7"/>
    <w:rsid w:val="00062C70"/>
    <w:rsid w:val="00063A1B"/>
    <w:rsid w:val="00065BB7"/>
    <w:rsid w:val="0006777F"/>
    <w:rsid w:val="0008219F"/>
    <w:rsid w:val="00083946"/>
    <w:rsid w:val="00085830"/>
    <w:rsid w:val="00087839"/>
    <w:rsid w:val="000906E3"/>
    <w:rsid w:val="00092F9D"/>
    <w:rsid w:val="000948FD"/>
    <w:rsid w:val="00097A37"/>
    <w:rsid w:val="00097FE5"/>
    <w:rsid w:val="000A4B3F"/>
    <w:rsid w:val="000A7069"/>
    <w:rsid w:val="000B0A54"/>
    <w:rsid w:val="000B0F16"/>
    <w:rsid w:val="000C0B30"/>
    <w:rsid w:val="000C17E0"/>
    <w:rsid w:val="000C43CB"/>
    <w:rsid w:val="000C52F1"/>
    <w:rsid w:val="000D1771"/>
    <w:rsid w:val="000D2513"/>
    <w:rsid w:val="000D390F"/>
    <w:rsid w:val="000D40F3"/>
    <w:rsid w:val="000D479A"/>
    <w:rsid w:val="000D5E54"/>
    <w:rsid w:val="000E0499"/>
    <w:rsid w:val="000E0B52"/>
    <w:rsid w:val="000E0C91"/>
    <w:rsid w:val="000E2468"/>
    <w:rsid w:val="000E2596"/>
    <w:rsid w:val="000E4524"/>
    <w:rsid w:val="000E5B44"/>
    <w:rsid w:val="000F0BF6"/>
    <w:rsid w:val="000F11D2"/>
    <w:rsid w:val="000F2D67"/>
    <w:rsid w:val="001009E5"/>
    <w:rsid w:val="001017A4"/>
    <w:rsid w:val="001075FA"/>
    <w:rsid w:val="00107614"/>
    <w:rsid w:val="0011143D"/>
    <w:rsid w:val="001116D8"/>
    <w:rsid w:val="00115612"/>
    <w:rsid w:val="00122810"/>
    <w:rsid w:val="00125FFA"/>
    <w:rsid w:val="00132815"/>
    <w:rsid w:val="001346BB"/>
    <w:rsid w:val="001361FB"/>
    <w:rsid w:val="00141C09"/>
    <w:rsid w:val="00142390"/>
    <w:rsid w:val="00146C1C"/>
    <w:rsid w:val="00147A5E"/>
    <w:rsid w:val="00147CBF"/>
    <w:rsid w:val="001505CA"/>
    <w:rsid w:val="00150B32"/>
    <w:rsid w:val="00150FF2"/>
    <w:rsid w:val="001578B1"/>
    <w:rsid w:val="00160C12"/>
    <w:rsid w:val="00160DC9"/>
    <w:rsid w:val="0016240D"/>
    <w:rsid w:val="001673BF"/>
    <w:rsid w:val="0017025D"/>
    <w:rsid w:val="00172E26"/>
    <w:rsid w:val="00173BAD"/>
    <w:rsid w:val="001751AE"/>
    <w:rsid w:val="001829D2"/>
    <w:rsid w:val="00182C98"/>
    <w:rsid w:val="00185697"/>
    <w:rsid w:val="00187CB1"/>
    <w:rsid w:val="001935BA"/>
    <w:rsid w:val="00197367"/>
    <w:rsid w:val="001A0DB7"/>
    <w:rsid w:val="001A0E25"/>
    <w:rsid w:val="001A3644"/>
    <w:rsid w:val="001A37BF"/>
    <w:rsid w:val="001A6C01"/>
    <w:rsid w:val="001A7FB7"/>
    <w:rsid w:val="001B5D01"/>
    <w:rsid w:val="001B759B"/>
    <w:rsid w:val="001C212D"/>
    <w:rsid w:val="001C5892"/>
    <w:rsid w:val="001D7F0D"/>
    <w:rsid w:val="001D7F50"/>
    <w:rsid w:val="001E0E0B"/>
    <w:rsid w:val="001E3A86"/>
    <w:rsid w:val="001E4ADF"/>
    <w:rsid w:val="001F04E1"/>
    <w:rsid w:val="002024A3"/>
    <w:rsid w:val="00205D77"/>
    <w:rsid w:val="00206E8F"/>
    <w:rsid w:val="00207773"/>
    <w:rsid w:val="00212C10"/>
    <w:rsid w:val="00220492"/>
    <w:rsid w:val="002216A8"/>
    <w:rsid w:val="0022260A"/>
    <w:rsid w:val="0022647E"/>
    <w:rsid w:val="00235197"/>
    <w:rsid w:val="0024090D"/>
    <w:rsid w:val="00252E81"/>
    <w:rsid w:val="002542FC"/>
    <w:rsid w:val="00257199"/>
    <w:rsid w:val="002573D6"/>
    <w:rsid w:val="0026051D"/>
    <w:rsid w:val="002623D2"/>
    <w:rsid w:val="00263610"/>
    <w:rsid w:val="002639C6"/>
    <w:rsid w:val="002641EA"/>
    <w:rsid w:val="0027434E"/>
    <w:rsid w:val="002803B6"/>
    <w:rsid w:val="0028240D"/>
    <w:rsid w:val="00283941"/>
    <w:rsid w:val="002929A9"/>
    <w:rsid w:val="0029731D"/>
    <w:rsid w:val="002A370A"/>
    <w:rsid w:val="002A415E"/>
    <w:rsid w:val="002A4533"/>
    <w:rsid w:val="002A4B39"/>
    <w:rsid w:val="002A53A4"/>
    <w:rsid w:val="002A5456"/>
    <w:rsid w:val="002A5DD5"/>
    <w:rsid w:val="002A6E66"/>
    <w:rsid w:val="002A7B32"/>
    <w:rsid w:val="002B3584"/>
    <w:rsid w:val="002B40A4"/>
    <w:rsid w:val="002B5B8B"/>
    <w:rsid w:val="002C03BB"/>
    <w:rsid w:val="002C0CA4"/>
    <w:rsid w:val="002C78F3"/>
    <w:rsid w:val="002D2C4E"/>
    <w:rsid w:val="002D2F5C"/>
    <w:rsid w:val="002D4871"/>
    <w:rsid w:val="002D7971"/>
    <w:rsid w:val="002E032E"/>
    <w:rsid w:val="002F05A0"/>
    <w:rsid w:val="002F3C41"/>
    <w:rsid w:val="002F58F4"/>
    <w:rsid w:val="002F5B48"/>
    <w:rsid w:val="002F73CA"/>
    <w:rsid w:val="00303A2D"/>
    <w:rsid w:val="0030443C"/>
    <w:rsid w:val="00304CDD"/>
    <w:rsid w:val="003137D8"/>
    <w:rsid w:val="0032073C"/>
    <w:rsid w:val="003243BE"/>
    <w:rsid w:val="003269E2"/>
    <w:rsid w:val="0032735D"/>
    <w:rsid w:val="00327E57"/>
    <w:rsid w:val="0033518A"/>
    <w:rsid w:val="00335CBF"/>
    <w:rsid w:val="00335EBD"/>
    <w:rsid w:val="00341D44"/>
    <w:rsid w:val="00346403"/>
    <w:rsid w:val="00350DB4"/>
    <w:rsid w:val="00353E1D"/>
    <w:rsid w:val="0035445E"/>
    <w:rsid w:val="00356F27"/>
    <w:rsid w:val="0035708F"/>
    <w:rsid w:val="003600AD"/>
    <w:rsid w:val="00362EED"/>
    <w:rsid w:val="0036318F"/>
    <w:rsid w:val="00365621"/>
    <w:rsid w:val="00366D87"/>
    <w:rsid w:val="00371013"/>
    <w:rsid w:val="003712F5"/>
    <w:rsid w:val="00371FCC"/>
    <w:rsid w:val="003728E5"/>
    <w:rsid w:val="00372EFA"/>
    <w:rsid w:val="003740D8"/>
    <w:rsid w:val="00381718"/>
    <w:rsid w:val="00381A23"/>
    <w:rsid w:val="003864BF"/>
    <w:rsid w:val="00390754"/>
    <w:rsid w:val="00390972"/>
    <w:rsid w:val="00390D38"/>
    <w:rsid w:val="00395417"/>
    <w:rsid w:val="00397F4F"/>
    <w:rsid w:val="00397FA8"/>
    <w:rsid w:val="003A2CDF"/>
    <w:rsid w:val="003A598D"/>
    <w:rsid w:val="003A732A"/>
    <w:rsid w:val="003B130F"/>
    <w:rsid w:val="003B51F1"/>
    <w:rsid w:val="003B56AA"/>
    <w:rsid w:val="003B584B"/>
    <w:rsid w:val="003C070B"/>
    <w:rsid w:val="003C3AA9"/>
    <w:rsid w:val="003C58B8"/>
    <w:rsid w:val="003C6B41"/>
    <w:rsid w:val="003C6C48"/>
    <w:rsid w:val="003D191C"/>
    <w:rsid w:val="003D42D6"/>
    <w:rsid w:val="003D767C"/>
    <w:rsid w:val="003D7781"/>
    <w:rsid w:val="003E18E2"/>
    <w:rsid w:val="003E35B1"/>
    <w:rsid w:val="003E54B1"/>
    <w:rsid w:val="003E6E57"/>
    <w:rsid w:val="003F26D0"/>
    <w:rsid w:val="003F298A"/>
    <w:rsid w:val="003F7E44"/>
    <w:rsid w:val="00401038"/>
    <w:rsid w:val="004021AD"/>
    <w:rsid w:val="0040471D"/>
    <w:rsid w:val="00406E8D"/>
    <w:rsid w:val="004115CB"/>
    <w:rsid w:val="00412376"/>
    <w:rsid w:val="00412A8E"/>
    <w:rsid w:val="00414F5A"/>
    <w:rsid w:val="0041654E"/>
    <w:rsid w:val="004179B8"/>
    <w:rsid w:val="004201AE"/>
    <w:rsid w:val="00420F00"/>
    <w:rsid w:val="00421FD9"/>
    <w:rsid w:val="00424874"/>
    <w:rsid w:val="00425BED"/>
    <w:rsid w:val="004305F6"/>
    <w:rsid w:val="00431380"/>
    <w:rsid w:val="004373C8"/>
    <w:rsid w:val="00440841"/>
    <w:rsid w:val="00445A7F"/>
    <w:rsid w:val="00446DAD"/>
    <w:rsid w:val="00450256"/>
    <w:rsid w:val="00450DE2"/>
    <w:rsid w:val="004527AE"/>
    <w:rsid w:val="0045799C"/>
    <w:rsid w:val="004604B9"/>
    <w:rsid w:val="00462A44"/>
    <w:rsid w:val="00467CAD"/>
    <w:rsid w:val="00472EBA"/>
    <w:rsid w:val="004735B3"/>
    <w:rsid w:val="00476432"/>
    <w:rsid w:val="00477198"/>
    <w:rsid w:val="00477831"/>
    <w:rsid w:val="00481056"/>
    <w:rsid w:val="00485A6E"/>
    <w:rsid w:val="00485FAF"/>
    <w:rsid w:val="0049408C"/>
    <w:rsid w:val="00495AF9"/>
    <w:rsid w:val="00495C1C"/>
    <w:rsid w:val="004977B2"/>
    <w:rsid w:val="004978A7"/>
    <w:rsid w:val="004A5239"/>
    <w:rsid w:val="004A5565"/>
    <w:rsid w:val="004A6150"/>
    <w:rsid w:val="004B07AC"/>
    <w:rsid w:val="004B1430"/>
    <w:rsid w:val="004B4ECF"/>
    <w:rsid w:val="004B5539"/>
    <w:rsid w:val="004C6027"/>
    <w:rsid w:val="004D2BD7"/>
    <w:rsid w:val="004D657A"/>
    <w:rsid w:val="004D678B"/>
    <w:rsid w:val="004E2A63"/>
    <w:rsid w:val="004E46F8"/>
    <w:rsid w:val="004E7021"/>
    <w:rsid w:val="004E7BFB"/>
    <w:rsid w:val="004E7CCB"/>
    <w:rsid w:val="004F2D37"/>
    <w:rsid w:val="004F3F14"/>
    <w:rsid w:val="004F7613"/>
    <w:rsid w:val="004F7988"/>
    <w:rsid w:val="004F7C85"/>
    <w:rsid w:val="004F7D34"/>
    <w:rsid w:val="005033CC"/>
    <w:rsid w:val="00505CE5"/>
    <w:rsid w:val="0050748A"/>
    <w:rsid w:val="0051236D"/>
    <w:rsid w:val="00512862"/>
    <w:rsid w:val="00520B88"/>
    <w:rsid w:val="005253CF"/>
    <w:rsid w:val="00525460"/>
    <w:rsid w:val="00527B8A"/>
    <w:rsid w:val="00540EDD"/>
    <w:rsid w:val="00542593"/>
    <w:rsid w:val="00544E6F"/>
    <w:rsid w:val="00552AEF"/>
    <w:rsid w:val="00553C49"/>
    <w:rsid w:val="005559BE"/>
    <w:rsid w:val="00555DBF"/>
    <w:rsid w:val="00557129"/>
    <w:rsid w:val="00560B75"/>
    <w:rsid w:val="0057223C"/>
    <w:rsid w:val="00572FC7"/>
    <w:rsid w:val="005735B4"/>
    <w:rsid w:val="005764E5"/>
    <w:rsid w:val="00577559"/>
    <w:rsid w:val="00580FCA"/>
    <w:rsid w:val="00583895"/>
    <w:rsid w:val="00584135"/>
    <w:rsid w:val="00584D99"/>
    <w:rsid w:val="005850DE"/>
    <w:rsid w:val="00586F47"/>
    <w:rsid w:val="00590EFF"/>
    <w:rsid w:val="0059650C"/>
    <w:rsid w:val="005971C7"/>
    <w:rsid w:val="00597432"/>
    <w:rsid w:val="005A0F8E"/>
    <w:rsid w:val="005A5276"/>
    <w:rsid w:val="005A5C54"/>
    <w:rsid w:val="005B028E"/>
    <w:rsid w:val="005B51B6"/>
    <w:rsid w:val="005B7758"/>
    <w:rsid w:val="005C67FE"/>
    <w:rsid w:val="005D023F"/>
    <w:rsid w:val="005D0442"/>
    <w:rsid w:val="005D236D"/>
    <w:rsid w:val="005D3044"/>
    <w:rsid w:val="005D3BED"/>
    <w:rsid w:val="005D72C6"/>
    <w:rsid w:val="005D7DDA"/>
    <w:rsid w:val="005E2A81"/>
    <w:rsid w:val="005E2D59"/>
    <w:rsid w:val="005E4F37"/>
    <w:rsid w:val="005E5372"/>
    <w:rsid w:val="005E575F"/>
    <w:rsid w:val="005E57E4"/>
    <w:rsid w:val="005E580C"/>
    <w:rsid w:val="005E5938"/>
    <w:rsid w:val="005E6373"/>
    <w:rsid w:val="005E7173"/>
    <w:rsid w:val="005E75C9"/>
    <w:rsid w:val="005F29A5"/>
    <w:rsid w:val="005F2BE8"/>
    <w:rsid w:val="005F6DD1"/>
    <w:rsid w:val="005F7BCF"/>
    <w:rsid w:val="0060373D"/>
    <w:rsid w:val="00603743"/>
    <w:rsid w:val="0060412D"/>
    <w:rsid w:val="0060460F"/>
    <w:rsid w:val="00606008"/>
    <w:rsid w:val="0060671D"/>
    <w:rsid w:val="00606A2B"/>
    <w:rsid w:val="006127FA"/>
    <w:rsid w:val="00613FCD"/>
    <w:rsid w:val="006159FF"/>
    <w:rsid w:val="006213AB"/>
    <w:rsid w:val="00623361"/>
    <w:rsid w:val="00626DBA"/>
    <w:rsid w:val="00630F2A"/>
    <w:rsid w:val="006330ED"/>
    <w:rsid w:val="00633195"/>
    <w:rsid w:val="006331ED"/>
    <w:rsid w:val="00633861"/>
    <w:rsid w:val="00641C9C"/>
    <w:rsid w:val="0064462C"/>
    <w:rsid w:val="00644B0C"/>
    <w:rsid w:val="00644CE9"/>
    <w:rsid w:val="00650793"/>
    <w:rsid w:val="00651503"/>
    <w:rsid w:val="00652111"/>
    <w:rsid w:val="00656B96"/>
    <w:rsid w:val="00663C00"/>
    <w:rsid w:val="006654D2"/>
    <w:rsid w:val="0066615A"/>
    <w:rsid w:val="0066769B"/>
    <w:rsid w:val="0067323E"/>
    <w:rsid w:val="006754B0"/>
    <w:rsid w:val="00675705"/>
    <w:rsid w:val="006760CE"/>
    <w:rsid w:val="00681354"/>
    <w:rsid w:val="00681574"/>
    <w:rsid w:val="006832AE"/>
    <w:rsid w:val="00683DA6"/>
    <w:rsid w:val="00691C04"/>
    <w:rsid w:val="00695FB8"/>
    <w:rsid w:val="006970A2"/>
    <w:rsid w:val="006977A4"/>
    <w:rsid w:val="00697885"/>
    <w:rsid w:val="006A0A53"/>
    <w:rsid w:val="006A225E"/>
    <w:rsid w:val="006A25CA"/>
    <w:rsid w:val="006A57B9"/>
    <w:rsid w:val="006A629E"/>
    <w:rsid w:val="006B0823"/>
    <w:rsid w:val="006B7082"/>
    <w:rsid w:val="006B78C6"/>
    <w:rsid w:val="006C11C6"/>
    <w:rsid w:val="006C1ABA"/>
    <w:rsid w:val="006C4E75"/>
    <w:rsid w:val="006C7736"/>
    <w:rsid w:val="006D05C2"/>
    <w:rsid w:val="006D0D4E"/>
    <w:rsid w:val="006D1B66"/>
    <w:rsid w:val="006D3378"/>
    <w:rsid w:val="006D473B"/>
    <w:rsid w:val="006D4A56"/>
    <w:rsid w:val="006E03F4"/>
    <w:rsid w:val="006E0AB8"/>
    <w:rsid w:val="006E344F"/>
    <w:rsid w:val="006E3779"/>
    <w:rsid w:val="006E4989"/>
    <w:rsid w:val="006E622B"/>
    <w:rsid w:val="006E76AF"/>
    <w:rsid w:val="006E7CA1"/>
    <w:rsid w:val="006F393E"/>
    <w:rsid w:val="006F6BAF"/>
    <w:rsid w:val="006F7B4B"/>
    <w:rsid w:val="0070071D"/>
    <w:rsid w:val="007047B7"/>
    <w:rsid w:val="00704CD9"/>
    <w:rsid w:val="007117B4"/>
    <w:rsid w:val="00715F6C"/>
    <w:rsid w:val="00716CFD"/>
    <w:rsid w:val="007174E8"/>
    <w:rsid w:val="0072526C"/>
    <w:rsid w:val="007262C1"/>
    <w:rsid w:val="00732A5C"/>
    <w:rsid w:val="0073363F"/>
    <w:rsid w:val="00733F13"/>
    <w:rsid w:val="007343BA"/>
    <w:rsid w:val="00735001"/>
    <w:rsid w:val="00736E48"/>
    <w:rsid w:val="007379D5"/>
    <w:rsid w:val="00741F03"/>
    <w:rsid w:val="00742742"/>
    <w:rsid w:val="007454FB"/>
    <w:rsid w:val="00745EAC"/>
    <w:rsid w:val="00750664"/>
    <w:rsid w:val="00751984"/>
    <w:rsid w:val="00752A50"/>
    <w:rsid w:val="007661BB"/>
    <w:rsid w:val="00766795"/>
    <w:rsid w:val="007708CE"/>
    <w:rsid w:val="00772931"/>
    <w:rsid w:val="0077565C"/>
    <w:rsid w:val="00777BAD"/>
    <w:rsid w:val="007833B2"/>
    <w:rsid w:val="00784FA1"/>
    <w:rsid w:val="00785DA0"/>
    <w:rsid w:val="00786110"/>
    <w:rsid w:val="007861EB"/>
    <w:rsid w:val="00787ABB"/>
    <w:rsid w:val="0079058D"/>
    <w:rsid w:val="0079246A"/>
    <w:rsid w:val="00793B76"/>
    <w:rsid w:val="00795CCC"/>
    <w:rsid w:val="007979D2"/>
    <w:rsid w:val="007A0ECE"/>
    <w:rsid w:val="007A1E5D"/>
    <w:rsid w:val="007A2A55"/>
    <w:rsid w:val="007A335A"/>
    <w:rsid w:val="007A5773"/>
    <w:rsid w:val="007A75ED"/>
    <w:rsid w:val="007B141C"/>
    <w:rsid w:val="007B64E9"/>
    <w:rsid w:val="007B7857"/>
    <w:rsid w:val="007C0A3A"/>
    <w:rsid w:val="007C28C1"/>
    <w:rsid w:val="007C2A60"/>
    <w:rsid w:val="007C43A5"/>
    <w:rsid w:val="007C5934"/>
    <w:rsid w:val="007C5C20"/>
    <w:rsid w:val="007C7A32"/>
    <w:rsid w:val="007D2525"/>
    <w:rsid w:val="007D58C9"/>
    <w:rsid w:val="007E058D"/>
    <w:rsid w:val="007E0BA4"/>
    <w:rsid w:val="007E1656"/>
    <w:rsid w:val="007E31EC"/>
    <w:rsid w:val="007E3A07"/>
    <w:rsid w:val="007E42A5"/>
    <w:rsid w:val="007E77A3"/>
    <w:rsid w:val="007F0408"/>
    <w:rsid w:val="007F4A47"/>
    <w:rsid w:val="007F5EF7"/>
    <w:rsid w:val="007F7376"/>
    <w:rsid w:val="00800721"/>
    <w:rsid w:val="00802FA3"/>
    <w:rsid w:val="0080307B"/>
    <w:rsid w:val="0080442F"/>
    <w:rsid w:val="00805692"/>
    <w:rsid w:val="00807C01"/>
    <w:rsid w:val="00817218"/>
    <w:rsid w:val="00817FAB"/>
    <w:rsid w:val="00820D33"/>
    <w:rsid w:val="00821EA2"/>
    <w:rsid w:val="00822A81"/>
    <w:rsid w:val="00823A74"/>
    <w:rsid w:val="008268E1"/>
    <w:rsid w:val="00826D8D"/>
    <w:rsid w:val="00830C10"/>
    <w:rsid w:val="00830DB9"/>
    <w:rsid w:val="00832CDD"/>
    <w:rsid w:val="00834360"/>
    <w:rsid w:val="008368C8"/>
    <w:rsid w:val="0084443C"/>
    <w:rsid w:val="00846FBF"/>
    <w:rsid w:val="008511F0"/>
    <w:rsid w:val="00851892"/>
    <w:rsid w:val="00852262"/>
    <w:rsid w:val="008523AA"/>
    <w:rsid w:val="00854F56"/>
    <w:rsid w:val="00861CC5"/>
    <w:rsid w:val="00864714"/>
    <w:rsid w:val="008662BE"/>
    <w:rsid w:val="00866B41"/>
    <w:rsid w:val="00870D25"/>
    <w:rsid w:val="00872810"/>
    <w:rsid w:val="00873765"/>
    <w:rsid w:val="008738D2"/>
    <w:rsid w:val="00875774"/>
    <w:rsid w:val="0088003D"/>
    <w:rsid w:val="00880B9E"/>
    <w:rsid w:val="008821CC"/>
    <w:rsid w:val="00882D17"/>
    <w:rsid w:val="00882F66"/>
    <w:rsid w:val="00887B4A"/>
    <w:rsid w:val="0089713B"/>
    <w:rsid w:val="00897245"/>
    <w:rsid w:val="008975E9"/>
    <w:rsid w:val="008A173B"/>
    <w:rsid w:val="008A3A05"/>
    <w:rsid w:val="008A404F"/>
    <w:rsid w:val="008A786E"/>
    <w:rsid w:val="008B1458"/>
    <w:rsid w:val="008B1B93"/>
    <w:rsid w:val="008B1CC0"/>
    <w:rsid w:val="008B54DD"/>
    <w:rsid w:val="008C2E34"/>
    <w:rsid w:val="008C5FEC"/>
    <w:rsid w:val="008D248A"/>
    <w:rsid w:val="008D3A6E"/>
    <w:rsid w:val="008D7D99"/>
    <w:rsid w:val="008E0154"/>
    <w:rsid w:val="008E1505"/>
    <w:rsid w:val="008E2765"/>
    <w:rsid w:val="008E55D0"/>
    <w:rsid w:val="008F25F2"/>
    <w:rsid w:val="008F7AB2"/>
    <w:rsid w:val="00901A9E"/>
    <w:rsid w:val="009037FD"/>
    <w:rsid w:val="009100E2"/>
    <w:rsid w:val="00911141"/>
    <w:rsid w:val="00911E6E"/>
    <w:rsid w:val="00915935"/>
    <w:rsid w:val="00915BA9"/>
    <w:rsid w:val="00916025"/>
    <w:rsid w:val="009227C9"/>
    <w:rsid w:val="009235BE"/>
    <w:rsid w:val="0093126F"/>
    <w:rsid w:val="009314FC"/>
    <w:rsid w:val="009326EA"/>
    <w:rsid w:val="00932FB8"/>
    <w:rsid w:val="009331F5"/>
    <w:rsid w:val="009368D3"/>
    <w:rsid w:val="00937612"/>
    <w:rsid w:val="00942624"/>
    <w:rsid w:val="00944EE8"/>
    <w:rsid w:val="009510A6"/>
    <w:rsid w:val="009525BE"/>
    <w:rsid w:val="00952F85"/>
    <w:rsid w:val="00953D18"/>
    <w:rsid w:val="0095554A"/>
    <w:rsid w:val="0095660D"/>
    <w:rsid w:val="00956671"/>
    <w:rsid w:val="00967D84"/>
    <w:rsid w:val="00971F26"/>
    <w:rsid w:val="00972151"/>
    <w:rsid w:val="00972571"/>
    <w:rsid w:val="00974E63"/>
    <w:rsid w:val="009754FA"/>
    <w:rsid w:val="0097673B"/>
    <w:rsid w:val="00976FDD"/>
    <w:rsid w:val="0097794A"/>
    <w:rsid w:val="0098418D"/>
    <w:rsid w:val="00986D92"/>
    <w:rsid w:val="009873AB"/>
    <w:rsid w:val="00993E4E"/>
    <w:rsid w:val="00995971"/>
    <w:rsid w:val="009A0249"/>
    <w:rsid w:val="009A2C09"/>
    <w:rsid w:val="009A3CC9"/>
    <w:rsid w:val="009A4EBD"/>
    <w:rsid w:val="009A71DD"/>
    <w:rsid w:val="009B172D"/>
    <w:rsid w:val="009B3A32"/>
    <w:rsid w:val="009B5E62"/>
    <w:rsid w:val="009C0105"/>
    <w:rsid w:val="009C1331"/>
    <w:rsid w:val="009C1AD1"/>
    <w:rsid w:val="009C4B3D"/>
    <w:rsid w:val="009C5457"/>
    <w:rsid w:val="009C76E0"/>
    <w:rsid w:val="009D3D44"/>
    <w:rsid w:val="009E045A"/>
    <w:rsid w:val="009E3088"/>
    <w:rsid w:val="009E3D4B"/>
    <w:rsid w:val="009E44D8"/>
    <w:rsid w:val="009E53A0"/>
    <w:rsid w:val="009F6DCF"/>
    <w:rsid w:val="009F7913"/>
    <w:rsid w:val="00A01FCD"/>
    <w:rsid w:val="00A0757E"/>
    <w:rsid w:val="00A103A7"/>
    <w:rsid w:val="00A10C71"/>
    <w:rsid w:val="00A12434"/>
    <w:rsid w:val="00A12539"/>
    <w:rsid w:val="00A129A9"/>
    <w:rsid w:val="00A15346"/>
    <w:rsid w:val="00A1799D"/>
    <w:rsid w:val="00A20CFC"/>
    <w:rsid w:val="00A21CF8"/>
    <w:rsid w:val="00A25197"/>
    <w:rsid w:val="00A257C4"/>
    <w:rsid w:val="00A25EE1"/>
    <w:rsid w:val="00A26422"/>
    <w:rsid w:val="00A35C13"/>
    <w:rsid w:val="00A40A8A"/>
    <w:rsid w:val="00A41D2A"/>
    <w:rsid w:val="00A43498"/>
    <w:rsid w:val="00A434FF"/>
    <w:rsid w:val="00A44DA3"/>
    <w:rsid w:val="00A46292"/>
    <w:rsid w:val="00A4768A"/>
    <w:rsid w:val="00A57D58"/>
    <w:rsid w:val="00A60CB0"/>
    <w:rsid w:val="00A62625"/>
    <w:rsid w:val="00A62A31"/>
    <w:rsid w:val="00A63484"/>
    <w:rsid w:val="00A6732B"/>
    <w:rsid w:val="00A7010E"/>
    <w:rsid w:val="00A72AF3"/>
    <w:rsid w:val="00A72E34"/>
    <w:rsid w:val="00A74446"/>
    <w:rsid w:val="00A74C28"/>
    <w:rsid w:val="00A76D47"/>
    <w:rsid w:val="00A76F00"/>
    <w:rsid w:val="00A77906"/>
    <w:rsid w:val="00A80480"/>
    <w:rsid w:val="00A876DD"/>
    <w:rsid w:val="00A95C37"/>
    <w:rsid w:val="00AA0FD5"/>
    <w:rsid w:val="00AA248B"/>
    <w:rsid w:val="00AA3441"/>
    <w:rsid w:val="00AA60B7"/>
    <w:rsid w:val="00AA663D"/>
    <w:rsid w:val="00AA793E"/>
    <w:rsid w:val="00AB0F63"/>
    <w:rsid w:val="00AB22DE"/>
    <w:rsid w:val="00AB2316"/>
    <w:rsid w:val="00AB4336"/>
    <w:rsid w:val="00AC0170"/>
    <w:rsid w:val="00AC1068"/>
    <w:rsid w:val="00AD0FD3"/>
    <w:rsid w:val="00AD37B9"/>
    <w:rsid w:val="00AD4B6E"/>
    <w:rsid w:val="00AD58FC"/>
    <w:rsid w:val="00AE0E80"/>
    <w:rsid w:val="00AE2A3B"/>
    <w:rsid w:val="00AE4809"/>
    <w:rsid w:val="00AF255F"/>
    <w:rsid w:val="00AF4132"/>
    <w:rsid w:val="00AF446B"/>
    <w:rsid w:val="00B00724"/>
    <w:rsid w:val="00B13B1C"/>
    <w:rsid w:val="00B14AE0"/>
    <w:rsid w:val="00B14F1D"/>
    <w:rsid w:val="00B21CE2"/>
    <w:rsid w:val="00B25501"/>
    <w:rsid w:val="00B25B76"/>
    <w:rsid w:val="00B26601"/>
    <w:rsid w:val="00B3198C"/>
    <w:rsid w:val="00B34783"/>
    <w:rsid w:val="00B35474"/>
    <w:rsid w:val="00B369A5"/>
    <w:rsid w:val="00B40133"/>
    <w:rsid w:val="00B44CE3"/>
    <w:rsid w:val="00B470C7"/>
    <w:rsid w:val="00B476D3"/>
    <w:rsid w:val="00B525C1"/>
    <w:rsid w:val="00B56677"/>
    <w:rsid w:val="00B576E2"/>
    <w:rsid w:val="00B57E67"/>
    <w:rsid w:val="00B635C4"/>
    <w:rsid w:val="00B63E05"/>
    <w:rsid w:val="00B6442F"/>
    <w:rsid w:val="00B64E40"/>
    <w:rsid w:val="00B66265"/>
    <w:rsid w:val="00B67AD2"/>
    <w:rsid w:val="00B67EE5"/>
    <w:rsid w:val="00B71BDE"/>
    <w:rsid w:val="00B722D9"/>
    <w:rsid w:val="00B726CE"/>
    <w:rsid w:val="00B74BCD"/>
    <w:rsid w:val="00B75256"/>
    <w:rsid w:val="00B767E5"/>
    <w:rsid w:val="00B77BB0"/>
    <w:rsid w:val="00B814CD"/>
    <w:rsid w:val="00B81D2E"/>
    <w:rsid w:val="00B83AFB"/>
    <w:rsid w:val="00B85D87"/>
    <w:rsid w:val="00B870B6"/>
    <w:rsid w:val="00B913FA"/>
    <w:rsid w:val="00B9212F"/>
    <w:rsid w:val="00B95F77"/>
    <w:rsid w:val="00B97F86"/>
    <w:rsid w:val="00BA27B5"/>
    <w:rsid w:val="00BA40D7"/>
    <w:rsid w:val="00BA5D5A"/>
    <w:rsid w:val="00BA71F1"/>
    <w:rsid w:val="00BB453A"/>
    <w:rsid w:val="00BB4D85"/>
    <w:rsid w:val="00BC1501"/>
    <w:rsid w:val="00BC1B85"/>
    <w:rsid w:val="00BC23CC"/>
    <w:rsid w:val="00BC3750"/>
    <w:rsid w:val="00BC3D30"/>
    <w:rsid w:val="00BC7BD2"/>
    <w:rsid w:val="00BC7C2E"/>
    <w:rsid w:val="00BD2094"/>
    <w:rsid w:val="00BD4B88"/>
    <w:rsid w:val="00BD6910"/>
    <w:rsid w:val="00BE303C"/>
    <w:rsid w:val="00BE65DF"/>
    <w:rsid w:val="00BE7AA0"/>
    <w:rsid w:val="00BF02A7"/>
    <w:rsid w:val="00BF0C04"/>
    <w:rsid w:val="00BF76C2"/>
    <w:rsid w:val="00BF7F75"/>
    <w:rsid w:val="00C02ED5"/>
    <w:rsid w:val="00C04BB3"/>
    <w:rsid w:val="00C05FE6"/>
    <w:rsid w:val="00C063E7"/>
    <w:rsid w:val="00C06626"/>
    <w:rsid w:val="00C07357"/>
    <w:rsid w:val="00C136BE"/>
    <w:rsid w:val="00C1456D"/>
    <w:rsid w:val="00C16BA1"/>
    <w:rsid w:val="00C2010D"/>
    <w:rsid w:val="00C20AE8"/>
    <w:rsid w:val="00C245A5"/>
    <w:rsid w:val="00C24B62"/>
    <w:rsid w:val="00C24DDD"/>
    <w:rsid w:val="00C25898"/>
    <w:rsid w:val="00C27707"/>
    <w:rsid w:val="00C316F9"/>
    <w:rsid w:val="00C31C02"/>
    <w:rsid w:val="00C400C7"/>
    <w:rsid w:val="00C4320E"/>
    <w:rsid w:val="00C43D70"/>
    <w:rsid w:val="00C46E12"/>
    <w:rsid w:val="00C502FD"/>
    <w:rsid w:val="00C63E6E"/>
    <w:rsid w:val="00C64922"/>
    <w:rsid w:val="00C66713"/>
    <w:rsid w:val="00C73391"/>
    <w:rsid w:val="00C73F5F"/>
    <w:rsid w:val="00C7518F"/>
    <w:rsid w:val="00C75C50"/>
    <w:rsid w:val="00C81EFB"/>
    <w:rsid w:val="00C84E37"/>
    <w:rsid w:val="00C8505A"/>
    <w:rsid w:val="00C86D13"/>
    <w:rsid w:val="00C877C6"/>
    <w:rsid w:val="00C934BF"/>
    <w:rsid w:val="00C95A86"/>
    <w:rsid w:val="00CA0C55"/>
    <w:rsid w:val="00CA19B0"/>
    <w:rsid w:val="00CA2265"/>
    <w:rsid w:val="00CA4673"/>
    <w:rsid w:val="00CA4DDE"/>
    <w:rsid w:val="00CB7EFE"/>
    <w:rsid w:val="00CB7FDB"/>
    <w:rsid w:val="00CC0C64"/>
    <w:rsid w:val="00CC1034"/>
    <w:rsid w:val="00CD19E3"/>
    <w:rsid w:val="00CD606E"/>
    <w:rsid w:val="00CD637A"/>
    <w:rsid w:val="00CE1021"/>
    <w:rsid w:val="00CE1472"/>
    <w:rsid w:val="00CE22AF"/>
    <w:rsid w:val="00CE52BD"/>
    <w:rsid w:val="00CF0E80"/>
    <w:rsid w:val="00CF5686"/>
    <w:rsid w:val="00CF5AF3"/>
    <w:rsid w:val="00CF6899"/>
    <w:rsid w:val="00D0761E"/>
    <w:rsid w:val="00D14C72"/>
    <w:rsid w:val="00D173B8"/>
    <w:rsid w:val="00D17BF3"/>
    <w:rsid w:val="00D17C05"/>
    <w:rsid w:val="00D215B0"/>
    <w:rsid w:val="00D21666"/>
    <w:rsid w:val="00D33134"/>
    <w:rsid w:val="00D351B6"/>
    <w:rsid w:val="00D40051"/>
    <w:rsid w:val="00D436A0"/>
    <w:rsid w:val="00D45BD0"/>
    <w:rsid w:val="00D5287D"/>
    <w:rsid w:val="00D53048"/>
    <w:rsid w:val="00D562AE"/>
    <w:rsid w:val="00D57919"/>
    <w:rsid w:val="00D61CC5"/>
    <w:rsid w:val="00D643D3"/>
    <w:rsid w:val="00D644F4"/>
    <w:rsid w:val="00D65118"/>
    <w:rsid w:val="00D717C2"/>
    <w:rsid w:val="00D71ECC"/>
    <w:rsid w:val="00D80A91"/>
    <w:rsid w:val="00D83C99"/>
    <w:rsid w:val="00D94C39"/>
    <w:rsid w:val="00D96F82"/>
    <w:rsid w:val="00D977B5"/>
    <w:rsid w:val="00DA0498"/>
    <w:rsid w:val="00DB2952"/>
    <w:rsid w:val="00DB42D3"/>
    <w:rsid w:val="00DB53B9"/>
    <w:rsid w:val="00DC30B4"/>
    <w:rsid w:val="00DC312A"/>
    <w:rsid w:val="00DC3FF6"/>
    <w:rsid w:val="00DC4070"/>
    <w:rsid w:val="00DC5CFF"/>
    <w:rsid w:val="00DC7A27"/>
    <w:rsid w:val="00DD05F5"/>
    <w:rsid w:val="00DD08CA"/>
    <w:rsid w:val="00DD2A58"/>
    <w:rsid w:val="00DD315E"/>
    <w:rsid w:val="00DD3687"/>
    <w:rsid w:val="00DD3972"/>
    <w:rsid w:val="00DD660D"/>
    <w:rsid w:val="00DD6D5F"/>
    <w:rsid w:val="00DD77A7"/>
    <w:rsid w:val="00DD7D08"/>
    <w:rsid w:val="00DE2716"/>
    <w:rsid w:val="00DE31F0"/>
    <w:rsid w:val="00DE3AF2"/>
    <w:rsid w:val="00DE4A8F"/>
    <w:rsid w:val="00DF7EE1"/>
    <w:rsid w:val="00E008D2"/>
    <w:rsid w:val="00E00CF9"/>
    <w:rsid w:val="00E01E01"/>
    <w:rsid w:val="00E02DC4"/>
    <w:rsid w:val="00E03F3C"/>
    <w:rsid w:val="00E04072"/>
    <w:rsid w:val="00E05667"/>
    <w:rsid w:val="00E05EF1"/>
    <w:rsid w:val="00E1175F"/>
    <w:rsid w:val="00E13EC4"/>
    <w:rsid w:val="00E20175"/>
    <w:rsid w:val="00E20770"/>
    <w:rsid w:val="00E2198B"/>
    <w:rsid w:val="00E23C68"/>
    <w:rsid w:val="00E30DF2"/>
    <w:rsid w:val="00E32B27"/>
    <w:rsid w:val="00E3451A"/>
    <w:rsid w:val="00E34950"/>
    <w:rsid w:val="00E36473"/>
    <w:rsid w:val="00E4041F"/>
    <w:rsid w:val="00E41C9C"/>
    <w:rsid w:val="00E42529"/>
    <w:rsid w:val="00E42FA8"/>
    <w:rsid w:val="00E4484F"/>
    <w:rsid w:val="00E56D2F"/>
    <w:rsid w:val="00E57036"/>
    <w:rsid w:val="00E61B0D"/>
    <w:rsid w:val="00E62C96"/>
    <w:rsid w:val="00E653FF"/>
    <w:rsid w:val="00E65619"/>
    <w:rsid w:val="00E667C0"/>
    <w:rsid w:val="00E67371"/>
    <w:rsid w:val="00E71925"/>
    <w:rsid w:val="00E75EC7"/>
    <w:rsid w:val="00E779A2"/>
    <w:rsid w:val="00E77F5C"/>
    <w:rsid w:val="00E80E64"/>
    <w:rsid w:val="00E87F2D"/>
    <w:rsid w:val="00E91A89"/>
    <w:rsid w:val="00E92381"/>
    <w:rsid w:val="00E92B83"/>
    <w:rsid w:val="00E95B51"/>
    <w:rsid w:val="00E95DF4"/>
    <w:rsid w:val="00E97F48"/>
    <w:rsid w:val="00EA0F23"/>
    <w:rsid w:val="00EA46D2"/>
    <w:rsid w:val="00EA6ABF"/>
    <w:rsid w:val="00EA6B48"/>
    <w:rsid w:val="00EB2CAA"/>
    <w:rsid w:val="00EB3B75"/>
    <w:rsid w:val="00EB5A88"/>
    <w:rsid w:val="00EB5E38"/>
    <w:rsid w:val="00EB6B17"/>
    <w:rsid w:val="00EC0477"/>
    <w:rsid w:val="00EC4F95"/>
    <w:rsid w:val="00ED03D1"/>
    <w:rsid w:val="00ED2BDD"/>
    <w:rsid w:val="00ED3C26"/>
    <w:rsid w:val="00ED7B2B"/>
    <w:rsid w:val="00EE14B1"/>
    <w:rsid w:val="00EE20D4"/>
    <w:rsid w:val="00EE293E"/>
    <w:rsid w:val="00EE4741"/>
    <w:rsid w:val="00EE57AD"/>
    <w:rsid w:val="00EE5965"/>
    <w:rsid w:val="00EE5BB5"/>
    <w:rsid w:val="00EE7BE4"/>
    <w:rsid w:val="00EF3714"/>
    <w:rsid w:val="00EF4098"/>
    <w:rsid w:val="00EF459F"/>
    <w:rsid w:val="00EF6D88"/>
    <w:rsid w:val="00F012B2"/>
    <w:rsid w:val="00F0411E"/>
    <w:rsid w:val="00F055CC"/>
    <w:rsid w:val="00F06534"/>
    <w:rsid w:val="00F07727"/>
    <w:rsid w:val="00F11885"/>
    <w:rsid w:val="00F14E79"/>
    <w:rsid w:val="00F15938"/>
    <w:rsid w:val="00F15FD9"/>
    <w:rsid w:val="00F23E49"/>
    <w:rsid w:val="00F245B5"/>
    <w:rsid w:val="00F3342A"/>
    <w:rsid w:val="00F41AA4"/>
    <w:rsid w:val="00F4388F"/>
    <w:rsid w:val="00F5030B"/>
    <w:rsid w:val="00F50732"/>
    <w:rsid w:val="00F55232"/>
    <w:rsid w:val="00F60BA5"/>
    <w:rsid w:val="00F632F6"/>
    <w:rsid w:val="00F649EF"/>
    <w:rsid w:val="00F67F18"/>
    <w:rsid w:val="00F7344D"/>
    <w:rsid w:val="00F750C1"/>
    <w:rsid w:val="00F763B1"/>
    <w:rsid w:val="00F76EDC"/>
    <w:rsid w:val="00F81FE1"/>
    <w:rsid w:val="00F87A7B"/>
    <w:rsid w:val="00F92454"/>
    <w:rsid w:val="00F94347"/>
    <w:rsid w:val="00F947B4"/>
    <w:rsid w:val="00F96A81"/>
    <w:rsid w:val="00F96F9C"/>
    <w:rsid w:val="00F97779"/>
    <w:rsid w:val="00FA184B"/>
    <w:rsid w:val="00FB141F"/>
    <w:rsid w:val="00FB2A80"/>
    <w:rsid w:val="00FB3DA6"/>
    <w:rsid w:val="00FB6828"/>
    <w:rsid w:val="00FC0646"/>
    <w:rsid w:val="00FC3F79"/>
    <w:rsid w:val="00FC66E1"/>
    <w:rsid w:val="00FC7E6D"/>
    <w:rsid w:val="00FD0565"/>
    <w:rsid w:val="00FD207C"/>
    <w:rsid w:val="00FD2909"/>
    <w:rsid w:val="00FD56CB"/>
    <w:rsid w:val="00FD5CF9"/>
    <w:rsid w:val="00FD62E7"/>
    <w:rsid w:val="00FD68E9"/>
    <w:rsid w:val="00FE28DF"/>
    <w:rsid w:val="00FE2E7A"/>
    <w:rsid w:val="00FE5403"/>
    <w:rsid w:val="00FE57D2"/>
    <w:rsid w:val="00FE6230"/>
    <w:rsid w:val="00FE78D3"/>
    <w:rsid w:val="00FF1E4C"/>
    <w:rsid w:val="00FF31F6"/>
    <w:rsid w:val="00FF4212"/>
    <w:rsid w:val="00FF52AD"/>
    <w:rsid w:val="00FF6DD1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2035109A"/>
  <w15:chartTrackingRefBased/>
  <w15:docId w15:val="{B1391F80-D3C8-47AE-BEED-1C83B91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uiPriority w:val="99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D767C"/>
  </w:style>
  <w:style w:type="character" w:customStyle="1" w:styleId="TextocomentarioCar">
    <w:name w:val="Texto comentario Car"/>
    <w:link w:val="Textocomentari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6A57B9"/>
    <w:rPr>
      <w:rFonts w:ascii="Times New Roman" w:eastAsia="Times New Roman" w:hAnsi="Times New Roman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3C6C48"/>
    <w:pPr>
      <w:jc w:val="center"/>
    </w:pPr>
    <w:rPr>
      <w:b/>
      <w:i/>
      <w:sz w:val="32"/>
      <w:u w:val="single"/>
      <w:lang w:val="es-GT"/>
    </w:rPr>
  </w:style>
  <w:style w:type="character" w:customStyle="1" w:styleId="TextoindependienteCar">
    <w:name w:val="Texto independiente Car"/>
    <w:link w:val="Textoindependiente"/>
    <w:rsid w:val="003C6C48"/>
    <w:rPr>
      <w:rFonts w:ascii="Times New Roman" w:eastAsia="Times New Roman" w:hAnsi="Times New Roman"/>
      <w:b/>
      <w:i/>
      <w:sz w:val="32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EEBBCA33AC4F889D98F985DE542A" ma:contentTypeVersion="13" ma:contentTypeDescription="Create a new document." ma:contentTypeScope="" ma:versionID="69639a8aa063d01a439e048d8b7ef79a">
  <xsd:schema xmlns:xsd="http://www.w3.org/2001/XMLSchema" xmlns:xs="http://www.w3.org/2001/XMLSchema" xmlns:p="http://schemas.microsoft.com/office/2006/metadata/properties" xmlns:ns3="9ab96497-7743-4e86-bfab-4e235caa18dc" xmlns:ns4="21a8bc6a-25a6-48be-ac1c-333924acd941" targetNamespace="http://schemas.microsoft.com/office/2006/metadata/properties" ma:root="true" ma:fieldsID="894bce72b0b46ba345968091bda428d8" ns3:_="" ns4:_="">
    <xsd:import namespace="9ab96497-7743-4e86-bfab-4e235caa18dc"/>
    <xsd:import namespace="21a8bc6a-25a6-48be-ac1c-333924acd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6497-7743-4e86-bfab-4e235caa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bc6a-25a6-48be-ac1c-333924acd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8451-D1E3-4663-A527-EFB6F713A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96497-7743-4e86-bfab-4e235caa18dc"/>
    <ds:schemaRef ds:uri="21a8bc6a-25a6-48be-ac1c-333924acd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C414C-FAC9-46F7-A569-D4F5BAD5E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F7381-9585-427A-90B1-15961536038E}">
  <ds:schemaRefs>
    <ds:schemaRef ds:uri="http://schemas.openxmlformats.org/package/2006/metadata/core-properties"/>
    <ds:schemaRef ds:uri="http://www.w3.org/XML/1998/namespace"/>
    <ds:schemaRef ds:uri="http://purl.org/dc/dcmitype/"/>
    <ds:schemaRef ds:uri="9ab96497-7743-4e86-bfab-4e235caa18dc"/>
    <ds:schemaRef ds:uri="21a8bc6a-25a6-48be-ac1c-333924acd94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3A3943-68CF-46D8-949F-611B7826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cp:lastModifiedBy>Wendy Lorena Ramirez Alvarez</cp:lastModifiedBy>
  <cp:revision>2</cp:revision>
  <cp:lastPrinted>2022-02-22T20:10:00Z</cp:lastPrinted>
  <dcterms:created xsi:type="dcterms:W3CDTF">2022-02-22T22:45:00Z</dcterms:created>
  <dcterms:modified xsi:type="dcterms:W3CDTF">2022-02-22T22:45:00Z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0x010100801DEEBBCA33AC4F889D98F985DE542A</vt:lpwstr>
  </property>
</Properties>
</file>