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1C9D8478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F97403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-OPF-, POR EL MONTO DE</w:t>
      </w:r>
      <w:r w:rsidR="00F97403">
        <w:rPr>
          <w:rFonts w:ascii="Arial" w:hAnsi="Arial" w:cs="Arial"/>
          <w:sz w:val="22"/>
          <w:szCs w:val="22"/>
        </w:rPr>
        <w:t xml:space="preserve"> TRECE M</w:t>
      </w:r>
      <w:r w:rsidR="00F97403" w:rsidRPr="00674413">
        <w:rPr>
          <w:rFonts w:ascii="Arial" w:hAnsi="Arial" w:cs="Arial"/>
          <w:sz w:val="22"/>
          <w:szCs w:val="22"/>
        </w:rPr>
        <w:t xml:space="preserve">ILLONES </w:t>
      </w:r>
      <w:r w:rsidR="00F97403">
        <w:rPr>
          <w:rFonts w:ascii="Arial" w:hAnsi="Arial" w:cs="Arial"/>
          <w:sz w:val="22"/>
          <w:szCs w:val="22"/>
        </w:rPr>
        <w:t xml:space="preserve">CUATROCIENTOS TREINTA Y SIETE </w:t>
      </w:r>
      <w:r w:rsidR="00F97403" w:rsidRPr="00674413">
        <w:rPr>
          <w:rFonts w:ascii="Arial" w:hAnsi="Arial" w:cs="Arial"/>
          <w:sz w:val="22"/>
          <w:szCs w:val="22"/>
        </w:rPr>
        <w:t>MIL</w:t>
      </w:r>
      <w:r w:rsidR="00F97403">
        <w:rPr>
          <w:rFonts w:ascii="Arial" w:hAnsi="Arial" w:cs="Arial"/>
          <w:sz w:val="22"/>
          <w:szCs w:val="22"/>
        </w:rPr>
        <w:t xml:space="preserve"> CUATROCIENTOS SESENTA </w:t>
      </w:r>
      <w:r w:rsidR="00F97403" w:rsidRPr="00674413">
        <w:rPr>
          <w:rFonts w:ascii="Arial" w:hAnsi="Arial" w:cs="Arial"/>
          <w:sz w:val="22"/>
          <w:szCs w:val="22"/>
        </w:rPr>
        <w:t>QUETZALES EXACTOS (Q.</w:t>
      </w:r>
      <w:r w:rsidR="00F97403">
        <w:rPr>
          <w:rFonts w:ascii="Arial" w:hAnsi="Arial" w:cs="Arial"/>
          <w:sz w:val="22"/>
          <w:szCs w:val="22"/>
        </w:rPr>
        <w:t>13</w:t>
      </w:r>
      <w:r w:rsidR="00F97403" w:rsidRPr="00674413">
        <w:rPr>
          <w:rFonts w:ascii="Arial" w:hAnsi="Arial" w:cs="Arial"/>
          <w:sz w:val="22"/>
          <w:szCs w:val="22"/>
        </w:rPr>
        <w:t>,</w:t>
      </w:r>
      <w:r w:rsidR="00F97403">
        <w:rPr>
          <w:rFonts w:ascii="Arial" w:hAnsi="Arial" w:cs="Arial"/>
          <w:sz w:val="22"/>
          <w:szCs w:val="22"/>
        </w:rPr>
        <w:t>437</w:t>
      </w:r>
      <w:r w:rsidR="00F97403" w:rsidRPr="00674413">
        <w:rPr>
          <w:rFonts w:ascii="Arial" w:hAnsi="Arial" w:cs="Arial"/>
          <w:sz w:val="22"/>
          <w:szCs w:val="22"/>
        </w:rPr>
        <w:t>,</w:t>
      </w:r>
      <w:r w:rsidR="00F97403">
        <w:rPr>
          <w:rFonts w:ascii="Arial" w:hAnsi="Arial" w:cs="Arial"/>
          <w:sz w:val="22"/>
          <w:szCs w:val="22"/>
        </w:rPr>
        <w:t>460</w:t>
      </w:r>
      <w:r w:rsidR="00F97403" w:rsidRPr="00674413">
        <w:rPr>
          <w:rFonts w:ascii="Arial" w:hAnsi="Arial" w:cs="Arial"/>
          <w:sz w:val="22"/>
          <w:szCs w:val="22"/>
        </w:rPr>
        <w:t>.00)</w:t>
      </w:r>
      <w:r w:rsidR="00F97403">
        <w:rPr>
          <w:rFonts w:ascii="Arial" w:hAnsi="Arial" w:cs="Arial"/>
          <w:sz w:val="22"/>
          <w:szCs w:val="22"/>
        </w:rPr>
        <w:t xml:space="preserve"> DE </w:t>
      </w:r>
      <w:r w:rsidR="00F97403" w:rsidRPr="00674413">
        <w:rPr>
          <w:rFonts w:ascii="Arial" w:hAnsi="Arial" w:cs="Arial"/>
          <w:sz w:val="22"/>
          <w:szCs w:val="22"/>
        </w:rPr>
        <w:t xml:space="preserve">CRÉDITOS PRESUPUESTARIOS DISMINUIDOS Y </w:t>
      </w:r>
      <w:r w:rsidR="00F97403">
        <w:rPr>
          <w:rFonts w:ascii="Arial" w:hAnsi="Arial" w:cs="Arial"/>
          <w:sz w:val="22"/>
          <w:szCs w:val="22"/>
        </w:rPr>
        <w:t>CUATRO MILLONES NOVECIENTOS CINCUENTA Y TRES MIL TREINTA Y SEIS Q</w:t>
      </w:r>
      <w:r w:rsidR="00F97403" w:rsidRPr="00674413">
        <w:rPr>
          <w:rFonts w:ascii="Arial" w:hAnsi="Arial" w:cs="Arial"/>
          <w:sz w:val="22"/>
          <w:szCs w:val="22"/>
        </w:rPr>
        <w:t>UETZALES EXACTOS (Q.</w:t>
      </w:r>
      <w:r w:rsidR="00F97403">
        <w:rPr>
          <w:rFonts w:ascii="Arial" w:hAnsi="Arial" w:cs="Arial"/>
          <w:sz w:val="22"/>
          <w:szCs w:val="22"/>
        </w:rPr>
        <w:t>4,953,036</w:t>
      </w:r>
      <w:r w:rsidR="00F97403" w:rsidRPr="00674413">
        <w:rPr>
          <w:rFonts w:ascii="Arial" w:hAnsi="Arial" w:cs="Arial"/>
          <w:sz w:val="22"/>
          <w:szCs w:val="22"/>
        </w:rPr>
        <w:t>.00)</w:t>
      </w:r>
      <w:r w:rsidR="00F97403">
        <w:rPr>
          <w:rFonts w:ascii="Arial" w:hAnsi="Arial" w:cs="Arial"/>
          <w:sz w:val="22"/>
          <w:szCs w:val="22"/>
        </w:rPr>
        <w:t xml:space="preserve"> DE </w:t>
      </w:r>
      <w:r w:rsidR="00F97403" w:rsidRPr="00674413">
        <w:rPr>
          <w:rFonts w:ascii="Arial" w:hAnsi="Arial" w:cs="Arial"/>
          <w:sz w:val="22"/>
          <w:szCs w:val="22"/>
        </w:rPr>
        <w:t xml:space="preserve">CRÉDITOS PRESUPUESTARIOS </w:t>
      </w:r>
      <w:proofErr w:type="gramStart"/>
      <w:r w:rsidR="00F97403" w:rsidRPr="00674413">
        <w:rPr>
          <w:rFonts w:ascii="Arial" w:hAnsi="Arial" w:cs="Arial"/>
          <w:sz w:val="22"/>
          <w:szCs w:val="22"/>
        </w:rPr>
        <w:t>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</w:t>
      </w:r>
      <w:r w:rsidR="00A26882">
        <w:rPr>
          <w:rFonts w:ascii="Arial" w:hAnsi="Arial" w:cs="Arial"/>
          <w:color w:val="000000" w:themeColor="text1"/>
          <w:sz w:val="22"/>
          <w:szCs w:val="22"/>
        </w:rPr>
        <w:t>---------------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</w:t>
      </w:r>
      <w:proofErr w:type="gramEnd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9F3E77A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F97403">
        <w:rPr>
          <w:rFonts w:ascii="Arial" w:hAnsi="Arial" w:cs="Arial"/>
          <w:sz w:val="22"/>
          <w:szCs w:val="22"/>
        </w:rPr>
        <w:t xml:space="preserve"> </w:t>
      </w:r>
      <w:bookmarkStart w:id="0" w:name="_Hlk127362658"/>
      <w:r w:rsidR="00B751F0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B751F0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751F0" w:rsidRPr="002B528B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B751F0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Santa Rosa,  Sololá, Totonicapán, Quetzaltenango, Retalhuleu, San Marcos, Huehuetenango, Quiché, Baja Verapaz, Petén, Izabal, Zacapa, Chiquimula, Jutiapa, Guatemala Norte, Guatemala Sur, Guatemala Oriente y Guatemala Occidente,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B751F0">
        <w:rPr>
          <w:rFonts w:ascii="Arial" w:hAnsi="Arial" w:cs="Arial"/>
          <w:sz w:val="22"/>
          <w:szCs w:val="22"/>
        </w:rPr>
        <w:t>TRECE M</w:t>
      </w:r>
      <w:r w:rsidR="00B751F0" w:rsidRPr="00674413">
        <w:rPr>
          <w:rFonts w:ascii="Arial" w:hAnsi="Arial" w:cs="Arial"/>
          <w:sz w:val="22"/>
          <w:szCs w:val="22"/>
        </w:rPr>
        <w:t xml:space="preserve">ILLONES </w:t>
      </w:r>
      <w:r w:rsidR="00B751F0">
        <w:rPr>
          <w:rFonts w:ascii="Arial" w:hAnsi="Arial" w:cs="Arial"/>
          <w:sz w:val="22"/>
          <w:szCs w:val="22"/>
        </w:rPr>
        <w:t xml:space="preserve">CUATROCIENTOS TREINTA Y SIETE </w:t>
      </w:r>
      <w:r w:rsidR="00B751F0" w:rsidRPr="00674413">
        <w:rPr>
          <w:rFonts w:ascii="Arial" w:hAnsi="Arial" w:cs="Arial"/>
          <w:sz w:val="22"/>
          <w:szCs w:val="22"/>
        </w:rPr>
        <w:t>MIL</w:t>
      </w:r>
      <w:r w:rsidR="00B751F0">
        <w:rPr>
          <w:rFonts w:ascii="Arial" w:hAnsi="Arial" w:cs="Arial"/>
          <w:sz w:val="22"/>
          <w:szCs w:val="22"/>
        </w:rPr>
        <w:t xml:space="preserve"> CUATROCIENTOS SESENTA </w:t>
      </w:r>
      <w:r w:rsidR="00B751F0" w:rsidRPr="00674413">
        <w:rPr>
          <w:rFonts w:ascii="Arial" w:hAnsi="Arial" w:cs="Arial"/>
          <w:sz w:val="22"/>
          <w:szCs w:val="22"/>
        </w:rPr>
        <w:t>QUETZALES EXACTOS (Q.</w:t>
      </w:r>
      <w:r w:rsidR="00B751F0">
        <w:rPr>
          <w:rFonts w:ascii="Arial" w:hAnsi="Arial" w:cs="Arial"/>
          <w:sz w:val="22"/>
          <w:szCs w:val="22"/>
        </w:rPr>
        <w:t>13</w:t>
      </w:r>
      <w:r w:rsidR="00B751F0" w:rsidRPr="00674413">
        <w:rPr>
          <w:rFonts w:ascii="Arial" w:hAnsi="Arial" w:cs="Arial"/>
          <w:sz w:val="22"/>
          <w:szCs w:val="22"/>
        </w:rPr>
        <w:t>,</w:t>
      </w:r>
      <w:r w:rsidR="00B751F0">
        <w:rPr>
          <w:rFonts w:ascii="Arial" w:hAnsi="Arial" w:cs="Arial"/>
          <w:sz w:val="22"/>
          <w:szCs w:val="22"/>
        </w:rPr>
        <w:t>437</w:t>
      </w:r>
      <w:r w:rsidR="00B751F0" w:rsidRPr="00674413">
        <w:rPr>
          <w:rFonts w:ascii="Arial" w:hAnsi="Arial" w:cs="Arial"/>
          <w:sz w:val="22"/>
          <w:szCs w:val="22"/>
        </w:rPr>
        <w:t>,</w:t>
      </w:r>
      <w:r w:rsidR="00B751F0">
        <w:rPr>
          <w:rFonts w:ascii="Arial" w:hAnsi="Arial" w:cs="Arial"/>
          <w:sz w:val="22"/>
          <w:szCs w:val="22"/>
        </w:rPr>
        <w:t>460</w:t>
      </w:r>
      <w:r w:rsidR="00B751F0" w:rsidRPr="00674413">
        <w:rPr>
          <w:rFonts w:ascii="Arial" w:hAnsi="Arial" w:cs="Arial"/>
          <w:sz w:val="22"/>
          <w:szCs w:val="22"/>
        </w:rPr>
        <w:t>.00)</w:t>
      </w:r>
      <w:r w:rsidR="00B26ABF">
        <w:rPr>
          <w:rFonts w:ascii="Arial" w:hAnsi="Arial" w:cs="Arial"/>
          <w:sz w:val="22"/>
          <w:szCs w:val="22"/>
        </w:rPr>
        <w:t xml:space="preserve"> de créditos presupuestarios disminuidos y </w:t>
      </w:r>
      <w:r w:rsidR="00B751F0">
        <w:rPr>
          <w:rFonts w:ascii="Arial" w:hAnsi="Arial" w:cs="Arial"/>
          <w:sz w:val="22"/>
          <w:szCs w:val="22"/>
        </w:rPr>
        <w:t>CUATRO  MILLONES NOVECIENTOS CINCUENTA Y TRES MIL TREINTA Y SEIS Q</w:t>
      </w:r>
      <w:r w:rsidR="00B751F0" w:rsidRPr="00674413">
        <w:rPr>
          <w:rFonts w:ascii="Arial" w:hAnsi="Arial" w:cs="Arial"/>
          <w:sz w:val="22"/>
          <w:szCs w:val="22"/>
        </w:rPr>
        <w:t>UETZALES EXACTOS (Q.</w:t>
      </w:r>
      <w:r w:rsidR="00B751F0">
        <w:rPr>
          <w:rFonts w:ascii="Arial" w:hAnsi="Arial" w:cs="Arial"/>
          <w:sz w:val="22"/>
          <w:szCs w:val="22"/>
        </w:rPr>
        <w:t>4,953,036</w:t>
      </w:r>
      <w:r w:rsidR="00B751F0" w:rsidRPr="00674413">
        <w:rPr>
          <w:rFonts w:ascii="Arial" w:hAnsi="Arial" w:cs="Arial"/>
          <w:sz w:val="22"/>
          <w:szCs w:val="22"/>
        </w:rPr>
        <w:t>.00)</w:t>
      </w:r>
      <w:r w:rsidR="00B26ABF">
        <w:rPr>
          <w:rFonts w:ascii="Arial" w:hAnsi="Arial" w:cs="Arial"/>
          <w:sz w:val="22"/>
          <w:szCs w:val="22"/>
        </w:rPr>
        <w:t xml:space="preserve"> de créditos presupuestarios incrementados,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26C95">
        <w:rPr>
          <w:rFonts w:ascii="Arial" w:hAnsi="Arial" w:cs="Arial"/>
          <w:sz w:val="22"/>
          <w:szCs w:val="22"/>
        </w:rPr>
        <w:t xml:space="preserve">Alimentación Escolar, </w:t>
      </w:r>
      <w:r w:rsidR="006030AD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543B5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A26882">
        <w:rPr>
          <w:rFonts w:ascii="Arial" w:eastAsia="Arial Unicode MS" w:hAnsi="Arial" w:cs="Arial"/>
          <w:sz w:val="22"/>
          <w:szCs w:val="22"/>
        </w:rPr>
        <w:t>54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526C95">
        <w:rPr>
          <w:rFonts w:ascii="Arial" w:eastAsia="Arial Unicode MS" w:hAnsi="Arial" w:cs="Arial"/>
          <w:sz w:val="22"/>
          <w:szCs w:val="22"/>
        </w:rPr>
        <w:t>2</w:t>
      </w:r>
      <w:r w:rsidR="00A26882">
        <w:rPr>
          <w:rFonts w:ascii="Arial" w:eastAsia="Arial Unicode MS" w:hAnsi="Arial" w:cs="Arial"/>
          <w:sz w:val="22"/>
          <w:szCs w:val="22"/>
        </w:rPr>
        <w:t>8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A26882">
        <w:rPr>
          <w:rFonts w:ascii="Arial" w:eastAsia="Arial Unicode MS" w:hAnsi="Arial" w:cs="Arial"/>
          <w:sz w:val="22"/>
          <w:szCs w:val="22"/>
        </w:rPr>
        <w:t>octu</w:t>
      </w:r>
      <w:r w:rsidR="006B083F">
        <w:rPr>
          <w:rFonts w:ascii="Arial" w:eastAsia="Arial Unicode MS" w:hAnsi="Arial" w:cs="Arial"/>
          <w:sz w:val="22"/>
          <w:szCs w:val="22"/>
        </w:rPr>
        <w:t>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A26882">
        <w:rPr>
          <w:rFonts w:ascii="Arial" w:hAnsi="Arial" w:cs="Arial"/>
          <w:sz w:val="22"/>
          <w:szCs w:val="22"/>
        </w:rPr>
        <w:t>TRECE M</w:t>
      </w:r>
      <w:r w:rsidR="00A26882" w:rsidRPr="00674413">
        <w:rPr>
          <w:rFonts w:ascii="Arial" w:hAnsi="Arial" w:cs="Arial"/>
          <w:sz w:val="22"/>
          <w:szCs w:val="22"/>
        </w:rPr>
        <w:t xml:space="preserve">ILLONES </w:t>
      </w:r>
      <w:r w:rsidR="00A26882">
        <w:rPr>
          <w:rFonts w:ascii="Arial" w:hAnsi="Arial" w:cs="Arial"/>
          <w:sz w:val="22"/>
          <w:szCs w:val="22"/>
        </w:rPr>
        <w:t xml:space="preserve">CUATROCIENTOS TREINTA Y SIETE </w:t>
      </w:r>
      <w:r w:rsidR="00A26882" w:rsidRPr="00674413">
        <w:rPr>
          <w:rFonts w:ascii="Arial" w:hAnsi="Arial" w:cs="Arial"/>
          <w:sz w:val="22"/>
          <w:szCs w:val="22"/>
        </w:rPr>
        <w:t>MIL</w:t>
      </w:r>
      <w:r w:rsidR="00A26882">
        <w:rPr>
          <w:rFonts w:ascii="Arial" w:hAnsi="Arial" w:cs="Arial"/>
          <w:sz w:val="22"/>
          <w:szCs w:val="22"/>
        </w:rPr>
        <w:t xml:space="preserve"> CUATROCIENTOS SESENTA </w:t>
      </w:r>
      <w:r w:rsidR="00A26882" w:rsidRPr="00674413">
        <w:rPr>
          <w:rFonts w:ascii="Arial" w:hAnsi="Arial" w:cs="Arial"/>
          <w:sz w:val="22"/>
          <w:szCs w:val="22"/>
        </w:rPr>
        <w:t>QUETZALES EXACTOS (Q.</w:t>
      </w:r>
      <w:r w:rsidR="00A26882">
        <w:rPr>
          <w:rFonts w:ascii="Arial" w:hAnsi="Arial" w:cs="Arial"/>
          <w:sz w:val="22"/>
          <w:szCs w:val="22"/>
        </w:rPr>
        <w:t>13</w:t>
      </w:r>
      <w:r w:rsidR="00A26882" w:rsidRPr="00674413">
        <w:rPr>
          <w:rFonts w:ascii="Arial" w:hAnsi="Arial" w:cs="Arial"/>
          <w:sz w:val="22"/>
          <w:szCs w:val="22"/>
        </w:rPr>
        <w:t>,</w:t>
      </w:r>
      <w:r w:rsidR="00A26882">
        <w:rPr>
          <w:rFonts w:ascii="Arial" w:hAnsi="Arial" w:cs="Arial"/>
          <w:sz w:val="22"/>
          <w:szCs w:val="22"/>
        </w:rPr>
        <w:t>437</w:t>
      </w:r>
      <w:r w:rsidR="00A26882" w:rsidRPr="00674413">
        <w:rPr>
          <w:rFonts w:ascii="Arial" w:hAnsi="Arial" w:cs="Arial"/>
          <w:sz w:val="22"/>
          <w:szCs w:val="22"/>
        </w:rPr>
        <w:t>,</w:t>
      </w:r>
      <w:r w:rsidR="00A26882">
        <w:rPr>
          <w:rFonts w:ascii="Arial" w:hAnsi="Arial" w:cs="Arial"/>
          <w:sz w:val="22"/>
          <w:szCs w:val="22"/>
        </w:rPr>
        <w:t>460</w:t>
      </w:r>
      <w:r w:rsidR="00A26882" w:rsidRPr="00674413">
        <w:rPr>
          <w:rFonts w:ascii="Arial" w:hAnsi="Arial" w:cs="Arial"/>
          <w:sz w:val="22"/>
          <w:szCs w:val="22"/>
        </w:rPr>
        <w:t>.00)</w:t>
      </w:r>
      <w:r w:rsidR="005E64D4">
        <w:rPr>
          <w:rFonts w:ascii="Arial" w:hAnsi="Arial" w:cs="Arial"/>
          <w:sz w:val="22"/>
          <w:szCs w:val="22"/>
        </w:rPr>
        <w:t xml:space="preserve"> de créditos presupuestarios disminuidos y </w:t>
      </w:r>
      <w:r w:rsidR="00A26882">
        <w:rPr>
          <w:rFonts w:ascii="Arial" w:hAnsi="Arial" w:cs="Arial"/>
          <w:sz w:val="22"/>
          <w:szCs w:val="22"/>
        </w:rPr>
        <w:t>CUATRO MILLONES NOVECIENTOS CINCUENTA Y TRES MIL TREINTA Y SEIS Q</w:t>
      </w:r>
      <w:r w:rsidR="00A26882" w:rsidRPr="00674413">
        <w:rPr>
          <w:rFonts w:ascii="Arial" w:hAnsi="Arial" w:cs="Arial"/>
          <w:sz w:val="22"/>
          <w:szCs w:val="22"/>
        </w:rPr>
        <w:t xml:space="preserve">UETZALES EXACTOS </w:t>
      </w:r>
      <w:r w:rsidR="00A26882" w:rsidRPr="00674413">
        <w:rPr>
          <w:rFonts w:ascii="Arial" w:hAnsi="Arial" w:cs="Arial"/>
          <w:sz w:val="22"/>
          <w:szCs w:val="22"/>
        </w:rPr>
        <w:lastRenderedPageBreak/>
        <w:t>(Q.</w:t>
      </w:r>
      <w:r w:rsidR="00A26882">
        <w:rPr>
          <w:rFonts w:ascii="Arial" w:hAnsi="Arial" w:cs="Arial"/>
          <w:sz w:val="22"/>
          <w:szCs w:val="22"/>
        </w:rPr>
        <w:t>4,953,036</w:t>
      </w:r>
      <w:r w:rsidR="00A26882" w:rsidRPr="00674413">
        <w:rPr>
          <w:rFonts w:ascii="Arial" w:hAnsi="Arial" w:cs="Arial"/>
          <w:sz w:val="22"/>
          <w:szCs w:val="22"/>
        </w:rPr>
        <w:t>.00)</w:t>
      </w:r>
      <w:r w:rsidR="005E64D4">
        <w:rPr>
          <w:rFonts w:ascii="Arial" w:hAnsi="Arial" w:cs="Arial"/>
          <w:sz w:val="22"/>
          <w:szCs w:val="22"/>
        </w:rPr>
        <w:t xml:space="preserve"> de créditos presupuestarios incrementados,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</w:t>
      </w:r>
      <w:r w:rsidR="00174F49">
        <w:rPr>
          <w:rFonts w:ascii="Arial" w:hAnsi="Arial" w:cs="Arial"/>
          <w:sz w:val="22"/>
          <w:szCs w:val="22"/>
        </w:rPr>
        <w:t>-------------------------------------------------</w:t>
      </w:r>
      <w:r w:rsidR="00A26882">
        <w:rPr>
          <w:rFonts w:ascii="Arial" w:hAnsi="Arial" w:cs="Arial"/>
          <w:sz w:val="22"/>
          <w:szCs w:val="22"/>
        </w:rPr>
        <w:t>-----------------------------------</w:t>
      </w:r>
      <w:r w:rsidR="00174F49">
        <w:rPr>
          <w:rFonts w:ascii="Arial" w:hAnsi="Arial" w:cs="Arial"/>
          <w:sz w:val="22"/>
          <w:szCs w:val="22"/>
        </w:rPr>
        <w:t>-</w:t>
      </w:r>
    </w:p>
    <w:p w14:paraId="09C9ABA8" w14:textId="4FCBC4B8" w:rsidR="002E155B" w:rsidRPr="00206ECD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53DBF858" w14:textId="40C474B7" w:rsidR="008A4B10" w:rsidRPr="008A4B10" w:rsidRDefault="00DA7D80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DA7D80">
        <w:drawing>
          <wp:inline distT="0" distB="0" distL="0" distR="0" wp14:anchorId="51E5B638" wp14:editId="2FA72118">
            <wp:extent cx="5973445" cy="4323579"/>
            <wp:effectExtent l="0" t="0" r="825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282" cy="43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3149" w14:textId="5C5DB087" w:rsidR="00594525" w:rsidRPr="00206ECD" w:rsidRDefault="00594525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71520E74" w14:textId="328C2963" w:rsidR="00DD2376" w:rsidRDefault="007757EB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26C95">
        <w:rPr>
          <w:rFonts w:ascii="Arial" w:hAnsi="Arial" w:cs="Arial"/>
          <w:sz w:val="22"/>
          <w:szCs w:val="22"/>
        </w:rPr>
        <w:t xml:space="preserve">Alimentación Escolar, </w:t>
      </w:r>
      <w:r w:rsidR="00961843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B2643E">
        <w:rPr>
          <w:rFonts w:ascii="Arial" w:hAnsi="Arial" w:cs="Arial"/>
          <w:sz w:val="22"/>
          <w:szCs w:val="22"/>
        </w:rPr>
        <w:t xml:space="preserve"> </w:t>
      </w:r>
      <w:r w:rsidR="00543B58">
        <w:rPr>
          <w:rFonts w:ascii="Arial" w:hAnsi="Arial" w:cs="Arial"/>
          <w:sz w:val="22"/>
          <w:szCs w:val="22"/>
        </w:rPr>
        <w:t>y Mantenimiento de Edificios Escolares Públicos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6B38BC">
        <w:rPr>
          <w:rFonts w:ascii="Arial" w:hAnsi="Arial" w:cs="Arial"/>
          <w:sz w:val="22"/>
          <w:szCs w:val="22"/>
        </w:rPr>
        <w:t>824, 937, 944, 945, 946, 947, 948, 949, 950, 951, 952, 953, 954, 955, 957, 958, 959, 960, 961, 962, 963, 964, 966, 967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6B38BC">
        <w:rPr>
          <w:rFonts w:ascii="Arial" w:hAnsi="Arial" w:cs="Arial"/>
          <w:sz w:val="22"/>
          <w:szCs w:val="22"/>
        </w:rPr>
        <w:t>9</w:t>
      </w:r>
      <w:r w:rsidR="006F1A3F">
        <w:rPr>
          <w:rFonts w:ascii="Arial" w:hAnsi="Arial" w:cs="Arial"/>
          <w:sz w:val="22"/>
          <w:szCs w:val="22"/>
        </w:rPr>
        <w:t>6</w:t>
      </w:r>
      <w:r w:rsidR="006B38BC">
        <w:rPr>
          <w:rFonts w:ascii="Arial" w:hAnsi="Arial" w:cs="Arial"/>
          <w:sz w:val="22"/>
          <w:szCs w:val="22"/>
        </w:rPr>
        <w:t>8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----------</w:t>
      </w:r>
      <w:r w:rsidR="006B38BC">
        <w:rPr>
          <w:rFonts w:ascii="Arial" w:eastAsia="Arial Unicode MS" w:hAnsi="Arial" w:cs="Arial"/>
          <w:sz w:val="22"/>
          <w:szCs w:val="22"/>
        </w:rPr>
        <w:t>-----</w:t>
      </w:r>
      <w:r w:rsidR="00543B58">
        <w:rPr>
          <w:rFonts w:ascii="Arial" w:eastAsia="Arial Unicode MS" w:hAnsi="Arial" w:cs="Arial"/>
          <w:sz w:val="22"/>
          <w:szCs w:val="22"/>
        </w:rPr>
        <w:t>----</w:t>
      </w:r>
    </w:p>
    <w:p w14:paraId="47B763B2" w14:textId="5B1DC760" w:rsidR="00D44E59" w:rsidRPr="007625D2" w:rsidRDefault="00D44E59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</w:p>
    <w:p w14:paraId="2880AA10" w14:textId="2E52B6D7" w:rsidR="00C11821" w:rsidRDefault="00206ECD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206ECD">
        <w:rPr>
          <w:rFonts w:eastAsia="Arial Unicode MS"/>
          <w:noProof/>
        </w:rPr>
        <w:drawing>
          <wp:inline distT="0" distB="0" distL="0" distR="0" wp14:anchorId="751A0C68" wp14:editId="07E618A6">
            <wp:extent cx="5973445" cy="97782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17" cy="9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9A82" w14:textId="04729A1F" w:rsidR="002315A1" w:rsidRDefault="00650019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650019">
        <w:rPr>
          <w:rFonts w:eastAsia="Arial Unicode MS"/>
          <w:noProof/>
        </w:rPr>
        <w:lastRenderedPageBreak/>
        <w:drawing>
          <wp:inline distT="0" distB="0" distL="0" distR="0" wp14:anchorId="04395189" wp14:editId="263C8580">
            <wp:extent cx="5972175" cy="7003353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980" cy="70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1091" w14:textId="77777777" w:rsidR="00206ECD" w:rsidRDefault="00206ECD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</w:p>
    <w:p w14:paraId="6553E7B6" w14:textId="0F3B85F0" w:rsidR="00637AD4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lastRenderedPageBreak/>
        <w:t>Los recursos objeto de esta reprogramación corresponden a la</w:t>
      </w:r>
      <w:r>
        <w:rPr>
          <w:rFonts w:ascii="Arial" w:hAnsi="Arial" w:cs="Arial"/>
          <w:sz w:val="22"/>
          <w:szCs w:val="22"/>
        </w:rPr>
        <w:t xml:space="preserve"> </w:t>
      </w:r>
      <w:r w:rsidRPr="00AE23D9">
        <w:rPr>
          <w:rFonts w:ascii="Arial" w:hAnsi="Arial" w:cs="Arial"/>
          <w:sz w:val="22"/>
          <w:szCs w:val="22"/>
        </w:rPr>
        <w:t>fuente de financiamiento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7571FC">
        <w:rPr>
          <w:rFonts w:ascii="Arial" w:hAnsi="Arial" w:cs="Arial"/>
          <w:sz w:val="22"/>
          <w:szCs w:val="22"/>
        </w:rPr>
        <w:t xml:space="preserve">11 “Ingresos corrientes”, por el monto de Q.637,491.00, 21 “Ingresos tributarios IVA Paz” por Q.801,436.00, 32 “Disminución de Caja y Bancos de ingresos propios” por Q. 110,000.00, </w:t>
      </w:r>
      <w:r w:rsidR="00BE60EB">
        <w:rPr>
          <w:rFonts w:ascii="Arial" w:hAnsi="Arial" w:cs="Arial"/>
          <w:sz w:val="22"/>
          <w:szCs w:val="22"/>
        </w:rPr>
        <w:t xml:space="preserve">             </w:t>
      </w:r>
      <w:r w:rsidR="007571FC">
        <w:rPr>
          <w:rFonts w:ascii="Arial" w:hAnsi="Arial" w:cs="Arial"/>
          <w:sz w:val="22"/>
          <w:szCs w:val="22"/>
        </w:rPr>
        <w:t xml:space="preserve">51 “Colocaciones externas”, Organismo 1203 “Tenedores externos de bonos”, Correlativo 0019 “Bono del tesoro de la República de Guatemala 2024 (Eurobono 2031, Decreto número 54-2022 y Acuerdo Gubernativo 48-2024)” por Q.55,753.00 </w:t>
      </w:r>
      <w:r w:rsidR="007571FC">
        <w:rPr>
          <w:rFonts w:ascii="Arial" w:hAnsi="Arial" w:cs="Arial"/>
          <w:color w:val="000000" w:themeColor="text1"/>
          <w:sz w:val="22"/>
          <w:szCs w:val="22"/>
        </w:rPr>
        <w:t>y 52</w:t>
      </w:r>
      <w:r w:rsidR="007571FC">
        <w:rPr>
          <w:rFonts w:ascii="Arial" w:hAnsi="Arial" w:cs="Arial"/>
          <w:sz w:val="22"/>
          <w:szCs w:val="22"/>
        </w:rPr>
        <w:t xml:space="preserve"> “Préstamos externos”, Organismo 0402 “Banco Interamericano de Desarrollo”, Correlativo 0126 “Programa para el mejoramiento de la cobertura y calidad educativa” por Q.11,832,780.00, para un total de Q.13,437,460.00 de créditos presupuestarios disminuidos, así como, a la fuente de financiamiento 11 “Ingresos corrientes”, por el monto de Q.1,015,130.00, 21 “Ingresos tributarios IVA Paz” por Q.3,112,906.00 y </w:t>
      </w:r>
      <w:r w:rsidR="00BE60EB">
        <w:rPr>
          <w:rFonts w:ascii="Arial" w:hAnsi="Arial" w:cs="Arial"/>
          <w:sz w:val="22"/>
          <w:szCs w:val="22"/>
        </w:rPr>
        <w:t xml:space="preserve">                     </w:t>
      </w:r>
      <w:r w:rsidR="007571FC">
        <w:rPr>
          <w:rFonts w:ascii="Arial" w:hAnsi="Arial" w:cs="Arial"/>
          <w:sz w:val="22"/>
          <w:szCs w:val="22"/>
        </w:rPr>
        <w:t xml:space="preserve">32 “Disminución de Caja y Bancos de ingresos propios” por Q.825,000.00, para un total de Q.4,953,036.00 </w:t>
      </w:r>
      <w:r>
        <w:rPr>
          <w:rFonts w:ascii="Arial" w:hAnsi="Arial" w:cs="Arial"/>
          <w:sz w:val="22"/>
          <w:szCs w:val="22"/>
        </w:rPr>
        <w:t>de créditos presupuestarios incrementados;</w:t>
      </w:r>
      <w:r w:rsidR="00BE5BD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9B14C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9B14CA">
        <w:rPr>
          <w:rFonts w:ascii="Arial" w:eastAsia="Arial Unicode MS" w:hAnsi="Arial" w:cs="Arial"/>
          <w:sz w:val="22"/>
          <w:szCs w:val="22"/>
        </w:rPr>
        <w:t>-</w:t>
      </w:r>
      <w:r w:rsidR="00D156B6" w:rsidRPr="00D84F74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a </w:t>
      </w:r>
      <w:r w:rsidR="005B55D7">
        <w:rPr>
          <w:rFonts w:ascii="Arial" w:hAnsi="Arial" w:cs="Arial"/>
          <w:sz w:val="22"/>
          <w:szCs w:val="22"/>
        </w:rPr>
        <w:t xml:space="preserve">la Dirección de Planificación Educativa -DIPLAN- y a las </w:t>
      </w:r>
      <w:r w:rsidR="005B55D7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5B55D7" w:rsidRPr="002B528B">
        <w:rPr>
          <w:rFonts w:ascii="Arial" w:hAnsi="Arial" w:cs="Arial"/>
          <w:sz w:val="22"/>
          <w:szCs w:val="22"/>
          <w:lang w:val="es-MX"/>
        </w:rPr>
        <w:t>de</w:t>
      </w:r>
      <w:r w:rsidR="005B55D7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Santa Rosa,  Sololá, Totonicapán, Quetzaltenango, Retalhuleu, San Marcos, Huehuetenango, Quiché, Baja Verapaz, Petén, Izabal, Zacapa, Chiquimula, Jutiapa, Guatemala Norte, Guatemala Sur, Guatemala Oriente y Guatemala Occidente,</w:t>
      </w:r>
      <w:r w:rsidR="005B55D7" w:rsidRPr="00D84F74">
        <w:rPr>
          <w:rFonts w:ascii="Arial" w:hAnsi="Arial" w:cs="Arial"/>
          <w:sz w:val="22"/>
          <w:szCs w:val="22"/>
        </w:rPr>
        <w:t xml:space="preserve"> </w:t>
      </w:r>
      <w:r w:rsidR="005B55D7">
        <w:rPr>
          <w:rFonts w:ascii="Arial" w:hAnsi="Arial" w:cs="Arial"/>
          <w:sz w:val="22"/>
          <w:szCs w:val="22"/>
        </w:rPr>
        <w:t>p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68652B">
        <w:rPr>
          <w:rFonts w:ascii="Arial" w:eastAsia="Arial Unicode MS" w:hAnsi="Arial" w:cs="Arial"/>
          <w:color w:val="000000"/>
          <w:sz w:val="22"/>
          <w:szCs w:val="22"/>
        </w:rPr>
        <w:t>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80EB9E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2011BE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3EA31A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7EBF43" w14:textId="77777777" w:rsidR="00543B58" w:rsidRDefault="00543B5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6307E6" w14:textId="6D05ABA1" w:rsidR="00C34786" w:rsidRPr="00E92408" w:rsidRDefault="00C34786" w:rsidP="00C34786">
      <w:pPr>
        <w:pStyle w:val="Sangra2detindependiente"/>
        <w:spacing w:line="22" w:lineRule="atLeast"/>
        <w:ind w:right="2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JOSÉ DONALDO CARIAS VALENZUELA</w:t>
      </w:r>
    </w:p>
    <w:p w14:paraId="7232A3F8" w14:textId="552DBC78" w:rsidR="00C34786" w:rsidRDefault="00C34786" w:rsidP="00C34786">
      <w:pPr>
        <w:pStyle w:val="Sangra2detindependiente"/>
        <w:spacing w:line="22" w:lineRule="atLeast"/>
        <w:ind w:right="2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VICEMINISTRO </w:t>
      </w:r>
      <w:r>
        <w:rPr>
          <w:rFonts w:ascii="Arial" w:hAnsi="Arial" w:cs="Arial"/>
          <w:b/>
          <w:sz w:val="22"/>
          <w:szCs w:val="22"/>
        </w:rPr>
        <w:t>DE EDUCACIÓN</w:t>
      </w:r>
    </w:p>
    <w:p w14:paraId="1BC961C0" w14:textId="158F12D8" w:rsidR="00C34786" w:rsidRPr="00E92408" w:rsidRDefault="00C34786" w:rsidP="00C34786">
      <w:pPr>
        <w:pStyle w:val="Sangra2detindependiente"/>
        <w:spacing w:line="22" w:lineRule="atLeast"/>
        <w:ind w:right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ENCARGADO DEL DESPACHO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13D0AE" w14:textId="77777777" w:rsidR="00250793" w:rsidRDefault="00250793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3702338" w14:textId="77777777" w:rsidR="00CD4F37" w:rsidRDefault="00CD4F37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F0BC312" w14:textId="77777777" w:rsidR="00CD4F37" w:rsidRDefault="00CD4F37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F90637" w14:textId="77777777" w:rsidR="00CD4F37" w:rsidRDefault="00CD4F37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4D597" w14:textId="42F31B03" w:rsidR="00C34786" w:rsidRDefault="00AD0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C87FC2">
        <w:rPr>
          <w:rFonts w:ascii="Arial" w:hAnsi="Arial" w:cs="Arial"/>
          <w:b/>
          <w:sz w:val="22"/>
          <w:szCs w:val="22"/>
        </w:rPr>
        <w:t>ROMELIA MÓ ISEM</w:t>
      </w:r>
    </w:p>
    <w:p w14:paraId="3DAC7185" w14:textId="2EE80814" w:rsidR="00AD0845" w:rsidRDefault="00AD0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VICEMINISTRA DE EDUCACIÓN</w:t>
      </w:r>
    </w:p>
    <w:p w14:paraId="5D304E03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3B59DBE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054D825" w14:textId="3F5B9AB5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JDCV</w:t>
      </w:r>
      <w:r w:rsidR="00AD0845">
        <w:rPr>
          <w:rFonts w:ascii="Arial" w:hAnsi="Arial" w:cs="Arial"/>
          <w:bCs/>
          <w:sz w:val="12"/>
          <w:szCs w:val="12"/>
        </w:rPr>
        <w:t>/RMI/</w:t>
      </w:r>
      <w:r w:rsidRPr="00D84F74">
        <w:rPr>
          <w:rFonts w:ascii="Arial" w:hAnsi="Arial" w:cs="Arial"/>
          <w:bCs/>
          <w:sz w:val="12"/>
          <w:szCs w:val="12"/>
        </w:rPr>
        <w:t>TEMD/LFPM/J</w:t>
      </w:r>
      <w:r w:rsidR="00AD0845">
        <w:rPr>
          <w:rFonts w:ascii="Arial" w:hAnsi="Arial" w:cs="Arial"/>
          <w:bCs/>
          <w:sz w:val="12"/>
          <w:szCs w:val="12"/>
        </w:rPr>
        <w:t>PJCH</w:t>
      </w:r>
      <w:r w:rsidR="00CD4F37">
        <w:rPr>
          <w:rFonts w:ascii="Arial" w:hAnsi="Arial" w:cs="Arial"/>
          <w:bCs/>
          <w:sz w:val="12"/>
          <w:szCs w:val="12"/>
        </w:rPr>
        <w:t>/</w:t>
      </w:r>
      <w:proofErr w:type="spellStart"/>
      <w:r w:rsidR="007470C4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B13D53" w:rsidSect="00412FF7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1457" w14:textId="77777777" w:rsidR="00FC4E5B" w:rsidRDefault="00FC4E5B" w:rsidP="001D1E50">
      <w:r>
        <w:separator/>
      </w:r>
    </w:p>
  </w:endnote>
  <w:endnote w:type="continuationSeparator" w:id="0">
    <w:p w14:paraId="719FC75E" w14:textId="77777777" w:rsidR="00FC4E5B" w:rsidRDefault="00FC4E5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FC77" w14:textId="77777777" w:rsidR="00FC4E5B" w:rsidRDefault="00FC4E5B" w:rsidP="001D1E50">
      <w:r>
        <w:separator/>
      </w:r>
    </w:p>
  </w:footnote>
  <w:footnote w:type="continuationSeparator" w:id="0">
    <w:p w14:paraId="77074837" w14:textId="77777777" w:rsidR="00FC4E5B" w:rsidRDefault="00FC4E5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2165A6D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D4F37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60A740DB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D4F37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3ED"/>
    <w:rsid w:val="00BE367C"/>
    <w:rsid w:val="00BE3E52"/>
    <w:rsid w:val="00BE53D6"/>
    <w:rsid w:val="00BE5BD1"/>
    <w:rsid w:val="00BE60A4"/>
    <w:rsid w:val="00BE60EB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AFF"/>
    <w:rsid w:val="00C11821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E7BE6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67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46</cp:revision>
  <cp:lastPrinted>2024-10-30T20:32:00Z</cp:lastPrinted>
  <dcterms:created xsi:type="dcterms:W3CDTF">2024-10-29T20:45:00Z</dcterms:created>
  <dcterms:modified xsi:type="dcterms:W3CDTF">2024-11-04T21:13:00Z</dcterms:modified>
</cp:coreProperties>
</file>