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DB671BB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B36092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5C1B70C9" w:rsidR="00560641" w:rsidRDefault="004B7400" w:rsidP="002929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225C102" wp14:editId="7E4FF29D">
            <wp:extent cx="7108190" cy="24015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9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052823" w14:textId="77777777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49A24ABA" w:rsidR="005647D2" w:rsidRPr="00A83DED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652E7F" w:rsidRPr="00FD399E">
        <w:rPr>
          <w:rFonts w:ascii="Arial" w:hAnsi="Arial" w:cs="Arial"/>
          <w:sz w:val="22"/>
          <w:szCs w:val="22"/>
          <w:lang w:val="es-GT"/>
        </w:rPr>
        <w:t>autorizar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el </w:t>
      </w:r>
      <w:r w:rsidR="003B4623">
        <w:rPr>
          <w:rFonts w:ascii="Arial" w:hAnsi="Arial" w:cs="Arial"/>
          <w:sz w:val="22"/>
          <w:szCs w:val="22"/>
          <w:lang w:val="es-GT"/>
        </w:rPr>
        <w:t>cambio de nombre</w:t>
      </w:r>
      <w:r w:rsidR="00F908BE">
        <w:rPr>
          <w:rFonts w:ascii="Arial" w:hAnsi="Arial" w:cs="Arial"/>
          <w:sz w:val="22"/>
          <w:szCs w:val="22"/>
          <w:lang w:val="es-GT"/>
        </w:rPr>
        <w:t xml:space="preserve"> de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centros educativos pr</w:t>
      </w:r>
      <w:r w:rsidR="00AB5587">
        <w:rPr>
          <w:rFonts w:ascii="Arial" w:hAnsi="Arial" w:cs="Arial"/>
          <w:sz w:val="22"/>
          <w:szCs w:val="22"/>
          <w:lang w:val="es-GT"/>
        </w:rPr>
        <w:t xml:space="preserve">ivados en el Subsistema Escolar,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desde la presentación de la solicitud, el ingreso </w:t>
      </w:r>
      <w:r w:rsidR="003B4623">
        <w:rPr>
          <w:rFonts w:ascii="Arial" w:hAnsi="Arial" w:cs="Arial"/>
          <w:sz w:val="22"/>
          <w:szCs w:val="22"/>
          <w:lang w:val="es-GT"/>
        </w:rPr>
        <w:t xml:space="preserve">y revisión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del expediente, hasta la emisión de resolución </w:t>
      </w:r>
      <w:r w:rsidR="00CD0B5E">
        <w:rPr>
          <w:rFonts w:ascii="Arial" w:hAnsi="Arial" w:cs="Arial"/>
          <w:sz w:val="22"/>
          <w:szCs w:val="22"/>
          <w:lang w:val="es-GT"/>
        </w:rPr>
        <w:t>correspondiente</w:t>
      </w:r>
      <w:r w:rsidR="00AB5587" w:rsidRPr="00A83DED">
        <w:rPr>
          <w:rFonts w:ascii="Arial" w:hAnsi="Arial" w:cs="Arial"/>
          <w:sz w:val="22"/>
          <w:szCs w:val="22"/>
          <w:lang w:val="es-GT"/>
        </w:rPr>
        <w:t>.</w:t>
      </w:r>
    </w:p>
    <w:p w14:paraId="36FEE178" w14:textId="77777777" w:rsidR="005F17FB" w:rsidRDefault="005F17FB" w:rsidP="00F908B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Sombreadoclaro"/>
        <w:tblW w:w="1099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7912"/>
      </w:tblGrid>
      <w:tr w:rsidR="001E2735" w:rsidRPr="00CA1D45" w14:paraId="799F0C1D" w14:textId="77777777" w:rsidTr="00FC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354FAC1C" w14:textId="407F6AA4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DICTAMEN TÉCNICO</w:t>
            </w:r>
            <w:r w:rsidR="0090350D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C8A8863" w14:textId="2884B1CB" w:rsidR="00F26D89" w:rsidRPr="00CA1D45" w:rsidRDefault="00930271" w:rsidP="00E36AD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6B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Opinión técnica emitida por profesional a cargo, con base en la verificación del cumplimiento de requisitos.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36ADE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</w:tr>
      <w:tr w:rsidR="001E2735" w:rsidRPr="00CA1D45" w14:paraId="0BF9D71A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21D8BF7" w14:textId="2A8B7744" w:rsidR="00F26D89" w:rsidRPr="00CA1D45" w:rsidRDefault="00181344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GUÍA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DEL USUARIO</w:t>
            </w:r>
            <w:r w:rsidR="0063171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28F3BE7" w14:textId="1D2DA12C" w:rsidR="00F26D89" w:rsidRPr="00CA1D45" w:rsidRDefault="00DB0E0C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Documento que contiene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los lineamientos requeridos para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="00F908B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autorización y funcionamiento de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centros educativos privados </w:t>
            </w:r>
            <w:r w:rsidR="00DE66D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el Subsistema de Educación Escolar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1E2735" w:rsidRPr="00CA1D45" w14:paraId="2B4186AD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6A72FC0F" w14:textId="60009609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DE REGISTROS EDUCATIVOS</w:t>
            </w:r>
            <w:r w:rsidR="00D74013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-SIRE-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583CB03A" w14:textId="5BEE9D52" w:rsidR="00F26D89" w:rsidRPr="00CA1D45" w:rsidRDefault="00F26D89" w:rsidP="00D740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1E2735" w:rsidRPr="00CA1D45" w14:paraId="1652D9FD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BD85A04" w14:textId="411B884C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USUARIO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060203A7" w14:textId="374CBC44" w:rsidR="00F26D89" w:rsidRPr="00CA1D45" w:rsidRDefault="00012F49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 la persona que solicita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trámite.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 </w:t>
            </w:r>
          </w:p>
        </w:tc>
      </w:tr>
    </w:tbl>
    <w:p w14:paraId="03817ADB" w14:textId="73C7B768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Pr="00CA1D45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07036A48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F908BE">
        <w:rPr>
          <w:rFonts w:ascii="Arial" w:hAnsi="Arial" w:cs="Arial"/>
          <w:sz w:val="22"/>
          <w:szCs w:val="22"/>
          <w:lang w:val="es-GT"/>
        </w:rPr>
        <w:t>Gubernativo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F908BE">
        <w:rPr>
          <w:rFonts w:ascii="Arial" w:hAnsi="Arial" w:cs="Arial"/>
          <w:sz w:val="22"/>
          <w:szCs w:val="22"/>
          <w:lang w:val="es-GT"/>
        </w:rPr>
        <w:t>52-2015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fecha </w:t>
      </w:r>
      <w:r w:rsidR="00F908BE">
        <w:rPr>
          <w:rFonts w:ascii="Arial" w:hAnsi="Arial" w:cs="Arial"/>
          <w:sz w:val="22"/>
          <w:szCs w:val="22"/>
          <w:lang w:val="es-GT"/>
        </w:rPr>
        <w:t>4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</w:t>
      </w:r>
      <w:r w:rsidR="00F908BE">
        <w:rPr>
          <w:rFonts w:ascii="Arial" w:hAnsi="Arial" w:cs="Arial"/>
          <w:sz w:val="22"/>
          <w:szCs w:val="22"/>
          <w:lang w:val="es-GT"/>
        </w:rPr>
        <w:t>febrero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20</w:t>
      </w:r>
      <w:r w:rsidR="00F908BE">
        <w:rPr>
          <w:rFonts w:ascii="Arial" w:hAnsi="Arial" w:cs="Arial"/>
          <w:sz w:val="22"/>
          <w:szCs w:val="22"/>
          <w:lang w:val="es-GT"/>
        </w:rPr>
        <w:t>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«</w:t>
      </w:r>
      <w:r w:rsidR="00F908BE">
        <w:rPr>
          <w:rFonts w:ascii="Arial" w:hAnsi="Arial" w:cs="Arial"/>
          <w:sz w:val="22"/>
          <w:szCs w:val="22"/>
          <w:lang w:val="es-GT"/>
        </w:rPr>
        <w:t>Reglamento de autorización y funcionamiento de centros educativos privados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»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5C7BCBF9" w14:textId="77777777" w:rsidR="003C294B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74440165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6FF674CD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CEBD914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EF3B0CD" w14:textId="1FAD5AE5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884D1F1" w14:textId="77777777" w:rsidR="003B4623" w:rsidRDefault="003B4623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3AAFEF73" w14:textId="77777777" w:rsidR="0076437F" w:rsidRPr="00CA1D45" w:rsidRDefault="0076437F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144CFF7A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7C42616B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3B4623">
        <w:rPr>
          <w:rFonts w:ascii="Arial" w:hAnsi="Arial" w:cs="Arial"/>
          <w:b/>
          <w:bCs/>
          <w:sz w:val="22"/>
          <w:szCs w:val="22"/>
          <w:lang w:val="es-GT"/>
        </w:rPr>
        <w:t>Cambio de nombre</w:t>
      </w:r>
      <w:r w:rsidR="0050558E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de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.</w:t>
      </w:r>
    </w:p>
    <w:p w14:paraId="03A1171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55FF755E" w14:textId="593A2D39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.1.1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Recepción de expedientes en la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irección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epartamental de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ducación correspondiente.</w:t>
      </w:r>
      <w:r w:rsidR="00862DDD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862DDD" w:rsidRPr="00CA1D45" w14:paraId="7E2AA982" w14:textId="77777777" w:rsidTr="00EB36F5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5B5D56A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6BC920A4" w14:textId="02E75851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36FF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expediente en la DIDEDUC</w:t>
            </w:r>
          </w:p>
          <w:p w14:paraId="1DF62B51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E769A3E" w14:textId="362BE0D9" w:rsidR="00862DDD" w:rsidRDefault="00862DDD" w:rsidP="00357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Subdirección/Departamento Técnico P</w:t>
            </w:r>
            <w:r w:rsidRPr="00CA1D45">
              <w:rPr>
                <w:rFonts w:ascii="Arial" w:hAnsi="Arial" w:cs="Arial"/>
                <w:sz w:val="22"/>
                <w:szCs w:val="22"/>
              </w:rPr>
              <w:t>edagógico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, según lo </w:t>
            </w:r>
            <w:r w:rsidR="003B4623">
              <w:rPr>
                <w:rFonts w:ascii="Arial" w:hAnsi="Arial" w:cs="Arial"/>
                <w:sz w:val="22"/>
                <w:szCs w:val="22"/>
              </w:rPr>
              <w:t>requisitos siguientes:</w:t>
            </w:r>
          </w:p>
          <w:p w14:paraId="12AD7786" w14:textId="5C6EB806" w:rsidR="003B4623" w:rsidRDefault="003B4623" w:rsidP="00FF627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 xml:space="preserve">Solicitud dirigida al director Departamental de Educación, con los datos generales del centro educativo privado, así como el </w:t>
            </w:r>
            <w:r>
              <w:rPr>
                <w:rStyle w:val="findhit"/>
                <w:rFonts w:ascii="Arial" w:hAnsi="Arial" w:cs="Arial"/>
                <w:sz w:val="23"/>
                <w:szCs w:val="23"/>
              </w:rPr>
              <w:t>cambio de nombre</w:t>
            </w:r>
            <w:r>
              <w:rPr>
                <w:rStyle w:val="normaltextrun"/>
                <w:rFonts w:ascii="Arial" w:hAnsi="Arial" w:cs="Arial"/>
                <w:sz w:val="23"/>
                <w:szCs w:val="23"/>
              </w:rPr>
              <w:t xml:space="preserve"> y la justificación de este. 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14:paraId="23CF08DA" w14:textId="77777777" w:rsidR="003B4623" w:rsidRDefault="003B4623" w:rsidP="00FF627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>Copia simple del documento de identidad del propietario o representante legal.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14:paraId="58935D60" w14:textId="77777777" w:rsidR="003B4623" w:rsidRDefault="003B4623" w:rsidP="00FF627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>Constancia vigente de carencia de antecedentes penales del propietario o representante legal. 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14:paraId="7D86DF00" w14:textId="36D23967" w:rsidR="003B4623" w:rsidRPr="003B4623" w:rsidRDefault="003B4623" w:rsidP="00FF627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 xml:space="preserve">Informe del estado actual de los códigos de establecimiento, con relación a la emisión de papelería de fin de ciclo anterior. </w:t>
            </w:r>
          </w:p>
        </w:tc>
      </w:tr>
      <w:tr w:rsidR="00862DDD" w:rsidRPr="00CA1D45" w14:paraId="188BEE98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5BC39CC3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A61CB57" w14:textId="29A6D606" w:rsidR="00862DDD" w:rsidRPr="00CA1D45" w:rsidRDefault="00DE56D0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</w:t>
            </w:r>
            <w:r w:rsidR="006779B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registrar</w:t>
            </w:r>
            <w:r w:rsidR="008A34D0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</w:p>
        </w:tc>
        <w:tc>
          <w:tcPr>
            <w:tcW w:w="1096" w:type="dxa"/>
            <w:vAlign w:val="center"/>
          </w:tcPr>
          <w:p w14:paraId="3EE382D4" w14:textId="77777777" w:rsidR="00862DDD" w:rsidRPr="00CA1D45" w:rsidRDefault="00862DDD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Subdirección/ Departamento Técnico P</w:t>
            </w:r>
            <w:r w:rsidRPr="00CA1D45">
              <w:rPr>
                <w:rFonts w:ascii="Arial" w:hAnsi="Arial" w:cs="Arial"/>
                <w:sz w:val="14"/>
                <w:szCs w:val="14"/>
              </w:rPr>
              <w:t>edagógico</w:t>
            </w:r>
          </w:p>
          <w:p w14:paraId="14C2B508" w14:textId="391EC8AC" w:rsidR="001E1FF7" w:rsidRPr="00CA1D45" w:rsidRDefault="001E1FF7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A7A117" w14:textId="2D932903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el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>y lo registra en el Sistema Interno de Ad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>ministración de Documentos SIAD, firma y sella de recibido la copia del usuario.</w:t>
            </w:r>
          </w:p>
          <w:p w14:paraId="0530CC47" w14:textId="77777777" w:rsidR="008A34D0" w:rsidRPr="00CA1D45" w:rsidRDefault="008A34D0" w:rsidP="008A34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5B8B7" w14:textId="019918FB" w:rsidR="00862DDD" w:rsidRPr="00CA1D45" w:rsidRDefault="008A34D0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>nforma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por medio de correo electrónico 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6779B3" w:rsidRPr="00CA1D45">
              <w:rPr>
                <w:rFonts w:ascii="Arial" w:hAnsi="Arial" w:cs="Arial"/>
                <w:sz w:val="22"/>
                <w:szCs w:val="22"/>
              </w:rPr>
              <w:t>Subdirector</w:t>
            </w:r>
            <w:proofErr w:type="gramEnd"/>
            <w:r w:rsidR="006779B3" w:rsidRPr="00CA1D45">
              <w:rPr>
                <w:rFonts w:ascii="Arial" w:hAnsi="Arial" w:cs="Arial"/>
                <w:sz w:val="22"/>
                <w:szCs w:val="22"/>
              </w:rPr>
              <w:t>/Jefe Técnico Pedagógico de los expedientes recibidos.</w:t>
            </w:r>
          </w:p>
        </w:tc>
      </w:tr>
      <w:tr w:rsidR="006779B3" w:rsidRPr="00CA1D45" w14:paraId="7A9F6DAB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D8E82C8" w14:textId="23E9312A" w:rsidR="006779B3" w:rsidRPr="00CA1D45" w:rsidRDefault="006779B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306AAC8D" w14:textId="77777777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6F3BFEC8" w14:textId="076A6A8D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AA2D79" w14:textId="69601432" w:rsidR="006779B3" w:rsidRPr="00CA1D45" w:rsidRDefault="006779B3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documentación administrativa, al Coordinador de Acreditamiento y Certificación de la DIDEDUC y solicita dictamen técnico, en un período máximo de </w:t>
            </w:r>
            <w:r w:rsidR="003B4623">
              <w:rPr>
                <w:rFonts w:ascii="Arial" w:hAnsi="Arial" w:cs="Arial"/>
                <w:sz w:val="22"/>
                <w:szCs w:val="22"/>
              </w:rPr>
              <w:t>2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días hábiles. </w:t>
            </w: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694C520A" w14:textId="27D03A3D" w:rsidR="00862DDD" w:rsidRPr="00CA1D45" w:rsidRDefault="00DE56D0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.1.2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nálisis de expedientes.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862DDD" w:rsidRPr="00CA1D45" w14:paraId="711938C6" w14:textId="77777777" w:rsidTr="005A212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9FC384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01C7BDD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FC8B01E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10ABA310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FA407E0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02CF17A3" w14:textId="1EE52B2F" w:rsidR="00862DDD" w:rsidRPr="00CA1D45" w:rsidRDefault="00DB4A16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4A9D64F9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DCA740C" w14:textId="13378E7C" w:rsidR="00DE56D0" w:rsidRPr="00CA1D45" w:rsidRDefault="00DE56D0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8AE27CF" w14:textId="25F3B927" w:rsidR="00D75597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Revisa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los documentos administrativos </w:t>
            </w:r>
            <w:r w:rsidR="003B4623" w:rsidRPr="00CA1D45">
              <w:rPr>
                <w:rFonts w:ascii="Arial" w:hAnsi="Arial" w:cs="Arial"/>
                <w:sz w:val="22"/>
                <w:szCs w:val="22"/>
              </w:rPr>
              <w:t>de acuerdo con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los criterios establecidos en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E73796" w14:textId="7A31EF16" w:rsidR="00D75597" w:rsidRPr="00CA1D45" w:rsidRDefault="00BE2F1A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88464C" w14:textId="6344ED41" w:rsidR="00D75597" w:rsidRPr="00CA1D45" w:rsidRDefault="00F908BE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D178C6">
              <w:rPr>
                <w:rFonts w:ascii="Arial" w:hAnsi="Arial" w:cs="Arial"/>
                <w:sz w:val="22"/>
                <w:szCs w:val="22"/>
              </w:rPr>
              <w:t>CEP</w:t>
            </w:r>
            <w:r w:rsidR="00F149EE" w:rsidRPr="00D178C6">
              <w:rPr>
                <w:rFonts w:ascii="Arial" w:hAnsi="Arial" w:cs="Arial"/>
                <w:sz w:val="22"/>
                <w:szCs w:val="22"/>
              </w:rPr>
              <w:t>-FOR-</w:t>
            </w:r>
            <w:r w:rsidR="003B4623">
              <w:rPr>
                <w:rFonts w:ascii="Arial" w:hAnsi="Arial" w:cs="Arial"/>
                <w:sz w:val="22"/>
                <w:szCs w:val="22"/>
              </w:rPr>
              <w:t>1</w:t>
            </w:r>
            <w:r w:rsidR="00D366F6">
              <w:rPr>
                <w:rFonts w:ascii="Arial" w:hAnsi="Arial" w:cs="Arial"/>
                <w:sz w:val="22"/>
                <w:szCs w:val="22"/>
              </w:rPr>
              <w:t>3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B1B">
              <w:rPr>
                <w:rFonts w:ascii="Arial" w:hAnsi="Arial" w:cs="Arial"/>
                <w:sz w:val="22"/>
                <w:szCs w:val="22"/>
              </w:rPr>
              <w:t>“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 w:rsidR="003B4623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cambio de nombre</w:t>
            </w:r>
            <w:r w:rsidR="00F46B1B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460BD67A" w14:textId="77777777" w:rsidR="00F908BE" w:rsidRDefault="00F908BE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2D42B" w14:textId="78BC7A56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 caso de que el expediente requiera actualización o cambio de algún documento, solicitar al usuario</w:t>
            </w:r>
            <w:r w:rsidR="001408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 xml:space="preserve">quien deberá responder en un término no mayor a </w:t>
            </w:r>
            <w:r w:rsidR="003B4623">
              <w:rPr>
                <w:rFonts w:ascii="Arial" w:hAnsi="Arial" w:cs="Arial"/>
                <w:sz w:val="22"/>
                <w:szCs w:val="22"/>
              </w:rPr>
              <w:t>3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 xml:space="preserve"> días hábiles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4191D" w:rsidRPr="00F908BE">
              <w:rPr>
                <w:rFonts w:ascii="Arial" w:hAnsi="Arial" w:cs="Arial"/>
                <w:sz w:val="22"/>
                <w:szCs w:val="22"/>
              </w:rPr>
              <w:t>Si aun después de haber completado la información, esta no llena los lineamientos, se emitirá dictamen técnico no favorable</w:t>
            </w:r>
            <w:r w:rsidR="00376AF5" w:rsidRPr="00F908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ED8EDD" w14:textId="398E8A3B" w:rsidR="00461C66" w:rsidRPr="00CA1D45" w:rsidRDefault="00461C66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171AC" w14:textId="29AC3FCF" w:rsidR="007A2CC7" w:rsidRPr="00CA1D45" w:rsidRDefault="00461C66" w:rsidP="00D2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Si el expediente cumple con los requisitos administrativos, emit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dictamen técnico</w:t>
            </w:r>
            <w:r w:rsidR="007D3090" w:rsidRPr="00CA1D45">
              <w:rPr>
                <w:rFonts w:ascii="Arial" w:hAnsi="Arial" w:cs="Arial"/>
                <w:sz w:val="22"/>
                <w:szCs w:val="22"/>
              </w:rPr>
              <w:t xml:space="preserve"> dentro de los 10 días hábiles a partir de la recepción del expediente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62AE00" w14:textId="77777777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9F9AA" w14:textId="254F4096" w:rsidR="00862DDD" w:rsidRPr="00CA1D45" w:rsidRDefault="003B4623" w:rsidP="00151B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E6A4B">
              <w:rPr>
                <w:rFonts w:ascii="Arial" w:hAnsi="Arial" w:cs="Arial"/>
                <w:sz w:val="22"/>
                <w:szCs w:val="22"/>
              </w:rPr>
              <w:t>olicita a</w:t>
            </w:r>
            <w:r>
              <w:rPr>
                <w:rFonts w:ascii="Arial" w:hAnsi="Arial" w:cs="Arial"/>
                <w:sz w:val="22"/>
                <w:szCs w:val="22"/>
              </w:rPr>
              <w:t>l Encargado del Sistema de Establecimientos, emit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>
              <w:rPr>
                <w:rFonts w:ascii="Arial" w:hAnsi="Arial" w:cs="Arial"/>
                <w:sz w:val="22"/>
                <w:szCs w:val="22"/>
              </w:rPr>
              <w:t xml:space="preserve"> dictamen técnico sobre </w:t>
            </w:r>
            <w:r>
              <w:rPr>
                <w:rStyle w:val="normaltextrun"/>
                <w:rFonts w:ascii="Arial" w:hAnsi="Arial" w:cs="Arial"/>
                <w:sz w:val="23"/>
                <w:szCs w:val="23"/>
              </w:rPr>
              <w:t>estado actual de los códigos de establecimiento, con relación a la emisión de papelería de fin de ciclo anterior, para poder llevar a cabo el cierre voluntario de los códigos de nivel actuales</w:t>
            </w:r>
            <w:r w:rsidR="00515D5B">
              <w:rPr>
                <w:rStyle w:val="normaltextrun"/>
                <w:rFonts w:ascii="Arial" w:hAnsi="Arial" w:cs="Arial"/>
                <w:sz w:val="23"/>
                <w:szCs w:val="23"/>
              </w:rPr>
              <w:t>, al final del ciclo lectivo</w:t>
            </w:r>
            <w:r w:rsidR="00D37A1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27DF" w:rsidRPr="00CA1D45" w14:paraId="27117E69" w14:textId="77777777" w:rsidTr="004C5C84">
        <w:trPr>
          <w:trHeight w:val="524"/>
          <w:jc w:val="right"/>
        </w:trPr>
        <w:tc>
          <w:tcPr>
            <w:tcW w:w="1159" w:type="dxa"/>
            <w:vAlign w:val="center"/>
          </w:tcPr>
          <w:p w14:paraId="6A481C37" w14:textId="2F443083" w:rsidR="009A6E93" w:rsidRPr="00CA1D45" w:rsidRDefault="00F908BE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6B6F6430" w14:textId="42542DF7" w:rsidR="00BB27DF" w:rsidRPr="00CA1D45" w:rsidRDefault="00A62428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Recibir, </w:t>
            </w:r>
            <w:r w:rsidR="004C5C84">
              <w:rPr>
                <w:rFonts w:ascii="Arial" w:hAnsi="Arial" w:cs="Arial"/>
                <w:b/>
                <w:bCs/>
                <w:sz w:val="14"/>
                <w:szCs w:val="14"/>
              </w:rPr>
              <w:t>revisar y emitir dictamen</w:t>
            </w:r>
          </w:p>
        </w:tc>
        <w:tc>
          <w:tcPr>
            <w:tcW w:w="1112" w:type="dxa"/>
            <w:vAlign w:val="center"/>
          </w:tcPr>
          <w:p w14:paraId="2B636918" w14:textId="40187E40" w:rsidR="00BB27DF" w:rsidRPr="00CA1D45" w:rsidRDefault="004C5C84" w:rsidP="00BB27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Encargado del Sistema de Establecimientos DIDEDUC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B27DF"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39AC6E55" w14:textId="38E336DD" w:rsidR="0052693A" w:rsidRPr="00CA1D45" w:rsidRDefault="0031642F" w:rsidP="00A62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C84" w:rsidRPr="00CA1D45">
              <w:rPr>
                <w:rFonts w:ascii="Arial" w:hAnsi="Arial" w:cs="Arial"/>
                <w:sz w:val="22"/>
                <w:szCs w:val="22"/>
              </w:rPr>
              <w:t xml:space="preserve">la solicitud </w:t>
            </w:r>
            <w:r w:rsidR="00F908BE">
              <w:rPr>
                <w:rFonts w:ascii="Arial" w:hAnsi="Arial" w:cs="Arial"/>
                <w:sz w:val="22"/>
                <w:szCs w:val="22"/>
              </w:rPr>
              <w:t>d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>el Coordinador de Acreditamiento y Certificación DIDEDUC</w:t>
            </w:r>
            <w:r w:rsidR="004C5C84">
              <w:rPr>
                <w:rFonts w:ascii="Arial" w:hAnsi="Arial" w:cs="Arial"/>
                <w:sz w:val="22"/>
                <w:szCs w:val="22"/>
              </w:rPr>
              <w:t>.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C84">
              <w:rPr>
                <w:rFonts w:ascii="Arial" w:hAnsi="Arial" w:cs="Arial"/>
                <w:sz w:val="22"/>
                <w:szCs w:val="22"/>
              </w:rPr>
              <w:t>Revisa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4C5C84">
              <w:rPr>
                <w:rFonts w:ascii="Arial" w:hAnsi="Arial" w:cs="Arial"/>
                <w:sz w:val="22"/>
                <w:szCs w:val="22"/>
              </w:rPr>
              <w:t xml:space="preserve"> el Sistema de Establecimientos y compr</w:t>
            </w:r>
            <w:r w:rsidR="00477AFA">
              <w:rPr>
                <w:rFonts w:ascii="Arial" w:hAnsi="Arial" w:cs="Arial"/>
                <w:sz w:val="22"/>
                <w:szCs w:val="22"/>
              </w:rPr>
              <w:t>obar</w:t>
            </w:r>
            <w:r w:rsidR="004C5C84">
              <w:rPr>
                <w:rFonts w:ascii="Arial" w:hAnsi="Arial" w:cs="Arial"/>
                <w:sz w:val="22"/>
                <w:szCs w:val="22"/>
              </w:rPr>
              <w:t xml:space="preserve"> que la papelería de fin de ciclo anterior está finalizada</w:t>
            </w:r>
            <w:r w:rsidR="00604BE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C5C84">
              <w:rPr>
                <w:rFonts w:ascii="Arial" w:hAnsi="Arial" w:cs="Arial"/>
                <w:sz w:val="22"/>
                <w:szCs w:val="22"/>
              </w:rPr>
              <w:t>emit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="004C5C84">
              <w:rPr>
                <w:rFonts w:ascii="Arial" w:hAnsi="Arial" w:cs="Arial"/>
                <w:sz w:val="22"/>
                <w:szCs w:val="22"/>
              </w:rPr>
              <w:t xml:space="preserve"> dictamen técnico </w:t>
            </w:r>
            <w:r w:rsidR="00604BEF">
              <w:rPr>
                <w:rFonts w:ascii="Arial" w:hAnsi="Arial" w:cs="Arial"/>
                <w:sz w:val="22"/>
                <w:szCs w:val="22"/>
              </w:rPr>
              <w:t>correspondiente y traslada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604BEF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 w:rsidR="00604BEF" w:rsidRPr="00CA1D45">
              <w:rPr>
                <w:rFonts w:ascii="Arial" w:hAnsi="Arial" w:cs="Arial"/>
                <w:sz w:val="22"/>
                <w:szCs w:val="22"/>
              </w:rPr>
              <w:t xml:space="preserve">Unidad/Departamento </w:t>
            </w:r>
            <w:r w:rsidR="00604BEF" w:rsidRPr="00CA1D45">
              <w:rPr>
                <w:rFonts w:ascii="Arial" w:hAnsi="Arial" w:cs="Arial"/>
                <w:sz w:val="22"/>
                <w:szCs w:val="22"/>
              </w:rPr>
              <w:lastRenderedPageBreak/>
              <w:t>de Acreditamiento y Certificación de la DIDEDUC, dentro de los 5 días hábiles después de haber sido notificado.</w:t>
            </w:r>
          </w:p>
        </w:tc>
      </w:tr>
      <w:tr w:rsidR="002B0FB1" w:rsidRPr="00CA1D45" w14:paraId="4E7D0892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1594221" w14:textId="67B173A4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4AE67F" w14:textId="648CCA5B" w:rsidR="002B0FB1" w:rsidRPr="00CA1D45" w:rsidRDefault="00604BEF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C796F4E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 dictámenes y elaborar </w:t>
            </w:r>
            <w:r w:rsidR="00705F9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anteproyecto de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032FCAD7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9AFBCA8" w14:textId="5B8557FF" w:rsidR="00BA7164" w:rsidRPr="00CA1D45" w:rsidRDefault="00BA7164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7C1EBD8D" w14:textId="75E76A66" w:rsidR="002B0FB1" w:rsidRPr="00CA1D45" w:rsidRDefault="002B0FB1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 w:rsidRPr="00CA1D45">
              <w:rPr>
                <w:rFonts w:ascii="Arial" w:hAnsi="Arial" w:cs="Arial"/>
                <w:sz w:val="22"/>
                <w:szCs w:val="22"/>
              </w:rPr>
              <w:t>dictamen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técnico </w:t>
            </w:r>
            <w:r w:rsidR="00705F9C" w:rsidRPr="00CA1D45">
              <w:rPr>
                <w:rFonts w:ascii="Arial" w:hAnsi="Arial" w:cs="Arial"/>
                <w:sz w:val="22"/>
                <w:szCs w:val="22"/>
              </w:rPr>
              <w:t xml:space="preserve">emitido por </w:t>
            </w:r>
            <w:r w:rsidR="00604BEF">
              <w:rPr>
                <w:rFonts w:ascii="Arial" w:hAnsi="Arial" w:cs="Arial"/>
                <w:sz w:val="22"/>
                <w:szCs w:val="22"/>
              </w:rPr>
              <w:t>el Encargado del Sistema de Establecimientos</w:t>
            </w:r>
            <w:r w:rsidR="005E6A4B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="005E6A4B">
              <w:rPr>
                <w:rFonts w:ascii="Arial" w:hAnsi="Arial" w:cs="Arial"/>
                <w:sz w:val="22"/>
                <w:szCs w:val="22"/>
              </w:rPr>
              <w:t>Dideduc</w:t>
            </w:r>
            <w:proofErr w:type="spellEnd"/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77AFA">
              <w:rPr>
                <w:rFonts w:ascii="Arial" w:hAnsi="Arial" w:cs="Arial"/>
                <w:sz w:val="22"/>
                <w:szCs w:val="22"/>
              </w:rPr>
              <w:t>e incorporar</w:t>
            </w:r>
            <w:r w:rsidR="00993028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1A36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AE1C3D" w:rsidRPr="00CA1D45">
              <w:rPr>
                <w:rFonts w:ascii="Arial" w:hAnsi="Arial" w:cs="Arial"/>
                <w:sz w:val="22"/>
                <w:szCs w:val="22"/>
              </w:rPr>
              <w:t xml:space="preserve"> expediente. </w:t>
            </w:r>
          </w:p>
          <w:p w14:paraId="425ABD3D" w14:textId="77777777" w:rsidR="009B719F" w:rsidRPr="00CA1D45" w:rsidRDefault="009B719F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2DA07D" w14:textId="2536820B" w:rsidR="00380198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los </w:t>
            </w:r>
            <w:r w:rsidR="005E6A4B">
              <w:rPr>
                <w:rFonts w:ascii="Arial" w:hAnsi="Arial" w:cs="Arial"/>
                <w:sz w:val="22"/>
                <w:szCs w:val="22"/>
              </w:rPr>
              <w:t>dos</w:t>
            </w:r>
            <w:r>
              <w:rPr>
                <w:rFonts w:ascii="Arial" w:hAnsi="Arial" w:cs="Arial"/>
                <w:sz w:val="22"/>
                <w:szCs w:val="22"/>
              </w:rPr>
              <w:t xml:space="preserve"> dictámenes </w:t>
            </w:r>
            <w:r w:rsidRPr="005E6A4B">
              <w:rPr>
                <w:rFonts w:ascii="Arial" w:hAnsi="Arial" w:cs="Arial"/>
                <w:sz w:val="22"/>
                <w:szCs w:val="22"/>
              </w:rPr>
              <w:t>son favorables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labora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anteproyecto de resolución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y traslada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2D22F0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espacho del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respectiv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o,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n un periodo máximo de </w:t>
            </w:r>
            <w:r w:rsidR="00024393">
              <w:rPr>
                <w:rFonts w:ascii="Arial" w:hAnsi="Arial" w:cs="Arial"/>
                <w:sz w:val="22"/>
                <w:szCs w:val="22"/>
              </w:rPr>
              <w:t>3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días hábiles. </w:t>
            </w:r>
          </w:p>
          <w:p w14:paraId="507A7495" w14:textId="77777777" w:rsidR="00376AF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AA01B" w14:textId="084DCCB9" w:rsidR="00376AF5" w:rsidRPr="00CA1D4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A4B">
              <w:rPr>
                <w:rFonts w:ascii="Arial" w:hAnsi="Arial" w:cs="Arial"/>
                <w:sz w:val="22"/>
                <w:szCs w:val="22"/>
              </w:rPr>
              <w:t xml:space="preserve">Si uno de los </w:t>
            </w:r>
            <w:r w:rsidR="005E6A4B" w:rsidRPr="005E6A4B">
              <w:rPr>
                <w:rFonts w:ascii="Arial" w:hAnsi="Arial" w:cs="Arial"/>
                <w:sz w:val="22"/>
                <w:szCs w:val="22"/>
              </w:rPr>
              <w:t>dos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dictámenes es no favorable, elabora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anteproyecto de resolución no favorable y traslada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al despacho del Director Departamental de Educación para firma y sello respectivo, en un período máximo de </w:t>
            </w:r>
            <w:r w:rsidR="00024393">
              <w:rPr>
                <w:rFonts w:ascii="Arial" w:hAnsi="Arial" w:cs="Arial"/>
                <w:sz w:val="22"/>
                <w:szCs w:val="22"/>
              </w:rPr>
              <w:t>3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días hábiles.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620C7B38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2DBE9DEF" w14:textId="7ED976E8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BDABF3" w14:textId="7E3BB432" w:rsidR="002B0FB1" w:rsidRPr="00CA1D45" w:rsidRDefault="00604BEF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7B7A3FBF" w14:textId="546497B6" w:rsidR="002B0FB1" w:rsidRPr="00CA1D45" w:rsidRDefault="00380198" w:rsidP="00867D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  <w:r w:rsidR="00867DA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 y sellar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 </w:t>
            </w:r>
          </w:p>
        </w:tc>
        <w:tc>
          <w:tcPr>
            <w:tcW w:w="1112" w:type="dxa"/>
            <w:vAlign w:val="center"/>
          </w:tcPr>
          <w:p w14:paraId="1BEC849D" w14:textId="1C3641CB" w:rsidR="002B0FB1" w:rsidRPr="00CA1D45" w:rsidRDefault="00380198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867DAF" w:rsidRPr="00CA1D45">
              <w:rPr>
                <w:rFonts w:ascii="Arial" w:hAnsi="Arial" w:cs="Arial"/>
                <w:sz w:val="14"/>
                <w:szCs w:val="14"/>
              </w:rPr>
              <w:t xml:space="preserve">irector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BA8492F" w14:textId="4AEE6908" w:rsidR="002B0FB1" w:rsidRPr="00CA1D45" w:rsidRDefault="00867DAF" w:rsidP="00867D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477AFA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>revisa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>firma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y sella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resolución </w:t>
            </w:r>
            <w:r w:rsidR="00604BEF">
              <w:rPr>
                <w:rFonts w:ascii="Arial" w:hAnsi="Arial" w:cs="Arial"/>
                <w:sz w:val="22"/>
                <w:szCs w:val="22"/>
              </w:rPr>
              <w:t>correspondiente</w:t>
            </w:r>
            <w:r w:rsidR="00024393">
              <w:rPr>
                <w:rFonts w:ascii="Arial" w:hAnsi="Arial" w:cs="Arial"/>
                <w:sz w:val="22"/>
                <w:szCs w:val="22"/>
              </w:rPr>
              <w:t>, en un periodo máximo de 3 días hábiles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0FB1" w:rsidRPr="00CA1D45" w14:paraId="7BF43A06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13E009CF" w14:textId="384E531A" w:rsidR="002B0FB1" w:rsidRPr="00CA1D45" w:rsidRDefault="00C963DE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4E50459" w14:textId="6E18339D" w:rsidR="002B0FB1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autorizada</w:t>
            </w:r>
          </w:p>
        </w:tc>
        <w:tc>
          <w:tcPr>
            <w:tcW w:w="1112" w:type="dxa"/>
            <w:vAlign w:val="center"/>
          </w:tcPr>
          <w:p w14:paraId="30E47C03" w14:textId="77777777" w:rsidR="002B0FB1" w:rsidRPr="00CA1D45" w:rsidRDefault="002B0FB1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de Director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Departamental de Educación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87642FA" w14:textId="37C39B66" w:rsidR="002B0FB1" w:rsidRPr="00CA1D45" w:rsidRDefault="00022A74" w:rsidP="003D1F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 la Unidad/Departamento de Acreditamiento y Certificación de la DIDEDUC, la resolución 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firmada y sellada,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solici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ta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 xml:space="preserve"> sea notificada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en un per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í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odo máximo de 2 días hábiles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6DCA" w:rsidRPr="00CA1D45" w14:paraId="6CA7D10E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DF0DC70" w14:textId="5F875022" w:rsidR="00FA6DCA" w:rsidRPr="00CA1D45" w:rsidRDefault="00C963DE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FA6DCA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3E2EB5F1" w14:textId="77777777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C455C79" w14:textId="17B1DEF6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C9F6543" w14:textId="799C62AB" w:rsidR="00BE6DD1" w:rsidRPr="00CA1D45" w:rsidRDefault="003D1FED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Notifica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resolución favorable/no favorable, al centro educativo privado, por medio del formulario RHU-FOR-13 Cédula de </w:t>
            </w:r>
            <w:r w:rsidR="005E6A4B">
              <w:rPr>
                <w:rFonts w:ascii="Arial" w:hAnsi="Arial" w:cs="Arial"/>
                <w:sz w:val="22"/>
                <w:szCs w:val="22"/>
              </w:rPr>
              <w:t>n</w:t>
            </w:r>
            <w:r w:rsidRPr="00CA1D45">
              <w:rPr>
                <w:rFonts w:ascii="Arial" w:hAnsi="Arial" w:cs="Arial"/>
                <w:sz w:val="22"/>
                <w:szCs w:val="22"/>
              </w:rPr>
              <w:t>otificación.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Archiva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577" w:rsidRPr="00CA1D45">
              <w:rPr>
                <w:rFonts w:ascii="Arial" w:hAnsi="Arial" w:cs="Arial"/>
                <w:sz w:val="22"/>
                <w:szCs w:val="22"/>
              </w:rPr>
              <w:t>copia firmada y sellada de recibida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E5A38B" w14:textId="77777777" w:rsidR="00BE6DD1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9791B" w14:textId="1F7A1D3E" w:rsidR="00FA6DCA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Informa</w:t>
            </w:r>
            <w:r w:rsidR="00477AFA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usuario que debe tramitar el</w:t>
            </w:r>
            <w:r w:rsidR="00604BEF">
              <w:rPr>
                <w:rFonts w:ascii="Arial" w:hAnsi="Arial" w:cs="Arial"/>
                <w:sz w:val="22"/>
                <w:szCs w:val="22"/>
              </w:rPr>
              <w:t>/los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código</w:t>
            </w:r>
            <w:r w:rsidR="00604BEF">
              <w:rPr>
                <w:rFonts w:ascii="Arial" w:hAnsi="Arial" w:cs="Arial"/>
                <w:sz w:val="22"/>
                <w:szCs w:val="22"/>
              </w:rPr>
              <w:t>s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de nivel de los servicios educativos </w:t>
            </w:r>
            <w:r w:rsidR="00C963DE">
              <w:rPr>
                <w:rFonts w:ascii="Arial" w:hAnsi="Arial" w:cs="Arial"/>
                <w:sz w:val="22"/>
                <w:szCs w:val="22"/>
              </w:rPr>
              <w:t xml:space="preserve">que ya tiene </w:t>
            </w:r>
            <w:r w:rsidRPr="00CA1D45">
              <w:rPr>
                <w:rFonts w:ascii="Arial" w:hAnsi="Arial" w:cs="Arial"/>
                <w:sz w:val="22"/>
                <w:szCs w:val="22"/>
              </w:rPr>
              <w:t>autorizados según lo establecido</w:t>
            </w:r>
            <w:r w:rsidR="00FC6B9A" w:rsidRPr="00CA1D45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>la Guía de procesamiento de códigos de centros educativos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 xml:space="preserve"> publicada en el sitio Web del Ministerio de Educación</w:t>
            </w:r>
            <w:r w:rsidR="00C963DE">
              <w:rPr>
                <w:rFonts w:ascii="Arial" w:hAnsi="Arial" w:cs="Arial"/>
                <w:sz w:val="22"/>
                <w:szCs w:val="22"/>
              </w:rPr>
              <w:t>; para asociarlos al nuevo nombre del centro educativo privado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="00C963DE">
              <w:rPr>
                <w:rFonts w:ascii="Arial" w:hAnsi="Arial" w:cs="Arial"/>
                <w:sz w:val="22"/>
                <w:szCs w:val="22"/>
              </w:rPr>
              <w:t xml:space="preserve"> Asimismo, establecen la fecha en que tramitará el cierre de los códigos de nivel, del nombre anterior, al finalizar el ciclo lectivo actual.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197EF9" w14:textId="16BC9603" w:rsidR="001D2615" w:rsidRPr="00CA1D4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C672FAF" w14:textId="77777777" w:rsidR="001D2615" w:rsidRPr="00CA1D45" w:rsidRDefault="001D2615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001D5E16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CF2C88E" w14:textId="641B4055" w:rsidR="00CA1F7C" w:rsidRPr="00B3453D" w:rsidRDefault="00CA1F7C" w:rsidP="00FF627F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</w:rPr>
        <w:t>Guía de procesamiento de códigos de centros educativos</w:t>
      </w:r>
    </w:p>
    <w:p w14:paraId="4BA2C8F1" w14:textId="77777777" w:rsidR="00B3453D" w:rsidRDefault="00B3453D" w:rsidP="00B3453D">
      <w:pPr>
        <w:pStyle w:val="Encabezado"/>
        <w:tabs>
          <w:tab w:val="clear" w:pos="4252"/>
          <w:tab w:val="clear" w:pos="8504"/>
        </w:tabs>
        <w:ind w:left="1068"/>
        <w:rPr>
          <w:rFonts w:ascii="Arial" w:hAnsi="Arial" w:cs="Arial"/>
          <w:sz w:val="22"/>
          <w:szCs w:val="22"/>
          <w:lang w:val="es-GT"/>
        </w:rPr>
      </w:pPr>
    </w:p>
    <w:p w14:paraId="4CDE09BE" w14:textId="0623F821" w:rsidR="00862DDD" w:rsidRPr="00C963DE" w:rsidRDefault="00C963DE" w:rsidP="00FF627F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>FORMULARIOS</w:t>
      </w:r>
      <w:r w:rsidR="00771BEE" w:rsidRPr="00CA1D45">
        <w:rPr>
          <w:rFonts w:ascii="Arial" w:hAnsi="Arial" w:cs="Arial"/>
          <w:sz w:val="22"/>
          <w:szCs w:val="22"/>
        </w:rPr>
        <w:t>.</w:t>
      </w: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862DDD">
        <w:tc>
          <w:tcPr>
            <w:tcW w:w="267" w:type="pct"/>
          </w:tcPr>
          <w:p w14:paraId="1811F993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04A034D4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956" w:type="pct"/>
          </w:tcPr>
          <w:p w14:paraId="111753E1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862DDD" w:rsidRPr="00CA1D45" w14:paraId="2D9FEF49" w14:textId="77777777" w:rsidTr="00862DDD">
        <w:tc>
          <w:tcPr>
            <w:tcW w:w="267" w:type="pct"/>
            <w:vAlign w:val="center"/>
          </w:tcPr>
          <w:p w14:paraId="6ED5A060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47672BF" w14:textId="6BD5AD75" w:rsidR="00862DDD" w:rsidRPr="00CA1D45" w:rsidRDefault="00A83DE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</w:t>
            </w:r>
            <w:r w:rsidR="00862DDD"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</w:t>
            </w:r>
            <w:r w:rsidR="00C963DE"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  <w:r w:rsidR="00D366F6">
              <w:rPr>
                <w:rFonts w:ascii="Arial" w:hAnsi="Arial" w:cs="Arial"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956" w:type="pct"/>
          </w:tcPr>
          <w:p w14:paraId="1F1CC435" w14:textId="30CAA331" w:rsidR="00862DDD" w:rsidRPr="00CA1D45" w:rsidRDefault="005229D0" w:rsidP="00771BE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cambio de nombre.</w:t>
            </w:r>
          </w:p>
        </w:tc>
      </w:tr>
      <w:tr w:rsidR="00C963DE" w:rsidRPr="00CA1D45" w14:paraId="480460D3" w14:textId="77777777" w:rsidTr="00862DDD">
        <w:tc>
          <w:tcPr>
            <w:tcW w:w="267" w:type="pct"/>
            <w:vAlign w:val="center"/>
          </w:tcPr>
          <w:p w14:paraId="00086B99" w14:textId="0F131ECD" w:rsidR="00C963DE" w:rsidRPr="00CA1D45" w:rsidRDefault="00C963DE" w:rsidP="00C963D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77" w:type="pct"/>
            <w:vAlign w:val="center"/>
          </w:tcPr>
          <w:p w14:paraId="5E148899" w14:textId="4900383F" w:rsidR="00C963DE" w:rsidRPr="00CA1D45" w:rsidRDefault="00C963DE" w:rsidP="00C963D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RHU-FOR-13</w:t>
            </w:r>
          </w:p>
        </w:tc>
        <w:tc>
          <w:tcPr>
            <w:tcW w:w="3956" w:type="pct"/>
          </w:tcPr>
          <w:p w14:paraId="54C94261" w14:textId="287AB41C" w:rsidR="00C963DE" w:rsidRPr="00CA1D45" w:rsidRDefault="00C963DE" w:rsidP="00C963D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Cédula de notificación 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448B0" w14:textId="77777777" w:rsidR="009D508F" w:rsidRDefault="009D508F" w:rsidP="003D767C">
      <w:r>
        <w:separator/>
      </w:r>
    </w:p>
  </w:endnote>
  <w:endnote w:type="continuationSeparator" w:id="0">
    <w:p w14:paraId="4C9B9977" w14:textId="77777777" w:rsidR="009D508F" w:rsidRDefault="009D508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0E3B" w14:textId="77777777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9F976" w14:textId="77777777" w:rsidR="009D508F" w:rsidRDefault="009D508F" w:rsidP="003D767C">
      <w:r>
        <w:separator/>
      </w:r>
    </w:p>
  </w:footnote>
  <w:footnote w:type="continuationSeparator" w:id="0">
    <w:p w14:paraId="073838B1" w14:textId="77777777" w:rsidR="009D508F" w:rsidRDefault="009D508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EA61" w14:textId="199B3790" w:rsidR="009740E6" w:rsidRPr="00823A74" w:rsidRDefault="009740E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59B3C756" w:rsidR="009740E6" w:rsidRPr="00823A74" w:rsidRDefault="003B4623" w:rsidP="004F6AC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CAMBIO DE NOMBRE</w:t>
          </w:r>
          <w:r w:rsidR="00F908BE" w:rsidRPr="00EE4EE0">
            <w:rPr>
              <w:rFonts w:ascii="Arial" w:hAnsi="Arial" w:cs="Arial"/>
              <w:b/>
              <w:sz w:val="24"/>
            </w:rPr>
            <w:t xml:space="preserve"> DE</w:t>
          </w:r>
          <w:r w:rsidR="009740E6" w:rsidRPr="00EE4EE0">
            <w:rPr>
              <w:rFonts w:ascii="Arial" w:hAnsi="Arial" w:cs="Arial"/>
              <w:b/>
              <w:sz w:val="24"/>
            </w:rPr>
            <w:t xml:space="preserve"> CENTROS EDUCATIVOS PRIVADOS EN EL SUBSISTEMA ESCOLAR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3FCB90D5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CE0620">
            <w:rPr>
              <w:rFonts w:ascii="Arial" w:hAnsi="Arial" w:cs="Arial"/>
              <w:sz w:val="16"/>
            </w:rPr>
            <w:t>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7DD5F7C4" w:rsidR="009740E6" w:rsidRPr="008A404F" w:rsidRDefault="009740E6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908BE">
            <w:rPr>
              <w:rFonts w:ascii="Arial" w:hAnsi="Arial" w:cs="Arial"/>
              <w:sz w:val="16"/>
              <w:szCs w:val="16"/>
            </w:rPr>
            <w:t>CEP</w:t>
          </w:r>
          <w:r>
            <w:rPr>
              <w:rFonts w:ascii="Arial" w:hAnsi="Arial" w:cs="Arial"/>
              <w:sz w:val="16"/>
              <w:szCs w:val="16"/>
            </w:rPr>
            <w:t>-INS-</w:t>
          </w:r>
          <w:r w:rsidR="003B4623">
            <w:rPr>
              <w:rFonts w:ascii="Arial" w:hAnsi="Arial" w:cs="Arial"/>
              <w:sz w:val="16"/>
              <w:szCs w:val="16"/>
            </w:rPr>
            <w:t>11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15F61F3B" w:rsidR="009740E6" w:rsidRPr="0050481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</w:r>
          <w:r w:rsidR="00F908B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77777777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EE4EE0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EE4EE0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C3CD1" w14:textId="2EA14626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AAE"/>
    <w:multiLevelType w:val="hybridMultilevel"/>
    <w:tmpl w:val="A618867C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920AE"/>
    <w:multiLevelType w:val="hybridMultilevel"/>
    <w:tmpl w:val="DB9EC88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DD"/>
    <w:rsid w:val="000042FC"/>
    <w:rsid w:val="00007622"/>
    <w:rsid w:val="00012F49"/>
    <w:rsid w:val="0001421B"/>
    <w:rsid w:val="00022A74"/>
    <w:rsid w:val="00024393"/>
    <w:rsid w:val="00025DDB"/>
    <w:rsid w:val="00040A4D"/>
    <w:rsid w:val="0004369C"/>
    <w:rsid w:val="00043AD0"/>
    <w:rsid w:val="000474CC"/>
    <w:rsid w:val="00051689"/>
    <w:rsid w:val="00061FE8"/>
    <w:rsid w:val="000634C9"/>
    <w:rsid w:val="00063A1B"/>
    <w:rsid w:val="00067300"/>
    <w:rsid w:val="0006777F"/>
    <w:rsid w:val="00076E46"/>
    <w:rsid w:val="00084438"/>
    <w:rsid w:val="000A0FA6"/>
    <w:rsid w:val="000A3B27"/>
    <w:rsid w:val="000A4B3F"/>
    <w:rsid w:val="000A4CAA"/>
    <w:rsid w:val="000C66CA"/>
    <w:rsid w:val="000C752E"/>
    <w:rsid w:val="000D479A"/>
    <w:rsid w:val="000D4BC0"/>
    <w:rsid w:val="000E2596"/>
    <w:rsid w:val="000F7413"/>
    <w:rsid w:val="00100FAA"/>
    <w:rsid w:val="00106679"/>
    <w:rsid w:val="00115CF9"/>
    <w:rsid w:val="00116CDD"/>
    <w:rsid w:val="00120ED4"/>
    <w:rsid w:val="00122837"/>
    <w:rsid w:val="00125673"/>
    <w:rsid w:val="00125839"/>
    <w:rsid w:val="00130FE1"/>
    <w:rsid w:val="00131921"/>
    <w:rsid w:val="00132C88"/>
    <w:rsid w:val="001408D0"/>
    <w:rsid w:val="00144928"/>
    <w:rsid w:val="00151B9D"/>
    <w:rsid w:val="001534C5"/>
    <w:rsid w:val="001537B3"/>
    <w:rsid w:val="0016112F"/>
    <w:rsid w:val="0016240D"/>
    <w:rsid w:val="00166881"/>
    <w:rsid w:val="00181344"/>
    <w:rsid w:val="00181E50"/>
    <w:rsid w:val="001824C2"/>
    <w:rsid w:val="00182832"/>
    <w:rsid w:val="001829D2"/>
    <w:rsid w:val="001940D3"/>
    <w:rsid w:val="0019463A"/>
    <w:rsid w:val="00197192"/>
    <w:rsid w:val="001A05DC"/>
    <w:rsid w:val="001A7251"/>
    <w:rsid w:val="001A76B4"/>
    <w:rsid w:val="001A7F11"/>
    <w:rsid w:val="001A7FB7"/>
    <w:rsid w:val="001B1335"/>
    <w:rsid w:val="001B6434"/>
    <w:rsid w:val="001B7D66"/>
    <w:rsid w:val="001C3FD3"/>
    <w:rsid w:val="001D0CF3"/>
    <w:rsid w:val="001D2615"/>
    <w:rsid w:val="001D54CE"/>
    <w:rsid w:val="001E0E0B"/>
    <w:rsid w:val="001E1A22"/>
    <w:rsid w:val="001E1FF7"/>
    <w:rsid w:val="001E2735"/>
    <w:rsid w:val="001E4735"/>
    <w:rsid w:val="001F5119"/>
    <w:rsid w:val="00200CDA"/>
    <w:rsid w:val="00202C74"/>
    <w:rsid w:val="002054D2"/>
    <w:rsid w:val="00206774"/>
    <w:rsid w:val="002139E2"/>
    <w:rsid w:val="00217858"/>
    <w:rsid w:val="002216A8"/>
    <w:rsid w:val="0022204C"/>
    <w:rsid w:val="002228EB"/>
    <w:rsid w:val="0024191D"/>
    <w:rsid w:val="00243CB9"/>
    <w:rsid w:val="002573D6"/>
    <w:rsid w:val="002731C6"/>
    <w:rsid w:val="00273AF7"/>
    <w:rsid w:val="00275839"/>
    <w:rsid w:val="002771C7"/>
    <w:rsid w:val="00285158"/>
    <w:rsid w:val="002851EA"/>
    <w:rsid w:val="002929A9"/>
    <w:rsid w:val="0029731D"/>
    <w:rsid w:val="002977EB"/>
    <w:rsid w:val="002B0FB1"/>
    <w:rsid w:val="002B1C88"/>
    <w:rsid w:val="002C614F"/>
    <w:rsid w:val="002C710B"/>
    <w:rsid w:val="002C7A8F"/>
    <w:rsid w:val="002D11EF"/>
    <w:rsid w:val="002D22F0"/>
    <w:rsid w:val="002D3431"/>
    <w:rsid w:val="002D43FB"/>
    <w:rsid w:val="002D4871"/>
    <w:rsid w:val="002D5297"/>
    <w:rsid w:val="002D7971"/>
    <w:rsid w:val="002E75C1"/>
    <w:rsid w:val="002F4CD2"/>
    <w:rsid w:val="002F5E58"/>
    <w:rsid w:val="002F6CF4"/>
    <w:rsid w:val="00300B05"/>
    <w:rsid w:val="00304CDD"/>
    <w:rsid w:val="0030726B"/>
    <w:rsid w:val="00311542"/>
    <w:rsid w:val="0031642F"/>
    <w:rsid w:val="00325C74"/>
    <w:rsid w:val="00330DA2"/>
    <w:rsid w:val="0033518A"/>
    <w:rsid w:val="00335CBF"/>
    <w:rsid w:val="00335EBD"/>
    <w:rsid w:val="00336FF3"/>
    <w:rsid w:val="00340337"/>
    <w:rsid w:val="003408D5"/>
    <w:rsid w:val="00341D44"/>
    <w:rsid w:val="003463D6"/>
    <w:rsid w:val="00346403"/>
    <w:rsid w:val="00350DB4"/>
    <w:rsid w:val="0035708F"/>
    <w:rsid w:val="00357CF1"/>
    <w:rsid w:val="00360C36"/>
    <w:rsid w:val="00362EED"/>
    <w:rsid w:val="0037091A"/>
    <w:rsid w:val="00371013"/>
    <w:rsid w:val="003741AD"/>
    <w:rsid w:val="00375793"/>
    <w:rsid w:val="00376AF5"/>
    <w:rsid w:val="00380198"/>
    <w:rsid w:val="00384017"/>
    <w:rsid w:val="003873C6"/>
    <w:rsid w:val="00390ACF"/>
    <w:rsid w:val="003B1699"/>
    <w:rsid w:val="003B4623"/>
    <w:rsid w:val="003C15AA"/>
    <w:rsid w:val="003C294B"/>
    <w:rsid w:val="003D1FED"/>
    <w:rsid w:val="003D767C"/>
    <w:rsid w:val="003E404C"/>
    <w:rsid w:val="003F26D0"/>
    <w:rsid w:val="003F3CE2"/>
    <w:rsid w:val="003F7F93"/>
    <w:rsid w:val="00401D31"/>
    <w:rsid w:val="00403C2D"/>
    <w:rsid w:val="00411A36"/>
    <w:rsid w:val="00420F00"/>
    <w:rsid w:val="00422E81"/>
    <w:rsid w:val="00423758"/>
    <w:rsid w:val="004251A7"/>
    <w:rsid w:val="004305F6"/>
    <w:rsid w:val="004457B5"/>
    <w:rsid w:val="004568B4"/>
    <w:rsid w:val="00461C66"/>
    <w:rsid w:val="00462D79"/>
    <w:rsid w:val="00473F15"/>
    <w:rsid w:val="00477AFA"/>
    <w:rsid w:val="00485FAF"/>
    <w:rsid w:val="00493988"/>
    <w:rsid w:val="00494C45"/>
    <w:rsid w:val="0049580A"/>
    <w:rsid w:val="00495CA0"/>
    <w:rsid w:val="004A5E1A"/>
    <w:rsid w:val="004A7732"/>
    <w:rsid w:val="004B28F0"/>
    <w:rsid w:val="004B7400"/>
    <w:rsid w:val="004C0F5C"/>
    <w:rsid w:val="004C5C84"/>
    <w:rsid w:val="004D64A4"/>
    <w:rsid w:val="004E2A63"/>
    <w:rsid w:val="004E7021"/>
    <w:rsid w:val="004E74B2"/>
    <w:rsid w:val="004F389D"/>
    <w:rsid w:val="004F4087"/>
    <w:rsid w:val="004F5EDE"/>
    <w:rsid w:val="004F6AC5"/>
    <w:rsid w:val="0050558E"/>
    <w:rsid w:val="00515D5B"/>
    <w:rsid w:val="0052264F"/>
    <w:rsid w:val="005229D0"/>
    <w:rsid w:val="005238D4"/>
    <w:rsid w:val="0052693A"/>
    <w:rsid w:val="00527192"/>
    <w:rsid w:val="0052735D"/>
    <w:rsid w:val="00527545"/>
    <w:rsid w:val="00532D41"/>
    <w:rsid w:val="00544E6F"/>
    <w:rsid w:val="005534C5"/>
    <w:rsid w:val="00560641"/>
    <w:rsid w:val="005647D2"/>
    <w:rsid w:val="00574B45"/>
    <w:rsid w:val="00575153"/>
    <w:rsid w:val="00576B41"/>
    <w:rsid w:val="0058064D"/>
    <w:rsid w:val="00590582"/>
    <w:rsid w:val="00593A16"/>
    <w:rsid w:val="005A1E82"/>
    <w:rsid w:val="005A212E"/>
    <w:rsid w:val="005A5B96"/>
    <w:rsid w:val="005E35D1"/>
    <w:rsid w:val="005E6A4B"/>
    <w:rsid w:val="005F17FB"/>
    <w:rsid w:val="005F1836"/>
    <w:rsid w:val="005F3933"/>
    <w:rsid w:val="005F6DD1"/>
    <w:rsid w:val="005F7577"/>
    <w:rsid w:val="006034AC"/>
    <w:rsid w:val="00604BEF"/>
    <w:rsid w:val="00612068"/>
    <w:rsid w:val="00612C67"/>
    <w:rsid w:val="00615631"/>
    <w:rsid w:val="00616EEB"/>
    <w:rsid w:val="0062186D"/>
    <w:rsid w:val="00623E0F"/>
    <w:rsid w:val="0063123E"/>
    <w:rsid w:val="00631714"/>
    <w:rsid w:val="006354AE"/>
    <w:rsid w:val="0064131B"/>
    <w:rsid w:val="00651322"/>
    <w:rsid w:val="00651503"/>
    <w:rsid w:val="00652E7F"/>
    <w:rsid w:val="0065530A"/>
    <w:rsid w:val="00663F71"/>
    <w:rsid w:val="0066615A"/>
    <w:rsid w:val="006670D2"/>
    <w:rsid w:val="0067158D"/>
    <w:rsid w:val="0067323E"/>
    <w:rsid w:val="006779B3"/>
    <w:rsid w:val="00680E60"/>
    <w:rsid w:val="00684BF0"/>
    <w:rsid w:val="00686226"/>
    <w:rsid w:val="00691C41"/>
    <w:rsid w:val="006A1690"/>
    <w:rsid w:val="006A47ED"/>
    <w:rsid w:val="006A73CE"/>
    <w:rsid w:val="006B0823"/>
    <w:rsid w:val="006B3465"/>
    <w:rsid w:val="006C1ABA"/>
    <w:rsid w:val="006D224E"/>
    <w:rsid w:val="006D4675"/>
    <w:rsid w:val="006D551B"/>
    <w:rsid w:val="006D705D"/>
    <w:rsid w:val="006E4F32"/>
    <w:rsid w:val="006E622B"/>
    <w:rsid w:val="006F396D"/>
    <w:rsid w:val="006F46D4"/>
    <w:rsid w:val="006F4C48"/>
    <w:rsid w:val="0070071D"/>
    <w:rsid w:val="0070117B"/>
    <w:rsid w:val="0070180F"/>
    <w:rsid w:val="00705F9C"/>
    <w:rsid w:val="00711303"/>
    <w:rsid w:val="00715087"/>
    <w:rsid w:val="00716CFD"/>
    <w:rsid w:val="007174E8"/>
    <w:rsid w:val="0071756E"/>
    <w:rsid w:val="007221C4"/>
    <w:rsid w:val="00726245"/>
    <w:rsid w:val="0073039E"/>
    <w:rsid w:val="00731E39"/>
    <w:rsid w:val="00731F4F"/>
    <w:rsid w:val="00732FEC"/>
    <w:rsid w:val="007343BA"/>
    <w:rsid w:val="007379D5"/>
    <w:rsid w:val="00747FC1"/>
    <w:rsid w:val="00756D12"/>
    <w:rsid w:val="00756DA7"/>
    <w:rsid w:val="00760AED"/>
    <w:rsid w:val="00763DAD"/>
    <w:rsid w:val="0076437F"/>
    <w:rsid w:val="00770B26"/>
    <w:rsid w:val="00771BEE"/>
    <w:rsid w:val="00773FD9"/>
    <w:rsid w:val="007814C1"/>
    <w:rsid w:val="00784C64"/>
    <w:rsid w:val="00786110"/>
    <w:rsid w:val="00791420"/>
    <w:rsid w:val="007979D2"/>
    <w:rsid w:val="007A0B98"/>
    <w:rsid w:val="007A2CC7"/>
    <w:rsid w:val="007B1B57"/>
    <w:rsid w:val="007C12C9"/>
    <w:rsid w:val="007C1490"/>
    <w:rsid w:val="007C2281"/>
    <w:rsid w:val="007C2A60"/>
    <w:rsid w:val="007D3090"/>
    <w:rsid w:val="007E31EC"/>
    <w:rsid w:val="007E77A3"/>
    <w:rsid w:val="007F0865"/>
    <w:rsid w:val="007F67E1"/>
    <w:rsid w:val="00800721"/>
    <w:rsid w:val="00805035"/>
    <w:rsid w:val="00806A44"/>
    <w:rsid w:val="00817218"/>
    <w:rsid w:val="008175CD"/>
    <w:rsid w:val="00821EA2"/>
    <w:rsid w:val="00823A74"/>
    <w:rsid w:val="00834360"/>
    <w:rsid w:val="0084009C"/>
    <w:rsid w:val="008457CA"/>
    <w:rsid w:val="00846970"/>
    <w:rsid w:val="00851892"/>
    <w:rsid w:val="0085219F"/>
    <w:rsid w:val="00862DDD"/>
    <w:rsid w:val="008662EC"/>
    <w:rsid w:val="00866B41"/>
    <w:rsid w:val="00866CF3"/>
    <w:rsid w:val="00867DAF"/>
    <w:rsid w:val="00876104"/>
    <w:rsid w:val="008762BD"/>
    <w:rsid w:val="00880B9E"/>
    <w:rsid w:val="00887B4A"/>
    <w:rsid w:val="008A34D0"/>
    <w:rsid w:val="008A404F"/>
    <w:rsid w:val="008A6CAB"/>
    <w:rsid w:val="008A704C"/>
    <w:rsid w:val="008A786E"/>
    <w:rsid w:val="008B4A30"/>
    <w:rsid w:val="008B6D5E"/>
    <w:rsid w:val="008C02A7"/>
    <w:rsid w:val="008C375B"/>
    <w:rsid w:val="008C4D30"/>
    <w:rsid w:val="008C5FEC"/>
    <w:rsid w:val="008C7C7E"/>
    <w:rsid w:val="008D148B"/>
    <w:rsid w:val="008D248A"/>
    <w:rsid w:val="008D7D99"/>
    <w:rsid w:val="008E25B6"/>
    <w:rsid w:val="0090350D"/>
    <w:rsid w:val="00904885"/>
    <w:rsid w:val="009100E2"/>
    <w:rsid w:val="00911141"/>
    <w:rsid w:val="00922F4E"/>
    <w:rsid w:val="009235BE"/>
    <w:rsid w:val="009275F8"/>
    <w:rsid w:val="009278B5"/>
    <w:rsid w:val="00930271"/>
    <w:rsid w:val="00931FF5"/>
    <w:rsid w:val="00935F0A"/>
    <w:rsid w:val="00944A9F"/>
    <w:rsid w:val="009525BE"/>
    <w:rsid w:val="00953D18"/>
    <w:rsid w:val="0095660D"/>
    <w:rsid w:val="00960ED9"/>
    <w:rsid w:val="00966B92"/>
    <w:rsid w:val="00966D61"/>
    <w:rsid w:val="00967D84"/>
    <w:rsid w:val="00973108"/>
    <w:rsid w:val="009740E6"/>
    <w:rsid w:val="009745F6"/>
    <w:rsid w:val="00974E63"/>
    <w:rsid w:val="00975594"/>
    <w:rsid w:val="00977361"/>
    <w:rsid w:val="009873AB"/>
    <w:rsid w:val="00990E67"/>
    <w:rsid w:val="00993028"/>
    <w:rsid w:val="0099404A"/>
    <w:rsid w:val="0099525E"/>
    <w:rsid w:val="00997308"/>
    <w:rsid w:val="009A4EBD"/>
    <w:rsid w:val="009A6E93"/>
    <w:rsid w:val="009B1B55"/>
    <w:rsid w:val="009B63C5"/>
    <w:rsid w:val="009B719F"/>
    <w:rsid w:val="009B7E30"/>
    <w:rsid w:val="009C7676"/>
    <w:rsid w:val="009D508F"/>
    <w:rsid w:val="009E01CF"/>
    <w:rsid w:val="009E0B3B"/>
    <w:rsid w:val="009E1412"/>
    <w:rsid w:val="009E3088"/>
    <w:rsid w:val="009F1E32"/>
    <w:rsid w:val="009F3214"/>
    <w:rsid w:val="009F53DF"/>
    <w:rsid w:val="009F6DC7"/>
    <w:rsid w:val="00A04745"/>
    <w:rsid w:val="00A05708"/>
    <w:rsid w:val="00A128E6"/>
    <w:rsid w:val="00A12A69"/>
    <w:rsid w:val="00A133BA"/>
    <w:rsid w:val="00A15FAB"/>
    <w:rsid w:val="00A17A0B"/>
    <w:rsid w:val="00A22D6B"/>
    <w:rsid w:val="00A36658"/>
    <w:rsid w:val="00A41D2A"/>
    <w:rsid w:val="00A434FF"/>
    <w:rsid w:val="00A4369C"/>
    <w:rsid w:val="00A44898"/>
    <w:rsid w:val="00A46269"/>
    <w:rsid w:val="00A60FC0"/>
    <w:rsid w:val="00A62428"/>
    <w:rsid w:val="00A6732B"/>
    <w:rsid w:val="00A77EE5"/>
    <w:rsid w:val="00A83DED"/>
    <w:rsid w:val="00A84022"/>
    <w:rsid w:val="00A8402A"/>
    <w:rsid w:val="00A96683"/>
    <w:rsid w:val="00AB05E7"/>
    <w:rsid w:val="00AB5587"/>
    <w:rsid w:val="00AE12F7"/>
    <w:rsid w:val="00AE1C3D"/>
    <w:rsid w:val="00AE273D"/>
    <w:rsid w:val="00AE3B13"/>
    <w:rsid w:val="00AE4E9E"/>
    <w:rsid w:val="00AF47B0"/>
    <w:rsid w:val="00B11800"/>
    <w:rsid w:val="00B21C90"/>
    <w:rsid w:val="00B21CE2"/>
    <w:rsid w:val="00B227E0"/>
    <w:rsid w:val="00B22E5D"/>
    <w:rsid w:val="00B235A9"/>
    <w:rsid w:val="00B3453D"/>
    <w:rsid w:val="00B34783"/>
    <w:rsid w:val="00B36D08"/>
    <w:rsid w:val="00B3758A"/>
    <w:rsid w:val="00B37E9E"/>
    <w:rsid w:val="00B4368C"/>
    <w:rsid w:val="00B470C7"/>
    <w:rsid w:val="00B5694C"/>
    <w:rsid w:val="00B61DFF"/>
    <w:rsid w:val="00B626AD"/>
    <w:rsid w:val="00B63C75"/>
    <w:rsid w:val="00B65D60"/>
    <w:rsid w:val="00B71583"/>
    <w:rsid w:val="00B73B40"/>
    <w:rsid w:val="00B73FB8"/>
    <w:rsid w:val="00B75256"/>
    <w:rsid w:val="00B75A9D"/>
    <w:rsid w:val="00B77BB0"/>
    <w:rsid w:val="00B859ED"/>
    <w:rsid w:val="00BA0876"/>
    <w:rsid w:val="00BA0BD5"/>
    <w:rsid w:val="00BA7164"/>
    <w:rsid w:val="00BB27DF"/>
    <w:rsid w:val="00BB3306"/>
    <w:rsid w:val="00BB531A"/>
    <w:rsid w:val="00BB6524"/>
    <w:rsid w:val="00BC3128"/>
    <w:rsid w:val="00BC3750"/>
    <w:rsid w:val="00BC47C8"/>
    <w:rsid w:val="00BD1889"/>
    <w:rsid w:val="00BE2F1A"/>
    <w:rsid w:val="00BE5233"/>
    <w:rsid w:val="00BE6DD1"/>
    <w:rsid w:val="00BF2253"/>
    <w:rsid w:val="00BF4B4C"/>
    <w:rsid w:val="00BF6423"/>
    <w:rsid w:val="00BF7FAF"/>
    <w:rsid w:val="00C0118B"/>
    <w:rsid w:val="00C07B5E"/>
    <w:rsid w:val="00C136BE"/>
    <w:rsid w:val="00C13736"/>
    <w:rsid w:val="00C150D5"/>
    <w:rsid w:val="00C16B07"/>
    <w:rsid w:val="00C201C3"/>
    <w:rsid w:val="00C24B62"/>
    <w:rsid w:val="00C27418"/>
    <w:rsid w:val="00C27D69"/>
    <w:rsid w:val="00C4320E"/>
    <w:rsid w:val="00C43574"/>
    <w:rsid w:val="00C43D70"/>
    <w:rsid w:val="00C51858"/>
    <w:rsid w:val="00C66713"/>
    <w:rsid w:val="00C66972"/>
    <w:rsid w:val="00C73F5F"/>
    <w:rsid w:val="00C75357"/>
    <w:rsid w:val="00C76238"/>
    <w:rsid w:val="00C80234"/>
    <w:rsid w:val="00C805AE"/>
    <w:rsid w:val="00C8620C"/>
    <w:rsid w:val="00C942B4"/>
    <w:rsid w:val="00C963DE"/>
    <w:rsid w:val="00C96B58"/>
    <w:rsid w:val="00CA1D45"/>
    <w:rsid w:val="00CA1F7C"/>
    <w:rsid w:val="00CA2E63"/>
    <w:rsid w:val="00CA33B6"/>
    <w:rsid w:val="00CA62CB"/>
    <w:rsid w:val="00CC1034"/>
    <w:rsid w:val="00CD08B6"/>
    <w:rsid w:val="00CD0B5E"/>
    <w:rsid w:val="00CD485C"/>
    <w:rsid w:val="00CD4C9D"/>
    <w:rsid w:val="00CE0620"/>
    <w:rsid w:val="00CE52BD"/>
    <w:rsid w:val="00D02969"/>
    <w:rsid w:val="00D178C6"/>
    <w:rsid w:val="00D203EB"/>
    <w:rsid w:val="00D20C20"/>
    <w:rsid w:val="00D21666"/>
    <w:rsid w:val="00D22771"/>
    <w:rsid w:val="00D23009"/>
    <w:rsid w:val="00D366F6"/>
    <w:rsid w:val="00D37A1D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4013"/>
    <w:rsid w:val="00D75597"/>
    <w:rsid w:val="00D852D8"/>
    <w:rsid w:val="00D914D8"/>
    <w:rsid w:val="00D97C53"/>
    <w:rsid w:val="00DA0154"/>
    <w:rsid w:val="00DA0498"/>
    <w:rsid w:val="00DA0EEC"/>
    <w:rsid w:val="00DA54C9"/>
    <w:rsid w:val="00DB0E0C"/>
    <w:rsid w:val="00DB2952"/>
    <w:rsid w:val="00DB2CD2"/>
    <w:rsid w:val="00DB366B"/>
    <w:rsid w:val="00DB4A16"/>
    <w:rsid w:val="00DB4B48"/>
    <w:rsid w:val="00DB5847"/>
    <w:rsid w:val="00DB5886"/>
    <w:rsid w:val="00DC393D"/>
    <w:rsid w:val="00DD22CD"/>
    <w:rsid w:val="00DD424B"/>
    <w:rsid w:val="00DD5F4F"/>
    <w:rsid w:val="00DD77A7"/>
    <w:rsid w:val="00DD7C5F"/>
    <w:rsid w:val="00DE046E"/>
    <w:rsid w:val="00DE56D0"/>
    <w:rsid w:val="00DE5FC1"/>
    <w:rsid w:val="00DE66DF"/>
    <w:rsid w:val="00DE75EB"/>
    <w:rsid w:val="00DF2AEB"/>
    <w:rsid w:val="00E014EA"/>
    <w:rsid w:val="00E027AC"/>
    <w:rsid w:val="00E035C5"/>
    <w:rsid w:val="00E1699E"/>
    <w:rsid w:val="00E16FB7"/>
    <w:rsid w:val="00E22B1B"/>
    <w:rsid w:val="00E309C9"/>
    <w:rsid w:val="00E36ADE"/>
    <w:rsid w:val="00E4041F"/>
    <w:rsid w:val="00E42E38"/>
    <w:rsid w:val="00E52128"/>
    <w:rsid w:val="00E62DA4"/>
    <w:rsid w:val="00E706A9"/>
    <w:rsid w:val="00E72995"/>
    <w:rsid w:val="00E76A80"/>
    <w:rsid w:val="00E831A5"/>
    <w:rsid w:val="00E859D5"/>
    <w:rsid w:val="00E85E31"/>
    <w:rsid w:val="00E870A0"/>
    <w:rsid w:val="00E90D02"/>
    <w:rsid w:val="00E90FE1"/>
    <w:rsid w:val="00E97F48"/>
    <w:rsid w:val="00EA459C"/>
    <w:rsid w:val="00EA6F7A"/>
    <w:rsid w:val="00EB36F5"/>
    <w:rsid w:val="00EC73D2"/>
    <w:rsid w:val="00ED3CB4"/>
    <w:rsid w:val="00ED5EA2"/>
    <w:rsid w:val="00ED6E46"/>
    <w:rsid w:val="00ED7B2B"/>
    <w:rsid w:val="00EE0791"/>
    <w:rsid w:val="00EE4741"/>
    <w:rsid w:val="00EE4EE0"/>
    <w:rsid w:val="00EF245A"/>
    <w:rsid w:val="00EF3C7A"/>
    <w:rsid w:val="00EF7A7C"/>
    <w:rsid w:val="00F077CF"/>
    <w:rsid w:val="00F13529"/>
    <w:rsid w:val="00F149EE"/>
    <w:rsid w:val="00F1643C"/>
    <w:rsid w:val="00F170A9"/>
    <w:rsid w:val="00F23DEC"/>
    <w:rsid w:val="00F23E49"/>
    <w:rsid w:val="00F25E2A"/>
    <w:rsid w:val="00F26D89"/>
    <w:rsid w:val="00F3115E"/>
    <w:rsid w:val="00F37D3C"/>
    <w:rsid w:val="00F43971"/>
    <w:rsid w:val="00F46B1B"/>
    <w:rsid w:val="00F47170"/>
    <w:rsid w:val="00F6085F"/>
    <w:rsid w:val="00F7034F"/>
    <w:rsid w:val="00F76A03"/>
    <w:rsid w:val="00F80C89"/>
    <w:rsid w:val="00F80F5C"/>
    <w:rsid w:val="00F84485"/>
    <w:rsid w:val="00F908BE"/>
    <w:rsid w:val="00F92175"/>
    <w:rsid w:val="00FA184B"/>
    <w:rsid w:val="00FA6DCA"/>
    <w:rsid w:val="00FA7F6D"/>
    <w:rsid w:val="00FB4DF4"/>
    <w:rsid w:val="00FB56FA"/>
    <w:rsid w:val="00FB7DBC"/>
    <w:rsid w:val="00FB7F2C"/>
    <w:rsid w:val="00FC2956"/>
    <w:rsid w:val="00FC32C8"/>
    <w:rsid w:val="00FC3B34"/>
    <w:rsid w:val="00FC50F5"/>
    <w:rsid w:val="00FC66E1"/>
    <w:rsid w:val="00FC6B9A"/>
    <w:rsid w:val="00FD399E"/>
    <w:rsid w:val="00FD56CB"/>
    <w:rsid w:val="00FD62E7"/>
    <w:rsid w:val="00FD77A4"/>
    <w:rsid w:val="00FE1269"/>
    <w:rsid w:val="00FE2F9C"/>
    <w:rsid w:val="00FE5403"/>
    <w:rsid w:val="00FE57D2"/>
    <w:rsid w:val="00FE78D3"/>
    <w:rsid w:val="00FF0596"/>
    <w:rsid w:val="00FF1E4C"/>
    <w:rsid w:val="00FF2B8A"/>
    <w:rsid w:val="00FF3144"/>
    <w:rsid w:val="00FF5C7B"/>
    <w:rsid w:val="00FF627F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">
    <w:name w:val="paragraph"/>
    <w:basedOn w:val="Normal"/>
    <w:rsid w:val="003B4623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customStyle="1" w:styleId="normaltextrun">
    <w:name w:val="normaltextrun"/>
    <w:basedOn w:val="Fuentedeprrafopredeter"/>
    <w:rsid w:val="003B4623"/>
  </w:style>
  <w:style w:type="character" w:customStyle="1" w:styleId="findhit">
    <w:name w:val="findhit"/>
    <w:basedOn w:val="Fuentedeprrafopredeter"/>
    <w:rsid w:val="003B4623"/>
  </w:style>
  <w:style w:type="character" w:customStyle="1" w:styleId="eop">
    <w:name w:val="eop"/>
    <w:basedOn w:val="Fuentedeprrafopredeter"/>
    <w:rsid w:val="003B4623"/>
  </w:style>
  <w:style w:type="paragraph" w:styleId="Revisin">
    <w:name w:val="Revision"/>
    <w:hidden/>
    <w:uiPriority w:val="99"/>
    <w:semiHidden/>
    <w:rsid w:val="00AE273D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46BA-50E8-4C18-94B1-FB70C775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0</TotalTime>
  <Pages>3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Sergio Alejandro Reyes Marroquin</cp:lastModifiedBy>
  <cp:revision>2</cp:revision>
  <cp:lastPrinted>2021-09-28T14:50:00Z</cp:lastPrinted>
  <dcterms:created xsi:type="dcterms:W3CDTF">2022-07-27T10:29:00Z</dcterms:created>
  <dcterms:modified xsi:type="dcterms:W3CDTF">2022-07-27T10:29:00Z</dcterms:modified>
</cp:coreProperties>
</file>