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2DA" w:rsidRDefault="004770D6">
      <w:pPr>
        <w:spacing w:before="71" w:line="290" w:lineRule="auto"/>
        <w:ind w:left="4439" w:right="2838" w:hanging="378"/>
        <w:rPr>
          <w:b/>
          <w:sz w:val="24"/>
        </w:rPr>
      </w:pPr>
      <w:bookmarkStart w:id="0" w:name="_GoBack"/>
      <w:bookmarkEnd w:id="0"/>
      <w:r>
        <w:rPr>
          <w:b/>
          <w:sz w:val="24"/>
        </w:rPr>
        <w:t>MINISTERIO DE EDUCACIÓN AUDITORIA INTERNA CUA No.:107535</w:t>
      </w: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7822DA">
      <w:pPr>
        <w:pStyle w:val="Textoindependiente"/>
        <w:rPr>
          <w:b/>
          <w:sz w:val="26"/>
        </w:rPr>
      </w:pPr>
    </w:p>
    <w:p w:rsidR="007822DA" w:rsidRDefault="004770D6">
      <w:pPr>
        <w:spacing w:before="185" w:line="340" w:lineRule="auto"/>
        <w:ind w:left="3767" w:right="2565" w:hanging="2"/>
        <w:jc w:val="center"/>
        <w:rPr>
          <w:b/>
          <w:sz w:val="24"/>
        </w:rPr>
      </w:pPr>
      <w:r>
        <w:rPr>
          <w:b/>
          <w:sz w:val="24"/>
        </w:rPr>
        <w:t>MINISTERIO DE EDUCACIÓN ACTIVIDADES ADMINISTRATIVAS</w:t>
      </w:r>
    </w:p>
    <w:p w:rsidR="007822DA" w:rsidRDefault="004770D6">
      <w:pPr>
        <w:spacing w:before="3" w:line="290" w:lineRule="auto"/>
        <w:ind w:left="2273" w:right="1082" w:firstLine="6"/>
        <w:jc w:val="center"/>
        <w:rPr>
          <w:b/>
          <w:sz w:val="24"/>
        </w:rPr>
      </w:pPr>
      <w:r>
        <w:rPr>
          <w:b/>
          <w:sz w:val="24"/>
        </w:rPr>
        <w:t>Auditoría administrativa de primer seguimiento a las recomendaciones emitidas por la Contraloría General de Cuentas, al informe de la Auditoría de Cumplimiento con Seguridad Limitada, por el período del 01 de enero de 2019 al</w:t>
      </w:r>
      <w:r>
        <w:rPr>
          <w:b/>
          <w:spacing w:val="-5"/>
          <w:sz w:val="24"/>
        </w:rPr>
        <w:t xml:space="preserve"> </w:t>
      </w:r>
      <w:r>
        <w:rPr>
          <w:b/>
          <w:sz w:val="24"/>
        </w:rPr>
        <w:t>11</w:t>
      </w:r>
      <w:r>
        <w:rPr>
          <w:b/>
          <w:spacing w:val="-4"/>
          <w:sz w:val="24"/>
        </w:rPr>
        <w:t xml:space="preserve"> </w:t>
      </w:r>
      <w:r>
        <w:rPr>
          <w:b/>
          <w:sz w:val="24"/>
        </w:rPr>
        <w:t>de</w:t>
      </w:r>
      <w:r>
        <w:rPr>
          <w:b/>
          <w:spacing w:val="-5"/>
          <w:sz w:val="24"/>
        </w:rPr>
        <w:t xml:space="preserve"> </w:t>
      </w:r>
      <w:r>
        <w:rPr>
          <w:b/>
          <w:sz w:val="24"/>
        </w:rPr>
        <w:t>junio</w:t>
      </w:r>
      <w:r>
        <w:rPr>
          <w:b/>
          <w:spacing w:val="-4"/>
          <w:sz w:val="24"/>
        </w:rPr>
        <w:t xml:space="preserve"> </w:t>
      </w:r>
      <w:r>
        <w:rPr>
          <w:b/>
          <w:sz w:val="24"/>
        </w:rPr>
        <w:t>de</w:t>
      </w:r>
      <w:r>
        <w:rPr>
          <w:b/>
          <w:spacing w:val="-4"/>
          <w:sz w:val="24"/>
        </w:rPr>
        <w:t xml:space="preserve"> </w:t>
      </w:r>
      <w:r>
        <w:rPr>
          <w:b/>
          <w:sz w:val="24"/>
        </w:rPr>
        <w:t>2020,</w:t>
      </w:r>
      <w:r>
        <w:rPr>
          <w:b/>
          <w:spacing w:val="-5"/>
          <w:sz w:val="24"/>
        </w:rPr>
        <w:t xml:space="preserve"> </w:t>
      </w:r>
      <w:r>
        <w:rPr>
          <w:b/>
          <w:sz w:val="24"/>
        </w:rPr>
        <w:t>en</w:t>
      </w:r>
      <w:r>
        <w:rPr>
          <w:b/>
          <w:spacing w:val="-4"/>
          <w:sz w:val="24"/>
        </w:rPr>
        <w:t xml:space="preserve"> </w:t>
      </w:r>
      <w:r>
        <w:rPr>
          <w:b/>
          <w:sz w:val="24"/>
        </w:rPr>
        <w:t>la</w:t>
      </w:r>
      <w:r>
        <w:rPr>
          <w:b/>
          <w:spacing w:val="-4"/>
          <w:sz w:val="24"/>
        </w:rPr>
        <w:t xml:space="preserve"> </w:t>
      </w:r>
      <w:r>
        <w:rPr>
          <w:b/>
          <w:sz w:val="24"/>
        </w:rPr>
        <w:t>Dir</w:t>
      </w:r>
      <w:r>
        <w:rPr>
          <w:b/>
          <w:sz w:val="24"/>
        </w:rPr>
        <w:t>ección</w:t>
      </w:r>
      <w:r>
        <w:rPr>
          <w:b/>
          <w:spacing w:val="-5"/>
          <w:sz w:val="24"/>
        </w:rPr>
        <w:t xml:space="preserve"> </w:t>
      </w:r>
      <w:r>
        <w:rPr>
          <w:b/>
          <w:sz w:val="24"/>
        </w:rPr>
        <w:t>General</w:t>
      </w:r>
      <w:r>
        <w:rPr>
          <w:b/>
          <w:spacing w:val="-4"/>
          <w:sz w:val="24"/>
        </w:rPr>
        <w:t xml:space="preserve"> </w:t>
      </w:r>
      <w:r>
        <w:rPr>
          <w:b/>
          <w:sz w:val="24"/>
        </w:rPr>
        <w:t>de</w:t>
      </w:r>
      <w:r>
        <w:rPr>
          <w:b/>
          <w:spacing w:val="-5"/>
          <w:sz w:val="24"/>
        </w:rPr>
        <w:t xml:space="preserve"> </w:t>
      </w:r>
      <w:r>
        <w:rPr>
          <w:b/>
          <w:sz w:val="24"/>
        </w:rPr>
        <w:t>Educación Física</w:t>
      </w:r>
      <w:r>
        <w:rPr>
          <w:b/>
          <w:spacing w:val="-2"/>
          <w:sz w:val="24"/>
        </w:rPr>
        <w:t xml:space="preserve"> </w:t>
      </w:r>
      <w:r>
        <w:rPr>
          <w:b/>
          <w:sz w:val="24"/>
        </w:rPr>
        <w:t>-DIGEF-.</w:t>
      </w: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rPr>
          <w:b/>
          <w:sz w:val="20"/>
        </w:rPr>
      </w:pPr>
    </w:p>
    <w:p w:rsidR="007822DA" w:rsidRDefault="007822DA">
      <w:pPr>
        <w:pStyle w:val="Textoindependiente"/>
        <w:spacing w:before="7"/>
        <w:rPr>
          <w:b/>
          <w:sz w:val="17"/>
        </w:rPr>
      </w:pPr>
    </w:p>
    <w:p w:rsidR="007822DA" w:rsidRDefault="004770D6">
      <w:pPr>
        <w:spacing w:before="93"/>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100531</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MARZO DE 2021</w:t>
      </w:r>
    </w:p>
    <w:p w:rsidR="007822DA" w:rsidRDefault="007822DA">
      <w:pPr>
        <w:rPr>
          <w:sz w:val="24"/>
        </w:rPr>
        <w:sectPr w:rsidR="007822DA">
          <w:type w:val="continuous"/>
          <w:pgSz w:w="12240" w:h="15840"/>
          <w:pgMar w:top="1080" w:right="1600" w:bottom="0" w:left="400" w:header="720" w:footer="720" w:gutter="0"/>
          <w:cols w:space="720"/>
        </w:sectPr>
      </w:pPr>
    </w:p>
    <w:p w:rsidR="007822DA" w:rsidRDefault="004770D6">
      <w:pPr>
        <w:spacing w:before="71"/>
        <w:ind w:left="4938" w:right="4447"/>
        <w:jc w:val="center"/>
        <w:rPr>
          <w:b/>
          <w:sz w:val="24"/>
        </w:rPr>
      </w:pPr>
      <w:r>
        <w:rPr>
          <w:b/>
          <w:sz w:val="24"/>
        </w:rPr>
        <w:lastRenderedPageBreak/>
        <w:t>INDICE</w:t>
      </w:r>
    </w:p>
    <w:sdt>
      <w:sdtPr>
        <w:id w:val="-1703470316"/>
        <w:docPartObj>
          <w:docPartGallery w:val="Table of Contents"/>
          <w:docPartUnique/>
        </w:docPartObj>
      </w:sdtPr>
      <w:sdtEndPr/>
      <w:sdtContent>
        <w:p w:rsidR="007822DA" w:rsidRDefault="004770D6">
          <w:pPr>
            <w:pStyle w:val="TDC1"/>
            <w:tabs>
              <w:tab w:val="right" w:pos="9427"/>
            </w:tabs>
            <w:spacing w:before="741"/>
            <w:rPr>
              <w:b w:val="0"/>
            </w:rPr>
          </w:pPr>
          <w:hyperlink w:anchor="_TOC_250003" w:history="1">
            <w:r>
              <w:t>INTRODUCCION</w:t>
            </w:r>
            <w:r>
              <w:tab/>
            </w:r>
            <w:r>
              <w:rPr>
                <w:b w:val="0"/>
                <w:position w:val="-3"/>
              </w:rPr>
              <w:t>1</w:t>
            </w:r>
          </w:hyperlink>
        </w:p>
        <w:p w:rsidR="007822DA" w:rsidRDefault="004770D6">
          <w:pPr>
            <w:pStyle w:val="TDC1"/>
            <w:tabs>
              <w:tab w:val="right" w:pos="9427"/>
            </w:tabs>
            <w:rPr>
              <w:b w:val="0"/>
            </w:rPr>
          </w:pPr>
          <w:r>
            <w:t>OBJETIVOS</w:t>
          </w:r>
          <w:r>
            <w:tab/>
          </w:r>
          <w:r>
            <w:rPr>
              <w:b w:val="0"/>
              <w:position w:val="-3"/>
            </w:rPr>
            <w:t>1</w:t>
          </w:r>
        </w:p>
        <w:p w:rsidR="007822DA" w:rsidRDefault="004770D6">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7822DA" w:rsidRDefault="004770D6">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7822DA" w:rsidRDefault="004770D6">
          <w:pPr>
            <w:pStyle w:val="TDC1"/>
            <w:tabs>
              <w:tab w:val="right" w:pos="9427"/>
            </w:tabs>
            <w:spacing w:before="154"/>
            <w:rPr>
              <w:b w:val="0"/>
            </w:rPr>
          </w:pPr>
          <w:hyperlink w:anchor="_TOC_250000" w:history="1">
            <w:r>
              <w:t>ANEXOS</w:t>
            </w:r>
            <w:r>
              <w:tab/>
            </w:r>
            <w:r>
              <w:rPr>
                <w:b w:val="0"/>
                <w:position w:val="-3"/>
              </w:rPr>
              <w:t>3</w:t>
            </w:r>
          </w:hyperlink>
        </w:p>
      </w:sdtContent>
    </w:sdt>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4770D6">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7822DA" w:rsidRDefault="007822DA">
      <w:pPr>
        <w:rPr>
          <w:sz w:val="18"/>
        </w:rPr>
        <w:sectPr w:rsidR="007822DA">
          <w:pgSz w:w="12240" w:h="15840"/>
          <w:pgMar w:top="1080" w:right="1600" w:bottom="0" w:left="400" w:header="720" w:footer="720" w:gutter="0"/>
          <w:cols w:space="720"/>
        </w:sectPr>
      </w:pPr>
    </w:p>
    <w:p w:rsidR="007822DA" w:rsidRDefault="004770D6">
      <w:pPr>
        <w:pStyle w:val="Ttulo1"/>
        <w:spacing w:before="82"/>
      </w:pPr>
      <w:bookmarkStart w:id="1" w:name="_TOC_250003"/>
      <w:bookmarkEnd w:id="1"/>
      <w:r>
        <w:lastRenderedPageBreak/>
        <w:t>INTRODUCCION</w:t>
      </w:r>
    </w:p>
    <w:p w:rsidR="007822DA" w:rsidRDefault="007822DA">
      <w:pPr>
        <w:pStyle w:val="Textoindependiente"/>
        <w:spacing w:before="10"/>
        <w:rPr>
          <w:b/>
          <w:sz w:val="33"/>
        </w:rPr>
      </w:pPr>
    </w:p>
    <w:p w:rsidR="007822DA" w:rsidRDefault="004770D6">
      <w:pPr>
        <w:pStyle w:val="Textoindependiente"/>
        <w:spacing w:line="278" w:lineRule="auto"/>
        <w:ind w:left="1301" w:right="102"/>
        <w:jc w:val="both"/>
      </w:pPr>
      <w:r>
        <w:t>De conformidad con el nombramiento de auditoría 107535-1-2021, de fecha 24 de febrero de 2021, fui nombrado para realizar auditoría administrativa de primer seguimiento a las recomendaciones emitidas por la Contraloría General de Cuentas, al informe “Audit</w:t>
      </w:r>
      <w:r>
        <w:t>oría de Cumplimiento con Seguridad Limitada, por el período del 01 de enero de 2019 al 11 de junio de 2020”, en la Dirección General de Educación Física -DIGEF-.</w:t>
      </w:r>
    </w:p>
    <w:p w:rsidR="007822DA" w:rsidRDefault="007822DA">
      <w:pPr>
        <w:pStyle w:val="Textoindependiente"/>
        <w:spacing w:before="7"/>
        <w:rPr>
          <w:sz w:val="28"/>
        </w:rPr>
      </w:pPr>
    </w:p>
    <w:p w:rsidR="007822DA" w:rsidRDefault="004770D6">
      <w:pPr>
        <w:spacing w:before="1" w:line="578" w:lineRule="auto"/>
        <w:ind w:left="1301" w:right="7545"/>
        <w:rPr>
          <w:b/>
          <w:sz w:val="24"/>
        </w:rPr>
      </w:pPr>
      <w:r>
        <w:rPr>
          <w:b/>
          <w:sz w:val="24"/>
        </w:rPr>
        <w:t>OBJETIVOS GENERAL</w:t>
      </w:r>
    </w:p>
    <w:p w:rsidR="007822DA" w:rsidRDefault="004770D6">
      <w:pPr>
        <w:pStyle w:val="Textoindependiente"/>
        <w:spacing w:line="278" w:lineRule="auto"/>
        <w:ind w:left="1301" w:right="103"/>
        <w:jc w:val="both"/>
      </w:pPr>
      <w:r>
        <w:t>Realizar primer seguimiento a las recomendaciones emitidas por la Contraloría General de Cuentas.</w:t>
      </w:r>
    </w:p>
    <w:p w:rsidR="007822DA" w:rsidRDefault="007822DA">
      <w:pPr>
        <w:pStyle w:val="Textoindependiente"/>
        <w:spacing w:before="7"/>
        <w:rPr>
          <w:sz w:val="26"/>
        </w:rPr>
      </w:pPr>
    </w:p>
    <w:p w:rsidR="007822DA" w:rsidRDefault="004770D6">
      <w:pPr>
        <w:ind w:left="1301"/>
        <w:rPr>
          <w:b/>
          <w:sz w:val="24"/>
        </w:rPr>
      </w:pPr>
      <w:r>
        <w:rPr>
          <w:b/>
          <w:sz w:val="24"/>
        </w:rPr>
        <w:t>ESPECIFICOS</w:t>
      </w:r>
    </w:p>
    <w:p w:rsidR="007822DA" w:rsidRDefault="007822DA">
      <w:pPr>
        <w:pStyle w:val="Textoindependiente"/>
        <w:spacing w:before="8"/>
        <w:rPr>
          <w:b/>
          <w:sz w:val="32"/>
        </w:rPr>
      </w:pPr>
    </w:p>
    <w:p w:rsidR="007822DA" w:rsidRDefault="004770D6">
      <w:pPr>
        <w:pStyle w:val="Textoindependiente"/>
        <w:ind w:left="1301"/>
        <w:jc w:val="both"/>
      </w:pPr>
      <w:r>
        <w:t>Verificar si existen recomendaciones implementadas, en proceso e incumplidas.</w:t>
      </w:r>
    </w:p>
    <w:p w:rsidR="007822DA" w:rsidRDefault="007822DA">
      <w:pPr>
        <w:pStyle w:val="Textoindependiente"/>
        <w:spacing w:before="9"/>
        <w:rPr>
          <w:sz w:val="32"/>
        </w:rPr>
      </w:pPr>
    </w:p>
    <w:p w:rsidR="007822DA" w:rsidRDefault="004770D6">
      <w:pPr>
        <w:pStyle w:val="Ttulo1"/>
      </w:pPr>
      <w:bookmarkStart w:id="2" w:name="_TOC_250002"/>
      <w:bookmarkEnd w:id="2"/>
      <w:r>
        <w:t>ALCANCE DE LA ACTIVIDAD</w:t>
      </w:r>
    </w:p>
    <w:p w:rsidR="007822DA" w:rsidRDefault="007822DA">
      <w:pPr>
        <w:pStyle w:val="Textoindependiente"/>
        <w:spacing w:before="10"/>
        <w:rPr>
          <w:b/>
          <w:sz w:val="33"/>
        </w:rPr>
      </w:pPr>
    </w:p>
    <w:p w:rsidR="007822DA" w:rsidRDefault="004770D6">
      <w:pPr>
        <w:pStyle w:val="Textoindependiente"/>
        <w:spacing w:line="278" w:lineRule="auto"/>
        <w:ind w:left="1301" w:right="99"/>
        <w:jc w:val="both"/>
      </w:pPr>
      <w:r>
        <w:t>Se efectuó seguimiento a una (1), recome</w:t>
      </w:r>
      <w:r>
        <w:t>ndación emitida por la Contraloría General de Cuentas, como resultado del informe de “Auditoría de Cumplimiento con Seguridad Limitada, por el período del 01 de enero de 2019 al 11 de junio de 2020”, en la Dirección General de Educación Física -DIGEF-.</w:t>
      </w:r>
    </w:p>
    <w:p w:rsidR="007822DA" w:rsidRDefault="007822DA">
      <w:pPr>
        <w:pStyle w:val="Textoindependiente"/>
        <w:spacing w:before="9"/>
        <w:rPr>
          <w:sz w:val="28"/>
        </w:rPr>
      </w:pPr>
    </w:p>
    <w:p w:rsidR="007822DA" w:rsidRDefault="004770D6">
      <w:pPr>
        <w:pStyle w:val="Ttulo1"/>
      </w:pPr>
      <w:bookmarkStart w:id="3" w:name="_TOC_250001"/>
      <w:bookmarkEnd w:id="3"/>
      <w:r>
        <w:t>RE</w:t>
      </w:r>
      <w:r>
        <w:t>SULTADOS DE LA ACTIVIDAD</w:t>
      </w:r>
    </w:p>
    <w:p w:rsidR="007822DA" w:rsidRDefault="007822DA">
      <w:pPr>
        <w:pStyle w:val="Textoindependiente"/>
        <w:spacing w:before="10"/>
        <w:rPr>
          <w:b/>
          <w:sz w:val="33"/>
        </w:rPr>
      </w:pPr>
    </w:p>
    <w:p w:rsidR="007822DA" w:rsidRDefault="004770D6">
      <w:pPr>
        <w:pStyle w:val="Textoindependiente"/>
        <w:ind w:left="1301"/>
        <w:jc w:val="both"/>
      </w:pPr>
      <w:r>
        <w:t>El resultado del trabajo se resume a continuación:</w:t>
      </w:r>
    </w:p>
    <w:p w:rsidR="007822DA" w:rsidRDefault="007822DA">
      <w:pPr>
        <w:pStyle w:val="Textoindependiente"/>
        <w:spacing w:before="7"/>
        <w:rPr>
          <w:sz w:val="31"/>
        </w:rPr>
      </w:pPr>
    </w:p>
    <w:p w:rsidR="007822DA" w:rsidRDefault="004770D6">
      <w:pPr>
        <w:ind w:left="1301"/>
        <w:rPr>
          <w:b/>
          <w:sz w:val="24"/>
        </w:rPr>
      </w:pPr>
      <w:r>
        <w:rPr>
          <w:b/>
          <w:sz w:val="24"/>
        </w:rPr>
        <w:t>RECOMENDACIÓN EN PROCESO (SR1)</w:t>
      </w:r>
    </w:p>
    <w:p w:rsidR="007822DA" w:rsidRDefault="007822DA">
      <w:pPr>
        <w:pStyle w:val="Textoindependiente"/>
        <w:spacing w:before="8"/>
        <w:rPr>
          <w:b/>
          <w:sz w:val="32"/>
        </w:rPr>
      </w:pPr>
    </w:p>
    <w:p w:rsidR="007822DA" w:rsidRDefault="004770D6">
      <w:pPr>
        <w:pStyle w:val="Textoindependiente"/>
        <w:spacing w:line="278" w:lineRule="auto"/>
        <w:ind w:left="1301" w:right="102"/>
        <w:jc w:val="both"/>
      </w:pPr>
      <w:r>
        <w:t>De conformidad con el Formulario SR1, seguimiento a las recomendaciones firmado por los responsables de la Dirección General de Educación Física</w:t>
      </w:r>
    </w:p>
    <w:p w:rsidR="007822DA" w:rsidRDefault="004770D6">
      <w:pPr>
        <w:spacing w:line="285" w:lineRule="auto"/>
        <w:ind w:left="1301" w:right="99"/>
        <w:jc w:val="both"/>
        <w:rPr>
          <w:sz w:val="24"/>
        </w:rPr>
      </w:pPr>
      <w:r>
        <w:rPr>
          <w:sz w:val="24"/>
        </w:rPr>
        <w:t xml:space="preserve">-DIGEF-, se estableció que la recomendación del </w:t>
      </w:r>
      <w:r>
        <w:rPr>
          <w:b/>
          <w:sz w:val="24"/>
        </w:rPr>
        <w:t xml:space="preserve">hallazgo No. 1. Falta de </w:t>
      </w:r>
      <w:r>
        <w:rPr>
          <w:b/>
          <w:spacing w:val="3"/>
          <w:sz w:val="24"/>
        </w:rPr>
        <w:t xml:space="preserve">gestión administrativa para cambio </w:t>
      </w:r>
      <w:r>
        <w:rPr>
          <w:b/>
          <w:sz w:val="24"/>
        </w:rPr>
        <w:t xml:space="preserve">de </w:t>
      </w:r>
      <w:r>
        <w:rPr>
          <w:b/>
          <w:spacing w:val="3"/>
          <w:sz w:val="24"/>
        </w:rPr>
        <w:t xml:space="preserve">placas </w:t>
      </w:r>
      <w:r>
        <w:rPr>
          <w:b/>
          <w:sz w:val="24"/>
        </w:rPr>
        <w:t xml:space="preserve">de </w:t>
      </w:r>
      <w:r>
        <w:rPr>
          <w:b/>
          <w:spacing w:val="3"/>
          <w:sz w:val="24"/>
        </w:rPr>
        <w:t xml:space="preserve">vehículo </w:t>
      </w:r>
      <w:r>
        <w:rPr>
          <w:b/>
          <w:sz w:val="24"/>
        </w:rPr>
        <w:t xml:space="preserve">y </w:t>
      </w:r>
      <w:r>
        <w:rPr>
          <w:b/>
          <w:spacing w:val="3"/>
          <w:sz w:val="24"/>
        </w:rPr>
        <w:t xml:space="preserve">baja </w:t>
      </w:r>
      <w:r>
        <w:rPr>
          <w:b/>
          <w:sz w:val="24"/>
        </w:rPr>
        <w:t>de inventario</w:t>
      </w:r>
      <w:r>
        <w:rPr>
          <w:sz w:val="24"/>
        </w:rPr>
        <w:t>, se encuentra en proceso, debido a que, no obstante, han realizado acciones, aún no tienen respuesta de la aseguradora y no se ha efectuado el cambio de placas, para dar cumplimiento a la recomendación emitida por la Contraloría General de</w:t>
      </w:r>
      <w:r>
        <w:rPr>
          <w:spacing w:val="-4"/>
          <w:sz w:val="24"/>
        </w:rPr>
        <w:t xml:space="preserve"> </w:t>
      </w:r>
      <w:r>
        <w:rPr>
          <w:sz w:val="24"/>
        </w:rPr>
        <w:t>Cuentas.</w:t>
      </w:r>
    </w:p>
    <w:p w:rsidR="007822DA" w:rsidRDefault="007822DA">
      <w:pPr>
        <w:spacing w:line="285" w:lineRule="auto"/>
        <w:jc w:val="both"/>
        <w:rPr>
          <w:sz w:val="24"/>
        </w:rPr>
        <w:sectPr w:rsidR="007822DA">
          <w:headerReference w:type="default" r:id="rId7"/>
          <w:footerReference w:type="default" r:id="rId8"/>
          <w:pgSz w:w="12240" w:h="15840"/>
          <w:pgMar w:top="1060" w:right="1600" w:bottom="780" w:left="400" w:header="617" w:footer="596" w:gutter="0"/>
          <w:pgNumType w:start="1"/>
          <w:cols w:space="720"/>
        </w:sectPr>
      </w:pPr>
    </w:p>
    <w:p w:rsidR="007822DA" w:rsidRDefault="007822DA">
      <w:pPr>
        <w:pStyle w:val="Textoindependiente"/>
        <w:spacing w:before="9"/>
        <w:rPr>
          <w:sz w:val="26"/>
        </w:rPr>
      </w:pPr>
    </w:p>
    <w:p w:rsidR="007822DA" w:rsidRDefault="004770D6">
      <w:pPr>
        <w:pStyle w:val="Textoindependiente"/>
        <w:spacing w:before="93" w:line="278" w:lineRule="auto"/>
        <w:ind w:left="1301" w:right="103"/>
        <w:jc w:val="both"/>
      </w:pPr>
      <w:r>
        <w:t>El resultado que la recomendación esté en proceso propicia que se mantenga firme la acción correctiva y que exista atraso en el proceso administrativo, así mismo, riesgo de sanción económica, por parte del ente</w:t>
      </w:r>
      <w:r>
        <w:rPr>
          <w:spacing w:val="-19"/>
        </w:rPr>
        <w:t xml:space="preserve"> </w:t>
      </w:r>
      <w:r>
        <w:t>fiscalizador.</w:t>
      </w:r>
    </w:p>
    <w:p w:rsidR="007822DA" w:rsidRDefault="007822DA">
      <w:pPr>
        <w:pStyle w:val="Textoindependiente"/>
        <w:spacing w:before="7"/>
        <w:rPr>
          <w:sz w:val="27"/>
        </w:rPr>
      </w:pPr>
    </w:p>
    <w:p w:rsidR="007822DA" w:rsidRDefault="004770D6">
      <w:pPr>
        <w:spacing w:before="1"/>
        <w:ind w:left="1301"/>
        <w:jc w:val="both"/>
        <w:rPr>
          <w:b/>
          <w:sz w:val="24"/>
        </w:rPr>
      </w:pPr>
      <w:r>
        <w:rPr>
          <w:b/>
          <w:sz w:val="24"/>
        </w:rPr>
        <w:t>COMPROMISO POR PARTE DE LOS RE</w:t>
      </w:r>
      <w:r>
        <w:rPr>
          <w:b/>
          <w:sz w:val="24"/>
        </w:rPr>
        <w:t>SPONSABLES</w:t>
      </w:r>
    </w:p>
    <w:p w:rsidR="007822DA" w:rsidRDefault="007822DA">
      <w:pPr>
        <w:pStyle w:val="Textoindependiente"/>
        <w:spacing w:before="7"/>
        <w:rPr>
          <w:b/>
          <w:sz w:val="32"/>
        </w:rPr>
      </w:pPr>
    </w:p>
    <w:p w:rsidR="007822DA" w:rsidRDefault="004770D6">
      <w:pPr>
        <w:pStyle w:val="Textoindependiente"/>
        <w:spacing w:line="278" w:lineRule="auto"/>
        <w:ind w:left="1301" w:right="102"/>
        <w:jc w:val="both"/>
      </w:pPr>
      <w:r>
        <w:t>A través del acta No. DIDAI-13-2021 de fecha 26 de febrero de 2021, folio Número 13627 del libro L2 48636 autorizado por la Contraloría General de Cuentas de fecha 17 de febrero de 2020, los responsables de atender la recomendación que quedó en</w:t>
      </w:r>
      <w:r>
        <w:t xml:space="preserve"> proceso, adjuntaron al acta el Oficio No. DG-251-2021 de fecha 01 de marzo de 2021, en la cual indicaron literalmente lo siguiente “el compromiso de realizar las gestiones de seguimiento necesarias, para el cumplimiento de la recomendación, sin embargo, e</w:t>
      </w:r>
      <w:r>
        <w:t>n este momento, la última acción que queda pendiente está bajo la responsabilidad de la Aseguradora Crédito Hipotecario Nacional CHN, por tal motivo no se puede estimar una fecha de finalización, debido a que son acciones propias de la</w:t>
      </w:r>
      <w:r>
        <w:rPr>
          <w:spacing w:val="-14"/>
        </w:rPr>
        <w:t xml:space="preserve"> </w:t>
      </w:r>
      <w:r>
        <w:t>aseguradora”.</w:t>
      </w:r>
    </w:p>
    <w:p w:rsidR="007822DA" w:rsidRDefault="007822DA">
      <w:pPr>
        <w:pStyle w:val="Textoindependiente"/>
        <w:spacing w:before="3"/>
        <w:rPr>
          <w:sz w:val="27"/>
        </w:rPr>
      </w:pPr>
    </w:p>
    <w:p w:rsidR="007822DA" w:rsidRDefault="004770D6">
      <w:pPr>
        <w:pStyle w:val="Textoindependiente"/>
        <w:spacing w:line="278" w:lineRule="auto"/>
        <w:ind w:left="1301" w:right="103"/>
        <w:jc w:val="both"/>
      </w:pPr>
      <w:r>
        <w:t>En vi</w:t>
      </w:r>
      <w:r>
        <w:t>sta de lo anterior, se sugiere a los responsables de atender la recomendación en la Dirección General de Educación Física -DIGEF-, realizar el seguimiento oportuno para el total cumplimiento de la recomendación formulada por parte de la Contraloría General</w:t>
      </w:r>
      <w:r>
        <w:t xml:space="preserve"> de Cuentas.</w:t>
      </w: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spacing w:before="6"/>
        <w:rPr>
          <w:sz w:val="13"/>
        </w:rPr>
      </w:pPr>
    </w:p>
    <w:p w:rsidR="007822DA" w:rsidRDefault="00311A67">
      <w:pPr>
        <w:tabs>
          <w:tab w:val="left" w:pos="5840"/>
        </w:tabs>
        <w:spacing w:line="20" w:lineRule="exact"/>
        <w:ind w:left="1436"/>
        <w:rPr>
          <w:sz w:val="2"/>
        </w:rPr>
      </w:pPr>
      <w:r>
        <w:rPr>
          <w:noProof/>
          <w:sz w:val="2"/>
          <w:lang w:val="es-GT" w:eastAsia="es-GT"/>
        </w:rPr>
        <mc:AlternateContent>
          <mc:Choice Requires="wpg">
            <w:drawing>
              <wp:inline distT="0" distB="0" distL="0" distR="0">
                <wp:extent cx="1805305" cy="9525"/>
                <wp:effectExtent l="3810" t="0" r="635" b="3175"/>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305" cy="9525"/>
                          <a:chOff x="0" y="0"/>
                          <a:chExt cx="2843" cy="15"/>
                        </a:xfrm>
                      </wpg:grpSpPr>
                      <wps:wsp>
                        <wps:cNvPr id="21" name="Rectangle 9"/>
                        <wps:cNvSpPr>
                          <a:spLocks noChangeArrowheads="1"/>
                        </wps:cNvSpPr>
                        <wps:spPr bwMode="auto">
                          <a:xfrm>
                            <a:off x="0" y="0"/>
                            <a:ext cx="284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231E35" id="Group 8" o:spid="_x0000_s1026" style="width:142.15pt;height:.75pt;mso-position-horizontal-relative:char;mso-position-vertical-relative:line" coordsize="28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">
                <v:rect id="Rectangle 9" o:spid="_x0000_s1027" style="position:absolute;width:284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r w:rsidR="004770D6">
        <w:rPr>
          <w:sz w:val="2"/>
        </w:rPr>
        <w:tab/>
      </w:r>
      <w:r>
        <w:rPr>
          <w:noProof/>
          <w:sz w:val="2"/>
          <w:lang w:val="es-GT" w:eastAsia="es-GT"/>
        </w:rPr>
        <mc:AlternateContent>
          <mc:Choice Requires="wpg">
            <w:drawing>
              <wp:inline distT="0" distB="0" distL="0" distR="0">
                <wp:extent cx="1666875" cy="9525"/>
                <wp:effectExtent l="0" t="0" r="0" b="3175"/>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9" name="Rectangle 7"/>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E24F40" id="Group 6"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prxQIAAEg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">
                <v:rect id="Rectangle 7"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7822DA" w:rsidRDefault="007822DA">
      <w:pPr>
        <w:spacing w:line="20" w:lineRule="exact"/>
        <w:rPr>
          <w:sz w:val="2"/>
        </w:rPr>
        <w:sectPr w:rsidR="007822DA">
          <w:pgSz w:w="12240" w:h="15840"/>
          <w:pgMar w:top="1060" w:right="1600" w:bottom="780" w:left="400" w:header="617" w:footer="596" w:gutter="0"/>
          <w:cols w:space="720"/>
        </w:sectPr>
      </w:pPr>
    </w:p>
    <w:p w:rsidR="007822DA" w:rsidRDefault="004770D6">
      <w:pPr>
        <w:spacing w:before="19"/>
        <w:ind w:left="1451"/>
        <w:rPr>
          <w:sz w:val="14"/>
        </w:rPr>
      </w:pPr>
      <w:r>
        <w:rPr>
          <w:sz w:val="14"/>
        </w:rPr>
        <w:lastRenderedPageBreak/>
        <w:t>DELMAR GEREMIAS LOPEZ CAMPOSECO</w:t>
      </w:r>
    </w:p>
    <w:p w:rsidR="007822DA" w:rsidRDefault="004770D6">
      <w:pPr>
        <w:spacing w:before="86"/>
        <w:ind w:left="1451"/>
        <w:rPr>
          <w:sz w:val="14"/>
        </w:rPr>
      </w:pPr>
      <w:r>
        <w:rPr>
          <w:sz w:val="14"/>
        </w:rPr>
        <w:t>Auditor</w:t>
      </w:r>
    </w:p>
    <w:p w:rsidR="007822DA" w:rsidRDefault="004770D6">
      <w:pPr>
        <w:spacing w:before="19"/>
        <w:ind w:left="1451"/>
        <w:rPr>
          <w:sz w:val="14"/>
        </w:rPr>
      </w:pPr>
      <w:r>
        <w:br w:type="column"/>
      </w:r>
      <w:r>
        <w:rPr>
          <w:sz w:val="14"/>
        </w:rPr>
        <w:lastRenderedPageBreak/>
        <w:t>MILDRED LORENA FUENTES DE LEON</w:t>
      </w:r>
    </w:p>
    <w:p w:rsidR="007822DA" w:rsidRDefault="004770D6">
      <w:pPr>
        <w:spacing w:before="86"/>
        <w:ind w:left="1451"/>
        <w:rPr>
          <w:sz w:val="14"/>
        </w:rPr>
      </w:pPr>
      <w:r>
        <w:rPr>
          <w:sz w:val="14"/>
        </w:rPr>
        <w:t>Supervisor</w:t>
      </w:r>
    </w:p>
    <w:p w:rsidR="007822DA" w:rsidRDefault="007822DA">
      <w:pPr>
        <w:rPr>
          <w:sz w:val="14"/>
        </w:rPr>
        <w:sectPr w:rsidR="007822DA">
          <w:type w:val="continuous"/>
          <w:pgSz w:w="12240" w:h="15840"/>
          <w:pgMar w:top="1080" w:right="1600" w:bottom="0" w:left="400" w:header="720" w:footer="720" w:gutter="0"/>
          <w:cols w:num="2" w:space="720" w:equalWidth="0">
            <w:col w:w="4301" w:space="103"/>
            <w:col w:w="5836"/>
          </w:cols>
        </w:sect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rPr>
          <w:sz w:val="20"/>
        </w:rPr>
      </w:pPr>
    </w:p>
    <w:p w:rsidR="007822DA" w:rsidRDefault="007822DA">
      <w:pPr>
        <w:pStyle w:val="Textoindependiente"/>
        <w:spacing w:before="1"/>
        <w:rPr>
          <w:sz w:val="20"/>
        </w:rPr>
      </w:pPr>
    </w:p>
    <w:p w:rsidR="007822DA" w:rsidRDefault="00311A67">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4445" r="0" b="0"/>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7"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7BB729"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GfxgIAAEg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gbrxn8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w10:anchorlock/>
              </v:group>
            </w:pict>
          </mc:Fallback>
        </mc:AlternateContent>
      </w:r>
      <w:r w:rsidR="004770D6">
        <w:rPr>
          <w:sz w:val="2"/>
        </w:rPr>
        <w:tab/>
      </w:r>
      <w:r>
        <w:rPr>
          <w:noProof/>
          <w:sz w:val="2"/>
          <w:lang w:val="es-GT" w:eastAsia="es-GT"/>
        </w:rPr>
        <mc:AlternateContent>
          <mc:Choice Requires="wpg">
            <w:drawing>
              <wp:inline distT="0" distB="0" distL="0" distR="0">
                <wp:extent cx="1449070" cy="9525"/>
                <wp:effectExtent l="0" t="4445" r="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5"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F1F6BD"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A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P+/787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w10:anchorlock/>
              </v:group>
            </w:pict>
          </mc:Fallback>
        </mc:AlternateContent>
      </w:r>
    </w:p>
    <w:p w:rsidR="007822DA" w:rsidRDefault="007822DA">
      <w:pPr>
        <w:spacing w:line="20" w:lineRule="exact"/>
        <w:rPr>
          <w:sz w:val="2"/>
        </w:rPr>
        <w:sectPr w:rsidR="007822DA">
          <w:type w:val="continuous"/>
          <w:pgSz w:w="12240" w:h="15840"/>
          <w:pgMar w:top="1080" w:right="1600" w:bottom="0" w:left="400" w:header="720" w:footer="720" w:gutter="0"/>
          <w:cols w:space="720"/>
        </w:sectPr>
      </w:pPr>
    </w:p>
    <w:p w:rsidR="007822DA" w:rsidRDefault="004770D6">
      <w:pPr>
        <w:spacing w:before="19"/>
        <w:ind w:left="1451"/>
        <w:rPr>
          <w:sz w:val="14"/>
        </w:rPr>
      </w:pPr>
      <w:r>
        <w:rPr>
          <w:sz w:val="14"/>
        </w:rPr>
        <w:lastRenderedPageBreak/>
        <w:t>MILDRED LORENA FUENTES DE LEON</w:t>
      </w:r>
    </w:p>
    <w:p w:rsidR="007822DA" w:rsidRDefault="004770D6">
      <w:pPr>
        <w:spacing w:before="86"/>
        <w:ind w:left="1451"/>
        <w:rPr>
          <w:sz w:val="14"/>
        </w:rPr>
      </w:pPr>
      <w:r>
        <w:rPr>
          <w:sz w:val="14"/>
        </w:rPr>
        <w:t>Sub Director</w:t>
      </w:r>
    </w:p>
    <w:p w:rsidR="007822DA" w:rsidRDefault="004770D6">
      <w:pPr>
        <w:spacing w:before="19"/>
        <w:ind w:left="1451"/>
        <w:rPr>
          <w:sz w:val="14"/>
        </w:rPr>
      </w:pPr>
      <w:r>
        <w:br w:type="column"/>
      </w:r>
      <w:r>
        <w:rPr>
          <w:sz w:val="14"/>
        </w:rPr>
        <w:lastRenderedPageBreak/>
        <w:t>JULIA VICTORIA MONZON PEREZ</w:t>
      </w:r>
    </w:p>
    <w:p w:rsidR="007822DA" w:rsidRDefault="004770D6">
      <w:pPr>
        <w:spacing w:before="86"/>
        <w:ind w:left="1451"/>
        <w:rPr>
          <w:sz w:val="14"/>
        </w:rPr>
      </w:pPr>
      <w:r>
        <w:rPr>
          <w:sz w:val="14"/>
        </w:rPr>
        <w:t>Director</w:t>
      </w:r>
    </w:p>
    <w:p w:rsidR="007822DA" w:rsidRDefault="007822DA">
      <w:pPr>
        <w:rPr>
          <w:sz w:val="14"/>
        </w:rPr>
        <w:sectPr w:rsidR="007822DA">
          <w:type w:val="continuous"/>
          <w:pgSz w:w="12240" w:h="15840"/>
          <w:pgMar w:top="1080" w:right="1600" w:bottom="0" w:left="400" w:header="720" w:footer="720" w:gutter="0"/>
          <w:cols w:num="2" w:space="720" w:equalWidth="0">
            <w:col w:w="4083" w:space="321"/>
            <w:col w:w="5836"/>
          </w:cols>
        </w:sectPr>
      </w:pPr>
    </w:p>
    <w:p w:rsidR="007822DA" w:rsidRDefault="004770D6">
      <w:pPr>
        <w:pStyle w:val="Ttulo1"/>
        <w:spacing w:before="82"/>
      </w:pPr>
      <w:bookmarkStart w:id="4" w:name="_TOC_250000"/>
      <w:bookmarkEnd w:id="4"/>
      <w:r>
        <w:lastRenderedPageBreak/>
        <w:t>ANEXOS</w:t>
      </w:r>
    </w:p>
    <w:p w:rsidR="007822DA" w:rsidRDefault="007822DA">
      <w:pPr>
        <w:pStyle w:val="Textoindependiente"/>
        <w:rPr>
          <w:b/>
          <w:sz w:val="29"/>
        </w:rPr>
      </w:pPr>
    </w:p>
    <w:p w:rsidR="007822DA" w:rsidRDefault="004770D6">
      <w:pPr>
        <w:spacing w:before="95"/>
        <w:ind w:left="2930"/>
        <w:rPr>
          <w:sz w:val="16"/>
        </w:rPr>
      </w:pPr>
      <w:r>
        <w:rPr>
          <w:noProof/>
          <w:lang w:val="es-GT" w:eastAsia="es-GT"/>
        </w:rPr>
        <w:drawing>
          <wp:anchor distT="0" distB="0" distL="0" distR="0" simplePos="0" relativeHeight="6" behindDoc="0" locked="0" layoutInCell="1" allowOverlap="1">
            <wp:simplePos x="0" y="0"/>
            <wp:positionH relativeFrom="page">
              <wp:posOffset>1126041</wp:posOffset>
            </wp:positionH>
            <wp:positionV relativeFrom="paragraph">
              <wp:posOffset>244778</wp:posOffset>
            </wp:positionV>
            <wp:extent cx="5381512" cy="7211949"/>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381512" cy="7211949"/>
                    </a:xfrm>
                    <a:prstGeom prst="rect">
                      <a:avLst/>
                    </a:prstGeom>
                  </pic:spPr>
                </pic:pic>
              </a:graphicData>
            </a:graphic>
          </wp:anchor>
        </w:drawing>
      </w:r>
      <w:r>
        <w:rPr>
          <w:sz w:val="16"/>
        </w:rPr>
        <w:t>SR1</w:t>
      </w:r>
    </w:p>
    <w:p w:rsidR="007822DA" w:rsidRDefault="007822DA">
      <w:pPr>
        <w:rPr>
          <w:sz w:val="16"/>
        </w:rPr>
        <w:sectPr w:rsidR="007822DA">
          <w:pgSz w:w="12240" w:h="15840"/>
          <w:pgMar w:top="1060" w:right="1600" w:bottom="780" w:left="400" w:header="617" w:footer="596" w:gutter="0"/>
          <w:cols w:space="720"/>
        </w:sectPr>
      </w:pPr>
    </w:p>
    <w:p w:rsidR="007822DA" w:rsidRDefault="004770D6">
      <w:pPr>
        <w:spacing w:before="120"/>
        <w:ind w:left="2930"/>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1126041</wp:posOffset>
            </wp:positionH>
            <wp:positionV relativeFrom="paragraph">
              <wp:posOffset>276338</wp:posOffset>
            </wp:positionV>
            <wp:extent cx="5381512" cy="7196613"/>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381512" cy="7196613"/>
                    </a:xfrm>
                    <a:prstGeom prst="rect">
                      <a:avLst/>
                    </a:prstGeom>
                  </pic:spPr>
                </pic:pic>
              </a:graphicData>
            </a:graphic>
          </wp:anchor>
        </w:drawing>
      </w:r>
      <w:r>
        <w:rPr>
          <w:sz w:val="16"/>
        </w:rPr>
        <w:t>SR1</w:t>
      </w:r>
    </w:p>
    <w:p w:rsidR="007822DA" w:rsidRDefault="007822DA">
      <w:pPr>
        <w:rPr>
          <w:sz w:val="16"/>
        </w:rPr>
        <w:sectPr w:rsidR="007822DA">
          <w:pgSz w:w="12240" w:h="15840"/>
          <w:pgMar w:top="1060" w:right="1600" w:bottom="780" w:left="400" w:header="617" w:footer="596" w:gutter="0"/>
          <w:cols w:space="720"/>
        </w:sectPr>
      </w:pPr>
    </w:p>
    <w:p w:rsidR="007822DA" w:rsidRDefault="004770D6">
      <w:pPr>
        <w:spacing w:before="120"/>
        <w:ind w:left="2930"/>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1126041</wp:posOffset>
            </wp:positionH>
            <wp:positionV relativeFrom="paragraph">
              <wp:posOffset>276338</wp:posOffset>
            </wp:positionV>
            <wp:extent cx="5381512" cy="7196613"/>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381512" cy="7196613"/>
                    </a:xfrm>
                    <a:prstGeom prst="rect">
                      <a:avLst/>
                    </a:prstGeom>
                  </pic:spPr>
                </pic:pic>
              </a:graphicData>
            </a:graphic>
          </wp:anchor>
        </w:drawing>
      </w:r>
      <w:r>
        <w:rPr>
          <w:sz w:val="16"/>
        </w:rPr>
        <w:t>SR1</w:t>
      </w:r>
    </w:p>
    <w:sectPr w:rsidR="007822DA">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0D6" w:rsidRDefault="004770D6">
      <w:r>
        <w:separator/>
      </w:r>
    </w:p>
  </w:endnote>
  <w:endnote w:type="continuationSeparator" w:id="0">
    <w:p w:rsidR="004770D6" w:rsidRDefault="0047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2DA" w:rsidRDefault="00311A67">
    <w:pPr>
      <w:pStyle w:val="Textoindependiente"/>
      <w:spacing w:line="14" w:lineRule="auto"/>
      <w:rPr>
        <w:sz w:val="20"/>
      </w:rPr>
    </w:pPr>
    <w:r>
      <w:rPr>
        <w:noProof/>
        <w:lang w:val="es-GT" w:eastAsia="es-GT"/>
      </w:rPr>
      <mc:AlternateContent>
        <mc:Choice Requires="wpg">
          <w:drawing>
            <wp:anchor distT="0" distB="0" distL="114300" distR="114300" simplePos="0" relativeHeight="487460352"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54794A" id="Group 3" o:spid="_x0000_s1026" style="position:absolute;margin-left:25pt;margin-top:748.2pt;width:502pt;height:28.8pt;z-index:-15856128;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KXO5r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mLPCAAAA2wAAAA8AAABkcnMvZG93bnJldi54bWxEj0+LwkAMxe8Lfochgrd1qodl6TqKCIp7&#10;EazuPXbSP9rJlM5Y67c3hwVvCe/lvV8Wq8E1qqcu1J4NzKYJKOLc25pLA+fT9vMbVIjIFhvPZOBJ&#10;AVbL0ccCU+sffKQ+i6WSEA4pGqhibFOtQ16RwzD1LbFohe8cRlm7UtsOHxLuGj1Pki/tsGZpqLCl&#10;TUX5Lbs7A21/zovZ4fp7yHZ7dn+X4jh/FsZMxsP6B1SkIb7N/9d7K/hCL7/IAHr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z5iz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60864"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2DA" w:rsidRDefault="004770D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7822DA" w:rsidRDefault="004770D6">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61376"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2DA" w:rsidRDefault="004770D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311A67">
                            <w:rPr>
                              <w:noProof/>
                              <w:color w:val="666666"/>
                              <w:sz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7822DA" w:rsidRDefault="004770D6">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311A67">
                      <w:rPr>
                        <w:noProof/>
                        <w:color w:val="666666"/>
                        <w:sz w:val="1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0D6" w:rsidRDefault="004770D6">
      <w:r>
        <w:separator/>
      </w:r>
    </w:p>
  </w:footnote>
  <w:footnote w:type="continuationSeparator" w:id="0">
    <w:p w:rsidR="004770D6" w:rsidRDefault="004770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2DA" w:rsidRDefault="00311A67">
    <w:pPr>
      <w:pStyle w:val="Textoindependiente"/>
      <w:spacing w:line="14" w:lineRule="auto"/>
      <w:rPr>
        <w:sz w:val="20"/>
      </w:rPr>
    </w:pPr>
    <w:r>
      <w:rPr>
        <w:noProof/>
        <w:lang w:val="es-GT" w:eastAsia="es-GT"/>
      </w:rPr>
      <mc:AlternateContent>
        <mc:Choice Requires="wps">
          <w:drawing>
            <wp:anchor distT="0" distB="0" distL="114300" distR="114300" simplePos="0" relativeHeight="48745881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FE91" id="Freeform 8" o:spid="_x0000_s1026" style="position:absolute;margin-left:85.05pt;margin-top:40.1pt;width:442pt;height:.75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fSA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9/6Mn0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932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2DA" w:rsidRDefault="004770D6">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lerAIAAKk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Cu5elerAIAAKkFAAAOAAAAAAAA&#10;AAAAAAAAAC4CAABkcnMvZTJvRG9jLnhtbFBLAQItABQABgAIAAAAIQBvF2dR3gAAAAkBAAAPAAAA&#10;AAAAAAAAAAAAAAYFAABkcnMvZG93bnJldi54bWxQSwUGAAAAAAQABADzAAAAEQYAAAAA&#10;" filled="f" stroked="f">
              <v:textbox inset="0,0,0,0">
                <w:txbxContent>
                  <w:p w:rsidR="007822DA" w:rsidRDefault="004770D6">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9840"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2DA" w:rsidRDefault="004770D6">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U4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75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N8aRTiuAgAAsQUAAA4AAAAA&#10;AAAAAAAAAAAALgIAAGRycy9lMm9Eb2MueG1sUEsBAi0AFAAGAAgAAAAhAOzyPhneAAAACgEAAA8A&#10;AAAAAAAAAAAAAAAACAUAAGRycy9kb3ducmV2LnhtbFBLBQYAAAAABAAEAPMAAAATBgAAAAA=&#10;" filled="f" stroked="f">
              <v:textbox inset="0,0,0,0">
                <w:txbxContent>
                  <w:p w:rsidR="007822DA" w:rsidRDefault="004770D6">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2DA"/>
    <w:rsid w:val="00311A67"/>
    <w:rsid w:val="004770D6"/>
    <w:rsid w:val="007822D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2CCF8E-7519-4580-B890-A8B81603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596</Words>
  <Characters>3281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2021-04-05T16:35:00Z</dcterms:created>
  <dcterms:modified xsi:type="dcterms:W3CDTF">2021-04-05T16:35:00Z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