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CF" w:rsidRDefault="0029785C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No.:107359</w:t>
      </w: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7F2ECF">
      <w:pPr>
        <w:pStyle w:val="Textoindependiente"/>
        <w:rPr>
          <w:b/>
          <w:sz w:val="26"/>
        </w:rPr>
      </w:pPr>
    </w:p>
    <w:p w:rsidR="007F2ECF" w:rsidRDefault="0029785C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7F2ECF" w:rsidRDefault="0029785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>Auditoría Administrativa de primer seguimiento a las recomendaciones de Contraloría General de Cuentas, en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el informe de la Auditoría a Sistemas Informáticos, por el periodo del 01 de enero al 31 de diciembre de 2017, en la Dirección Departamental 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Quetzaltenango</w:t>
      </w: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rPr>
          <w:b/>
          <w:sz w:val="20"/>
        </w:rPr>
      </w:pPr>
    </w:p>
    <w:p w:rsidR="007F2ECF" w:rsidRDefault="007F2ECF">
      <w:pPr>
        <w:pStyle w:val="Textoindependiente"/>
        <w:spacing w:before="8"/>
        <w:rPr>
          <w:b/>
          <w:sz w:val="26"/>
        </w:rPr>
      </w:pPr>
    </w:p>
    <w:p w:rsidR="007F2ECF" w:rsidRDefault="0029785C">
      <w:pPr>
        <w:spacing w:before="92"/>
        <w:ind w:left="3947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MARZO DE 2021</w:t>
      </w:r>
    </w:p>
    <w:p w:rsidR="007F2ECF" w:rsidRDefault="007F2ECF">
      <w:pPr>
        <w:rPr>
          <w:sz w:val="24"/>
        </w:rPr>
        <w:sectPr w:rsidR="007F2E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7F2ECF" w:rsidRDefault="0029785C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-76449033"/>
        <w:docPartObj>
          <w:docPartGallery w:val="Table of Contents"/>
          <w:docPartUnique/>
        </w:docPartObj>
      </w:sdtPr>
      <w:sdtEndPr/>
      <w:sdtContent>
        <w:p w:rsidR="007F2ECF" w:rsidRDefault="0029785C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7F2ECF" w:rsidRDefault="0029785C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7F2ECF" w:rsidRDefault="0029785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7F2ECF" w:rsidRDefault="0029785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7F2ECF" w:rsidRDefault="0029785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3</w:t>
            </w:r>
          </w:hyperlink>
        </w:p>
      </w:sdtContent>
    </w:sdt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29785C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ECF" w:rsidRDefault="007F2ECF">
      <w:pPr>
        <w:rPr>
          <w:sz w:val="18"/>
        </w:rPr>
        <w:sectPr w:rsidR="007F2ECF">
          <w:pgSz w:w="12240" w:h="15840"/>
          <w:pgMar w:top="1080" w:right="1600" w:bottom="0" w:left="400" w:header="720" w:footer="720" w:gutter="0"/>
          <w:cols w:space="720"/>
        </w:sectPr>
      </w:pPr>
    </w:p>
    <w:p w:rsidR="007F2ECF" w:rsidRDefault="0029785C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7F2ECF" w:rsidRDefault="007F2ECF">
      <w:pPr>
        <w:pStyle w:val="Textoindependiente"/>
        <w:spacing w:before="10"/>
        <w:rPr>
          <w:b/>
          <w:sz w:val="33"/>
        </w:rPr>
      </w:pPr>
    </w:p>
    <w:p w:rsidR="007F2ECF" w:rsidRDefault="0029785C">
      <w:pPr>
        <w:pStyle w:val="Textoindependiente"/>
        <w:spacing w:line="278" w:lineRule="auto"/>
        <w:ind w:left="1301" w:right="102"/>
        <w:jc w:val="both"/>
      </w:pPr>
      <w:r>
        <w:t>De conformidad con el nombramiento de Auditoría 107359-1-2021, de fecha 12 de febrero de 2021, fui nombrado para dar primer seguimiento a las recomendaciones emitidas por la Contraloría General de Cuentas derivado de la Auditoría a Sistemas Informáticos, p</w:t>
      </w:r>
      <w:r>
        <w:t>or el período comprendido del 1 de enero al 31 de diciembre de 2017, en la Dirección Departamental de Educación de Quetzaltenango del Ministerio de Educación.</w:t>
      </w:r>
    </w:p>
    <w:p w:rsidR="007F2ECF" w:rsidRDefault="0029785C">
      <w:pPr>
        <w:spacing w:before="23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7F2ECF" w:rsidRDefault="0029785C">
      <w:pPr>
        <w:pStyle w:val="Textoindependiente"/>
        <w:spacing w:line="250" w:lineRule="exact"/>
        <w:ind w:left="1301"/>
        <w:jc w:val="both"/>
      </w:pPr>
      <w:r>
        <w:t>Realizar primer seguimiento a las recomendaciones emitidas por la Contraloría</w:t>
      </w:r>
    </w:p>
    <w:p w:rsidR="007F2ECF" w:rsidRDefault="0029785C">
      <w:pPr>
        <w:pStyle w:val="Textoindependiente"/>
        <w:spacing w:before="43"/>
        <w:ind w:left="1301"/>
        <w:jc w:val="both"/>
      </w:pPr>
      <w:r>
        <w:t>G</w:t>
      </w:r>
      <w:r>
        <w:t>eneral de Cuentas.</w:t>
      </w:r>
    </w:p>
    <w:p w:rsidR="007F2ECF" w:rsidRDefault="007F2ECF">
      <w:pPr>
        <w:pStyle w:val="Textoindependiente"/>
        <w:spacing w:before="7"/>
        <w:rPr>
          <w:sz w:val="31"/>
        </w:rPr>
      </w:pPr>
    </w:p>
    <w:p w:rsidR="007F2ECF" w:rsidRDefault="0029785C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7F2ECF" w:rsidRDefault="0029785C">
      <w:pPr>
        <w:pStyle w:val="Textoindependiente"/>
        <w:spacing w:before="57"/>
        <w:ind w:left="1301"/>
        <w:jc w:val="both"/>
      </w:pPr>
      <w:r>
        <w:t>Verificar si existen recomendaciones implementadas, en proceso e incumplidas.</w:t>
      </w:r>
    </w:p>
    <w:p w:rsidR="007F2ECF" w:rsidRDefault="007F2ECF">
      <w:pPr>
        <w:pStyle w:val="Textoindependiente"/>
        <w:spacing w:before="9"/>
        <w:rPr>
          <w:sz w:val="32"/>
        </w:rPr>
      </w:pPr>
    </w:p>
    <w:p w:rsidR="007F2ECF" w:rsidRDefault="0029785C">
      <w:pPr>
        <w:pStyle w:val="Ttulo1"/>
      </w:pPr>
      <w:bookmarkStart w:id="2" w:name="_TOC_250002"/>
      <w:bookmarkEnd w:id="2"/>
      <w:r>
        <w:t>ALCANCE DE LA ACTIVIDAD</w:t>
      </w:r>
    </w:p>
    <w:p w:rsidR="007F2ECF" w:rsidRDefault="007F2ECF">
      <w:pPr>
        <w:pStyle w:val="Textoindependiente"/>
        <w:spacing w:before="10"/>
        <w:rPr>
          <w:b/>
          <w:sz w:val="33"/>
        </w:rPr>
      </w:pPr>
    </w:p>
    <w:p w:rsidR="007F2ECF" w:rsidRDefault="0029785C">
      <w:pPr>
        <w:pStyle w:val="Textoindependiente"/>
        <w:spacing w:line="278" w:lineRule="auto"/>
        <w:ind w:left="1301" w:right="102"/>
        <w:jc w:val="both"/>
      </w:pPr>
      <w:r>
        <w:t>Se efectuó Auditoría Administrativa del primer seguimiento a seis (6) recomendaciones, emitidas por la Contraloría Gener</w:t>
      </w:r>
      <w:r>
        <w:t>al de Cuentas, derivado del Informe de la Auditoría a Sistemas Informáticos, del Ministerio de Educación en la Dirección Departamental de Educación de Quetzaltenango, por el período del 1 de enero al 31 de diciembre de 2017.</w:t>
      </w:r>
    </w:p>
    <w:p w:rsidR="007F2ECF" w:rsidRDefault="007F2ECF">
      <w:pPr>
        <w:pStyle w:val="Textoindependiente"/>
        <w:spacing w:before="8"/>
        <w:rPr>
          <w:sz w:val="28"/>
        </w:rPr>
      </w:pPr>
    </w:p>
    <w:p w:rsidR="007F2ECF" w:rsidRDefault="0029785C">
      <w:pPr>
        <w:pStyle w:val="Ttulo1"/>
      </w:pPr>
      <w:bookmarkStart w:id="3" w:name="_TOC_250001"/>
      <w:bookmarkEnd w:id="3"/>
      <w:r>
        <w:t>RESULTADOS DE LA ACTIVIDAD</w:t>
      </w:r>
    </w:p>
    <w:p w:rsidR="007F2ECF" w:rsidRDefault="007F2ECF">
      <w:pPr>
        <w:pStyle w:val="Textoindependiente"/>
        <w:spacing w:before="10"/>
        <w:rPr>
          <w:b/>
          <w:sz w:val="33"/>
        </w:rPr>
      </w:pPr>
    </w:p>
    <w:p w:rsidR="007F2ECF" w:rsidRDefault="0029785C">
      <w:pPr>
        <w:pStyle w:val="Textoindependiente"/>
        <w:spacing w:line="278" w:lineRule="auto"/>
        <w:ind w:left="1301" w:right="102"/>
        <w:jc w:val="both"/>
      </w:pPr>
      <w:r>
        <w:t>De</w:t>
      </w:r>
      <w:r>
        <w:t xml:space="preserve"> conformidad con el Formulario SRI Seguimiento a la implementación de recomendaciones y a la evaluación realizada a la documentación presentada, se estableció que el estado actual de las recomendaciones es el siguiente:</w:t>
      </w:r>
    </w:p>
    <w:p w:rsidR="007F2ECF" w:rsidRDefault="007F2ECF">
      <w:pPr>
        <w:pStyle w:val="Textoindependiente"/>
        <w:spacing w:before="8"/>
        <w:rPr>
          <w:sz w:val="27"/>
        </w:rPr>
      </w:pPr>
    </w:p>
    <w:p w:rsidR="007F2ECF" w:rsidRDefault="0029785C">
      <w:pPr>
        <w:ind w:left="1301"/>
        <w:rPr>
          <w:b/>
          <w:sz w:val="24"/>
        </w:rPr>
      </w:pPr>
      <w:r>
        <w:rPr>
          <w:b/>
          <w:sz w:val="24"/>
        </w:rPr>
        <w:t>RECOMENDACIONES EN PROCESO</w:t>
      </w:r>
    </w:p>
    <w:p w:rsidR="007F2ECF" w:rsidRDefault="0029785C">
      <w:pPr>
        <w:spacing w:before="57" w:line="290" w:lineRule="auto"/>
        <w:ind w:left="1301" w:right="98"/>
        <w:jc w:val="both"/>
        <w:rPr>
          <w:sz w:val="24"/>
        </w:rPr>
      </w:pPr>
      <w:r>
        <w:rPr>
          <w:b/>
          <w:sz w:val="24"/>
        </w:rPr>
        <w:t xml:space="preserve">De los hallazgos monetarios y de incumplimiento de aspectos legales No. 5 Falta de asignación de horarios en los registros de GUATENÓMINAS, No. 6 </w:t>
      </w:r>
      <w:r>
        <w:rPr>
          <w:b/>
          <w:spacing w:val="2"/>
          <w:sz w:val="24"/>
        </w:rPr>
        <w:t xml:space="preserve">Incumplimiento </w:t>
      </w:r>
      <w:r>
        <w:rPr>
          <w:b/>
          <w:sz w:val="24"/>
        </w:rPr>
        <w:t xml:space="preserve">de las </w:t>
      </w:r>
      <w:r>
        <w:rPr>
          <w:b/>
          <w:spacing w:val="2"/>
          <w:sz w:val="24"/>
        </w:rPr>
        <w:t xml:space="preserve">recomendaciones </w:t>
      </w:r>
      <w:r>
        <w:rPr>
          <w:b/>
          <w:sz w:val="24"/>
        </w:rPr>
        <w:t xml:space="preserve">de </w:t>
      </w:r>
      <w:r>
        <w:rPr>
          <w:b/>
          <w:spacing w:val="2"/>
          <w:sz w:val="24"/>
        </w:rPr>
        <w:t xml:space="preserve">auditoría anterior, </w:t>
      </w:r>
      <w:r>
        <w:rPr>
          <w:b/>
          <w:sz w:val="24"/>
        </w:rPr>
        <w:t>No. 7 Incumplimiento al procedimiento de baja del</w:t>
      </w:r>
      <w:r>
        <w:rPr>
          <w:b/>
          <w:sz w:val="24"/>
        </w:rPr>
        <w:t xml:space="preserve"> empleado, No. 8 Incumplimiento a normativa vigente, No. 9 Incumplimiento a normativa legal en registro del sistema GUATENÓMINAS y No. 10 Registros incorrectos en la actualización del documento personal de identificación en el sistema GUATENÓMINAS, </w:t>
      </w:r>
      <w:r>
        <w:rPr>
          <w:sz w:val="24"/>
        </w:rPr>
        <w:t xml:space="preserve">las </w:t>
      </w:r>
      <w:r>
        <w:rPr>
          <w:spacing w:val="4"/>
          <w:sz w:val="24"/>
        </w:rPr>
        <w:t>rec</w:t>
      </w:r>
      <w:r>
        <w:rPr>
          <w:spacing w:val="4"/>
          <w:sz w:val="24"/>
        </w:rPr>
        <w:t xml:space="preserve">omendaciones </w:t>
      </w:r>
      <w:r>
        <w:rPr>
          <w:spacing w:val="2"/>
          <w:sz w:val="24"/>
        </w:rPr>
        <w:t xml:space="preserve">se </w:t>
      </w:r>
      <w:r>
        <w:rPr>
          <w:spacing w:val="4"/>
          <w:sz w:val="24"/>
        </w:rPr>
        <w:t xml:space="preserve">encuentran </w:t>
      </w:r>
      <w:r>
        <w:rPr>
          <w:spacing w:val="2"/>
          <w:sz w:val="24"/>
        </w:rPr>
        <w:t xml:space="preserve">en </w:t>
      </w:r>
      <w:r>
        <w:rPr>
          <w:spacing w:val="4"/>
          <w:sz w:val="24"/>
        </w:rPr>
        <w:t xml:space="preserve">proceso, debido </w:t>
      </w:r>
      <w:r>
        <w:rPr>
          <w:sz w:val="24"/>
        </w:rPr>
        <w:t xml:space="preserve">a </w:t>
      </w:r>
      <w:r>
        <w:rPr>
          <w:spacing w:val="3"/>
          <w:sz w:val="24"/>
        </w:rPr>
        <w:t xml:space="preserve">que </w:t>
      </w:r>
      <w:r>
        <w:rPr>
          <w:spacing w:val="2"/>
          <w:sz w:val="24"/>
        </w:rPr>
        <w:t>el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Director</w:t>
      </w:r>
    </w:p>
    <w:p w:rsidR="007F2ECF" w:rsidRDefault="007F2ECF">
      <w:pPr>
        <w:spacing w:line="290" w:lineRule="auto"/>
        <w:jc w:val="both"/>
        <w:rPr>
          <w:sz w:val="24"/>
        </w:rPr>
        <w:sectPr w:rsidR="007F2ECF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7F2ECF" w:rsidRDefault="0029785C">
      <w:pPr>
        <w:pStyle w:val="Textoindependiente"/>
        <w:spacing w:before="82" w:line="278" w:lineRule="auto"/>
        <w:ind w:left="1301" w:right="100"/>
        <w:jc w:val="both"/>
      </w:pPr>
      <w:r>
        <w:lastRenderedPageBreak/>
        <w:t>Departamental de Educación giró instrucciones por medio de oficio 73-2021 de fecha 15 de febrero de 2021 a la Subdirectora Administrativa Financiera para que gire instrucciones a donde corresponde. Asimismo, la Subdirectora administrativa financiera giró i</w:t>
      </w:r>
      <w:r>
        <w:t>nstrucciones a la jefe de recursos humanos mediante oficio SDFAI-011-2021 de fecha 15 de febrero de 2021 y ella a su vez giró instrucciones a la unidad de gestión y desarrollo de personal según oficio RRHH 33-2021 de fecha 17 de febrero de 2021, de lo cual</w:t>
      </w:r>
      <w:r>
        <w:t xml:space="preserve"> a la presente fecha no se han realizado las acciones correspondientes.</w:t>
      </w:r>
    </w:p>
    <w:p w:rsidR="007F2ECF" w:rsidRDefault="007F2ECF">
      <w:pPr>
        <w:pStyle w:val="Textoindependiente"/>
        <w:spacing w:before="4"/>
        <w:rPr>
          <w:sz w:val="27"/>
        </w:rPr>
      </w:pPr>
    </w:p>
    <w:p w:rsidR="007F2ECF" w:rsidRDefault="0029785C">
      <w:pPr>
        <w:pStyle w:val="Textoindependiente"/>
        <w:spacing w:line="278" w:lineRule="auto"/>
        <w:ind w:left="1301" w:right="102"/>
        <w:jc w:val="both"/>
        <w:rPr>
          <w:b/>
        </w:rPr>
      </w:pPr>
      <w:r>
        <w:t>El resultado que las recomendaciones estén en proceso, propicia que se mantengan firmes las acciones correctivas, que no se actualicen los sistemas informáticos, asimismo, riesgo de s</w:t>
      </w:r>
      <w:r>
        <w:t xml:space="preserve">anción económica por el ente fiscalizador, por incumplimiento de recomendaciones. ( </w:t>
      </w:r>
      <w:r>
        <w:rPr>
          <w:b/>
        </w:rPr>
        <w:t>Ver anexo No. 1)</w:t>
      </w:r>
    </w:p>
    <w:p w:rsidR="007F2ECF" w:rsidRDefault="007F2ECF">
      <w:pPr>
        <w:pStyle w:val="Textoindependiente"/>
        <w:spacing w:before="11"/>
        <w:rPr>
          <w:b/>
          <w:sz w:val="29"/>
        </w:rPr>
      </w:pPr>
    </w:p>
    <w:p w:rsidR="007F2ECF" w:rsidRDefault="0029785C">
      <w:pPr>
        <w:ind w:left="1301"/>
        <w:jc w:val="both"/>
        <w:rPr>
          <w:b/>
          <w:sz w:val="24"/>
        </w:rPr>
      </w:pPr>
      <w:r>
        <w:rPr>
          <w:b/>
          <w:sz w:val="24"/>
        </w:rPr>
        <w:t>COMPROMISO DE LOS RESPONSABLES</w:t>
      </w:r>
    </w:p>
    <w:p w:rsidR="007F2ECF" w:rsidRDefault="0029785C">
      <w:pPr>
        <w:pStyle w:val="Textoindependiente"/>
        <w:spacing w:before="56" w:line="278" w:lineRule="auto"/>
        <w:ind w:left="1301" w:right="100"/>
        <w:jc w:val="both"/>
      </w:pPr>
      <w:r>
        <w:t>A través de Acta No. XEL-DIDAI-01-2021 de fecha 22 de febrero de 2021, del libro de actas No. L2 32513 autorizado por Contr</w:t>
      </w:r>
      <w:r>
        <w:t>aloría General de Cuentas con Registro No. 058297 de fecha 10 de abril de 2014, el Director Departamental de Educación manifestó que hizo recordatorio a la subdirectora administrativa financiera para que por su medio instruya a la jefatura de recursos huma</w:t>
      </w:r>
      <w:r>
        <w:t>nos, para que las recomendaciones sean implementadas lo más pronto posible y así subsanar las deficiencias determinadas, estableciéndose un plazo perentorio de 2 meses para atender las mismas y presentar las pruebas correspondientes a la Dirección de Audit</w:t>
      </w:r>
      <w:r>
        <w:t>oría Interna.</w:t>
      </w: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spacing w:before="3"/>
        <w:rPr>
          <w:sz w:val="13"/>
        </w:rPr>
      </w:pPr>
    </w:p>
    <w:p w:rsidR="007F2ECF" w:rsidRDefault="00AE74A1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86560" cy="9525"/>
                <wp:effectExtent l="3810" t="0" r="0" b="635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9525"/>
                          <a:chOff x="0" y="0"/>
                          <a:chExt cx="2656" cy="15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A2DB" id="Group 8" o:spid="_x0000_s1026" style="width:132.8pt;height:.75pt;mso-position-horizontal-relative:char;mso-position-vertical-relative:line" coordsize="26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dyxA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">
                <v:rect id="Rectangle 9" o:spid="_x0000_s1027" style="position:absolute;width:265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29785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25245" cy="9525"/>
                <wp:effectExtent l="0" t="0" r="0" b="635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9525"/>
                          <a:chOff x="0" y="0"/>
                          <a:chExt cx="2087" cy="15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2398C" id="Group 6" o:spid="_x0000_s1026" style="width:104.35pt;height:.75pt;mso-position-horizontal-relative:char;mso-position-vertical-relative:line" coordsize="20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BxxQ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">
                <v:rect id="Rectangle 7" o:spid="_x0000_s1027" style="position:absolute;width:20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F2ECF" w:rsidRDefault="007F2ECF">
      <w:pPr>
        <w:spacing w:line="20" w:lineRule="exact"/>
        <w:rPr>
          <w:sz w:val="2"/>
        </w:r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RAUL ARMANDO VILLATORO RAMIREZ</w:t>
      </w:r>
    </w:p>
    <w:p w:rsidR="007F2ECF" w:rsidRDefault="0029785C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7F2ECF" w:rsidRDefault="0029785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YURI EFRAIN CHANG CASTRO</w:t>
      </w:r>
    </w:p>
    <w:p w:rsidR="007F2ECF" w:rsidRDefault="0029785C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7F2ECF" w:rsidRDefault="007F2ECF">
      <w:pPr>
        <w:rPr>
          <w:sz w:val="14"/>
        </w:rPr>
        <w:sectPr w:rsidR="007F2EC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112" w:space="292"/>
            <w:col w:w="5836"/>
          </w:cols>
        </w:sect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rPr>
          <w:sz w:val="20"/>
        </w:rPr>
      </w:pPr>
    </w:p>
    <w:p w:rsidR="007F2ECF" w:rsidRDefault="007F2ECF">
      <w:pPr>
        <w:pStyle w:val="Textoindependiente"/>
        <w:spacing w:before="1"/>
        <w:rPr>
          <w:sz w:val="20"/>
        </w:rPr>
      </w:pPr>
    </w:p>
    <w:p w:rsidR="007F2ECF" w:rsidRDefault="00AE74A1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1905"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8A6A8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29785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190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42025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YGxQ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DCbFYG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7F2ECF" w:rsidRDefault="007F2ECF">
      <w:pPr>
        <w:spacing w:line="20" w:lineRule="exact"/>
        <w:rPr>
          <w:sz w:val="2"/>
        </w:rPr>
        <w:sectPr w:rsidR="007F2E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7F2ECF" w:rsidRDefault="0029785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7F2ECF" w:rsidRDefault="0029785C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7F2ECF" w:rsidRDefault="0029785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7F2ECF" w:rsidRDefault="0029785C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7F2ECF" w:rsidRDefault="007F2ECF">
      <w:pPr>
        <w:rPr>
          <w:sz w:val="14"/>
        </w:rPr>
        <w:sectPr w:rsidR="007F2ECF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7F2ECF" w:rsidRDefault="0029785C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7F2ECF" w:rsidRDefault="007F2ECF">
      <w:pPr>
        <w:pStyle w:val="Textoindependiente"/>
        <w:spacing w:before="3"/>
        <w:rPr>
          <w:b/>
          <w:sz w:val="37"/>
        </w:rPr>
      </w:pPr>
    </w:p>
    <w:p w:rsidR="007F2ECF" w:rsidRDefault="0029785C">
      <w:pPr>
        <w:ind w:left="2112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166673</wp:posOffset>
            </wp:positionV>
            <wp:extent cx="4985449" cy="702183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449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ANEXO 1</w:t>
      </w:r>
    </w:p>
    <w:p w:rsidR="007F2ECF" w:rsidRDefault="007F2ECF">
      <w:pPr>
        <w:rPr>
          <w:sz w:val="16"/>
        </w:r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21"/>
        <w:ind w:left="1723"/>
        <w:rPr>
          <w:sz w:val="16"/>
        </w:rPr>
      </w:pPr>
      <w:r>
        <w:rPr>
          <w:sz w:val="16"/>
        </w:rPr>
        <w:lastRenderedPageBreak/>
        <w:t>CONTINUA ANEXO 1</w:t>
      </w:r>
    </w:p>
    <w:p w:rsidR="007F2ECF" w:rsidRDefault="0029785C">
      <w:pPr>
        <w:pStyle w:val="Textoindependiente"/>
        <w:spacing w:before="3"/>
      </w:pPr>
      <w:r>
        <w:rPr>
          <w:noProof/>
          <w:lang w:val="es-GT" w:eastAsia="es-GT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202164</wp:posOffset>
            </wp:positionV>
            <wp:extent cx="4607694" cy="7015733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94" cy="701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ECF" w:rsidRDefault="007F2ECF">
      <w:p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21"/>
        <w:ind w:left="1727"/>
        <w:rPr>
          <w:sz w:val="16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243635</wp:posOffset>
            </wp:positionV>
            <wp:extent cx="5034144" cy="7243572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144" cy="724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CONTINUA ANEXO 1</w:t>
      </w:r>
    </w:p>
    <w:p w:rsidR="007F2ECF" w:rsidRDefault="007F2ECF">
      <w:pPr>
        <w:rPr>
          <w:sz w:val="16"/>
        </w:r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21"/>
        <w:ind w:left="1719"/>
        <w:rPr>
          <w:sz w:val="16"/>
        </w:rPr>
      </w:pPr>
      <w:r>
        <w:rPr>
          <w:sz w:val="16"/>
        </w:rPr>
        <w:lastRenderedPageBreak/>
        <w:t>CONTINUA ANEXO 1</w:t>
      </w:r>
    </w:p>
    <w:p w:rsidR="007F2ECF" w:rsidRDefault="0029785C">
      <w:pPr>
        <w:pStyle w:val="Textoindependiente"/>
        <w:spacing w:before="3"/>
      </w:pPr>
      <w:r>
        <w:rPr>
          <w:noProof/>
          <w:lang w:val="es-GT" w:eastAsia="es-GT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202164</wp:posOffset>
            </wp:positionV>
            <wp:extent cx="4607694" cy="7015733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694" cy="701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ECF" w:rsidRDefault="007F2ECF">
      <w:p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21"/>
        <w:ind w:left="1716"/>
        <w:rPr>
          <w:sz w:val="16"/>
        </w:rPr>
      </w:pPr>
      <w:r>
        <w:rPr>
          <w:sz w:val="16"/>
        </w:rPr>
        <w:lastRenderedPageBreak/>
        <w:t>CONTINUA ANEXO 1</w:t>
      </w:r>
    </w:p>
    <w:p w:rsidR="007F2ECF" w:rsidRDefault="0029785C">
      <w:pPr>
        <w:pStyle w:val="Textoindependiente"/>
        <w:spacing w:before="2"/>
      </w:pPr>
      <w:r>
        <w:rPr>
          <w:noProof/>
          <w:lang w:val="es-GT" w:eastAsia="es-G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1261110</wp:posOffset>
            </wp:positionH>
            <wp:positionV relativeFrom="paragraph">
              <wp:posOffset>201379</wp:posOffset>
            </wp:positionV>
            <wp:extent cx="4631599" cy="7015733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599" cy="701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ECF" w:rsidRDefault="007F2ECF">
      <w:pPr>
        <w:sectPr w:rsidR="007F2ECF">
          <w:pgSz w:w="12240" w:h="15840"/>
          <w:pgMar w:top="1060" w:right="1600" w:bottom="780" w:left="400" w:header="617" w:footer="596" w:gutter="0"/>
          <w:cols w:space="720"/>
        </w:sectPr>
      </w:pPr>
    </w:p>
    <w:p w:rsidR="007F2ECF" w:rsidRDefault="0029785C">
      <w:pPr>
        <w:spacing w:before="121"/>
        <w:ind w:left="1712"/>
        <w:rPr>
          <w:sz w:val="16"/>
        </w:rPr>
      </w:pPr>
      <w:r>
        <w:rPr>
          <w:sz w:val="16"/>
        </w:rPr>
        <w:lastRenderedPageBreak/>
        <w:t>CONTINUA ANEXO 1</w:t>
      </w:r>
    </w:p>
    <w:p w:rsidR="007F2ECF" w:rsidRDefault="0029785C">
      <w:pPr>
        <w:pStyle w:val="Textoindependiente"/>
        <w:spacing w:before="2"/>
      </w:pPr>
      <w:r>
        <w:rPr>
          <w:noProof/>
          <w:lang w:val="es-GT" w:eastAsia="es-GT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1337310</wp:posOffset>
            </wp:positionH>
            <wp:positionV relativeFrom="paragraph">
              <wp:posOffset>201771</wp:posOffset>
            </wp:positionV>
            <wp:extent cx="4468182" cy="7015733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182" cy="701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2ECF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5C" w:rsidRDefault="0029785C">
      <w:r>
        <w:separator/>
      </w:r>
    </w:p>
  </w:endnote>
  <w:endnote w:type="continuationSeparator" w:id="0">
    <w:p w:rsidR="0029785C" w:rsidRDefault="0029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CF" w:rsidRDefault="00AE74A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866C8" id="Group 3" o:spid="_x0000_s1026" style="position:absolute;margin-left:25pt;margin-top:748.2pt;width:502pt;height:28.8pt;z-index:-1586380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w7uUw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AWqXDAAAA2wAAAA8AAABkcnMvZG93bnJldi54bWxEj81qw0AMhO+FvsOiQm7NboIpxckmlEKh&#10;hx7y04tvwqvYpl7JeLex+/bRIdCbxIxmPm33c+zNlcbUCXtYLR0Y4lpCx42H7/PH8yuYlJED9sLk&#10;4Y8S7HePD1ssg0x8pOspN0ZDOJXooc15KK1NdUsR01IGYtUuMkbMuo6NDSNOGh57u3buxUbsWBta&#10;HOi9pfrn9Bs9FCsJhy8bzpVzlUxFVRwva/F+8TS/bcBkmvO/+X79GRRf6fUXHc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Bapc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ECF" w:rsidRDefault="0029785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7F2ECF" w:rsidRDefault="0029785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ECF" w:rsidRDefault="0029785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4A1">
                            <w:rPr>
                              <w:noProof/>
                              <w:color w:val="666666"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7F2ECF" w:rsidRDefault="0029785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4A1">
                      <w:rPr>
                        <w:noProof/>
                        <w:color w:val="666666"/>
                        <w:sz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5C" w:rsidRDefault="0029785C">
      <w:r>
        <w:separator/>
      </w:r>
    </w:p>
  </w:footnote>
  <w:footnote w:type="continuationSeparator" w:id="0">
    <w:p w:rsidR="0029785C" w:rsidRDefault="0029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CF" w:rsidRDefault="00AE74A1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13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49CC4" id="Freeform 8" o:spid="_x0000_s1026" style="position:absolute;margin-left:85.05pt;margin-top:40.1pt;width:442pt;height:.7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164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ECF" w:rsidRDefault="0029785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7F2ECF" w:rsidRDefault="0029785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ECF" w:rsidRDefault="0029785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7F2ECF" w:rsidRDefault="0029785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F"/>
    <w:rsid w:val="0029785C"/>
    <w:rsid w:val="007F2ECF"/>
    <w:rsid w:val="00A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DF29DD-9C61-4AE4-9069-12D3373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2021-04-05T16:19:00Z</dcterms:created>
  <dcterms:modified xsi:type="dcterms:W3CDTF">2021-04-05T16:19:00Z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